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C1A9DF">
      <w:pPr>
        <w:spacing w:line="360" w:lineRule="auto"/>
        <w:jc w:val="center"/>
        <w:rPr>
          <w:rFonts w:ascii="宋体" w:hAnsi="宋体"/>
          <w:b/>
          <w:bCs/>
          <w:sz w:val="32"/>
          <w:szCs w:val="32"/>
        </w:rPr>
      </w:pPr>
      <w:r>
        <w:rPr>
          <w:rFonts w:ascii="宋体" w:hAnsi="宋体"/>
          <w:b/>
          <w:bCs/>
          <w:sz w:val="32"/>
          <w:szCs w:val="32"/>
        </w:rPr>
        <w:t>目录</w:t>
      </w:r>
    </w:p>
    <w:p w14:paraId="499E9997"/>
    <w:p w14:paraId="63988DA6">
      <w:pPr>
        <w:pStyle w:val="10"/>
        <w:tabs>
          <w:tab w:val="right" w:leader="dot" w:pos="8606"/>
        </w:tabs>
        <w:rPr>
          <w:sz w:val="24"/>
          <w:szCs w:val="32"/>
        </w:rPr>
      </w:pPr>
      <w:r>
        <w:rPr>
          <w:sz w:val="36"/>
          <w:szCs w:val="36"/>
        </w:rPr>
        <w:fldChar w:fldCharType="begin"/>
      </w:r>
      <w:r>
        <w:rPr>
          <w:sz w:val="36"/>
          <w:szCs w:val="36"/>
        </w:rPr>
        <w:instrText xml:space="preserve">TOC \o "1-1" \h \u </w:instrText>
      </w:r>
      <w:r>
        <w:rPr>
          <w:sz w:val="36"/>
          <w:szCs w:val="36"/>
        </w:rPr>
        <w:fldChar w:fldCharType="separate"/>
      </w:r>
      <w:r>
        <w:rPr>
          <w:sz w:val="24"/>
          <w:szCs w:val="36"/>
        </w:rPr>
        <w:fldChar w:fldCharType="begin"/>
      </w:r>
      <w:r>
        <w:rPr>
          <w:sz w:val="24"/>
          <w:szCs w:val="36"/>
        </w:rPr>
        <w:instrText xml:space="preserve"> HYPERLINK \l _Toc22496 </w:instrText>
      </w:r>
      <w:r>
        <w:rPr>
          <w:sz w:val="24"/>
          <w:szCs w:val="36"/>
        </w:rPr>
        <w:fldChar w:fldCharType="separate"/>
      </w:r>
      <w:r>
        <w:rPr>
          <w:rFonts w:hint="eastAsia" w:ascii="黑体" w:hAnsi="黑体" w:eastAsia="黑体"/>
          <w:bCs/>
          <w:snapToGrid w:val="0"/>
          <w:sz w:val="24"/>
          <w:szCs w:val="36"/>
        </w:rPr>
        <w:t>一、建设项目基本情况</w:t>
      </w:r>
      <w:r>
        <w:rPr>
          <w:sz w:val="24"/>
          <w:szCs w:val="32"/>
        </w:rPr>
        <w:tab/>
      </w:r>
      <w:r>
        <w:rPr>
          <w:sz w:val="24"/>
          <w:szCs w:val="32"/>
        </w:rPr>
        <w:fldChar w:fldCharType="begin"/>
      </w:r>
      <w:r>
        <w:rPr>
          <w:sz w:val="24"/>
          <w:szCs w:val="32"/>
        </w:rPr>
        <w:instrText xml:space="preserve"> PAGEREF _Toc22496 \h </w:instrText>
      </w:r>
      <w:r>
        <w:rPr>
          <w:sz w:val="24"/>
          <w:szCs w:val="32"/>
        </w:rPr>
        <w:fldChar w:fldCharType="separate"/>
      </w:r>
      <w:r>
        <w:rPr>
          <w:sz w:val="24"/>
          <w:szCs w:val="32"/>
        </w:rPr>
        <w:t>1</w:t>
      </w:r>
      <w:r>
        <w:rPr>
          <w:sz w:val="24"/>
          <w:szCs w:val="32"/>
        </w:rPr>
        <w:fldChar w:fldCharType="end"/>
      </w:r>
      <w:r>
        <w:rPr>
          <w:sz w:val="24"/>
          <w:szCs w:val="36"/>
        </w:rPr>
        <w:fldChar w:fldCharType="end"/>
      </w:r>
    </w:p>
    <w:p w14:paraId="6692148A">
      <w:pPr>
        <w:pStyle w:val="10"/>
        <w:tabs>
          <w:tab w:val="right" w:leader="dot" w:pos="8606"/>
        </w:tabs>
        <w:rPr>
          <w:sz w:val="24"/>
          <w:szCs w:val="32"/>
        </w:rPr>
      </w:pPr>
      <w:r>
        <w:rPr>
          <w:sz w:val="24"/>
          <w:szCs w:val="36"/>
        </w:rPr>
        <w:fldChar w:fldCharType="begin"/>
      </w:r>
      <w:r>
        <w:rPr>
          <w:sz w:val="24"/>
          <w:szCs w:val="36"/>
        </w:rPr>
        <w:instrText xml:space="preserve"> HYPERLINK \l _Toc21526 </w:instrText>
      </w:r>
      <w:r>
        <w:rPr>
          <w:sz w:val="24"/>
          <w:szCs w:val="36"/>
        </w:rPr>
        <w:fldChar w:fldCharType="separate"/>
      </w:r>
      <w:r>
        <w:rPr>
          <w:rFonts w:hint="eastAsia" w:ascii="黑体" w:hAnsi="黑体" w:eastAsia="黑体"/>
          <w:bCs/>
          <w:snapToGrid w:val="0"/>
          <w:sz w:val="24"/>
          <w:szCs w:val="36"/>
        </w:rPr>
        <w:t>二、建设项目工程分析</w:t>
      </w:r>
      <w:r>
        <w:rPr>
          <w:sz w:val="24"/>
          <w:szCs w:val="32"/>
        </w:rPr>
        <w:tab/>
      </w:r>
      <w:r>
        <w:rPr>
          <w:sz w:val="24"/>
          <w:szCs w:val="32"/>
        </w:rPr>
        <w:fldChar w:fldCharType="begin"/>
      </w:r>
      <w:r>
        <w:rPr>
          <w:sz w:val="24"/>
          <w:szCs w:val="32"/>
        </w:rPr>
        <w:instrText xml:space="preserve"> PAGEREF _Toc21526 \h </w:instrText>
      </w:r>
      <w:r>
        <w:rPr>
          <w:sz w:val="24"/>
          <w:szCs w:val="32"/>
        </w:rPr>
        <w:fldChar w:fldCharType="separate"/>
      </w:r>
      <w:r>
        <w:rPr>
          <w:sz w:val="24"/>
          <w:szCs w:val="32"/>
        </w:rPr>
        <w:t>29</w:t>
      </w:r>
      <w:r>
        <w:rPr>
          <w:sz w:val="24"/>
          <w:szCs w:val="32"/>
        </w:rPr>
        <w:fldChar w:fldCharType="end"/>
      </w:r>
      <w:r>
        <w:rPr>
          <w:sz w:val="24"/>
          <w:szCs w:val="36"/>
        </w:rPr>
        <w:fldChar w:fldCharType="end"/>
      </w:r>
    </w:p>
    <w:p w14:paraId="6A4CB912">
      <w:pPr>
        <w:pStyle w:val="10"/>
        <w:tabs>
          <w:tab w:val="right" w:leader="dot" w:pos="8606"/>
        </w:tabs>
        <w:rPr>
          <w:sz w:val="24"/>
          <w:szCs w:val="32"/>
        </w:rPr>
      </w:pPr>
      <w:r>
        <w:rPr>
          <w:sz w:val="24"/>
          <w:szCs w:val="36"/>
        </w:rPr>
        <w:fldChar w:fldCharType="begin"/>
      </w:r>
      <w:r>
        <w:rPr>
          <w:sz w:val="24"/>
          <w:szCs w:val="36"/>
        </w:rPr>
        <w:instrText xml:space="preserve"> HYPERLINK \l _Toc5042 </w:instrText>
      </w:r>
      <w:r>
        <w:rPr>
          <w:sz w:val="24"/>
          <w:szCs w:val="36"/>
        </w:rPr>
        <w:fldChar w:fldCharType="separate"/>
      </w:r>
      <w:r>
        <w:rPr>
          <w:rFonts w:hint="eastAsia" w:ascii="黑体" w:hAnsi="黑体" w:eastAsia="黑体"/>
          <w:snapToGrid w:val="0"/>
          <w:sz w:val="24"/>
          <w:szCs w:val="36"/>
        </w:rPr>
        <w:t>三、区域环境质量现状、环境保护目标及评价标准</w:t>
      </w:r>
      <w:r>
        <w:rPr>
          <w:sz w:val="24"/>
          <w:szCs w:val="32"/>
        </w:rPr>
        <w:tab/>
      </w:r>
      <w:r>
        <w:rPr>
          <w:sz w:val="24"/>
          <w:szCs w:val="32"/>
        </w:rPr>
        <w:fldChar w:fldCharType="begin"/>
      </w:r>
      <w:r>
        <w:rPr>
          <w:sz w:val="24"/>
          <w:szCs w:val="32"/>
        </w:rPr>
        <w:instrText xml:space="preserve"> PAGEREF _Toc5042 \h </w:instrText>
      </w:r>
      <w:r>
        <w:rPr>
          <w:sz w:val="24"/>
          <w:szCs w:val="32"/>
        </w:rPr>
        <w:fldChar w:fldCharType="separate"/>
      </w:r>
      <w:r>
        <w:rPr>
          <w:sz w:val="24"/>
          <w:szCs w:val="32"/>
        </w:rPr>
        <w:t>44</w:t>
      </w:r>
      <w:r>
        <w:rPr>
          <w:sz w:val="24"/>
          <w:szCs w:val="32"/>
        </w:rPr>
        <w:fldChar w:fldCharType="end"/>
      </w:r>
      <w:r>
        <w:rPr>
          <w:sz w:val="24"/>
          <w:szCs w:val="36"/>
        </w:rPr>
        <w:fldChar w:fldCharType="end"/>
      </w:r>
    </w:p>
    <w:p w14:paraId="45A96A5F">
      <w:pPr>
        <w:pStyle w:val="10"/>
        <w:tabs>
          <w:tab w:val="right" w:leader="dot" w:pos="8606"/>
        </w:tabs>
        <w:rPr>
          <w:sz w:val="24"/>
          <w:szCs w:val="32"/>
        </w:rPr>
      </w:pPr>
      <w:r>
        <w:rPr>
          <w:sz w:val="24"/>
          <w:szCs w:val="36"/>
        </w:rPr>
        <w:fldChar w:fldCharType="begin"/>
      </w:r>
      <w:r>
        <w:rPr>
          <w:sz w:val="24"/>
          <w:szCs w:val="36"/>
        </w:rPr>
        <w:instrText xml:space="preserve"> HYPERLINK \l _Toc21014 </w:instrText>
      </w:r>
      <w:r>
        <w:rPr>
          <w:sz w:val="24"/>
          <w:szCs w:val="36"/>
        </w:rPr>
        <w:fldChar w:fldCharType="separate"/>
      </w:r>
      <w:r>
        <w:rPr>
          <w:rFonts w:hint="eastAsia" w:ascii="黑体" w:hAnsi="黑体" w:eastAsia="黑体"/>
          <w:snapToGrid w:val="0"/>
          <w:sz w:val="24"/>
          <w:szCs w:val="36"/>
        </w:rPr>
        <w:t>四、主要环境影响和保护措施</w:t>
      </w:r>
      <w:r>
        <w:rPr>
          <w:sz w:val="24"/>
          <w:szCs w:val="32"/>
        </w:rPr>
        <w:tab/>
      </w:r>
      <w:r>
        <w:rPr>
          <w:sz w:val="24"/>
          <w:szCs w:val="32"/>
        </w:rPr>
        <w:fldChar w:fldCharType="begin"/>
      </w:r>
      <w:r>
        <w:rPr>
          <w:sz w:val="24"/>
          <w:szCs w:val="32"/>
        </w:rPr>
        <w:instrText xml:space="preserve"> PAGEREF _Toc21014 \h </w:instrText>
      </w:r>
      <w:r>
        <w:rPr>
          <w:sz w:val="24"/>
          <w:szCs w:val="32"/>
        </w:rPr>
        <w:fldChar w:fldCharType="separate"/>
      </w:r>
      <w:r>
        <w:rPr>
          <w:sz w:val="24"/>
          <w:szCs w:val="32"/>
        </w:rPr>
        <w:t>51</w:t>
      </w:r>
      <w:r>
        <w:rPr>
          <w:sz w:val="24"/>
          <w:szCs w:val="32"/>
        </w:rPr>
        <w:fldChar w:fldCharType="end"/>
      </w:r>
      <w:r>
        <w:rPr>
          <w:sz w:val="24"/>
          <w:szCs w:val="36"/>
        </w:rPr>
        <w:fldChar w:fldCharType="end"/>
      </w:r>
    </w:p>
    <w:p w14:paraId="710F7031">
      <w:pPr>
        <w:pStyle w:val="10"/>
        <w:tabs>
          <w:tab w:val="right" w:leader="dot" w:pos="8606"/>
        </w:tabs>
        <w:rPr>
          <w:sz w:val="24"/>
          <w:szCs w:val="32"/>
        </w:rPr>
      </w:pPr>
      <w:r>
        <w:rPr>
          <w:sz w:val="24"/>
          <w:szCs w:val="36"/>
        </w:rPr>
        <w:fldChar w:fldCharType="begin"/>
      </w:r>
      <w:r>
        <w:rPr>
          <w:sz w:val="24"/>
          <w:szCs w:val="36"/>
        </w:rPr>
        <w:instrText xml:space="preserve"> HYPERLINK \l _Toc4468 </w:instrText>
      </w:r>
      <w:r>
        <w:rPr>
          <w:sz w:val="24"/>
          <w:szCs w:val="36"/>
        </w:rPr>
        <w:fldChar w:fldCharType="separate"/>
      </w:r>
      <w:r>
        <w:rPr>
          <w:rFonts w:hint="eastAsia" w:ascii="黑体" w:hAnsi="黑体" w:eastAsia="黑体"/>
          <w:snapToGrid w:val="0"/>
          <w:sz w:val="24"/>
          <w:szCs w:val="36"/>
        </w:rPr>
        <w:t>五、环境保护措施监督检查清单</w:t>
      </w:r>
      <w:r>
        <w:rPr>
          <w:sz w:val="24"/>
          <w:szCs w:val="32"/>
        </w:rPr>
        <w:tab/>
      </w:r>
      <w:r>
        <w:rPr>
          <w:sz w:val="24"/>
          <w:szCs w:val="32"/>
        </w:rPr>
        <w:fldChar w:fldCharType="begin"/>
      </w:r>
      <w:r>
        <w:rPr>
          <w:sz w:val="24"/>
          <w:szCs w:val="32"/>
        </w:rPr>
        <w:instrText xml:space="preserve"> PAGEREF _Toc4468 \h </w:instrText>
      </w:r>
      <w:r>
        <w:rPr>
          <w:sz w:val="24"/>
          <w:szCs w:val="32"/>
        </w:rPr>
        <w:fldChar w:fldCharType="separate"/>
      </w:r>
      <w:r>
        <w:rPr>
          <w:sz w:val="24"/>
          <w:szCs w:val="32"/>
        </w:rPr>
        <w:t>91</w:t>
      </w:r>
      <w:r>
        <w:rPr>
          <w:sz w:val="24"/>
          <w:szCs w:val="32"/>
        </w:rPr>
        <w:fldChar w:fldCharType="end"/>
      </w:r>
      <w:r>
        <w:rPr>
          <w:sz w:val="24"/>
          <w:szCs w:val="36"/>
        </w:rPr>
        <w:fldChar w:fldCharType="end"/>
      </w:r>
    </w:p>
    <w:p w14:paraId="3EA41807">
      <w:pPr>
        <w:pStyle w:val="10"/>
        <w:tabs>
          <w:tab w:val="right" w:leader="dot" w:pos="8606"/>
        </w:tabs>
        <w:rPr>
          <w:sz w:val="24"/>
          <w:szCs w:val="32"/>
        </w:rPr>
      </w:pPr>
      <w:r>
        <w:rPr>
          <w:sz w:val="24"/>
          <w:szCs w:val="36"/>
        </w:rPr>
        <w:fldChar w:fldCharType="begin"/>
      </w:r>
      <w:r>
        <w:rPr>
          <w:sz w:val="24"/>
          <w:szCs w:val="36"/>
        </w:rPr>
        <w:instrText xml:space="preserve"> HYPERLINK \l _Toc19752 </w:instrText>
      </w:r>
      <w:r>
        <w:rPr>
          <w:sz w:val="24"/>
          <w:szCs w:val="36"/>
        </w:rPr>
        <w:fldChar w:fldCharType="separate"/>
      </w:r>
      <w:r>
        <w:rPr>
          <w:rFonts w:hint="eastAsia" w:ascii="黑体" w:hAnsi="黑体" w:eastAsia="黑体"/>
          <w:snapToGrid w:val="0"/>
          <w:sz w:val="24"/>
          <w:szCs w:val="36"/>
        </w:rPr>
        <w:t>六、结论</w:t>
      </w:r>
      <w:r>
        <w:rPr>
          <w:sz w:val="24"/>
          <w:szCs w:val="32"/>
        </w:rPr>
        <w:tab/>
      </w:r>
      <w:r>
        <w:rPr>
          <w:sz w:val="24"/>
          <w:szCs w:val="32"/>
        </w:rPr>
        <w:fldChar w:fldCharType="begin"/>
      </w:r>
      <w:r>
        <w:rPr>
          <w:sz w:val="24"/>
          <w:szCs w:val="32"/>
        </w:rPr>
        <w:instrText xml:space="preserve"> PAGEREF _Toc19752 \h </w:instrText>
      </w:r>
      <w:r>
        <w:rPr>
          <w:sz w:val="24"/>
          <w:szCs w:val="32"/>
        </w:rPr>
        <w:fldChar w:fldCharType="separate"/>
      </w:r>
      <w:r>
        <w:rPr>
          <w:sz w:val="24"/>
          <w:szCs w:val="32"/>
        </w:rPr>
        <w:t>95</w:t>
      </w:r>
      <w:r>
        <w:rPr>
          <w:sz w:val="24"/>
          <w:szCs w:val="32"/>
        </w:rPr>
        <w:fldChar w:fldCharType="end"/>
      </w:r>
      <w:r>
        <w:rPr>
          <w:sz w:val="24"/>
          <w:szCs w:val="36"/>
        </w:rPr>
        <w:fldChar w:fldCharType="end"/>
      </w:r>
    </w:p>
    <w:p w14:paraId="1841C3B4">
      <w:pPr>
        <w:pStyle w:val="10"/>
        <w:tabs>
          <w:tab w:val="right" w:leader="dot" w:pos="8606"/>
        </w:tabs>
        <w:rPr>
          <w:sz w:val="24"/>
          <w:szCs w:val="32"/>
        </w:rPr>
      </w:pPr>
      <w:r>
        <w:rPr>
          <w:sz w:val="24"/>
          <w:szCs w:val="36"/>
        </w:rPr>
        <w:fldChar w:fldCharType="begin"/>
      </w:r>
      <w:r>
        <w:rPr>
          <w:sz w:val="24"/>
          <w:szCs w:val="36"/>
        </w:rPr>
        <w:instrText xml:space="preserve"> HYPERLINK \l _Toc12373 </w:instrText>
      </w:r>
      <w:r>
        <w:rPr>
          <w:sz w:val="24"/>
          <w:szCs w:val="36"/>
        </w:rPr>
        <w:fldChar w:fldCharType="separate"/>
      </w:r>
      <w:r>
        <w:rPr>
          <w:rFonts w:hint="eastAsia" w:ascii="黑体" w:hAnsi="黑体" w:eastAsia="黑体"/>
          <w:snapToGrid w:val="0"/>
          <w:sz w:val="24"/>
          <w:szCs w:val="40"/>
        </w:rPr>
        <w:t>附表</w:t>
      </w:r>
      <w:r>
        <w:rPr>
          <w:sz w:val="24"/>
          <w:szCs w:val="32"/>
        </w:rPr>
        <w:tab/>
      </w:r>
      <w:r>
        <w:rPr>
          <w:sz w:val="24"/>
          <w:szCs w:val="32"/>
        </w:rPr>
        <w:fldChar w:fldCharType="begin"/>
      </w:r>
      <w:r>
        <w:rPr>
          <w:sz w:val="24"/>
          <w:szCs w:val="32"/>
        </w:rPr>
        <w:instrText xml:space="preserve"> PAGEREF _Toc12373 \h </w:instrText>
      </w:r>
      <w:r>
        <w:rPr>
          <w:sz w:val="24"/>
          <w:szCs w:val="32"/>
        </w:rPr>
        <w:fldChar w:fldCharType="separate"/>
      </w:r>
      <w:r>
        <w:rPr>
          <w:sz w:val="24"/>
          <w:szCs w:val="32"/>
        </w:rPr>
        <w:t>96</w:t>
      </w:r>
      <w:r>
        <w:rPr>
          <w:sz w:val="24"/>
          <w:szCs w:val="32"/>
        </w:rPr>
        <w:fldChar w:fldCharType="end"/>
      </w:r>
      <w:r>
        <w:rPr>
          <w:sz w:val="24"/>
          <w:szCs w:val="36"/>
        </w:rPr>
        <w:fldChar w:fldCharType="end"/>
      </w:r>
    </w:p>
    <w:p w14:paraId="4518E56C">
      <w:pPr>
        <w:spacing w:line="360" w:lineRule="auto"/>
        <w:rPr>
          <w:szCs w:val="28"/>
        </w:rPr>
      </w:pPr>
      <w:r>
        <w:rPr>
          <w:sz w:val="24"/>
          <w:szCs w:val="36"/>
        </w:rPr>
        <w:fldChar w:fldCharType="end"/>
      </w:r>
    </w:p>
    <w:p w14:paraId="58BE1F4D">
      <w:pPr>
        <w:spacing w:line="360" w:lineRule="auto"/>
        <w:rPr>
          <w:szCs w:val="28"/>
        </w:rPr>
      </w:pPr>
    </w:p>
    <w:p w14:paraId="4088AA89">
      <w:pPr>
        <w:pStyle w:val="10"/>
        <w:tabs>
          <w:tab w:val="right" w:leader="dot" w:pos="8606"/>
        </w:tabs>
        <w:rPr>
          <w:szCs w:val="21"/>
        </w:rPr>
      </w:pPr>
      <w:r>
        <w:rPr>
          <w:rFonts w:hint="eastAsia"/>
          <w:szCs w:val="21"/>
        </w:rPr>
        <w:t>附件：</w:t>
      </w:r>
    </w:p>
    <w:p w14:paraId="21A5E091">
      <w:pPr>
        <w:pStyle w:val="10"/>
        <w:tabs>
          <w:tab w:val="right" w:leader="dot" w:pos="8606"/>
        </w:tabs>
        <w:rPr>
          <w:szCs w:val="21"/>
        </w:rPr>
      </w:pPr>
      <w:r>
        <w:fldChar w:fldCharType="begin"/>
      </w:r>
      <w:r>
        <w:instrText xml:space="preserve"> HYPERLINK \l "_Toc12886" </w:instrText>
      </w:r>
      <w:r>
        <w:fldChar w:fldCharType="separate"/>
      </w:r>
      <w:r>
        <w:rPr>
          <w:rFonts w:hint="eastAsia"/>
          <w:szCs w:val="21"/>
        </w:rPr>
        <w:t>附件1 委托合同</w:t>
      </w:r>
      <w:r>
        <w:rPr>
          <w:rFonts w:hint="eastAsia"/>
          <w:szCs w:val="21"/>
        </w:rPr>
        <w:fldChar w:fldCharType="end"/>
      </w:r>
    </w:p>
    <w:p w14:paraId="4BFBBA81">
      <w:pPr>
        <w:pStyle w:val="10"/>
        <w:tabs>
          <w:tab w:val="right" w:leader="dot" w:pos="8606"/>
        </w:tabs>
        <w:rPr>
          <w:szCs w:val="21"/>
        </w:rPr>
      </w:pPr>
      <w:r>
        <w:fldChar w:fldCharType="begin"/>
      </w:r>
      <w:r>
        <w:instrText xml:space="preserve"> HYPERLINK \l "_Toc12027" </w:instrText>
      </w:r>
      <w:r>
        <w:fldChar w:fldCharType="separate"/>
      </w:r>
      <w:r>
        <w:rPr>
          <w:rFonts w:hint="eastAsia"/>
          <w:szCs w:val="21"/>
        </w:rPr>
        <w:t>附件2 营业执照</w:t>
      </w:r>
      <w:r>
        <w:rPr>
          <w:rFonts w:hint="eastAsia"/>
          <w:szCs w:val="21"/>
        </w:rPr>
        <w:fldChar w:fldCharType="end"/>
      </w:r>
    </w:p>
    <w:p w14:paraId="207501AA">
      <w:pPr>
        <w:pStyle w:val="10"/>
        <w:tabs>
          <w:tab w:val="right" w:leader="dot" w:pos="8606"/>
        </w:tabs>
        <w:rPr>
          <w:szCs w:val="21"/>
        </w:rPr>
      </w:pPr>
      <w:r>
        <w:fldChar w:fldCharType="begin"/>
      </w:r>
      <w:r>
        <w:instrText xml:space="preserve"> HYPERLINK \l "_Toc24288" </w:instrText>
      </w:r>
      <w:r>
        <w:fldChar w:fldCharType="separate"/>
      </w:r>
      <w:r>
        <w:rPr>
          <w:rFonts w:hint="eastAsia"/>
          <w:szCs w:val="21"/>
        </w:rPr>
        <w:t>附件3 法人身份证复印件</w:t>
      </w:r>
      <w:r>
        <w:rPr>
          <w:rFonts w:hint="eastAsia"/>
          <w:szCs w:val="21"/>
        </w:rPr>
        <w:fldChar w:fldCharType="end"/>
      </w:r>
    </w:p>
    <w:p w14:paraId="72400119">
      <w:pPr>
        <w:pStyle w:val="10"/>
        <w:tabs>
          <w:tab w:val="right" w:leader="dot" w:pos="8606"/>
        </w:tabs>
        <w:rPr>
          <w:szCs w:val="21"/>
        </w:rPr>
      </w:pPr>
      <w:r>
        <w:fldChar w:fldCharType="begin"/>
      </w:r>
      <w:r>
        <w:instrText xml:space="preserve"> HYPERLINK \l "_Toc19690" </w:instrText>
      </w:r>
      <w:r>
        <w:fldChar w:fldCharType="separate"/>
      </w:r>
      <w:r>
        <w:rPr>
          <w:rFonts w:hint="eastAsia"/>
          <w:szCs w:val="21"/>
        </w:rPr>
        <w:t xml:space="preserve">附件4 </w:t>
      </w:r>
      <w:r>
        <w:rPr>
          <w:rFonts w:hint="eastAsia"/>
          <w:szCs w:val="21"/>
        </w:rPr>
        <w:fldChar w:fldCharType="end"/>
      </w:r>
      <w:r>
        <w:rPr>
          <w:rFonts w:hint="eastAsia"/>
          <w:szCs w:val="21"/>
        </w:rPr>
        <w:t>联合预审会议纪要</w:t>
      </w:r>
    </w:p>
    <w:p w14:paraId="76C369CF">
      <w:pPr>
        <w:pStyle w:val="10"/>
        <w:tabs>
          <w:tab w:val="right" w:leader="dot" w:pos="8606"/>
        </w:tabs>
        <w:rPr>
          <w:szCs w:val="21"/>
        </w:rPr>
      </w:pPr>
      <w:r>
        <w:fldChar w:fldCharType="begin"/>
      </w:r>
      <w:r>
        <w:instrText xml:space="preserve"> HYPERLINK \l "_Toc31757" </w:instrText>
      </w:r>
      <w:r>
        <w:fldChar w:fldCharType="separate"/>
      </w:r>
      <w:r>
        <w:rPr>
          <w:rFonts w:hint="eastAsia"/>
          <w:szCs w:val="21"/>
        </w:rPr>
        <w:t>附件5 厂房租赁合同</w:t>
      </w:r>
      <w:r>
        <w:rPr>
          <w:rFonts w:hint="eastAsia"/>
          <w:szCs w:val="21"/>
        </w:rPr>
        <w:fldChar w:fldCharType="end"/>
      </w:r>
    </w:p>
    <w:p w14:paraId="2CA44FAA">
      <w:pPr>
        <w:rPr>
          <w:szCs w:val="21"/>
        </w:rPr>
      </w:pPr>
      <w:r>
        <w:rPr>
          <w:rFonts w:hint="eastAsia"/>
          <w:szCs w:val="21"/>
        </w:rPr>
        <w:t>附件6 国土证及宗地证明</w:t>
      </w:r>
    </w:p>
    <w:p w14:paraId="21ABB211">
      <w:pPr>
        <w:pStyle w:val="10"/>
        <w:tabs>
          <w:tab w:val="right" w:leader="dot" w:pos="8606"/>
        </w:tabs>
        <w:rPr>
          <w:rFonts w:hint="eastAsia"/>
          <w:szCs w:val="21"/>
        </w:rPr>
      </w:pPr>
      <w:r>
        <w:rPr>
          <w:rFonts w:hint="eastAsia"/>
          <w:szCs w:val="21"/>
        </w:rPr>
        <w:t xml:space="preserve">附件7 </w:t>
      </w:r>
      <w:r>
        <w:rPr>
          <w:rFonts w:hint="eastAsia"/>
          <w:szCs w:val="21"/>
          <w:lang w:val="en-US" w:eastAsia="zh-CN"/>
        </w:rPr>
        <w:t>水性</w:t>
      </w:r>
      <w:r>
        <w:rPr>
          <w:rFonts w:hint="eastAsia"/>
          <w:szCs w:val="21"/>
        </w:rPr>
        <w:t>涂料检测报告</w:t>
      </w:r>
    </w:p>
    <w:p w14:paraId="056C0810">
      <w:pPr>
        <w:pStyle w:val="10"/>
        <w:tabs>
          <w:tab w:val="right" w:leader="dot" w:pos="8606"/>
        </w:tabs>
        <w:rPr>
          <w:rFonts w:hint="eastAsia"/>
          <w:szCs w:val="21"/>
          <w:lang w:val="en-US" w:eastAsia="zh-CN"/>
        </w:rPr>
      </w:pPr>
      <w:r>
        <w:rPr>
          <w:rFonts w:hint="eastAsia"/>
          <w:szCs w:val="21"/>
          <w:lang w:val="en-US" w:eastAsia="zh-CN"/>
        </w:rPr>
        <w:t>附件8 油性涂料检测报告</w:t>
      </w:r>
    </w:p>
    <w:p w14:paraId="2674FA8B">
      <w:pPr>
        <w:pStyle w:val="10"/>
        <w:tabs>
          <w:tab w:val="right" w:leader="dot" w:pos="8606"/>
        </w:tabs>
        <w:rPr>
          <w:rFonts w:hint="eastAsia"/>
          <w:szCs w:val="21"/>
          <w:lang w:val="en-US" w:eastAsia="zh-CN"/>
        </w:rPr>
      </w:pPr>
      <w:r>
        <w:rPr>
          <w:rFonts w:hint="eastAsia"/>
          <w:szCs w:val="21"/>
          <w:lang w:val="en-US" w:eastAsia="zh-CN"/>
        </w:rPr>
        <w:t>附件9 水性丙烯酸面漆化学品安全技术说明书</w:t>
      </w:r>
    </w:p>
    <w:p w14:paraId="4AE8310B">
      <w:pPr>
        <w:pStyle w:val="10"/>
        <w:tabs>
          <w:tab w:val="right" w:leader="dot" w:pos="8606"/>
        </w:tabs>
        <w:rPr>
          <w:rFonts w:hint="eastAsia"/>
          <w:szCs w:val="21"/>
          <w:lang w:val="en-US" w:eastAsia="zh-CN"/>
        </w:rPr>
      </w:pPr>
      <w:r>
        <w:rPr>
          <w:rFonts w:hint="eastAsia"/>
          <w:szCs w:val="21"/>
          <w:lang w:val="en-US" w:eastAsia="zh-CN"/>
        </w:rPr>
        <w:t>附件10 油性漆面漆、固化剂、稀释剂化学品安全技术说明书</w:t>
      </w:r>
    </w:p>
    <w:p w14:paraId="49DAB16C">
      <w:pPr>
        <w:pStyle w:val="10"/>
        <w:tabs>
          <w:tab w:val="right" w:leader="dot" w:pos="8606"/>
        </w:tabs>
        <w:rPr>
          <w:rFonts w:hint="eastAsia"/>
          <w:szCs w:val="21"/>
          <w:lang w:val="en-US" w:eastAsia="zh-CN"/>
        </w:rPr>
      </w:pPr>
      <w:r>
        <w:rPr>
          <w:rFonts w:hint="eastAsia"/>
          <w:szCs w:val="21"/>
          <w:lang w:val="en-US" w:eastAsia="zh-CN"/>
        </w:rPr>
        <w:t>附件11 油性漆底漆、稀释剂化学品安全技术说明书</w:t>
      </w:r>
    </w:p>
    <w:p w14:paraId="4177576D">
      <w:pPr>
        <w:pStyle w:val="10"/>
        <w:tabs>
          <w:tab w:val="right" w:leader="dot" w:pos="8606"/>
        </w:tabs>
        <w:rPr>
          <w:rFonts w:hint="eastAsia"/>
          <w:szCs w:val="21"/>
          <w:lang w:val="en-US" w:eastAsia="zh-CN"/>
        </w:rPr>
      </w:pPr>
      <w:r>
        <w:rPr>
          <w:rFonts w:hint="eastAsia"/>
          <w:szCs w:val="21"/>
          <w:lang w:val="en-US" w:eastAsia="zh-CN"/>
        </w:rPr>
        <w:t>附件12 湘潭天易经开区规划环评批复</w:t>
      </w:r>
    </w:p>
    <w:p w14:paraId="4B749291">
      <w:pPr>
        <w:pStyle w:val="10"/>
        <w:tabs>
          <w:tab w:val="right" w:leader="dot" w:pos="8606"/>
        </w:tabs>
        <w:rPr>
          <w:rFonts w:hint="eastAsia"/>
          <w:szCs w:val="21"/>
          <w:lang w:val="en-US" w:eastAsia="zh-CN"/>
        </w:rPr>
      </w:pPr>
      <w:r>
        <w:rPr>
          <w:rFonts w:hint="eastAsia"/>
          <w:szCs w:val="21"/>
          <w:lang w:val="en-US" w:eastAsia="zh-CN"/>
        </w:rPr>
        <w:t>附件13 湘潭天易经开区环境影响跟踪评价批复</w:t>
      </w:r>
    </w:p>
    <w:p w14:paraId="61CFEE18">
      <w:pPr>
        <w:rPr>
          <w:szCs w:val="21"/>
        </w:rPr>
      </w:pPr>
    </w:p>
    <w:p w14:paraId="53F4E60D">
      <w:pPr>
        <w:pStyle w:val="10"/>
        <w:tabs>
          <w:tab w:val="right" w:leader="dot" w:pos="8606"/>
        </w:tabs>
        <w:rPr>
          <w:szCs w:val="21"/>
        </w:rPr>
      </w:pPr>
      <w:r>
        <w:rPr>
          <w:rFonts w:hint="eastAsia"/>
          <w:szCs w:val="21"/>
        </w:rPr>
        <w:t>附图：</w:t>
      </w:r>
    </w:p>
    <w:p w14:paraId="35823774">
      <w:pPr>
        <w:pStyle w:val="10"/>
        <w:tabs>
          <w:tab w:val="right" w:leader="dot" w:pos="8606"/>
        </w:tabs>
        <w:rPr>
          <w:szCs w:val="21"/>
        </w:rPr>
      </w:pPr>
      <w:r>
        <w:fldChar w:fldCharType="begin"/>
      </w:r>
      <w:r>
        <w:instrText xml:space="preserve"> HYPERLINK \l "_Toc27325" </w:instrText>
      </w:r>
      <w:r>
        <w:fldChar w:fldCharType="separate"/>
      </w:r>
      <w:r>
        <w:rPr>
          <w:rFonts w:hint="eastAsia"/>
          <w:szCs w:val="21"/>
        </w:rPr>
        <w:t>附图1 项目地理位置图</w:t>
      </w:r>
      <w:r>
        <w:rPr>
          <w:rFonts w:hint="eastAsia"/>
          <w:szCs w:val="21"/>
        </w:rPr>
        <w:fldChar w:fldCharType="end"/>
      </w:r>
    </w:p>
    <w:p w14:paraId="53F7DF95">
      <w:pPr>
        <w:pStyle w:val="10"/>
        <w:tabs>
          <w:tab w:val="right" w:leader="dot" w:pos="8606"/>
        </w:tabs>
        <w:rPr>
          <w:szCs w:val="21"/>
        </w:rPr>
      </w:pPr>
      <w:r>
        <w:fldChar w:fldCharType="begin"/>
      </w:r>
      <w:r>
        <w:instrText xml:space="preserve"> HYPERLINK \l "_Toc25351" </w:instrText>
      </w:r>
      <w:r>
        <w:fldChar w:fldCharType="separate"/>
      </w:r>
      <w:r>
        <w:rPr>
          <w:rFonts w:hint="eastAsia"/>
          <w:szCs w:val="21"/>
        </w:rPr>
        <w:t>附图2 平面布置图</w:t>
      </w:r>
      <w:r>
        <w:rPr>
          <w:rFonts w:hint="eastAsia"/>
          <w:szCs w:val="21"/>
        </w:rPr>
        <w:fldChar w:fldCharType="end"/>
      </w:r>
    </w:p>
    <w:p w14:paraId="5BA8EB78">
      <w:pPr>
        <w:pStyle w:val="10"/>
        <w:tabs>
          <w:tab w:val="right" w:leader="dot" w:pos="8606"/>
        </w:tabs>
        <w:rPr>
          <w:szCs w:val="21"/>
        </w:rPr>
      </w:pPr>
      <w:r>
        <w:fldChar w:fldCharType="begin"/>
      </w:r>
      <w:r>
        <w:instrText xml:space="preserve"> HYPERLINK \l "_Toc32395" </w:instrText>
      </w:r>
      <w:r>
        <w:fldChar w:fldCharType="separate"/>
      </w:r>
      <w:r>
        <w:rPr>
          <w:rFonts w:hint="eastAsia"/>
          <w:szCs w:val="21"/>
        </w:rPr>
        <w:t>附图3 环保目标示意图</w:t>
      </w:r>
      <w:r>
        <w:rPr>
          <w:rFonts w:hint="eastAsia"/>
          <w:szCs w:val="21"/>
        </w:rPr>
        <w:fldChar w:fldCharType="end"/>
      </w:r>
    </w:p>
    <w:p w14:paraId="7524D6FD">
      <w:pPr>
        <w:rPr>
          <w:szCs w:val="21"/>
        </w:rPr>
      </w:pPr>
      <w:r>
        <w:rPr>
          <w:rFonts w:hint="eastAsia"/>
          <w:szCs w:val="21"/>
        </w:rPr>
        <w:t>附图4 项目环境质量现状监测点位图</w:t>
      </w:r>
    </w:p>
    <w:p w14:paraId="34793F47">
      <w:pPr>
        <w:rPr>
          <w:szCs w:val="21"/>
          <w:u w:val="none"/>
        </w:rPr>
      </w:pPr>
      <w:r>
        <w:rPr>
          <w:rFonts w:hint="eastAsia"/>
          <w:szCs w:val="21"/>
          <w:u w:val="none"/>
        </w:rPr>
        <w:t>附图5 土地利用规划图</w:t>
      </w:r>
    </w:p>
    <w:p w14:paraId="3B412ADE">
      <w:pPr>
        <w:rPr>
          <w:szCs w:val="21"/>
        </w:rPr>
      </w:pPr>
      <w:r>
        <w:rPr>
          <w:rFonts w:hint="eastAsia"/>
          <w:szCs w:val="21"/>
        </w:rPr>
        <w:t>附图6 项目与天易经开区边界范围关系图</w:t>
      </w:r>
    </w:p>
    <w:p w14:paraId="226CA725">
      <w:pPr>
        <w:pStyle w:val="10"/>
        <w:tabs>
          <w:tab w:val="right" w:leader="dot" w:pos="8606"/>
        </w:tabs>
        <w:rPr>
          <w:szCs w:val="21"/>
        </w:rPr>
      </w:pPr>
      <w:r>
        <w:rPr>
          <w:rFonts w:hint="eastAsia"/>
          <w:szCs w:val="21"/>
        </w:rPr>
        <w:t>附图7 湘潭县三区三线图</w:t>
      </w:r>
    </w:p>
    <w:p w14:paraId="3EA0D706">
      <w:pPr>
        <w:pStyle w:val="10"/>
        <w:tabs>
          <w:tab w:val="right" w:leader="dot" w:pos="8606"/>
        </w:tabs>
        <w:rPr>
          <w:szCs w:val="21"/>
        </w:rPr>
      </w:pPr>
      <w:r>
        <w:fldChar w:fldCharType="begin"/>
      </w:r>
      <w:r>
        <w:instrText xml:space="preserve"> HYPERLINK \l "_Toc7673" </w:instrText>
      </w:r>
      <w:r>
        <w:fldChar w:fldCharType="separate"/>
      </w:r>
      <w:r>
        <w:rPr>
          <w:rFonts w:hint="eastAsia"/>
          <w:szCs w:val="21"/>
        </w:rPr>
        <w:t>附图8 区域水系图</w:t>
      </w:r>
      <w:r>
        <w:rPr>
          <w:rFonts w:hint="eastAsia"/>
          <w:szCs w:val="21"/>
        </w:rPr>
        <w:fldChar w:fldCharType="end"/>
      </w:r>
    </w:p>
    <w:p w14:paraId="1A1572B8">
      <w:pPr>
        <w:pStyle w:val="10"/>
        <w:tabs>
          <w:tab w:val="right" w:leader="dot" w:pos="8606"/>
        </w:tabs>
        <w:rPr>
          <w:szCs w:val="21"/>
        </w:rPr>
      </w:pPr>
      <w:r>
        <w:rPr>
          <w:rFonts w:hint="eastAsia"/>
          <w:szCs w:val="21"/>
        </w:rPr>
        <w:t>附图9 污水管网规划图</w:t>
      </w:r>
    </w:p>
    <w:p w14:paraId="4D13D47D">
      <w:pPr>
        <w:spacing w:line="360" w:lineRule="auto"/>
        <w:rPr>
          <w:szCs w:val="28"/>
        </w:rPr>
        <w:sectPr>
          <w:pgSz w:w="11906" w:h="16838"/>
          <w:pgMar w:top="1440" w:right="1650" w:bottom="1440" w:left="1650" w:header="851" w:footer="992" w:gutter="0"/>
          <w:cols w:space="720" w:num="1"/>
          <w:docGrid w:type="lines" w:linePitch="312" w:charSpace="0"/>
        </w:sectPr>
      </w:pPr>
    </w:p>
    <w:p w14:paraId="764CC4E7">
      <w:pPr>
        <w:pStyle w:val="26"/>
        <w:spacing w:after="0" w:afterAutospacing="0"/>
        <w:jc w:val="center"/>
        <w:outlineLvl w:val="0"/>
        <w:rPr>
          <w:rFonts w:ascii="黑体" w:hAnsi="黑体" w:eastAsia="黑体"/>
          <w:b/>
          <w:bCs/>
          <w:snapToGrid w:val="0"/>
          <w:sz w:val="30"/>
          <w:szCs w:val="30"/>
        </w:rPr>
      </w:pPr>
      <w:bookmarkStart w:id="0" w:name="_Toc22496"/>
      <w:r>
        <w:rPr>
          <w:rFonts w:hint="eastAsia" w:ascii="黑体" w:hAnsi="黑体" w:eastAsia="黑体"/>
          <w:b/>
          <w:bCs/>
          <w:snapToGrid w:val="0"/>
          <w:sz w:val="30"/>
          <w:szCs w:val="30"/>
        </w:rPr>
        <w:t>一、建设项目基本情况</w:t>
      </w:r>
      <w:bookmarkEnd w:id="0"/>
    </w:p>
    <w:tbl>
      <w:tblPr>
        <w:tblStyle w:val="3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516"/>
        <w:gridCol w:w="1730"/>
        <w:gridCol w:w="2658"/>
        <w:gridCol w:w="3420"/>
      </w:tblGrid>
      <w:tr w14:paraId="6CA6D3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22" w:type="dxa"/>
            <w:tcMar>
              <w:top w:w="16" w:type="dxa"/>
              <w:left w:w="16" w:type="dxa"/>
              <w:right w:w="16" w:type="dxa"/>
            </w:tcMar>
            <w:vAlign w:val="center"/>
          </w:tcPr>
          <w:p w14:paraId="7A2AB87E">
            <w:pPr>
              <w:adjustRightInd w:val="0"/>
              <w:snapToGrid w:val="0"/>
              <w:jc w:val="center"/>
              <w:rPr>
                <w:sz w:val="24"/>
              </w:rPr>
            </w:pPr>
            <w:r>
              <w:rPr>
                <w:sz w:val="24"/>
              </w:rPr>
              <w:t>建设项目名称</w:t>
            </w:r>
          </w:p>
        </w:tc>
        <w:tc>
          <w:tcPr>
            <w:tcW w:w="7602" w:type="dxa"/>
            <w:gridSpan w:val="3"/>
            <w:vAlign w:val="center"/>
          </w:tcPr>
          <w:p w14:paraId="53F4AD3D">
            <w:pPr>
              <w:adjustRightInd w:val="0"/>
              <w:snapToGrid w:val="0"/>
              <w:jc w:val="center"/>
              <w:rPr>
                <w:sz w:val="24"/>
              </w:rPr>
            </w:pPr>
            <w:r>
              <w:rPr>
                <w:sz w:val="24"/>
              </w:rPr>
              <w:t>年产4000台水泵、电机生产项目</w:t>
            </w:r>
          </w:p>
        </w:tc>
      </w:tr>
      <w:tr w14:paraId="6AB105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22" w:type="dxa"/>
            <w:tcMar>
              <w:top w:w="16" w:type="dxa"/>
              <w:left w:w="16" w:type="dxa"/>
              <w:right w:w="16" w:type="dxa"/>
            </w:tcMar>
            <w:vAlign w:val="center"/>
          </w:tcPr>
          <w:p w14:paraId="570EB29F">
            <w:pPr>
              <w:adjustRightInd w:val="0"/>
              <w:snapToGrid w:val="0"/>
              <w:jc w:val="center"/>
              <w:rPr>
                <w:sz w:val="24"/>
              </w:rPr>
            </w:pPr>
            <w:r>
              <w:rPr>
                <w:sz w:val="24"/>
              </w:rPr>
              <w:t>项目代码</w:t>
            </w:r>
          </w:p>
        </w:tc>
        <w:tc>
          <w:tcPr>
            <w:tcW w:w="7602" w:type="dxa"/>
            <w:gridSpan w:val="3"/>
            <w:vAlign w:val="center"/>
          </w:tcPr>
          <w:p w14:paraId="69E754E7">
            <w:pPr>
              <w:adjustRightInd w:val="0"/>
              <w:snapToGrid w:val="0"/>
              <w:jc w:val="center"/>
              <w:rPr>
                <w:sz w:val="24"/>
              </w:rPr>
            </w:pPr>
          </w:p>
        </w:tc>
      </w:tr>
      <w:tr w14:paraId="66AEB0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22" w:type="dxa"/>
            <w:tcMar>
              <w:top w:w="16" w:type="dxa"/>
              <w:left w:w="16" w:type="dxa"/>
              <w:right w:w="16" w:type="dxa"/>
            </w:tcMar>
            <w:vAlign w:val="center"/>
          </w:tcPr>
          <w:p w14:paraId="242422BA">
            <w:pPr>
              <w:adjustRightInd w:val="0"/>
              <w:snapToGrid w:val="0"/>
              <w:jc w:val="center"/>
              <w:rPr>
                <w:sz w:val="24"/>
              </w:rPr>
            </w:pPr>
            <w:r>
              <w:rPr>
                <w:sz w:val="24"/>
              </w:rPr>
              <w:t>建设单位联系人</w:t>
            </w:r>
          </w:p>
        </w:tc>
        <w:tc>
          <w:tcPr>
            <w:tcW w:w="1669" w:type="dxa"/>
            <w:vAlign w:val="center"/>
          </w:tcPr>
          <w:p w14:paraId="1954FA50">
            <w:pPr>
              <w:adjustRightInd w:val="0"/>
              <w:snapToGrid w:val="0"/>
              <w:jc w:val="center"/>
              <w:rPr>
                <w:sz w:val="24"/>
              </w:rPr>
            </w:pPr>
            <w:r>
              <w:rPr>
                <w:sz w:val="24"/>
                <w:highlight w:val="black"/>
              </w:rPr>
              <w:t>罗宇荣</w:t>
            </w:r>
          </w:p>
        </w:tc>
        <w:tc>
          <w:tcPr>
            <w:tcW w:w="2685" w:type="dxa"/>
            <w:vAlign w:val="center"/>
          </w:tcPr>
          <w:p w14:paraId="6C138023">
            <w:pPr>
              <w:adjustRightInd w:val="0"/>
              <w:snapToGrid w:val="0"/>
              <w:jc w:val="center"/>
              <w:rPr>
                <w:sz w:val="24"/>
              </w:rPr>
            </w:pPr>
            <w:r>
              <w:rPr>
                <w:sz w:val="24"/>
              </w:rPr>
              <w:t>联系方式</w:t>
            </w:r>
          </w:p>
        </w:tc>
        <w:tc>
          <w:tcPr>
            <w:tcW w:w="3248" w:type="dxa"/>
            <w:vAlign w:val="center"/>
          </w:tcPr>
          <w:p w14:paraId="4327BDF1">
            <w:pPr>
              <w:adjustRightInd w:val="0"/>
              <w:snapToGrid w:val="0"/>
              <w:jc w:val="center"/>
              <w:rPr>
                <w:sz w:val="24"/>
              </w:rPr>
            </w:pPr>
            <w:r>
              <w:rPr>
                <w:sz w:val="24"/>
                <w:highlight w:val="black"/>
              </w:rPr>
              <w:t>1</w:t>
            </w:r>
            <w:r>
              <w:rPr>
                <w:sz w:val="24"/>
                <w:highlight w:val="black"/>
              </w:rPr>
              <w:t>3908856933</w:t>
            </w:r>
          </w:p>
        </w:tc>
      </w:tr>
      <w:tr w14:paraId="7CE56A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22" w:type="dxa"/>
            <w:tcMar>
              <w:top w:w="16" w:type="dxa"/>
              <w:left w:w="16" w:type="dxa"/>
              <w:right w:w="16" w:type="dxa"/>
            </w:tcMar>
            <w:vAlign w:val="center"/>
          </w:tcPr>
          <w:p w14:paraId="56C4518C">
            <w:pPr>
              <w:adjustRightInd w:val="0"/>
              <w:snapToGrid w:val="0"/>
              <w:jc w:val="center"/>
              <w:rPr>
                <w:sz w:val="24"/>
              </w:rPr>
            </w:pPr>
            <w:r>
              <w:rPr>
                <w:sz w:val="24"/>
              </w:rPr>
              <w:t>建设地点</w:t>
            </w:r>
          </w:p>
        </w:tc>
        <w:tc>
          <w:tcPr>
            <w:tcW w:w="7602" w:type="dxa"/>
            <w:gridSpan w:val="3"/>
            <w:vAlign w:val="center"/>
          </w:tcPr>
          <w:p w14:paraId="44794F56">
            <w:pPr>
              <w:adjustRightInd w:val="0"/>
              <w:snapToGrid w:val="0"/>
              <w:jc w:val="center"/>
              <w:rPr>
                <w:sz w:val="24"/>
              </w:rPr>
            </w:pPr>
            <w:r>
              <w:rPr>
                <w:rFonts w:hint="eastAsia"/>
                <w:sz w:val="24"/>
                <w:szCs w:val="32"/>
              </w:rPr>
              <w:t>湘潭天易经开区海鸥东路370号</w:t>
            </w:r>
            <w:r>
              <w:rPr>
                <w:sz w:val="24"/>
              </w:rPr>
              <w:t>（湘潭国发重工有限公司厂区内）</w:t>
            </w:r>
          </w:p>
        </w:tc>
      </w:tr>
      <w:tr w14:paraId="5EFDF3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22" w:type="dxa"/>
            <w:tcMar>
              <w:top w:w="16" w:type="dxa"/>
              <w:left w:w="16" w:type="dxa"/>
              <w:right w:w="16" w:type="dxa"/>
            </w:tcMar>
            <w:vAlign w:val="center"/>
          </w:tcPr>
          <w:p w14:paraId="08269185">
            <w:pPr>
              <w:adjustRightInd w:val="0"/>
              <w:snapToGrid w:val="0"/>
              <w:jc w:val="center"/>
              <w:rPr>
                <w:sz w:val="24"/>
              </w:rPr>
            </w:pPr>
            <w:r>
              <w:rPr>
                <w:sz w:val="24"/>
              </w:rPr>
              <w:t>地理坐标</w:t>
            </w:r>
          </w:p>
        </w:tc>
        <w:tc>
          <w:tcPr>
            <w:tcW w:w="7602" w:type="dxa"/>
            <w:gridSpan w:val="3"/>
            <w:vAlign w:val="center"/>
          </w:tcPr>
          <w:p w14:paraId="4AA96113">
            <w:pPr>
              <w:jc w:val="center"/>
              <w:rPr>
                <w:sz w:val="24"/>
              </w:rPr>
            </w:pPr>
            <w:r>
              <w:rPr>
                <w:sz w:val="24"/>
              </w:rPr>
              <w:t>（东经112°57′44.357″，北纬27°45′49.624″）</w:t>
            </w:r>
          </w:p>
        </w:tc>
      </w:tr>
      <w:tr w14:paraId="6F2180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722" w:type="dxa"/>
            <w:tcMar>
              <w:top w:w="16" w:type="dxa"/>
              <w:left w:w="16" w:type="dxa"/>
              <w:right w:w="16" w:type="dxa"/>
            </w:tcMar>
            <w:vAlign w:val="center"/>
          </w:tcPr>
          <w:p w14:paraId="4F813695">
            <w:pPr>
              <w:adjustRightInd w:val="0"/>
              <w:snapToGrid w:val="0"/>
              <w:jc w:val="center"/>
              <w:rPr>
                <w:sz w:val="24"/>
              </w:rPr>
            </w:pPr>
            <w:r>
              <w:rPr>
                <w:sz w:val="24"/>
              </w:rPr>
              <w:t>国民经济</w:t>
            </w:r>
          </w:p>
          <w:p w14:paraId="2B17CF0B">
            <w:pPr>
              <w:adjustRightInd w:val="0"/>
              <w:snapToGrid w:val="0"/>
              <w:jc w:val="center"/>
              <w:rPr>
                <w:sz w:val="24"/>
              </w:rPr>
            </w:pPr>
            <w:r>
              <w:rPr>
                <w:sz w:val="24"/>
              </w:rPr>
              <w:t>行业类别</w:t>
            </w:r>
          </w:p>
        </w:tc>
        <w:tc>
          <w:tcPr>
            <w:tcW w:w="1669" w:type="dxa"/>
            <w:vAlign w:val="center"/>
          </w:tcPr>
          <w:p w14:paraId="4B6E9576">
            <w:pPr>
              <w:adjustRightInd w:val="0"/>
              <w:snapToGrid w:val="0"/>
              <w:jc w:val="center"/>
              <w:rPr>
                <w:sz w:val="24"/>
              </w:rPr>
            </w:pPr>
            <w:r>
              <w:rPr>
                <w:sz w:val="24"/>
              </w:rPr>
              <w:t>C339</w:t>
            </w:r>
            <w:r>
              <w:rPr>
                <w:rFonts w:hint="eastAsia"/>
                <w:sz w:val="24"/>
              </w:rPr>
              <w:t>1</w:t>
            </w:r>
            <w:r>
              <w:rPr>
                <w:sz w:val="24"/>
              </w:rPr>
              <w:t xml:space="preserve"> </w:t>
            </w:r>
            <w:r>
              <w:rPr>
                <w:rFonts w:hint="eastAsia"/>
                <w:sz w:val="24"/>
              </w:rPr>
              <w:t>黑</w:t>
            </w:r>
            <w:r>
              <w:rPr>
                <w:sz w:val="24"/>
              </w:rPr>
              <w:t>色金属铸造</w:t>
            </w:r>
          </w:p>
        </w:tc>
        <w:tc>
          <w:tcPr>
            <w:tcW w:w="2685" w:type="dxa"/>
            <w:vAlign w:val="center"/>
          </w:tcPr>
          <w:p w14:paraId="6C68C01B">
            <w:pPr>
              <w:adjustRightInd w:val="0"/>
              <w:snapToGrid w:val="0"/>
              <w:jc w:val="center"/>
              <w:rPr>
                <w:sz w:val="24"/>
              </w:rPr>
            </w:pPr>
            <w:r>
              <w:rPr>
                <w:sz w:val="24"/>
              </w:rPr>
              <w:t>建设项目</w:t>
            </w:r>
          </w:p>
          <w:p w14:paraId="099ECFC3">
            <w:pPr>
              <w:adjustRightInd w:val="0"/>
              <w:snapToGrid w:val="0"/>
              <w:jc w:val="center"/>
              <w:rPr>
                <w:sz w:val="24"/>
              </w:rPr>
            </w:pPr>
            <w:r>
              <w:rPr>
                <w:sz w:val="24"/>
              </w:rPr>
              <w:t>行业类别</w:t>
            </w:r>
          </w:p>
        </w:tc>
        <w:tc>
          <w:tcPr>
            <w:tcW w:w="3248" w:type="dxa"/>
            <w:vAlign w:val="center"/>
          </w:tcPr>
          <w:p w14:paraId="2C951A5F">
            <w:pPr>
              <w:adjustRightInd w:val="0"/>
              <w:snapToGrid w:val="0"/>
              <w:rPr>
                <w:sz w:val="24"/>
              </w:rPr>
            </w:pPr>
            <w:r>
              <w:rPr>
                <w:sz w:val="24"/>
              </w:rPr>
              <w:t>三十、金属制品业68、铸造及其他金属制品制造339 其他（仅分割、焊接、组装的除外）</w:t>
            </w:r>
          </w:p>
        </w:tc>
      </w:tr>
      <w:tr w14:paraId="0E308C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722" w:type="dxa"/>
            <w:tcMar>
              <w:top w:w="16" w:type="dxa"/>
              <w:left w:w="16" w:type="dxa"/>
              <w:right w:w="16" w:type="dxa"/>
            </w:tcMar>
            <w:vAlign w:val="center"/>
          </w:tcPr>
          <w:p w14:paraId="7350A3AF">
            <w:pPr>
              <w:adjustRightInd w:val="0"/>
              <w:snapToGrid w:val="0"/>
              <w:jc w:val="center"/>
              <w:rPr>
                <w:sz w:val="24"/>
              </w:rPr>
            </w:pPr>
            <w:r>
              <w:rPr>
                <w:sz w:val="24"/>
              </w:rPr>
              <w:t>建设性质</w:t>
            </w:r>
          </w:p>
        </w:tc>
        <w:tc>
          <w:tcPr>
            <w:tcW w:w="1669" w:type="dxa"/>
            <w:vAlign w:val="center"/>
          </w:tcPr>
          <w:p w14:paraId="77A472DF">
            <w:pPr>
              <w:jc w:val="left"/>
              <w:rPr>
                <w:sz w:val="24"/>
              </w:rPr>
            </w:pPr>
            <w:r>
              <w:rPr>
                <w:sz w:val="24"/>
              </w:rPr>
              <w:t>☑新建（迁建）</w:t>
            </w:r>
          </w:p>
          <w:p w14:paraId="7AD7D06A">
            <w:pPr>
              <w:jc w:val="left"/>
              <w:rPr>
                <w:sz w:val="24"/>
              </w:rPr>
            </w:pPr>
            <w:r>
              <w:rPr>
                <w:sz w:val="24"/>
              </w:rPr>
              <w:t>□改建</w:t>
            </w:r>
          </w:p>
          <w:p w14:paraId="44637901">
            <w:pPr>
              <w:jc w:val="left"/>
              <w:rPr>
                <w:sz w:val="24"/>
              </w:rPr>
            </w:pPr>
            <w:r>
              <w:rPr>
                <w:sz w:val="24"/>
              </w:rPr>
              <w:t>□扩建</w:t>
            </w:r>
          </w:p>
          <w:p w14:paraId="3725F700">
            <w:pPr>
              <w:jc w:val="left"/>
              <w:rPr>
                <w:sz w:val="24"/>
              </w:rPr>
            </w:pPr>
            <w:r>
              <w:rPr>
                <w:sz w:val="24"/>
              </w:rPr>
              <w:t>□技术改造</w:t>
            </w:r>
          </w:p>
        </w:tc>
        <w:tc>
          <w:tcPr>
            <w:tcW w:w="2685" w:type="dxa"/>
            <w:vAlign w:val="center"/>
          </w:tcPr>
          <w:p w14:paraId="46819A75">
            <w:pPr>
              <w:adjustRightInd w:val="0"/>
              <w:snapToGrid w:val="0"/>
              <w:jc w:val="center"/>
              <w:rPr>
                <w:sz w:val="24"/>
              </w:rPr>
            </w:pPr>
            <w:r>
              <w:rPr>
                <w:sz w:val="24"/>
              </w:rPr>
              <w:t>建设项目</w:t>
            </w:r>
          </w:p>
          <w:p w14:paraId="750F6413">
            <w:pPr>
              <w:adjustRightInd w:val="0"/>
              <w:snapToGrid w:val="0"/>
              <w:jc w:val="center"/>
              <w:rPr>
                <w:sz w:val="24"/>
              </w:rPr>
            </w:pPr>
            <w:r>
              <w:rPr>
                <w:sz w:val="24"/>
              </w:rPr>
              <w:t>申报情形</w:t>
            </w:r>
          </w:p>
        </w:tc>
        <w:tc>
          <w:tcPr>
            <w:tcW w:w="3248" w:type="dxa"/>
            <w:vAlign w:val="center"/>
          </w:tcPr>
          <w:p w14:paraId="6A7F2A7B">
            <w:pPr>
              <w:jc w:val="left"/>
              <w:rPr>
                <w:sz w:val="24"/>
              </w:rPr>
            </w:pPr>
            <w:r>
              <w:rPr>
                <w:sz w:val="24"/>
              </w:rPr>
              <w:t xml:space="preserve">☑首次申报项目             </w:t>
            </w:r>
          </w:p>
          <w:p w14:paraId="2B8D9B02">
            <w:pPr>
              <w:jc w:val="left"/>
              <w:rPr>
                <w:sz w:val="24"/>
              </w:rPr>
            </w:pPr>
            <w:r>
              <w:rPr>
                <w:sz w:val="24"/>
              </w:rPr>
              <w:t>□不予批准后再次申报项目</w:t>
            </w:r>
          </w:p>
          <w:p w14:paraId="72806BE6">
            <w:pPr>
              <w:jc w:val="left"/>
              <w:rPr>
                <w:sz w:val="24"/>
              </w:rPr>
            </w:pPr>
            <w:r>
              <w:rPr>
                <w:sz w:val="24"/>
              </w:rPr>
              <w:t xml:space="preserve">□超五年重新审核项目     </w:t>
            </w:r>
          </w:p>
          <w:p w14:paraId="43B83E08">
            <w:pPr>
              <w:jc w:val="left"/>
              <w:rPr>
                <w:sz w:val="24"/>
              </w:rPr>
            </w:pPr>
            <w:r>
              <w:rPr>
                <w:sz w:val="24"/>
              </w:rPr>
              <w:t>□重大变动重新报批项目</w:t>
            </w:r>
          </w:p>
        </w:tc>
      </w:tr>
      <w:tr w14:paraId="112209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722" w:type="dxa"/>
            <w:tcMar>
              <w:top w:w="16" w:type="dxa"/>
              <w:left w:w="16" w:type="dxa"/>
              <w:right w:w="16" w:type="dxa"/>
            </w:tcMar>
            <w:vAlign w:val="center"/>
          </w:tcPr>
          <w:p w14:paraId="779A4525">
            <w:pPr>
              <w:adjustRightInd w:val="0"/>
              <w:snapToGrid w:val="0"/>
              <w:jc w:val="center"/>
              <w:rPr>
                <w:sz w:val="24"/>
              </w:rPr>
            </w:pPr>
            <w:r>
              <w:rPr>
                <w:sz w:val="24"/>
              </w:rPr>
              <w:t>项目审批（核准/</w:t>
            </w:r>
          </w:p>
          <w:p w14:paraId="745B845D">
            <w:pPr>
              <w:adjustRightInd w:val="0"/>
              <w:snapToGrid w:val="0"/>
              <w:jc w:val="center"/>
              <w:rPr>
                <w:sz w:val="24"/>
              </w:rPr>
            </w:pPr>
            <w:r>
              <w:rPr>
                <w:sz w:val="24"/>
              </w:rPr>
              <w:t>备案）部门（选填）</w:t>
            </w:r>
          </w:p>
        </w:tc>
        <w:tc>
          <w:tcPr>
            <w:tcW w:w="1669" w:type="dxa"/>
            <w:vAlign w:val="center"/>
          </w:tcPr>
          <w:p w14:paraId="75F1E196">
            <w:pPr>
              <w:adjustRightInd w:val="0"/>
              <w:snapToGrid w:val="0"/>
              <w:jc w:val="center"/>
              <w:rPr>
                <w:sz w:val="24"/>
              </w:rPr>
            </w:pPr>
          </w:p>
        </w:tc>
        <w:tc>
          <w:tcPr>
            <w:tcW w:w="2685" w:type="dxa"/>
            <w:vAlign w:val="center"/>
          </w:tcPr>
          <w:p w14:paraId="5B6836CB">
            <w:pPr>
              <w:adjustRightInd w:val="0"/>
              <w:snapToGrid w:val="0"/>
              <w:jc w:val="center"/>
              <w:rPr>
                <w:sz w:val="24"/>
              </w:rPr>
            </w:pPr>
            <w:r>
              <w:rPr>
                <w:sz w:val="24"/>
              </w:rPr>
              <w:t>项目审批（核准/</w:t>
            </w:r>
          </w:p>
          <w:p w14:paraId="480AFAF6">
            <w:pPr>
              <w:adjustRightInd w:val="0"/>
              <w:snapToGrid w:val="0"/>
              <w:jc w:val="center"/>
              <w:rPr>
                <w:sz w:val="24"/>
              </w:rPr>
            </w:pPr>
            <w:r>
              <w:rPr>
                <w:sz w:val="24"/>
              </w:rPr>
              <w:t>备案）文号（选填）</w:t>
            </w:r>
          </w:p>
        </w:tc>
        <w:tc>
          <w:tcPr>
            <w:tcW w:w="3248" w:type="dxa"/>
            <w:vAlign w:val="center"/>
          </w:tcPr>
          <w:p w14:paraId="684A9AD0">
            <w:pPr>
              <w:adjustRightInd w:val="0"/>
              <w:snapToGrid w:val="0"/>
              <w:jc w:val="center"/>
              <w:rPr>
                <w:sz w:val="24"/>
              </w:rPr>
            </w:pPr>
          </w:p>
        </w:tc>
      </w:tr>
      <w:tr w14:paraId="6B2AE2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22" w:type="dxa"/>
            <w:tcMar>
              <w:top w:w="16" w:type="dxa"/>
              <w:left w:w="16" w:type="dxa"/>
              <w:right w:w="16" w:type="dxa"/>
            </w:tcMar>
            <w:vAlign w:val="center"/>
          </w:tcPr>
          <w:p w14:paraId="61D49CCB">
            <w:pPr>
              <w:adjustRightInd w:val="0"/>
              <w:snapToGrid w:val="0"/>
              <w:jc w:val="center"/>
              <w:rPr>
                <w:sz w:val="24"/>
              </w:rPr>
            </w:pPr>
            <w:r>
              <w:rPr>
                <w:sz w:val="24"/>
              </w:rPr>
              <w:t>总投资（万元）</w:t>
            </w:r>
          </w:p>
        </w:tc>
        <w:tc>
          <w:tcPr>
            <w:tcW w:w="1669" w:type="dxa"/>
            <w:vAlign w:val="center"/>
          </w:tcPr>
          <w:p w14:paraId="348FF149">
            <w:pPr>
              <w:adjustRightInd w:val="0"/>
              <w:snapToGrid w:val="0"/>
              <w:jc w:val="center"/>
              <w:rPr>
                <w:sz w:val="24"/>
              </w:rPr>
            </w:pPr>
            <w:r>
              <w:rPr>
                <w:rFonts w:hint="eastAsia"/>
                <w:sz w:val="24"/>
              </w:rPr>
              <w:t>15</w:t>
            </w:r>
            <w:r>
              <w:rPr>
                <w:sz w:val="24"/>
              </w:rPr>
              <w:t>00</w:t>
            </w:r>
          </w:p>
        </w:tc>
        <w:tc>
          <w:tcPr>
            <w:tcW w:w="2685" w:type="dxa"/>
            <w:tcMar>
              <w:top w:w="16" w:type="dxa"/>
              <w:left w:w="16" w:type="dxa"/>
              <w:right w:w="16" w:type="dxa"/>
            </w:tcMar>
            <w:vAlign w:val="center"/>
          </w:tcPr>
          <w:p w14:paraId="112859AF">
            <w:pPr>
              <w:adjustRightInd w:val="0"/>
              <w:snapToGrid w:val="0"/>
              <w:jc w:val="center"/>
              <w:rPr>
                <w:sz w:val="24"/>
              </w:rPr>
            </w:pPr>
            <w:r>
              <w:rPr>
                <w:sz w:val="24"/>
              </w:rPr>
              <w:t>环保投资（万元）</w:t>
            </w:r>
          </w:p>
        </w:tc>
        <w:tc>
          <w:tcPr>
            <w:tcW w:w="3248" w:type="dxa"/>
            <w:vAlign w:val="center"/>
          </w:tcPr>
          <w:p w14:paraId="54055215">
            <w:pPr>
              <w:adjustRightInd w:val="0"/>
              <w:snapToGrid w:val="0"/>
              <w:jc w:val="center"/>
              <w:rPr>
                <w:sz w:val="24"/>
              </w:rPr>
            </w:pPr>
            <w:r>
              <w:rPr>
                <w:rFonts w:hint="eastAsia"/>
                <w:sz w:val="24"/>
              </w:rPr>
              <w:t>57.1</w:t>
            </w:r>
          </w:p>
        </w:tc>
      </w:tr>
      <w:tr w14:paraId="3966FC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22" w:type="dxa"/>
            <w:tcMar>
              <w:top w:w="16" w:type="dxa"/>
              <w:left w:w="16" w:type="dxa"/>
              <w:right w:w="16" w:type="dxa"/>
            </w:tcMar>
            <w:vAlign w:val="center"/>
          </w:tcPr>
          <w:p w14:paraId="674886AE">
            <w:pPr>
              <w:adjustRightInd w:val="0"/>
              <w:snapToGrid w:val="0"/>
              <w:jc w:val="center"/>
              <w:rPr>
                <w:sz w:val="24"/>
              </w:rPr>
            </w:pPr>
            <w:r>
              <w:rPr>
                <w:sz w:val="24"/>
              </w:rPr>
              <w:t>环保投资占比（%）</w:t>
            </w:r>
          </w:p>
        </w:tc>
        <w:tc>
          <w:tcPr>
            <w:tcW w:w="1669" w:type="dxa"/>
            <w:vAlign w:val="center"/>
          </w:tcPr>
          <w:p w14:paraId="6463B952">
            <w:pPr>
              <w:adjustRightInd w:val="0"/>
              <w:snapToGrid w:val="0"/>
              <w:jc w:val="center"/>
              <w:rPr>
                <w:sz w:val="24"/>
              </w:rPr>
            </w:pPr>
            <w:r>
              <w:rPr>
                <w:rFonts w:hint="eastAsia"/>
                <w:sz w:val="24"/>
              </w:rPr>
              <w:t>3.81</w:t>
            </w:r>
          </w:p>
        </w:tc>
        <w:tc>
          <w:tcPr>
            <w:tcW w:w="2685" w:type="dxa"/>
            <w:tcMar>
              <w:top w:w="16" w:type="dxa"/>
              <w:left w:w="16" w:type="dxa"/>
              <w:right w:w="16" w:type="dxa"/>
            </w:tcMar>
            <w:vAlign w:val="center"/>
          </w:tcPr>
          <w:p w14:paraId="60C95F25">
            <w:pPr>
              <w:adjustRightInd w:val="0"/>
              <w:snapToGrid w:val="0"/>
              <w:jc w:val="center"/>
              <w:rPr>
                <w:sz w:val="24"/>
              </w:rPr>
            </w:pPr>
            <w:r>
              <w:rPr>
                <w:sz w:val="24"/>
              </w:rPr>
              <w:t>施工工期</w:t>
            </w:r>
          </w:p>
        </w:tc>
        <w:tc>
          <w:tcPr>
            <w:tcW w:w="3248" w:type="dxa"/>
            <w:vAlign w:val="center"/>
          </w:tcPr>
          <w:p w14:paraId="2853FEE9">
            <w:pPr>
              <w:adjustRightInd w:val="0"/>
              <w:snapToGrid w:val="0"/>
              <w:jc w:val="center"/>
              <w:rPr>
                <w:sz w:val="24"/>
              </w:rPr>
            </w:pPr>
            <w:r>
              <w:rPr>
                <w:rFonts w:hint="eastAsia"/>
                <w:sz w:val="24"/>
              </w:rPr>
              <w:t>2</w:t>
            </w:r>
            <w:r>
              <w:rPr>
                <w:sz w:val="24"/>
              </w:rPr>
              <w:t>个月</w:t>
            </w:r>
          </w:p>
        </w:tc>
      </w:tr>
      <w:tr w14:paraId="4D6BB0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22" w:type="dxa"/>
            <w:tcMar>
              <w:top w:w="16" w:type="dxa"/>
              <w:left w:w="16" w:type="dxa"/>
              <w:right w:w="16" w:type="dxa"/>
            </w:tcMar>
            <w:vAlign w:val="center"/>
          </w:tcPr>
          <w:p w14:paraId="3EFC0063">
            <w:pPr>
              <w:adjustRightInd w:val="0"/>
              <w:snapToGrid w:val="0"/>
              <w:jc w:val="center"/>
              <w:rPr>
                <w:sz w:val="24"/>
              </w:rPr>
            </w:pPr>
            <w:r>
              <w:rPr>
                <w:sz w:val="24"/>
              </w:rPr>
              <w:t>是否开工建设</w:t>
            </w:r>
          </w:p>
        </w:tc>
        <w:tc>
          <w:tcPr>
            <w:tcW w:w="1669" w:type="dxa"/>
            <w:vAlign w:val="center"/>
          </w:tcPr>
          <w:p w14:paraId="64A7A23D">
            <w:pPr>
              <w:adjustRightInd w:val="0"/>
              <w:snapToGrid w:val="0"/>
              <w:rPr>
                <w:sz w:val="24"/>
              </w:rPr>
            </w:pPr>
            <w:r>
              <w:rPr>
                <w:rFonts w:hint="eastAsia"/>
                <w:sz w:val="24"/>
              </w:rPr>
              <w:t>☑</w:t>
            </w:r>
            <w:r>
              <w:rPr>
                <w:sz w:val="24"/>
              </w:rPr>
              <w:t>否</w:t>
            </w:r>
          </w:p>
          <w:p w14:paraId="0E07FAEB">
            <w:pPr>
              <w:adjustRightInd w:val="0"/>
              <w:snapToGrid w:val="0"/>
              <w:rPr>
                <w:sz w:val="24"/>
              </w:rPr>
            </w:pPr>
            <w:r>
              <w:rPr>
                <w:sz w:val="24"/>
              </w:rPr>
              <w:t xml:space="preserve">□是：             </w:t>
            </w:r>
          </w:p>
        </w:tc>
        <w:tc>
          <w:tcPr>
            <w:tcW w:w="2685" w:type="dxa"/>
            <w:tcMar>
              <w:top w:w="16" w:type="dxa"/>
              <w:left w:w="16" w:type="dxa"/>
              <w:right w:w="16" w:type="dxa"/>
            </w:tcMar>
            <w:vAlign w:val="center"/>
          </w:tcPr>
          <w:p w14:paraId="6331CD67">
            <w:pPr>
              <w:adjustRightInd w:val="0"/>
              <w:snapToGrid w:val="0"/>
              <w:jc w:val="center"/>
              <w:rPr>
                <w:spacing w:val="-6"/>
                <w:sz w:val="24"/>
              </w:rPr>
            </w:pPr>
            <w:r>
              <w:rPr>
                <w:spacing w:val="-6"/>
                <w:sz w:val="24"/>
              </w:rPr>
              <w:t>用地（用海）</w:t>
            </w:r>
          </w:p>
          <w:p w14:paraId="08A1E5ED">
            <w:pPr>
              <w:adjustRightInd w:val="0"/>
              <w:snapToGrid w:val="0"/>
              <w:jc w:val="center"/>
              <w:rPr>
                <w:sz w:val="24"/>
              </w:rPr>
            </w:pPr>
            <w:r>
              <w:rPr>
                <w:spacing w:val="-6"/>
                <w:sz w:val="24"/>
              </w:rPr>
              <w:t>面积（m</w:t>
            </w:r>
            <w:r>
              <w:rPr>
                <w:spacing w:val="-6"/>
                <w:sz w:val="24"/>
                <w:vertAlign w:val="superscript"/>
              </w:rPr>
              <w:t>2</w:t>
            </w:r>
            <w:r>
              <w:rPr>
                <w:spacing w:val="-6"/>
                <w:sz w:val="24"/>
              </w:rPr>
              <w:t>）</w:t>
            </w:r>
          </w:p>
        </w:tc>
        <w:tc>
          <w:tcPr>
            <w:tcW w:w="3248" w:type="dxa"/>
            <w:vAlign w:val="center"/>
          </w:tcPr>
          <w:p w14:paraId="45FE7217">
            <w:pPr>
              <w:adjustRightInd w:val="0"/>
              <w:snapToGrid w:val="0"/>
              <w:jc w:val="center"/>
              <w:rPr>
                <w:sz w:val="24"/>
              </w:rPr>
            </w:pPr>
            <w:r>
              <w:rPr>
                <w:rFonts w:hint="eastAsia"/>
                <w:sz w:val="24"/>
              </w:rPr>
              <w:t>4</w:t>
            </w:r>
            <w:r>
              <w:rPr>
                <w:rFonts w:hint="eastAsia"/>
                <w:sz w:val="24"/>
                <w:lang w:val="en-US" w:eastAsia="zh-CN"/>
              </w:rPr>
              <w:t>2</w:t>
            </w:r>
            <w:r>
              <w:rPr>
                <w:rFonts w:hint="eastAsia"/>
                <w:sz w:val="24"/>
              </w:rPr>
              <w:t>00</w:t>
            </w:r>
          </w:p>
        </w:tc>
      </w:tr>
      <w:tr w14:paraId="5C4423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22" w:type="dxa"/>
            <w:vAlign w:val="center"/>
          </w:tcPr>
          <w:p w14:paraId="3764B768">
            <w:pPr>
              <w:autoSpaceDE w:val="0"/>
              <w:autoSpaceDN w:val="0"/>
              <w:adjustRightInd w:val="0"/>
              <w:snapToGrid w:val="0"/>
              <w:jc w:val="center"/>
              <w:rPr>
                <w:kern w:val="0"/>
                <w:sz w:val="24"/>
              </w:rPr>
            </w:pPr>
            <w:r>
              <w:rPr>
                <w:kern w:val="0"/>
                <w:sz w:val="24"/>
              </w:rPr>
              <w:t>专项评价设置情况</w:t>
            </w:r>
          </w:p>
        </w:tc>
        <w:tc>
          <w:tcPr>
            <w:tcW w:w="7602" w:type="dxa"/>
            <w:gridSpan w:val="3"/>
            <w:vAlign w:val="center"/>
          </w:tcPr>
          <w:p w14:paraId="2DDCE839">
            <w:pPr>
              <w:autoSpaceDE w:val="0"/>
              <w:autoSpaceDN w:val="0"/>
              <w:adjustRightInd w:val="0"/>
              <w:snapToGrid w:val="0"/>
              <w:spacing w:line="360" w:lineRule="auto"/>
              <w:ind w:firstLine="480" w:firstLineChars="200"/>
              <w:jc w:val="left"/>
              <w:rPr>
                <w:kern w:val="0"/>
                <w:sz w:val="24"/>
              </w:rPr>
            </w:pPr>
            <w:r>
              <w:rPr>
                <w:rFonts w:hint="eastAsia"/>
                <w:kern w:val="0"/>
                <w:sz w:val="24"/>
              </w:rPr>
              <w:t>专项评价设置原则如下：</w:t>
            </w:r>
          </w:p>
          <w:tbl>
            <w:tblPr>
              <w:tblStyle w:val="31"/>
              <w:tblW w:w="74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6"/>
              <w:gridCol w:w="5663"/>
            </w:tblGrid>
            <w:tr w14:paraId="3E4D0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6" w:type="dxa"/>
                  <w:vAlign w:val="center"/>
                </w:tcPr>
                <w:p w14:paraId="0EC5AB93">
                  <w:pPr>
                    <w:jc w:val="center"/>
                  </w:pPr>
                  <w:r>
                    <w:t>专项评价的类别</w:t>
                  </w:r>
                </w:p>
              </w:tc>
              <w:tc>
                <w:tcPr>
                  <w:tcW w:w="5663" w:type="dxa"/>
                  <w:vAlign w:val="center"/>
                </w:tcPr>
                <w:p w14:paraId="5053EA36">
                  <w:pPr>
                    <w:jc w:val="center"/>
                  </w:pPr>
                  <w:r>
                    <w:t>设置原则</w:t>
                  </w:r>
                </w:p>
              </w:tc>
            </w:tr>
            <w:tr w14:paraId="5B0A1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6" w:type="dxa"/>
                  <w:vAlign w:val="center"/>
                </w:tcPr>
                <w:p w14:paraId="2B5AE7B3">
                  <w:pPr>
                    <w:jc w:val="center"/>
                  </w:pPr>
                  <w:r>
                    <w:t>大气</w:t>
                  </w:r>
                </w:p>
              </w:tc>
              <w:tc>
                <w:tcPr>
                  <w:tcW w:w="5663" w:type="dxa"/>
                  <w:vAlign w:val="center"/>
                </w:tcPr>
                <w:p w14:paraId="59779132">
                  <w:r>
                    <w:t>排放废气含有毒有害污染物1、二噁英、苯并[a]芘、氰化物、氯气且厂界外500米范围内有环境空气保护目标2的建设项目</w:t>
                  </w:r>
                </w:p>
              </w:tc>
            </w:tr>
            <w:tr w14:paraId="6FF15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6" w:type="dxa"/>
                  <w:vAlign w:val="center"/>
                </w:tcPr>
                <w:p w14:paraId="2E00DFE9">
                  <w:pPr>
                    <w:jc w:val="center"/>
                  </w:pPr>
                  <w:r>
                    <w:t>地表水</w:t>
                  </w:r>
                </w:p>
              </w:tc>
              <w:tc>
                <w:tcPr>
                  <w:tcW w:w="5663" w:type="dxa"/>
                  <w:vAlign w:val="center"/>
                </w:tcPr>
                <w:p w14:paraId="729AC0E3">
                  <w:r>
                    <w:t>新增工业废水直排建设项目（槽罐车外送污水处理厂的除外）；</w:t>
                  </w:r>
                </w:p>
                <w:p w14:paraId="35E6BD1A">
                  <w:r>
                    <w:t>新增废水直排的污水集中处理厂</w:t>
                  </w:r>
                </w:p>
              </w:tc>
            </w:tr>
            <w:tr w14:paraId="56E51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16" w:type="dxa"/>
                  <w:vAlign w:val="center"/>
                </w:tcPr>
                <w:p w14:paraId="180A2EEC">
                  <w:pPr>
                    <w:jc w:val="center"/>
                  </w:pPr>
                  <w:r>
                    <w:t>环境风险</w:t>
                  </w:r>
                </w:p>
              </w:tc>
              <w:tc>
                <w:tcPr>
                  <w:tcW w:w="5663" w:type="dxa"/>
                  <w:vAlign w:val="center"/>
                </w:tcPr>
                <w:p w14:paraId="59B6DA64">
                  <w:r>
                    <w:t>有毒有害和易燃易爆危险物质存储量超过临界量3的建设项目</w:t>
                  </w:r>
                </w:p>
              </w:tc>
            </w:tr>
            <w:tr w14:paraId="1B4B0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6" w:type="dxa"/>
                  <w:vAlign w:val="center"/>
                </w:tcPr>
                <w:p w14:paraId="2D1DB849">
                  <w:pPr>
                    <w:jc w:val="center"/>
                  </w:pPr>
                  <w:r>
                    <w:t>生态</w:t>
                  </w:r>
                </w:p>
              </w:tc>
              <w:tc>
                <w:tcPr>
                  <w:tcW w:w="5663" w:type="dxa"/>
                  <w:vAlign w:val="center"/>
                </w:tcPr>
                <w:p w14:paraId="68338390">
                  <w:r>
                    <w:t>取水口下游 500 米范围内有重要水生生物的自然产卵场、索饵场、越冬场和洄游通道的新增河道取水的污染类建设项目</w:t>
                  </w:r>
                </w:p>
              </w:tc>
            </w:tr>
            <w:tr w14:paraId="6E151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6" w:type="dxa"/>
                  <w:vAlign w:val="center"/>
                </w:tcPr>
                <w:p w14:paraId="28D4F20C">
                  <w:pPr>
                    <w:jc w:val="center"/>
                  </w:pPr>
                  <w:r>
                    <w:t>海洋</w:t>
                  </w:r>
                </w:p>
              </w:tc>
              <w:tc>
                <w:tcPr>
                  <w:tcW w:w="5663" w:type="dxa"/>
                  <w:vAlign w:val="center"/>
                </w:tcPr>
                <w:p w14:paraId="0C568410">
                  <w:r>
                    <w:t>直接向海排放污染物的海洋工程建设项目</w:t>
                  </w:r>
                </w:p>
              </w:tc>
            </w:tr>
          </w:tbl>
          <w:p w14:paraId="3ABF69A1">
            <w:pPr>
              <w:spacing w:line="360" w:lineRule="auto"/>
              <w:ind w:firstLine="480" w:firstLineChars="200"/>
              <w:rPr>
                <w:kern w:val="0"/>
                <w:sz w:val="24"/>
              </w:rPr>
            </w:pPr>
            <w:r>
              <w:rPr>
                <w:rFonts w:hint="eastAsia"/>
                <w:kern w:val="0"/>
                <w:sz w:val="24"/>
              </w:rPr>
              <w:t>本项目不涉及上述情况，无需开展专项评价内容。</w:t>
            </w:r>
          </w:p>
        </w:tc>
      </w:tr>
      <w:tr w14:paraId="26DE32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722" w:type="dxa"/>
            <w:vAlign w:val="center"/>
          </w:tcPr>
          <w:p w14:paraId="3D1F236E">
            <w:pPr>
              <w:autoSpaceDE w:val="0"/>
              <w:autoSpaceDN w:val="0"/>
              <w:adjustRightInd w:val="0"/>
              <w:snapToGrid w:val="0"/>
              <w:jc w:val="center"/>
              <w:rPr>
                <w:kern w:val="0"/>
                <w:sz w:val="24"/>
              </w:rPr>
            </w:pPr>
            <w:r>
              <w:rPr>
                <w:sz w:val="24"/>
              </w:rPr>
              <w:t>规划情况</w:t>
            </w:r>
          </w:p>
        </w:tc>
        <w:tc>
          <w:tcPr>
            <w:tcW w:w="7602" w:type="dxa"/>
            <w:gridSpan w:val="3"/>
            <w:vAlign w:val="center"/>
          </w:tcPr>
          <w:p w14:paraId="6E9EFB44">
            <w:pPr>
              <w:spacing w:line="360" w:lineRule="auto"/>
              <w:ind w:firstLine="480" w:firstLineChars="200"/>
              <w:jc w:val="left"/>
              <w:rPr>
                <w:sz w:val="24"/>
              </w:rPr>
            </w:pPr>
            <w:r>
              <w:rPr>
                <w:sz w:val="24"/>
              </w:rPr>
              <w:t>1、规划名称：《长株潭城市群两型社会示范区湘潭易俗河片区规划（2010-2030）》</w:t>
            </w:r>
          </w:p>
          <w:p w14:paraId="641A4468">
            <w:pPr>
              <w:spacing w:line="360" w:lineRule="auto"/>
              <w:ind w:firstLine="480" w:firstLineChars="200"/>
              <w:jc w:val="left"/>
              <w:rPr>
                <w:sz w:val="24"/>
              </w:rPr>
            </w:pPr>
            <w:r>
              <w:rPr>
                <w:sz w:val="24"/>
              </w:rPr>
              <w:t>审批机关：湖南省人民政府</w:t>
            </w:r>
          </w:p>
          <w:p w14:paraId="5EBF286A">
            <w:pPr>
              <w:spacing w:line="360" w:lineRule="auto"/>
              <w:ind w:firstLine="480" w:firstLineChars="200"/>
              <w:jc w:val="left"/>
              <w:rPr>
                <w:sz w:val="24"/>
              </w:rPr>
            </w:pPr>
            <w:r>
              <w:rPr>
                <w:sz w:val="24"/>
              </w:rPr>
              <w:t>审批文号：湘政审【2011】186 号</w:t>
            </w:r>
          </w:p>
          <w:p w14:paraId="667E5428">
            <w:pPr>
              <w:autoSpaceDE w:val="0"/>
              <w:autoSpaceDN w:val="0"/>
              <w:adjustRightInd w:val="0"/>
              <w:snapToGrid w:val="0"/>
              <w:spacing w:line="360" w:lineRule="auto"/>
              <w:ind w:firstLine="480"/>
              <w:jc w:val="left"/>
              <w:rPr>
                <w:sz w:val="24"/>
              </w:rPr>
            </w:pPr>
            <w:r>
              <w:rPr>
                <w:sz w:val="24"/>
              </w:rPr>
              <w:t>2、1992 年经湖南省体改委（湘体改字〔1992〕138 号）和湖南省人民政府（湘政发〔1994〕5 号）批准，在易俗河镇设立经济开发区，规格为省级，规划面积为 26km</w:t>
            </w:r>
            <w:r>
              <w:rPr>
                <w:sz w:val="24"/>
                <w:vertAlign w:val="superscript"/>
              </w:rPr>
              <w:t>2</w:t>
            </w:r>
            <w:r>
              <w:rPr>
                <w:sz w:val="24"/>
              </w:rPr>
              <w:t>，成为湖南省为数不多的县城与开发区一体化建设区域。2003 年 6 月-2004 年 10 月，通过土地市场清理整顿后，开发区规划审核面积为 11.93km</w:t>
            </w:r>
            <w:r>
              <w:rPr>
                <w:sz w:val="24"/>
                <w:vertAlign w:val="superscript"/>
              </w:rPr>
              <w:t>2</w:t>
            </w:r>
            <w:r>
              <w:rPr>
                <w:sz w:val="24"/>
              </w:rPr>
              <w:t>。2005 年申报为湖南湘潭易俗河经济开发区。2006 年国家发改委〔2006〕8 号公告再核减非工业用地面积 2.5km</w:t>
            </w:r>
            <w:r>
              <w:rPr>
                <w:sz w:val="24"/>
                <w:vertAlign w:val="superscript"/>
              </w:rPr>
              <w:t>2</w:t>
            </w:r>
            <w:r>
              <w:rPr>
                <w:sz w:val="24"/>
              </w:rPr>
              <w:t>，保留面积 9.43km</w:t>
            </w:r>
            <w:r>
              <w:rPr>
                <w:sz w:val="24"/>
                <w:vertAlign w:val="superscript"/>
              </w:rPr>
              <w:t>2</w:t>
            </w:r>
            <w:r>
              <w:rPr>
                <w:sz w:val="24"/>
              </w:rPr>
              <w:t>。2012 年再次进行调整，调整后面积为 10.14km</w:t>
            </w:r>
            <w:r>
              <w:rPr>
                <w:sz w:val="24"/>
                <w:vertAlign w:val="superscript"/>
              </w:rPr>
              <w:t>2</w:t>
            </w:r>
            <w:r>
              <w:rPr>
                <w:sz w:val="24"/>
              </w:rPr>
              <w:t>。根据《关于发布湖南省省级及以上产业园区边界面积及四至范围目录的通知》（湘发改园区〔2022〕601号），湘潭天易经济开发区园区边界范围总面积为1067.02公顷，包括区块一：面积1018.01公顷，四至范围为东至杨柳路、梧桐路、南至武广大道、西至玫瑰路、北至天易大道区块二：面积38.43公顷，四至范围为东至紫竹路、南至云龙东路、西至紫云路、北至天易大道辅路；区块三：面积10.58公顷，四至范围为东至青光村、南至七湾坡、西至海棠路、北至湘莲大道。</w:t>
            </w:r>
          </w:p>
          <w:p w14:paraId="176F60B8">
            <w:pPr>
              <w:autoSpaceDE w:val="0"/>
              <w:autoSpaceDN w:val="0"/>
              <w:adjustRightInd w:val="0"/>
              <w:snapToGrid w:val="0"/>
              <w:spacing w:line="360" w:lineRule="auto"/>
              <w:ind w:firstLine="480"/>
              <w:jc w:val="left"/>
              <w:rPr>
                <w:kern w:val="0"/>
                <w:sz w:val="24"/>
              </w:rPr>
            </w:pPr>
            <w:r>
              <w:rPr>
                <w:sz w:val="24"/>
              </w:rPr>
              <w:t>本项目位于湘潭天易经开区海鸥东路370号，属于湘潭天易经济开发区园区区块一范围内。</w:t>
            </w:r>
          </w:p>
        </w:tc>
      </w:tr>
      <w:tr w14:paraId="4EE936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722" w:type="dxa"/>
            <w:vAlign w:val="center"/>
          </w:tcPr>
          <w:p w14:paraId="354B3420">
            <w:pPr>
              <w:adjustRightInd w:val="0"/>
              <w:snapToGrid w:val="0"/>
              <w:jc w:val="center"/>
              <w:rPr>
                <w:kern w:val="0"/>
                <w:sz w:val="24"/>
              </w:rPr>
            </w:pPr>
            <w:r>
              <w:rPr>
                <w:sz w:val="24"/>
              </w:rPr>
              <w:t>规划环境影响评价情况</w:t>
            </w:r>
          </w:p>
        </w:tc>
        <w:tc>
          <w:tcPr>
            <w:tcW w:w="7602" w:type="dxa"/>
            <w:gridSpan w:val="3"/>
            <w:vAlign w:val="center"/>
          </w:tcPr>
          <w:p w14:paraId="211B6D38">
            <w:pPr>
              <w:spacing w:line="360" w:lineRule="auto"/>
              <w:ind w:firstLine="480" w:firstLineChars="200"/>
              <w:rPr>
                <w:sz w:val="24"/>
              </w:rPr>
            </w:pPr>
            <w:r>
              <w:rPr>
                <w:sz w:val="24"/>
              </w:rPr>
              <w:t>1、项目名称：《长株潭城市群两型社会示范区湘潭易俗河片区规划环境影响报告书》</w:t>
            </w:r>
          </w:p>
          <w:p w14:paraId="3439BCA9">
            <w:pPr>
              <w:spacing w:line="360" w:lineRule="auto"/>
              <w:ind w:firstLine="480" w:firstLineChars="200"/>
              <w:rPr>
                <w:sz w:val="24"/>
              </w:rPr>
            </w:pPr>
            <w:r>
              <w:rPr>
                <w:sz w:val="24"/>
              </w:rPr>
              <w:t>审批机关：湖南省生态环境厅</w:t>
            </w:r>
          </w:p>
          <w:p w14:paraId="26076588">
            <w:pPr>
              <w:spacing w:line="360" w:lineRule="auto"/>
              <w:ind w:firstLine="480" w:firstLineChars="200"/>
              <w:rPr>
                <w:sz w:val="24"/>
              </w:rPr>
            </w:pPr>
            <w:r>
              <w:rPr>
                <w:sz w:val="24"/>
              </w:rPr>
              <w:t>审批时间：2017年5月23日</w:t>
            </w:r>
          </w:p>
          <w:p w14:paraId="04CEC67C">
            <w:pPr>
              <w:autoSpaceDE w:val="0"/>
              <w:autoSpaceDN w:val="0"/>
              <w:adjustRightInd w:val="0"/>
              <w:snapToGrid w:val="0"/>
              <w:spacing w:line="360" w:lineRule="auto"/>
              <w:ind w:firstLine="480" w:firstLineChars="200"/>
              <w:jc w:val="left"/>
              <w:rPr>
                <w:sz w:val="24"/>
              </w:rPr>
            </w:pPr>
            <w:r>
              <w:rPr>
                <w:sz w:val="24"/>
              </w:rPr>
              <w:t>审批文号：湘环评函（2017）31号</w:t>
            </w:r>
          </w:p>
          <w:p w14:paraId="0BA13FBE">
            <w:pPr>
              <w:autoSpaceDE w:val="0"/>
              <w:autoSpaceDN w:val="0"/>
              <w:adjustRightInd w:val="0"/>
              <w:snapToGrid w:val="0"/>
              <w:spacing w:line="360" w:lineRule="auto"/>
              <w:ind w:firstLine="480" w:firstLineChars="200"/>
              <w:jc w:val="left"/>
              <w:rPr>
                <w:kern w:val="0"/>
                <w:sz w:val="24"/>
              </w:rPr>
            </w:pPr>
            <w:r>
              <w:rPr>
                <w:kern w:val="0"/>
                <w:sz w:val="24"/>
              </w:rPr>
              <w:t>2、项目名称：《湖南湘潭天易经济开发区扩区与调整区位环境影响报告书》</w:t>
            </w:r>
          </w:p>
          <w:p w14:paraId="44171472">
            <w:pPr>
              <w:autoSpaceDE w:val="0"/>
              <w:autoSpaceDN w:val="0"/>
              <w:adjustRightInd w:val="0"/>
              <w:snapToGrid w:val="0"/>
              <w:spacing w:line="360" w:lineRule="auto"/>
              <w:ind w:firstLine="480" w:firstLineChars="200"/>
              <w:jc w:val="left"/>
              <w:rPr>
                <w:kern w:val="0"/>
                <w:sz w:val="24"/>
              </w:rPr>
            </w:pPr>
            <w:r>
              <w:rPr>
                <w:kern w:val="0"/>
                <w:sz w:val="24"/>
              </w:rPr>
              <w:t>审批机关：湖南省生态环境厅</w:t>
            </w:r>
          </w:p>
          <w:p w14:paraId="44782AA3">
            <w:pPr>
              <w:autoSpaceDE w:val="0"/>
              <w:autoSpaceDN w:val="0"/>
              <w:adjustRightInd w:val="0"/>
              <w:snapToGrid w:val="0"/>
              <w:spacing w:line="360" w:lineRule="auto"/>
              <w:ind w:firstLine="480" w:firstLineChars="200"/>
              <w:jc w:val="left"/>
              <w:rPr>
                <w:kern w:val="0"/>
                <w:sz w:val="24"/>
              </w:rPr>
            </w:pPr>
            <w:r>
              <w:rPr>
                <w:kern w:val="0"/>
                <w:sz w:val="24"/>
              </w:rPr>
              <w:t>审批时间：2014 年 11 月 13 日</w:t>
            </w:r>
          </w:p>
          <w:p w14:paraId="51088528">
            <w:pPr>
              <w:autoSpaceDE w:val="0"/>
              <w:autoSpaceDN w:val="0"/>
              <w:adjustRightInd w:val="0"/>
              <w:snapToGrid w:val="0"/>
              <w:spacing w:line="360" w:lineRule="auto"/>
              <w:ind w:firstLine="480" w:firstLineChars="200"/>
              <w:jc w:val="left"/>
              <w:rPr>
                <w:kern w:val="0"/>
                <w:sz w:val="24"/>
              </w:rPr>
            </w:pPr>
            <w:r>
              <w:rPr>
                <w:kern w:val="0"/>
                <w:sz w:val="24"/>
              </w:rPr>
              <w:t>审批文号：湘环评函〔2014〕122 号</w:t>
            </w:r>
          </w:p>
        </w:tc>
      </w:tr>
      <w:tr w14:paraId="0CD0F1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722" w:type="dxa"/>
            <w:vAlign w:val="center"/>
          </w:tcPr>
          <w:p w14:paraId="63DBFC8D">
            <w:pPr>
              <w:autoSpaceDE w:val="0"/>
              <w:autoSpaceDN w:val="0"/>
              <w:adjustRightInd w:val="0"/>
              <w:snapToGrid w:val="0"/>
              <w:jc w:val="center"/>
              <w:rPr>
                <w:kern w:val="0"/>
                <w:szCs w:val="21"/>
              </w:rPr>
            </w:pPr>
            <w:r>
              <w:rPr>
                <w:kern w:val="0"/>
                <w:sz w:val="24"/>
              </w:rPr>
              <w:t>规划及规划环境影响评价符合性分析</w:t>
            </w:r>
          </w:p>
        </w:tc>
        <w:tc>
          <w:tcPr>
            <w:tcW w:w="7602" w:type="dxa"/>
            <w:gridSpan w:val="3"/>
            <w:vAlign w:val="center"/>
          </w:tcPr>
          <w:p w14:paraId="09748E55">
            <w:pPr>
              <w:autoSpaceDE w:val="0"/>
              <w:autoSpaceDN w:val="0"/>
              <w:adjustRightInd w:val="0"/>
              <w:snapToGrid w:val="0"/>
              <w:spacing w:line="360" w:lineRule="auto"/>
              <w:jc w:val="left"/>
              <w:rPr>
                <w:b/>
                <w:bCs/>
                <w:sz w:val="24"/>
                <w:szCs w:val="32"/>
              </w:rPr>
            </w:pPr>
            <w:r>
              <w:rPr>
                <w:rFonts w:hint="eastAsia"/>
                <w:b/>
                <w:bCs/>
                <w:sz w:val="24"/>
                <w:szCs w:val="32"/>
              </w:rPr>
              <w:t>1 、与</w:t>
            </w:r>
            <w:r>
              <w:rPr>
                <w:b/>
                <w:bCs/>
                <w:sz w:val="24"/>
                <w:szCs w:val="32"/>
              </w:rPr>
              <w:t>湘潭易俗河片区</w:t>
            </w:r>
            <w:r>
              <w:rPr>
                <w:rFonts w:hint="eastAsia"/>
                <w:b/>
                <w:bCs/>
                <w:sz w:val="24"/>
                <w:szCs w:val="32"/>
              </w:rPr>
              <w:t>规划产业定位符合性分析</w:t>
            </w:r>
          </w:p>
          <w:p w14:paraId="578515F0">
            <w:pPr>
              <w:autoSpaceDE w:val="0"/>
              <w:autoSpaceDN w:val="0"/>
              <w:adjustRightInd w:val="0"/>
              <w:snapToGrid w:val="0"/>
              <w:spacing w:line="360" w:lineRule="auto"/>
              <w:ind w:firstLine="480" w:firstLineChars="200"/>
              <w:jc w:val="left"/>
              <w:rPr>
                <w:sz w:val="24"/>
                <w:szCs w:val="32"/>
              </w:rPr>
            </w:pPr>
            <w:r>
              <w:rPr>
                <w:sz w:val="24"/>
                <w:szCs w:val="32"/>
              </w:rPr>
              <w:t>根据《长株潭城市群两型社会示范区湘潭易俗河片区规划环境影响报告书》，示范区规划范围北起湘江、西至涓水、南岭沪昆高速公路复线、冬至湘潭县行政边界、西南至易俗河镇镇界，规划总面积约99km</w:t>
            </w:r>
            <w:r>
              <w:rPr>
                <w:sz w:val="24"/>
                <w:szCs w:val="32"/>
                <w:vertAlign w:val="superscript"/>
              </w:rPr>
              <w:t>2</w:t>
            </w:r>
            <w:r>
              <w:rPr>
                <w:sz w:val="24"/>
                <w:szCs w:val="32"/>
              </w:rPr>
              <w:t>。</w:t>
            </w:r>
          </w:p>
          <w:p w14:paraId="27A787D5">
            <w:pPr>
              <w:autoSpaceDE w:val="0"/>
              <w:autoSpaceDN w:val="0"/>
              <w:adjustRightInd w:val="0"/>
              <w:snapToGrid w:val="0"/>
              <w:spacing w:line="360" w:lineRule="auto"/>
              <w:ind w:firstLine="480" w:firstLineChars="200"/>
              <w:jc w:val="left"/>
              <w:rPr>
                <w:sz w:val="24"/>
                <w:szCs w:val="32"/>
              </w:rPr>
            </w:pPr>
            <w:r>
              <w:rPr>
                <w:sz w:val="24"/>
                <w:szCs w:val="32"/>
              </w:rPr>
              <w:t>示范区功能定位为创新服务基地、生态工业新区、中部地区县城经济发展的示范区，着力打造先进装备制造业、农产品精深加工业、现代服务业三大主导产业和新材料产业、节能环保产业两大战略性新兴产业的“3+2”现代产业体系</w:t>
            </w:r>
            <w:r>
              <w:rPr>
                <w:rFonts w:hint="eastAsia"/>
                <w:sz w:val="24"/>
                <w:szCs w:val="32"/>
              </w:rPr>
              <w:t>。根据以上规划，其入区企业准入条件如下表。</w:t>
            </w:r>
          </w:p>
          <w:p w14:paraId="6112C294">
            <w:pPr>
              <w:widowControl/>
              <w:jc w:val="center"/>
            </w:pPr>
            <w:r>
              <w:rPr>
                <w:rFonts w:hint="eastAsia"/>
                <w:b/>
                <w:bCs/>
              </w:rPr>
              <w:t>表1-1  湘潭易俗河片区规划企业准入条件</w:t>
            </w:r>
          </w:p>
          <w:tbl>
            <w:tblPr>
              <w:tblStyle w:val="3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1"/>
              <w:gridCol w:w="6619"/>
            </w:tblGrid>
            <w:tr w14:paraId="1F1DB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4" w:type="pct"/>
                  <w:vAlign w:val="center"/>
                </w:tcPr>
                <w:p w14:paraId="27BF9D8E">
                  <w:pPr>
                    <w:jc w:val="center"/>
                  </w:pPr>
                  <w:r>
                    <w:rPr>
                      <w:rFonts w:hint="eastAsia"/>
                    </w:rPr>
                    <w:t>控制</w:t>
                  </w:r>
                </w:p>
                <w:p w14:paraId="7D0C18BD">
                  <w:pPr>
                    <w:jc w:val="center"/>
                  </w:pPr>
                  <w:r>
                    <w:rPr>
                      <w:rFonts w:hint="eastAsia"/>
                    </w:rPr>
                    <w:t>类别</w:t>
                  </w:r>
                </w:p>
              </w:tc>
              <w:tc>
                <w:tcPr>
                  <w:tcW w:w="4365" w:type="pct"/>
                  <w:vAlign w:val="center"/>
                </w:tcPr>
                <w:p w14:paraId="541E07CA">
                  <w:pPr>
                    <w:jc w:val="center"/>
                  </w:pPr>
                  <w:r>
                    <w:rPr>
                      <w:rFonts w:hint="eastAsia"/>
                    </w:rPr>
                    <w:t>界定范围和划分标准</w:t>
                  </w:r>
                </w:p>
              </w:tc>
            </w:tr>
            <w:tr w14:paraId="41B90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4" w:type="pct"/>
                  <w:vAlign w:val="center"/>
                </w:tcPr>
                <w:p w14:paraId="5212079E">
                  <w:pPr>
                    <w:widowControl/>
                    <w:jc w:val="center"/>
                  </w:pPr>
                  <w:r>
                    <w:rPr>
                      <w:rFonts w:hint="eastAsia"/>
                    </w:rPr>
                    <w:t>禁止发展的产业</w:t>
                  </w:r>
                </w:p>
              </w:tc>
              <w:tc>
                <w:tcPr>
                  <w:tcW w:w="4365" w:type="pct"/>
                  <w:vAlign w:val="center"/>
                </w:tcPr>
                <w:p w14:paraId="18BB1563">
                  <w:pPr>
                    <w:widowControl/>
                    <w:jc w:val="left"/>
                  </w:pPr>
                  <w:r>
                    <w:t>禁止不符合国家产业政策的项目；禁止三类工业；禁止引入涉重金属排放企业；禁止引进工业用、排水量大、水循环利用率低的企业；禁止引入对区域大气环境造成明显不利影响的大气污染型企业；国家明令淘汰、禁止建设的项目，以及列入国务院清理整顿范围、不符合国家政策规定及准入条件的项目；采用落后生产工艺及装备的企业；与国家及当地其他相关环境保护政策不符的企业。禁止以下产业进入规划区：</w:t>
                  </w:r>
                </w:p>
                <w:p w14:paraId="5C303A66">
                  <w:pPr>
                    <w:widowControl/>
                    <w:jc w:val="left"/>
                  </w:pPr>
                  <w:r>
                    <w:t>（1）电子产品制造：印刷电路板制造、液晶显示屏生产项目，集成电路和半导体器件前工序生产；</w:t>
                  </w:r>
                </w:p>
                <w:p w14:paraId="413D472D">
                  <w:pPr>
                    <w:widowControl/>
                    <w:jc w:val="left"/>
                  </w:pPr>
                  <w:r>
                    <w:t>（2）设备及材料制造：含电镀、无成熟治理工艺及环保投资保证的喷漆工艺的机械制造项目；</w:t>
                  </w:r>
                </w:p>
                <w:p w14:paraId="66E0674E">
                  <w:pPr>
                    <w:widowControl/>
                    <w:jc w:val="left"/>
                  </w:pPr>
                  <w:r>
                    <w:t>（3）轻工业：包括制糖、淀粉及淀粉制品、制浆造纸及制革、橡胶生产制造等前端制造工艺；</w:t>
                  </w:r>
                </w:p>
                <w:p w14:paraId="49E812FF">
                  <w:pPr>
                    <w:widowControl/>
                    <w:jc w:val="left"/>
                  </w:pPr>
                  <w:r>
                    <w:t>（4）石油化工；</w:t>
                  </w:r>
                </w:p>
                <w:p w14:paraId="672D9D8C">
                  <w:pPr>
                    <w:widowControl/>
                    <w:jc w:val="left"/>
                  </w:pPr>
                  <w:r>
                    <w:t>（5）化纤及</w:t>
                  </w:r>
                  <w:r>
                    <w:rPr>
                      <w:rFonts w:hint="eastAsia"/>
                    </w:rPr>
                    <w:t>防治</w:t>
                  </w:r>
                  <w:r>
                    <w:t>业：化纤、麻</w:t>
                  </w:r>
                  <w:r>
                    <w:rPr>
                      <w:rFonts w:hint="eastAsia"/>
                    </w:rPr>
                    <w:t>防治</w:t>
                  </w:r>
                  <w:r>
                    <w:t>、毛</w:t>
                  </w:r>
                  <w:r>
                    <w:rPr>
                      <w:rFonts w:hint="eastAsia"/>
                    </w:rPr>
                    <w:t>防治</w:t>
                  </w:r>
                  <w:r>
                    <w:t>、丝绸及需印染、漂染的各种</w:t>
                  </w:r>
                  <w:r>
                    <w:rPr>
                      <w:rFonts w:hint="eastAsia"/>
                    </w:rPr>
                    <w:t>防治</w:t>
                  </w:r>
                  <w:r>
                    <w:t>品；</w:t>
                  </w:r>
                </w:p>
                <w:p w14:paraId="5C01E6B0">
                  <w:pPr>
                    <w:widowControl/>
                    <w:jc w:val="left"/>
                  </w:pPr>
                  <w:r>
                    <w:t>（6）化学工业：包括化学原料、化学制品（如硝酸、硫酸、磷酸、合成氨、尿素等）、肥料制造、涂料、染料生产以及传统农药制造等；（7）钢铁工业：包括炼焦、炼钢及压延等；</w:t>
                  </w:r>
                </w:p>
                <w:p w14:paraId="4FFBDE2E">
                  <w:pPr>
                    <w:widowControl/>
                    <w:jc w:val="left"/>
                  </w:pPr>
                  <w:r>
                    <w:t>（8）建材工业：包括水泥、砖瓦、陶瓷、石材、石墨制造等（不含后续加工）；</w:t>
                  </w:r>
                  <w:bookmarkStart w:id="7" w:name="_GoBack"/>
                  <w:bookmarkEnd w:id="7"/>
                </w:p>
                <w:p w14:paraId="0C87684D">
                  <w:pPr>
                    <w:widowControl/>
                    <w:jc w:val="left"/>
                  </w:pPr>
                  <w:r>
                    <w:t>（9）电力：火力发电。</w:t>
                  </w:r>
                </w:p>
              </w:tc>
            </w:tr>
            <w:tr w14:paraId="669CA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4" w:type="pct"/>
                  <w:vAlign w:val="center"/>
                </w:tcPr>
                <w:p w14:paraId="7152471D">
                  <w:pPr>
                    <w:widowControl/>
                    <w:jc w:val="center"/>
                  </w:pPr>
                  <w:r>
                    <w:rPr>
                      <w:rFonts w:hint="eastAsia"/>
                    </w:rPr>
                    <w:t>限制发展的产业</w:t>
                  </w:r>
                </w:p>
              </w:tc>
              <w:tc>
                <w:tcPr>
                  <w:tcW w:w="4365" w:type="pct"/>
                  <w:vAlign w:val="center"/>
                </w:tcPr>
                <w:p w14:paraId="7C7F047D">
                  <w:pPr>
                    <w:widowControl/>
                    <w:jc w:val="left"/>
                  </w:pPr>
                  <w:r>
                    <w:t>（1）能耗较高的工业项目，现有生产能力大、市场容量小的项目；（2）产品属于《加工贸易限制类商品目录》的企业；</w:t>
                  </w:r>
                </w:p>
                <w:p w14:paraId="2FDC3169">
                  <w:pPr>
                    <w:widowControl/>
                    <w:jc w:val="left"/>
                  </w:pPr>
                  <w:r>
                    <w:t>（3）对于环境污染较严重，但有可行的办法并经努力后可以减轻，并且确实对区域经济发展和劳动就业具有较大意义的产业；</w:t>
                  </w:r>
                </w:p>
                <w:p w14:paraId="2D6068AE">
                  <w:pPr>
                    <w:widowControl/>
                    <w:jc w:val="left"/>
                  </w:pPr>
                  <w:r>
                    <w:t>（4）其他国家及当地其他相关环境保护政策明确属于限制发展类的产业。</w:t>
                  </w:r>
                </w:p>
              </w:tc>
            </w:tr>
            <w:tr w14:paraId="5008F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4" w:type="pct"/>
                  <w:vAlign w:val="center"/>
                </w:tcPr>
                <w:p w14:paraId="2281C06D">
                  <w:pPr>
                    <w:widowControl/>
                    <w:jc w:val="center"/>
                  </w:pPr>
                  <w:r>
                    <w:rPr>
                      <w:rFonts w:hint="eastAsia"/>
                    </w:rPr>
                    <w:t>鼓励发展的产业</w:t>
                  </w:r>
                </w:p>
              </w:tc>
              <w:tc>
                <w:tcPr>
                  <w:tcW w:w="4365" w:type="pct"/>
                  <w:vAlign w:val="center"/>
                </w:tcPr>
                <w:p w14:paraId="66BFD9EE">
                  <w:pPr>
                    <w:widowControl/>
                    <w:jc w:val="left"/>
                  </w:pPr>
                  <w:r>
                    <w:t>对于科技含量高，体现知识经济特点的，社会、经济和环境综合效益好的产业应鼓励发展。比如：</w:t>
                  </w:r>
                </w:p>
                <w:p w14:paraId="69187279">
                  <w:pPr>
                    <w:widowControl/>
                    <w:numPr>
                      <w:ilvl w:val="0"/>
                      <w:numId w:val="4"/>
                    </w:numPr>
                    <w:jc w:val="left"/>
                  </w:pPr>
                  <w:r>
                    <w:t>先进装备制造业：先进矿山装备制造产业、汽车产业、零部件及具有自主产权（品牌）的先进装备制造；数控机床关键零部件及刀具制造、大型、精密、专用铸锻件技术开发及设备制造等开发等</w:t>
                  </w:r>
                  <w:r>
                    <w:rPr>
                      <w:rFonts w:hint="eastAsia"/>
                    </w:rPr>
                    <w:t>；</w:t>
                  </w:r>
                </w:p>
                <w:p w14:paraId="69EC8530">
                  <w:pPr>
                    <w:widowControl/>
                    <w:jc w:val="left"/>
                  </w:pPr>
                  <w:r>
                    <w:t>（2）农产品精深加工业：特色农产品加工，如湘莲、茶籽等；谷类大米深加工业等。</w:t>
                  </w:r>
                </w:p>
                <w:p w14:paraId="31BE7E98">
                  <w:pPr>
                    <w:widowControl/>
                    <w:jc w:val="left"/>
                  </w:pPr>
                  <w:r>
                    <w:t>（3）新材料产业：新型金属材料；新能源材料；节能环保型建筑新材料等。</w:t>
                  </w:r>
                </w:p>
                <w:p w14:paraId="740B663B">
                  <w:pPr>
                    <w:widowControl/>
                    <w:jc w:val="left"/>
                  </w:pPr>
                  <w:r>
                    <w:t>（4）节能环保产业：环保技术和装备；节能技术和装备；环保产品与服务。</w:t>
                  </w:r>
                </w:p>
                <w:p w14:paraId="745DDD8A">
                  <w:pPr>
                    <w:widowControl/>
                    <w:jc w:val="left"/>
                  </w:pPr>
                  <w:r>
                    <w:t>（5）其他符合园区产业定位，且国家及当地其他相关环境保护政策明确属于鼓励发展的产业。</w:t>
                  </w:r>
                </w:p>
              </w:tc>
            </w:tr>
            <w:tr w14:paraId="5BF93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4" w:type="pct"/>
                  <w:vAlign w:val="center"/>
                </w:tcPr>
                <w:p w14:paraId="0402649D">
                  <w:pPr>
                    <w:widowControl/>
                    <w:jc w:val="center"/>
                  </w:pPr>
                  <w:r>
                    <w:rPr>
                      <w:rFonts w:hint="eastAsia"/>
                    </w:rPr>
                    <w:t>清洁生产水平</w:t>
                  </w:r>
                </w:p>
              </w:tc>
              <w:tc>
                <w:tcPr>
                  <w:tcW w:w="4365" w:type="pct"/>
                  <w:vAlign w:val="center"/>
                </w:tcPr>
                <w:p w14:paraId="6ADA83A5">
                  <w:pPr>
                    <w:widowControl/>
                    <w:jc w:val="left"/>
                  </w:pPr>
                  <w:r>
                    <w:rPr>
                      <w:rFonts w:hint="eastAsia"/>
                    </w:rPr>
                    <w:t>达到国内先进水平以上，符合示范区两型社会建设的资源节约及环境保护指标体系要求。</w:t>
                  </w:r>
                </w:p>
              </w:tc>
            </w:tr>
          </w:tbl>
          <w:p w14:paraId="03802EA9">
            <w:pPr>
              <w:autoSpaceDE w:val="0"/>
              <w:autoSpaceDN w:val="0"/>
              <w:adjustRightInd w:val="0"/>
              <w:snapToGrid w:val="0"/>
              <w:spacing w:line="360" w:lineRule="auto"/>
              <w:ind w:firstLine="480" w:firstLineChars="200"/>
              <w:jc w:val="left"/>
              <w:rPr>
                <w:sz w:val="24"/>
                <w:szCs w:val="32"/>
                <w:u w:val="single"/>
              </w:rPr>
            </w:pPr>
            <w:r>
              <w:rPr>
                <w:sz w:val="24"/>
              </w:rPr>
              <w:t>项目属于铸造及其他金属制品制造，不属于《产业结构调整指导目录（20</w:t>
            </w:r>
            <w:r>
              <w:rPr>
                <w:rFonts w:hint="eastAsia"/>
                <w:sz w:val="24"/>
              </w:rPr>
              <w:t>24</w:t>
            </w:r>
            <w:r>
              <w:rPr>
                <w:sz w:val="24"/>
              </w:rPr>
              <w:t>年）》中限制类及淘汰类项目，符合国家产业政策，属于天易经开区鼓励发展产业中的先进装备制造业。</w:t>
            </w:r>
          </w:p>
          <w:p w14:paraId="678ACEA0">
            <w:pPr>
              <w:spacing w:line="360" w:lineRule="auto"/>
              <w:rPr>
                <w:b/>
                <w:bCs/>
                <w:sz w:val="24"/>
              </w:rPr>
            </w:pPr>
            <w:r>
              <w:rPr>
                <w:rFonts w:hint="eastAsia"/>
                <w:b/>
                <w:bCs/>
                <w:sz w:val="24"/>
              </w:rPr>
              <w:t>2</w:t>
            </w:r>
            <w:r>
              <w:rPr>
                <w:b/>
                <w:bCs/>
                <w:sz w:val="24"/>
              </w:rPr>
              <w:t>、天易经济开发区规划符合性分析</w:t>
            </w:r>
          </w:p>
          <w:p w14:paraId="5325CA08">
            <w:pPr>
              <w:spacing w:line="360" w:lineRule="auto"/>
              <w:ind w:firstLine="480" w:firstLineChars="200"/>
              <w:rPr>
                <w:sz w:val="24"/>
              </w:rPr>
            </w:pPr>
            <w:r>
              <w:rPr>
                <w:sz w:val="24"/>
              </w:rPr>
              <w:t>（1）空间布局结构</w:t>
            </w:r>
          </w:p>
          <w:p w14:paraId="6BC4830C">
            <w:pPr>
              <w:spacing w:line="360" w:lineRule="auto"/>
              <w:ind w:firstLine="480" w:firstLineChars="200"/>
              <w:rPr>
                <w:sz w:val="24"/>
              </w:rPr>
            </w:pPr>
            <w:r>
              <w:rPr>
                <w:sz w:val="24"/>
              </w:rPr>
              <w:t>依据湘潭天易经济开发区规划，用地主要围绕海棠路及武广大道建设，整体形成“一心、两轴、四片”的空间布局结构。</w:t>
            </w:r>
          </w:p>
          <w:p w14:paraId="6CE46402">
            <w:pPr>
              <w:spacing w:line="360" w:lineRule="auto"/>
              <w:ind w:firstLine="480" w:firstLineChars="200"/>
              <w:rPr>
                <w:sz w:val="24"/>
              </w:rPr>
            </w:pPr>
            <w:r>
              <w:rPr>
                <w:sz w:val="24"/>
              </w:rPr>
              <w:t>一心：海棠路公共服务中心；</w:t>
            </w:r>
          </w:p>
          <w:p w14:paraId="10DD9C49">
            <w:pPr>
              <w:spacing w:line="360" w:lineRule="auto"/>
              <w:ind w:firstLine="480" w:firstLineChars="200"/>
              <w:rPr>
                <w:sz w:val="24"/>
              </w:rPr>
            </w:pPr>
            <w:r>
              <w:rPr>
                <w:sz w:val="24"/>
              </w:rPr>
              <w:t>两轴：海棠路城市发展轴，武广大道交通联系轴；</w:t>
            </w:r>
          </w:p>
          <w:p w14:paraId="20C1643A">
            <w:pPr>
              <w:spacing w:line="360" w:lineRule="auto"/>
              <w:ind w:firstLine="480" w:firstLineChars="200"/>
              <w:rPr>
                <w:sz w:val="24"/>
              </w:rPr>
            </w:pPr>
            <w:r>
              <w:rPr>
                <w:sz w:val="24"/>
              </w:rPr>
              <w:t>四片：东部先进装备制造片，节能环保产业基地，西部农产品加工及物流基地，新材料产业基地。</w:t>
            </w:r>
          </w:p>
          <w:p w14:paraId="362ED864">
            <w:pPr>
              <w:spacing w:line="360" w:lineRule="auto"/>
              <w:ind w:firstLine="480" w:firstLineChars="200"/>
              <w:rPr>
                <w:sz w:val="24"/>
              </w:rPr>
            </w:pPr>
            <w:r>
              <w:rPr>
                <w:sz w:val="24"/>
              </w:rPr>
              <w:t>（2）产业发展结构</w:t>
            </w:r>
          </w:p>
          <w:p w14:paraId="3E304D91">
            <w:pPr>
              <w:spacing w:line="360" w:lineRule="auto"/>
              <w:ind w:firstLine="480" w:firstLineChars="200"/>
              <w:rPr>
                <w:sz w:val="24"/>
              </w:rPr>
            </w:pPr>
            <w:r>
              <w:rPr>
                <w:sz w:val="24"/>
              </w:rPr>
              <w:t>拟打造“先进装备制造业、农产品精深加工业、现代服务业”三大主导产业，新材料产业、节能环保产业两大战略性新兴产业的“3+2”现代产业体系。其中现代服务业包括现代物流业和专业服务业，专业服务业的主要定位为新材料产业基地和节能环保产业基地，节能环保产业基地的主要定位为聚集工业节能设备、环保设备制造企业，并设立资源再利用中心，引入汽车零部件、机械零部件再制造企业，打造以设备生产和再制造为特色的节能环保产业基地。</w:t>
            </w:r>
          </w:p>
          <w:p w14:paraId="5E1C9A53">
            <w:pPr>
              <w:spacing w:line="360" w:lineRule="auto"/>
              <w:ind w:firstLine="480" w:firstLineChars="200"/>
              <w:rPr>
                <w:u w:val="single"/>
              </w:rPr>
            </w:pPr>
            <w:r>
              <w:rPr>
                <w:sz w:val="24"/>
              </w:rPr>
              <w:t>本项目为</w:t>
            </w:r>
            <w:r>
              <w:rPr>
                <w:rFonts w:hint="eastAsia"/>
                <w:sz w:val="24"/>
              </w:rPr>
              <w:t>金属制品业中的</w:t>
            </w:r>
            <w:r>
              <w:rPr>
                <w:sz w:val="24"/>
              </w:rPr>
              <w:t>铸造及其他金属制品制造</w:t>
            </w:r>
            <w:r>
              <w:rPr>
                <w:rFonts w:hint="eastAsia"/>
                <w:sz w:val="24"/>
              </w:rPr>
              <w:t>，</w:t>
            </w:r>
            <w:r>
              <w:rPr>
                <w:sz w:val="24"/>
              </w:rPr>
              <w:t>属于先进装备制造业，符合湘潭天易经开区发展规划中的产业定位。</w:t>
            </w:r>
          </w:p>
          <w:p w14:paraId="0A595C84">
            <w:pPr>
              <w:pStyle w:val="38"/>
              <w:spacing w:line="360" w:lineRule="auto"/>
              <w:rPr>
                <w:rFonts w:hAnsi="宋体"/>
                <w:b/>
                <w:bCs/>
              </w:rPr>
            </w:pPr>
            <w:r>
              <w:rPr>
                <w:rFonts w:hint="eastAsia" w:hAnsi="宋体"/>
                <w:b/>
                <w:bCs/>
              </w:rPr>
              <w:t>3、与经开区规划环评批复要求相符性分析</w:t>
            </w:r>
          </w:p>
          <w:p w14:paraId="213ED8D2">
            <w:pPr>
              <w:spacing w:line="360" w:lineRule="auto"/>
              <w:ind w:firstLine="480" w:firstLineChars="200"/>
              <w:jc w:val="left"/>
              <w:rPr>
                <w:b/>
                <w:bCs/>
                <w:color w:val="000000"/>
                <w:szCs w:val="21"/>
              </w:rPr>
            </w:pPr>
            <w:r>
              <w:rPr>
                <w:color w:val="000000"/>
                <w:sz w:val="24"/>
              </w:rPr>
              <w:t>根据《关于湖南湘潭天易经济开发区扩区与调整区位环境影响报告书的批复》，本项目与其批复符合性分析详见下：</w:t>
            </w:r>
          </w:p>
          <w:p w14:paraId="0310B1DB">
            <w:pPr>
              <w:jc w:val="center"/>
              <w:rPr>
                <w:color w:val="000000"/>
                <w:szCs w:val="21"/>
              </w:rPr>
            </w:pPr>
            <w:r>
              <w:rPr>
                <w:b/>
                <w:bCs/>
                <w:color w:val="000000"/>
                <w:szCs w:val="21"/>
              </w:rPr>
              <w:t>表1-</w:t>
            </w:r>
            <w:r>
              <w:rPr>
                <w:rFonts w:hint="eastAsia"/>
                <w:b/>
                <w:bCs/>
                <w:color w:val="000000"/>
                <w:szCs w:val="21"/>
              </w:rPr>
              <w:t>2</w:t>
            </w:r>
            <w:r>
              <w:rPr>
                <w:b/>
                <w:bCs/>
                <w:color w:val="000000"/>
                <w:szCs w:val="21"/>
              </w:rPr>
              <w:t xml:space="preserve"> 与天易经开区规划环评批复要求符合性分析</w:t>
            </w:r>
          </w:p>
          <w:tbl>
            <w:tblPr>
              <w:tblStyle w:val="31"/>
              <w:tblW w:w="7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309"/>
              <w:gridCol w:w="2053"/>
              <w:gridCol w:w="690"/>
            </w:tblGrid>
            <w:tr w14:paraId="68C9A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417" w:type="dxa"/>
                  <w:tcBorders>
                    <w:tl2br w:val="nil"/>
                    <w:tr2bl w:val="nil"/>
                  </w:tcBorders>
                  <w:vAlign w:val="center"/>
                </w:tcPr>
                <w:p w14:paraId="3283CF90">
                  <w:pPr>
                    <w:jc w:val="center"/>
                    <w:rPr>
                      <w:szCs w:val="21"/>
                    </w:rPr>
                  </w:pPr>
                  <w:r>
                    <w:rPr>
                      <w:szCs w:val="21"/>
                    </w:rPr>
                    <w:t>序号</w:t>
                  </w:r>
                </w:p>
              </w:tc>
              <w:tc>
                <w:tcPr>
                  <w:tcW w:w="4314" w:type="dxa"/>
                  <w:tcBorders>
                    <w:tl2br w:val="nil"/>
                    <w:tr2bl w:val="nil"/>
                  </w:tcBorders>
                  <w:vAlign w:val="center"/>
                </w:tcPr>
                <w:p w14:paraId="05BE9937">
                  <w:pPr>
                    <w:jc w:val="center"/>
                    <w:rPr>
                      <w:szCs w:val="21"/>
                    </w:rPr>
                  </w:pPr>
                  <w:r>
                    <w:rPr>
                      <w:szCs w:val="21"/>
                    </w:rPr>
                    <w:t>规划环评批复要求</w:t>
                  </w:r>
                </w:p>
              </w:tc>
              <w:tc>
                <w:tcPr>
                  <w:tcW w:w="2056" w:type="dxa"/>
                  <w:tcBorders>
                    <w:tl2br w:val="nil"/>
                    <w:tr2bl w:val="nil"/>
                  </w:tcBorders>
                  <w:vAlign w:val="center"/>
                </w:tcPr>
                <w:p w14:paraId="7C088B8C">
                  <w:pPr>
                    <w:jc w:val="center"/>
                    <w:rPr>
                      <w:szCs w:val="21"/>
                    </w:rPr>
                  </w:pPr>
                  <w:r>
                    <w:rPr>
                      <w:szCs w:val="21"/>
                    </w:rPr>
                    <w:t>本项目情况</w:t>
                  </w:r>
                </w:p>
              </w:tc>
              <w:tc>
                <w:tcPr>
                  <w:tcW w:w="691" w:type="dxa"/>
                  <w:tcBorders>
                    <w:tl2br w:val="nil"/>
                    <w:tr2bl w:val="nil"/>
                  </w:tcBorders>
                  <w:vAlign w:val="center"/>
                </w:tcPr>
                <w:p w14:paraId="6EDE7F61">
                  <w:pPr>
                    <w:jc w:val="center"/>
                    <w:rPr>
                      <w:szCs w:val="21"/>
                    </w:rPr>
                  </w:pPr>
                  <w:r>
                    <w:rPr>
                      <w:szCs w:val="21"/>
                    </w:rPr>
                    <w:t>符合性</w:t>
                  </w:r>
                </w:p>
              </w:tc>
            </w:tr>
            <w:tr w14:paraId="273B7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8" w:hRule="atLeast"/>
                <w:jc w:val="center"/>
              </w:trPr>
              <w:tc>
                <w:tcPr>
                  <w:tcW w:w="417" w:type="dxa"/>
                  <w:tcBorders>
                    <w:tl2br w:val="nil"/>
                    <w:tr2bl w:val="nil"/>
                  </w:tcBorders>
                  <w:vAlign w:val="center"/>
                </w:tcPr>
                <w:p w14:paraId="1A1D517E">
                  <w:pPr>
                    <w:jc w:val="center"/>
                    <w:rPr>
                      <w:szCs w:val="21"/>
                    </w:rPr>
                  </w:pPr>
                  <w:r>
                    <w:rPr>
                      <w:szCs w:val="21"/>
                    </w:rPr>
                    <w:t>1</w:t>
                  </w:r>
                </w:p>
              </w:tc>
              <w:tc>
                <w:tcPr>
                  <w:tcW w:w="4314" w:type="dxa"/>
                  <w:tcBorders>
                    <w:tl2br w:val="nil"/>
                    <w:tr2bl w:val="nil"/>
                  </w:tcBorders>
                  <w:vAlign w:val="center"/>
                </w:tcPr>
                <w:p w14:paraId="71CC0FF5">
                  <w:pPr>
                    <w:jc w:val="left"/>
                    <w:rPr>
                      <w:szCs w:val="21"/>
                    </w:rPr>
                  </w:pPr>
                  <w:r>
                    <w:rPr>
                      <w:szCs w:val="21"/>
                    </w:rPr>
                    <w:t>进一步优化经开区规划布局，经开区各功能区快相对集中，严格按照功能区划和报告书提出的调整建议进行开发建设、处理好经开区内部及与周边工业、生活、配套服务等各功能组团的关系，园区北部居住用地周边禁止引进气型污染企业，做好工业用地与居住用地之间的隔离，确保功能区划明确，产业相对集中，生态环境优良</w:t>
                  </w:r>
                </w:p>
              </w:tc>
              <w:tc>
                <w:tcPr>
                  <w:tcW w:w="2056" w:type="dxa"/>
                  <w:tcBorders>
                    <w:tl2br w:val="nil"/>
                    <w:tr2bl w:val="nil"/>
                  </w:tcBorders>
                  <w:vAlign w:val="center"/>
                </w:tcPr>
                <w:p w14:paraId="3C8D2B41">
                  <w:pPr>
                    <w:jc w:val="left"/>
                    <w:rPr>
                      <w:szCs w:val="21"/>
                    </w:rPr>
                  </w:pPr>
                  <w:r>
                    <w:rPr>
                      <w:szCs w:val="21"/>
                    </w:rPr>
                    <w:t>本项目位于园区中部，周边范围内均为工业厂区</w:t>
                  </w:r>
                </w:p>
              </w:tc>
              <w:tc>
                <w:tcPr>
                  <w:tcW w:w="691" w:type="dxa"/>
                  <w:tcBorders>
                    <w:tl2br w:val="nil"/>
                    <w:tr2bl w:val="nil"/>
                  </w:tcBorders>
                  <w:vAlign w:val="center"/>
                </w:tcPr>
                <w:p w14:paraId="0EC14332">
                  <w:pPr>
                    <w:jc w:val="center"/>
                    <w:rPr>
                      <w:szCs w:val="21"/>
                    </w:rPr>
                  </w:pPr>
                  <w:r>
                    <w:rPr>
                      <w:szCs w:val="21"/>
                    </w:rPr>
                    <w:t>符合</w:t>
                  </w:r>
                </w:p>
              </w:tc>
            </w:tr>
            <w:tr w14:paraId="0EFB3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417" w:type="dxa"/>
                  <w:tcBorders>
                    <w:tl2br w:val="nil"/>
                    <w:tr2bl w:val="nil"/>
                  </w:tcBorders>
                  <w:vAlign w:val="center"/>
                </w:tcPr>
                <w:p w14:paraId="300A435E">
                  <w:pPr>
                    <w:jc w:val="center"/>
                    <w:rPr>
                      <w:szCs w:val="21"/>
                    </w:rPr>
                  </w:pPr>
                  <w:r>
                    <w:rPr>
                      <w:szCs w:val="21"/>
                    </w:rPr>
                    <w:t>2</w:t>
                  </w:r>
                </w:p>
              </w:tc>
              <w:tc>
                <w:tcPr>
                  <w:tcW w:w="4314" w:type="dxa"/>
                  <w:tcBorders>
                    <w:tl2br w:val="nil"/>
                    <w:tr2bl w:val="nil"/>
                  </w:tcBorders>
                  <w:vAlign w:val="center"/>
                </w:tcPr>
                <w:p w14:paraId="14C72E57">
                  <w:pPr>
                    <w:jc w:val="left"/>
                    <w:rPr>
                      <w:szCs w:val="21"/>
                    </w:rPr>
                  </w:pPr>
                  <w:r>
                    <w:rPr>
                      <w:szCs w:val="21"/>
                    </w:rPr>
                    <w:t>严格执行经开区入园企业准入制度，入园项目选址必须符合湖南省湘江保护条例、经开区总体规划、用地规划、环保规划及产业定位总体要求、不得引进国家明令淘汰和禁止发展的能耗物耗高、环境污染严重、不符合产业政策的建设项目，经开区禁止引进三类工业和外排水污染物涉及重金属和持久性有机物的项目，严格控制发展气型污染企业，严格限制排水量大，以氨氮为特征污染物和水循环利用率低的企业及项目进入。经开区管委会和地方环保行政主管部门必须严格按照报告书提出的具体准入条件做好项目的招商把关，在入园项目前期和建设期，必须严格执行建设项目环境影响评价和环保“三同时”管理制度，推行清洁生产工艺，确保入园企业排污浓度、总量满足达标排放和总量控制要求；加强对现有已入园企业的环境监管，对已建设项目进行清理，按报告书要求对现有园区及调扩区域内不符合产业定位，涉及重污染企业限期退出，并妥善解决原厂址遗留环境问题。</w:t>
                  </w:r>
                </w:p>
              </w:tc>
              <w:tc>
                <w:tcPr>
                  <w:tcW w:w="2056" w:type="dxa"/>
                  <w:tcBorders>
                    <w:tl2br w:val="nil"/>
                    <w:tr2bl w:val="nil"/>
                  </w:tcBorders>
                  <w:vAlign w:val="center"/>
                </w:tcPr>
                <w:p w14:paraId="38497422">
                  <w:pPr>
                    <w:jc w:val="left"/>
                    <w:rPr>
                      <w:szCs w:val="21"/>
                    </w:rPr>
                  </w:pPr>
                  <w:r>
                    <w:rPr>
                      <w:szCs w:val="21"/>
                    </w:rPr>
                    <w:t>项目选址均符合湖南省湘江保护条例、经开区总体规划、用地规划、环保规划及产业定位总体要求；符合产业政策；不属于三类工业，无生产废水外排；项目将严格执行建设项目环境影响评价和环保“三同时”管理制度。</w:t>
                  </w:r>
                </w:p>
              </w:tc>
              <w:tc>
                <w:tcPr>
                  <w:tcW w:w="691" w:type="dxa"/>
                  <w:tcBorders>
                    <w:tl2br w:val="nil"/>
                    <w:tr2bl w:val="nil"/>
                  </w:tcBorders>
                  <w:vAlign w:val="center"/>
                </w:tcPr>
                <w:p w14:paraId="74F8FC7D">
                  <w:pPr>
                    <w:jc w:val="center"/>
                    <w:rPr>
                      <w:szCs w:val="21"/>
                    </w:rPr>
                  </w:pPr>
                  <w:r>
                    <w:rPr>
                      <w:szCs w:val="21"/>
                    </w:rPr>
                    <w:t>符合</w:t>
                  </w:r>
                </w:p>
              </w:tc>
            </w:tr>
            <w:tr w14:paraId="2B766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1" w:hRule="atLeast"/>
                <w:jc w:val="center"/>
              </w:trPr>
              <w:tc>
                <w:tcPr>
                  <w:tcW w:w="417" w:type="dxa"/>
                  <w:tcBorders>
                    <w:tl2br w:val="nil"/>
                    <w:tr2bl w:val="nil"/>
                  </w:tcBorders>
                  <w:vAlign w:val="center"/>
                </w:tcPr>
                <w:p w14:paraId="560045EC">
                  <w:pPr>
                    <w:jc w:val="center"/>
                    <w:rPr>
                      <w:szCs w:val="21"/>
                    </w:rPr>
                  </w:pPr>
                  <w:r>
                    <w:rPr>
                      <w:szCs w:val="21"/>
                    </w:rPr>
                    <w:t>3</w:t>
                  </w:r>
                </w:p>
              </w:tc>
              <w:tc>
                <w:tcPr>
                  <w:tcW w:w="4314" w:type="dxa"/>
                  <w:tcBorders>
                    <w:tl2br w:val="nil"/>
                    <w:tr2bl w:val="nil"/>
                  </w:tcBorders>
                  <w:vAlign w:val="center"/>
                </w:tcPr>
                <w:p w14:paraId="63875CE1">
                  <w:pPr>
                    <w:jc w:val="left"/>
                    <w:rPr>
                      <w:szCs w:val="21"/>
                    </w:rPr>
                  </w:pPr>
                  <w:r>
                    <w:rPr>
                      <w:szCs w:val="21"/>
                    </w:rPr>
                    <w:t>做好经开区水污染综合防治，经开区排水实施“雨污分流”，进一步推进经开区内各企业水循环利用工作，减少外排废水量；经开区污水纳入湘潭县污水处理厂处理，管委会及地方环保主管部门应加强进水水质标准管理，确保经开区工业废水及生活污水经预处理达到行业排水标准及《污水综合排放标准》（GB8978-1996）三级标准后排入污水管网，其中第一类污染物在车间排放口达到《污水综合排放标准》（GB8978-1996）表1 规定的最高允许排放浓度限值要求。地方政府、经开区管委会应加快实施湘潭县污水处理厂扩容提标改造和经开区排水管网建设完善工作，污水处理厂出水控制水质应提标至《城镇污水处理厂污染物排放标准》（GB18918-2002）中的一级 A 标准。在管网未配套到位，废水不能接入污水处理厂正常处理的区域，应禁止引进企业。</w:t>
                  </w:r>
                </w:p>
              </w:tc>
              <w:tc>
                <w:tcPr>
                  <w:tcW w:w="2056" w:type="dxa"/>
                  <w:tcBorders>
                    <w:tl2br w:val="nil"/>
                    <w:tr2bl w:val="nil"/>
                  </w:tcBorders>
                  <w:vAlign w:val="center"/>
                </w:tcPr>
                <w:p w14:paraId="5B02FE07">
                  <w:pPr>
                    <w:jc w:val="left"/>
                    <w:rPr>
                      <w:szCs w:val="21"/>
                    </w:rPr>
                  </w:pPr>
                  <w:r>
                    <w:rPr>
                      <w:szCs w:val="21"/>
                    </w:rPr>
                    <w:t>项目厂区内排水采用雨污分流制。雨水经厂区内雨水管道排入市政雨水管网；无外排生产废水；生活污水依托</w:t>
                  </w:r>
                  <w:r>
                    <w:rPr>
                      <w:rFonts w:hint="eastAsia"/>
                      <w:szCs w:val="21"/>
                    </w:rPr>
                    <w:t>园</w:t>
                  </w:r>
                  <w:r>
                    <w:rPr>
                      <w:szCs w:val="21"/>
                    </w:rPr>
                    <w:t>区现有化粪池处理后排入市政污水管网，进入湘潭县第一污水处理厂进一步处理达标后外排。</w:t>
                  </w:r>
                </w:p>
              </w:tc>
              <w:tc>
                <w:tcPr>
                  <w:tcW w:w="691" w:type="dxa"/>
                  <w:tcBorders>
                    <w:tl2br w:val="nil"/>
                    <w:tr2bl w:val="nil"/>
                  </w:tcBorders>
                  <w:vAlign w:val="center"/>
                </w:tcPr>
                <w:p w14:paraId="1CD827AA">
                  <w:pPr>
                    <w:jc w:val="center"/>
                    <w:rPr>
                      <w:szCs w:val="21"/>
                    </w:rPr>
                  </w:pPr>
                  <w:r>
                    <w:rPr>
                      <w:szCs w:val="21"/>
                    </w:rPr>
                    <w:t>符合</w:t>
                  </w:r>
                </w:p>
              </w:tc>
            </w:tr>
            <w:tr w14:paraId="6C141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3" w:hRule="atLeast"/>
                <w:jc w:val="center"/>
              </w:trPr>
              <w:tc>
                <w:tcPr>
                  <w:tcW w:w="417" w:type="dxa"/>
                  <w:tcBorders>
                    <w:tl2br w:val="nil"/>
                    <w:tr2bl w:val="nil"/>
                  </w:tcBorders>
                  <w:vAlign w:val="center"/>
                </w:tcPr>
                <w:p w14:paraId="781DB0B4">
                  <w:pPr>
                    <w:jc w:val="center"/>
                    <w:rPr>
                      <w:szCs w:val="21"/>
                    </w:rPr>
                  </w:pPr>
                  <w:r>
                    <w:rPr>
                      <w:szCs w:val="21"/>
                    </w:rPr>
                    <w:t>4</w:t>
                  </w:r>
                </w:p>
              </w:tc>
              <w:tc>
                <w:tcPr>
                  <w:tcW w:w="4314" w:type="dxa"/>
                  <w:tcBorders>
                    <w:tl2br w:val="nil"/>
                    <w:tr2bl w:val="nil"/>
                  </w:tcBorders>
                  <w:vAlign w:val="center"/>
                </w:tcPr>
                <w:p w14:paraId="2610ECBE">
                  <w:pPr>
                    <w:jc w:val="left"/>
                    <w:rPr>
                      <w:szCs w:val="21"/>
                    </w:rPr>
                  </w:pPr>
                  <w:r>
                    <w:rPr>
                      <w:szCs w:val="21"/>
                    </w:rPr>
                    <w:t>做好经开区大气污染控制措施，经开区应积极推广清洁能源、严格限制燃煤企业进入，逐步改造现有燃煤企业，实现生产、生活无煤化。加强企业管理，对各企业有工艺废气产出的生产节点，应督促其配置废气收集与处理净化装置，做到达标排放；加强生产工艺研究与技术改进，采取有效措施，减少工艺废气的无组织排放，入园企业各生产装置排放的废气须经处理达到相应的行业排放标准及《大气污染物综合排放标准》中的二级标准要求；合理优化工业布局，将气型污染相对明显，涉重气型污染的企业布置在远离居住等环境敏感区域的位置，并在工业企业之间设置合理的间隔距离，减轻相互影响。</w:t>
                  </w:r>
                </w:p>
              </w:tc>
              <w:tc>
                <w:tcPr>
                  <w:tcW w:w="2056" w:type="dxa"/>
                  <w:tcBorders>
                    <w:tl2br w:val="nil"/>
                    <w:tr2bl w:val="nil"/>
                  </w:tcBorders>
                  <w:vAlign w:val="center"/>
                </w:tcPr>
                <w:p w14:paraId="7256F888">
                  <w:pPr>
                    <w:jc w:val="left"/>
                    <w:rPr>
                      <w:szCs w:val="21"/>
                    </w:rPr>
                  </w:pPr>
                  <w:r>
                    <w:rPr>
                      <w:szCs w:val="21"/>
                    </w:rPr>
                    <w:t>企业不涉及燃煤。废气产污节点均配置废气收集装置和净化装置，处理后达标排放。项目远离居民点，对敏感区域影响小</w:t>
                  </w:r>
                </w:p>
              </w:tc>
              <w:tc>
                <w:tcPr>
                  <w:tcW w:w="691" w:type="dxa"/>
                  <w:tcBorders>
                    <w:tl2br w:val="nil"/>
                    <w:tr2bl w:val="nil"/>
                  </w:tcBorders>
                  <w:vAlign w:val="center"/>
                </w:tcPr>
                <w:p w14:paraId="0D896C80">
                  <w:pPr>
                    <w:jc w:val="center"/>
                    <w:rPr>
                      <w:szCs w:val="21"/>
                    </w:rPr>
                  </w:pPr>
                  <w:r>
                    <w:rPr>
                      <w:szCs w:val="21"/>
                    </w:rPr>
                    <w:t>符合</w:t>
                  </w:r>
                </w:p>
              </w:tc>
            </w:tr>
            <w:tr w14:paraId="1283E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3" w:hRule="atLeast"/>
                <w:jc w:val="center"/>
              </w:trPr>
              <w:tc>
                <w:tcPr>
                  <w:tcW w:w="417" w:type="dxa"/>
                  <w:tcBorders>
                    <w:tl2br w:val="nil"/>
                    <w:tr2bl w:val="nil"/>
                  </w:tcBorders>
                  <w:vAlign w:val="center"/>
                </w:tcPr>
                <w:p w14:paraId="5ACED17E">
                  <w:pPr>
                    <w:jc w:val="center"/>
                    <w:rPr>
                      <w:szCs w:val="21"/>
                    </w:rPr>
                  </w:pPr>
                  <w:r>
                    <w:rPr>
                      <w:szCs w:val="21"/>
                    </w:rPr>
                    <w:t>5</w:t>
                  </w:r>
                </w:p>
              </w:tc>
              <w:tc>
                <w:tcPr>
                  <w:tcW w:w="4314" w:type="dxa"/>
                  <w:tcBorders>
                    <w:tl2br w:val="nil"/>
                    <w:tr2bl w:val="nil"/>
                  </w:tcBorders>
                  <w:vAlign w:val="center"/>
                </w:tcPr>
                <w:p w14:paraId="4B47A850">
                  <w:pPr>
                    <w:jc w:val="left"/>
                    <w:rPr>
                      <w:szCs w:val="21"/>
                    </w:rPr>
                  </w:pPr>
                  <w:r>
                    <w:rPr>
                      <w:szCs w:val="21"/>
                    </w:rPr>
                    <w:t>做好经开区工业固体废物和生活垃圾处理，建立统一的固废收集、贮运、运输、综合利用和安全处置的运营管理体系。推进清洁生产，减少固体废物产生量；加强固体废物的资源化进程，提高综合利用率；规范固体废物处理措施，对工业企业产生的固体废物特别是危险固废应按国家有关规定综合利用或妥善处置，严防二次污染</w:t>
                  </w:r>
                </w:p>
              </w:tc>
              <w:tc>
                <w:tcPr>
                  <w:tcW w:w="2056" w:type="dxa"/>
                  <w:tcBorders>
                    <w:tl2br w:val="nil"/>
                    <w:tr2bl w:val="nil"/>
                  </w:tcBorders>
                  <w:vAlign w:val="center"/>
                </w:tcPr>
                <w:p w14:paraId="1710E13A">
                  <w:pPr>
                    <w:jc w:val="left"/>
                    <w:rPr>
                      <w:szCs w:val="21"/>
                    </w:rPr>
                  </w:pPr>
                  <w:r>
                    <w:rPr>
                      <w:szCs w:val="21"/>
                    </w:rPr>
                    <w:t>严格执行工业固体废物和生活垃圾的分类收集、转运、综合利用和无害化处理；建设危险废物暂存间，危险废物委托给有资质的单位进行处理</w:t>
                  </w:r>
                </w:p>
              </w:tc>
              <w:tc>
                <w:tcPr>
                  <w:tcW w:w="691" w:type="dxa"/>
                  <w:tcBorders>
                    <w:tl2br w:val="nil"/>
                    <w:tr2bl w:val="nil"/>
                  </w:tcBorders>
                  <w:vAlign w:val="center"/>
                </w:tcPr>
                <w:p w14:paraId="7D9D3194">
                  <w:pPr>
                    <w:jc w:val="center"/>
                    <w:rPr>
                      <w:szCs w:val="21"/>
                    </w:rPr>
                  </w:pPr>
                  <w:r>
                    <w:rPr>
                      <w:szCs w:val="21"/>
                    </w:rPr>
                    <w:t>符合</w:t>
                  </w:r>
                </w:p>
              </w:tc>
            </w:tr>
            <w:tr w14:paraId="7D81F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417" w:type="dxa"/>
                  <w:tcBorders>
                    <w:tl2br w:val="nil"/>
                    <w:tr2bl w:val="nil"/>
                  </w:tcBorders>
                  <w:vAlign w:val="center"/>
                </w:tcPr>
                <w:p w14:paraId="6A48C465">
                  <w:pPr>
                    <w:jc w:val="center"/>
                    <w:rPr>
                      <w:szCs w:val="21"/>
                    </w:rPr>
                  </w:pPr>
                  <w:r>
                    <w:rPr>
                      <w:szCs w:val="21"/>
                    </w:rPr>
                    <w:t>6</w:t>
                  </w:r>
                </w:p>
              </w:tc>
              <w:tc>
                <w:tcPr>
                  <w:tcW w:w="4314" w:type="dxa"/>
                  <w:tcBorders>
                    <w:tl2br w:val="nil"/>
                    <w:tr2bl w:val="nil"/>
                  </w:tcBorders>
                  <w:vAlign w:val="center"/>
                </w:tcPr>
                <w:p w14:paraId="04A34EBB">
                  <w:pPr>
                    <w:jc w:val="left"/>
                    <w:rPr>
                      <w:szCs w:val="21"/>
                    </w:rPr>
                  </w:pPr>
                  <w:r>
                    <w:rPr>
                      <w:szCs w:val="21"/>
                    </w:rPr>
                    <w:t>经开区要建立专职环境监督管理机构，建立</w:t>
                  </w:r>
                </w:p>
                <w:p w14:paraId="08100EF7">
                  <w:pPr>
                    <w:jc w:val="left"/>
                    <w:rPr>
                      <w:szCs w:val="21"/>
                    </w:rPr>
                  </w:pPr>
                  <w:r>
                    <w:rPr>
                      <w:szCs w:val="21"/>
                    </w:rPr>
                    <w:t>健全环境风险事故防范措施和应急预案，严</w:t>
                  </w:r>
                </w:p>
                <w:p w14:paraId="6B1AC197">
                  <w:pPr>
                    <w:jc w:val="left"/>
                    <w:rPr>
                      <w:szCs w:val="21"/>
                    </w:rPr>
                  </w:pPr>
                  <w:r>
                    <w:rPr>
                      <w:szCs w:val="21"/>
                    </w:rPr>
                    <w:t>防环境风险事故发生</w:t>
                  </w:r>
                </w:p>
              </w:tc>
              <w:tc>
                <w:tcPr>
                  <w:tcW w:w="2056" w:type="dxa"/>
                  <w:tcBorders>
                    <w:tl2br w:val="nil"/>
                    <w:tr2bl w:val="nil"/>
                  </w:tcBorders>
                  <w:vAlign w:val="center"/>
                </w:tcPr>
                <w:p w14:paraId="7C81AFF8">
                  <w:pPr>
                    <w:jc w:val="left"/>
                    <w:rPr>
                      <w:szCs w:val="21"/>
                    </w:rPr>
                  </w:pPr>
                  <w:r>
                    <w:rPr>
                      <w:szCs w:val="21"/>
                    </w:rPr>
                    <w:t>项目投产后，根据相关要求编制环境风险应急预案，并落实相关风险防范措施</w:t>
                  </w:r>
                </w:p>
              </w:tc>
              <w:tc>
                <w:tcPr>
                  <w:tcW w:w="691" w:type="dxa"/>
                  <w:tcBorders>
                    <w:tl2br w:val="nil"/>
                    <w:tr2bl w:val="nil"/>
                  </w:tcBorders>
                  <w:vAlign w:val="center"/>
                </w:tcPr>
                <w:p w14:paraId="1648AF83">
                  <w:pPr>
                    <w:jc w:val="center"/>
                    <w:rPr>
                      <w:szCs w:val="21"/>
                    </w:rPr>
                  </w:pPr>
                  <w:r>
                    <w:rPr>
                      <w:szCs w:val="21"/>
                    </w:rPr>
                    <w:t>符合</w:t>
                  </w:r>
                </w:p>
              </w:tc>
            </w:tr>
            <w:tr w14:paraId="21927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417" w:type="dxa"/>
                  <w:tcBorders>
                    <w:tl2br w:val="nil"/>
                    <w:tr2bl w:val="nil"/>
                  </w:tcBorders>
                  <w:vAlign w:val="center"/>
                </w:tcPr>
                <w:p w14:paraId="7DCD0D88">
                  <w:pPr>
                    <w:jc w:val="center"/>
                    <w:rPr>
                      <w:szCs w:val="21"/>
                    </w:rPr>
                  </w:pPr>
                  <w:r>
                    <w:rPr>
                      <w:szCs w:val="21"/>
                    </w:rPr>
                    <w:t>7</w:t>
                  </w:r>
                </w:p>
              </w:tc>
              <w:tc>
                <w:tcPr>
                  <w:tcW w:w="4314" w:type="dxa"/>
                  <w:tcBorders>
                    <w:tl2br w:val="nil"/>
                    <w:tr2bl w:val="nil"/>
                  </w:tcBorders>
                  <w:vAlign w:val="center"/>
                </w:tcPr>
                <w:p w14:paraId="3E8D12D1">
                  <w:pPr>
                    <w:jc w:val="left"/>
                    <w:rPr>
                      <w:szCs w:val="21"/>
                    </w:rPr>
                  </w:pPr>
                  <w:r>
                    <w:rPr>
                      <w:szCs w:val="21"/>
                    </w:rPr>
                    <w:t>合理有序安排经开区开发进度。按经开区的开发规划统筹制定拆迁安置方案，落实移民生产生活安置措施，防止移民再次安置和次生环境问题</w:t>
                  </w:r>
                </w:p>
              </w:tc>
              <w:tc>
                <w:tcPr>
                  <w:tcW w:w="2056" w:type="dxa"/>
                  <w:tcBorders>
                    <w:tl2br w:val="nil"/>
                    <w:tr2bl w:val="nil"/>
                  </w:tcBorders>
                  <w:vAlign w:val="center"/>
                </w:tcPr>
                <w:p w14:paraId="4517B1DE">
                  <w:pPr>
                    <w:jc w:val="left"/>
                    <w:rPr>
                      <w:szCs w:val="21"/>
                    </w:rPr>
                  </w:pPr>
                  <w:r>
                    <w:rPr>
                      <w:szCs w:val="21"/>
                    </w:rPr>
                    <w:t>项目不涉及拆迁。</w:t>
                  </w:r>
                </w:p>
              </w:tc>
              <w:tc>
                <w:tcPr>
                  <w:tcW w:w="691" w:type="dxa"/>
                  <w:tcBorders>
                    <w:tl2br w:val="nil"/>
                    <w:tr2bl w:val="nil"/>
                  </w:tcBorders>
                  <w:vAlign w:val="center"/>
                </w:tcPr>
                <w:p w14:paraId="390F789A">
                  <w:pPr>
                    <w:jc w:val="center"/>
                    <w:rPr>
                      <w:szCs w:val="21"/>
                    </w:rPr>
                  </w:pPr>
                  <w:r>
                    <w:rPr>
                      <w:szCs w:val="21"/>
                    </w:rPr>
                    <w:t>符合</w:t>
                  </w:r>
                </w:p>
              </w:tc>
            </w:tr>
            <w:tr w14:paraId="5CCA7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8" w:hRule="atLeast"/>
                <w:jc w:val="center"/>
              </w:trPr>
              <w:tc>
                <w:tcPr>
                  <w:tcW w:w="417" w:type="dxa"/>
                  <w:tcBorders>
                    <w:tl2br w:val="nil"/>
                    <w:tr2bl w:val="nil"/>
                  </w:tcBorders>
                  <w:vAlign w:val="center"/>
                </w:tcPr>
                <w:p w14:paraId="0AB09DE3">
                  <w:pPr>
                    <w:jc w:val="center"/>
                    <w:rPr>
                      <w:szCs w:val="21"/>
                    </w:rPr>
                  </w:pPr>
                  <w:r>
                    <w:rPr>
                      <w:szCs w:val="21"/>
                    </w:rPr>
                    <w:t>8</w:t>
                  </w:r>
                </w:p>
              </w:tc>
              <w:tc>
                <w:tcPr>
                  <w:tcW w:w="4314" w:type="dxa"/>
                  <w:tcBorders>
                    <w:tl2br w:val="nil"/>
                    <w:tr2bl w:val="nil"/>
                  </w:tcBorders>
                  <w:vAlign w:val="center"/>
                </w:tcPr>
                <w:p w14:paraId="34A5D087">
                  <w:pPr>
                    <w:jc w:val="left"/>
                    <w:rPr>
                      <w:szCs w:val="21"/>
                    </w:rPr>
                  </w:pPr>
                  <w:r>
                    <w:rPr>
                      <w:szCs w:val="21"/>
                    </w:rPr>
                    <w:t>经开区建设过程中，应按规划及报告书提出的生态保护、景观设计和功能分区要求保留一定的自然山体绿地；施工期保护好山体、树林和耕地等不受破坏；土石方开挖、堆存及回填要实施围挡、护坡等措施，裸露地及时恢复植被、防止水土流失。</w:t>
                  </w:r>
                </w:p>
              </w:tc>
              <w:tc>
                <w:tcPr>
                  <w:tcW w:w="2056" w:type="dxa"/>
                  <w:tcBorders>
                    <w:tl2br w:val="nil"/>
                    <w:tr2bl w:val="nil"/>
                  </w:tcBorders>
                  <w:vAlign w:val="center"/>
                </w:tcPr>
                <w:p w14:paraId="583D9452">
                  <w:pPr>
                    <w:jc w:val="left"/>
                    <w:rPr>
                      <w:szCs w:val="21"/>
                    </w:rPr>
                  </w:pPr>
                  <w:r>
                    <w:rPr>
                      <w:szCs w:val="21"/>
                    </w:rPr>
                    <w:t>本项目生产厂房已建，本次工程施工期只对厂房进行必要的装修及设备安装，无土建施工。</w:t>
                  </w:r>
                </w:p>
              </w:tc>
              <w:tc>
                <w:tcPr>
                  <w:tcW w:w="691" w:type="dxa"/>
                  <w:tcBorders>
                    <w:tl2br w:val="nil"/>
                    <w:tr2bl w:val="nil"/>
                  </w:tcBorders>
                  <w:vAlign w:val="center"/>
                </w:tcPr>
                <w:p w14:paraId="4D70005B">
                  <w:pPr>
                    <w:jc w:val="center"/>
                    <w:rPr>
                      <w:szCs w:val="21"/>
                    </w:rPr>
                  </w:pPr>
                  <w:r>
                    <w:rPr>
                      <w:szCs w:val="21"/>
                    </w:rPr>
                    <w:t>符合</w:t>
                  </w:r>
                </w:p>
              </w:tc>
            </w:tr>
          </w:tbl>
          <w:p w14:paraId="5D96C734">
            <w:pPr>
              <w:spacing w:line="360" w:lineRule="auto"/>
              <w:rPr>
                <w:b/>
                <w:bCs/>
                <w:sz w:val="24"/>
                <w:u w:val="single"/>
              </w:rPr>
            </w:pPr>
            <w:r>
              <w:rPr>
                <w:b/>
                <w:bCs/>
                <w:sz w:val="24"/>
              </w:rPr>
              <w:t>4、</w:t>
            </w:r>
            <w:r>
              <w:rPr>
                <w:b/>
                <w:bCs/>
                <w:sz w:val="24"/>
                <w:u w:val="single"/>
              </w:rPr>
              <w:t>与《湖南湘潭天易经济开发区环境影响跟踪评价报告书》的符合性分析</w:t>
            </w:r>
          </w:p>
          <w:p w14:paraId="7C64ECA7">
            <w:pPr>
              <w:spacing w:line="360" w:lineRule="auto"/>
              <w:ind w:firstLine="480" w:firstLineChars="200"/>
              <w:rPr>
                <w:sz w:val="24"/>
                <w:u w:val="single"/>
              </w:rPr>
            </w:pPr>
            <w:r>
              <w:rPr>
                <w:sz w:val="24"/>
                <w:u w:val="single"/>
              </w:rPr>
              <w:t>2021 年湖南湘潭天易经济开发区管理委员会决定对湖南湘潭天易经济技术开发区开展环境影响跟踪评价，并取得了《湖南省生态环境厅关于湖南湘潭天易经济开发区环境影响跟踪评价工作意见的函》（湘环评函[2022]88 号），本项目与其的符合性分析见下表。</w:t>
            </w:r>
          </w:p>
          <w:p w14:paraId="46D7CFE8">
            <w:pPr>
              <w:spacing w:line="360" w:lineRule="auto"/>
              <w:jc w:val="center"/>
              <w:rPr>
                <w:b/>
                <w:bCs/>
                <w:szCs w:val="21"/>
                <w:u w:val="single"/>
              </w:rPr>
            </w:pPr>
            <w:r>
              <w:rPr>
                <w:b/>
                <w:bCs/>
                <w:szCs w:val="21"/>
                <w:u w:val="single"/>
              </w:rPr>
              <w:t>表1-</w:t>
            </w:r>
            <w:r>
              <w:rPr>
                <w:rFonts w:hint="eastAsia"/>
                <w:b/>
                <w:bCs/>
                <w:szCs w:val="21"/>
                <w:u w:val="single"/>
              </w:rPr>
              <w:t>3</w:t>
            </w:r>
            <w:r>
              <w:rPr>
                <w:b/>
                <w:bCs/>
                <w:szCs w:val="21"/>
                <w:u w:val="single"/>
              </w:rPr>
              <w:t xml:space="preserve">  与环境影响跟踪评价工作意见的函符合性分析</w:t>
            </w:r>
          </w:p>
          <w:tbl>
            <w:tblPr>
              <w:tblStyle w:val="31"/>
              <w:tblW w:w="7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47"/>
              <w:gridCol w:w="2114"/>
              <w:gridCol w:w="691"/>
            </w:tblGrid>
            <w:tr w14:paraId="34EE5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417" w:type="dxa"/>
                  <w:tcBorders>
                    <w:tl2br w:val="nil"/>
                    <w:tr2bl w:val="nil"/>
                  </w:tcBorders>
                  <w:vAlign w:val="center"/>
                </w:tcPr>
                <w:p w14:paraId="604FE041">
                  <w:pPr>
                    <w:jc w:val="center"/>
                    <w:rPr>
                      <w:szCs w:val="21"/>
                      <w:u w:val="single"/>
                    </w:rPr>
                  </w:pPr>
                  <w:r>
                    <w:rPr>
                      <w:szCs w:val="21"/>
                      <w:u w:val="single"/>
                    </w:rPr>
                    <w:t>序号</w:t>
                  </w:r>
                </w:p>
              </w:tc>
              <w:tc>
                <w:tcPr>
                  <w:tcW w:w="4253" w:type="dxa"/>
                  <w:tcBorders>
                    <w:tl2br w:val="nil"/>
                    <w:tr2bl w:val="nil"/>
                  </w:tcBorders>
                  <w:vAlign w:val="center"/>
                </w:tcPr>
                <w:p w14:paraId="735B09CF">
                  <w:pPr>
                    <w:jc w:val="center"/>
                    <w:rPr>
                      <w:szCs w:val="21"/>
                      <w:u w:val="single"/>
                    </w:rPr>
                  </w:pPr>
                  <w:r>
                    <w:rPr>
                      <w:szCs w:val="21"/>
                      <w:u w:val="single"/>
                    </w:rPr>
                    <w:t>环境影响跟踪评价工作意见</w:t>
                  </w:r>
                </w:p>
              </w:tc>
              <w:tc>
                <w:tcPr>
                  <w:tcW w:w="2117" w:type="dxa"/>
                  <w:tcBorders>
                    <w:tl2br w:val="nil"/>
                    <w:tr2bl w:val="nil"/>
                  </w:tcBorders>
                  <w:vAlign w:val="center"/>
                </w:tcPr>
                <w:p w14:paraId="06942F22">
                  <w:pPr>
                    <w:jc w:val="center"/>
                    <w:rPr>
                      <w:szCs w:val="21"/>
                      <w:u w:val="single"/>
                    </w:rPr>
                  </w:pPr>
                  <w:r>
                    <w:rPr>
                      <w:szCs w:val="21"/>
                      <w:u w:val="single"/>
                    </w:rPr>
                    <w:t>本项目情况</w:t>
                  </w:r>
                </w:p>
              </w:tc>
              <w:tc>
                <w:tcPr>
                  <w:tcW w:w="691" w:type="dxa"/>
                  <w:tcBorders>
                    <w:tl2br w:val="nil"/>
                    <w:tr2bl w:val="nil"/>
                  </w:tcBorders>
                  <w:vAlign w:val="center"/>
                </w:tcPr>
                <w:p w14:paraId="7DE0D23C">
                  <w:pPr>
                    <w:jc w:val="center"/>
                    <w:rPr>
                      <w:szCs w:val="21"/>
                      <w:u w:val="single"/>
                    </w:rPr>
                  </w:pPr>
                  <w:r>
                    <w:rPr>
                      <w:szCs w:val="21"/>
                      <w:u w:val="single"/>
                    </w:rPr>
                    <w:t>符合性</w:t>
                  </w:r>
                </w:p>
              </w:tc>
            </w:tr>
            <w:tr w14:paraId="3EA8E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8" w:hRule="atLeast"/>
                <w:jc w:val="center"/>
              </w:trPr>
              <w:tc>
                <w:tcPr>
                  <w:tcW w:w="417" w:type="dxa"/>
                  <w:tcBorders>
                    <w:tl2br w:val="nil"/>
                    <w:tr2bl w:val="nil"/>
                  </w:tcBorders>
                  <w:vAlign w:val="center"/>
                </w:tcPr>
                <w:p w14:paraId="35DC87D9">
                  <w:pPr>
                    <w:jc w:val="center"/>
                    <w:rPr>
                      <w:szCs w:val="21"/>
                      <w:u w:val="single"/>
                    </w:rPr>
                  </w:pPr>
                  <w:r>
                    <w:rPr>
                      <w:szCs w:val="21"/>
                      <w:u w:val="single"/>
                    </w:rPr>
                    <w:t>1</w:t>
                  </w:r>
                </w:p>
              </w:tc>
              <w:tc>
                <w:tcPr>
                  <w:tcW w:w="4253" w:type="dxa"/>
                  <w:tcBorders>
                    <w:tl2br w:val="nil"/>
                    <w:tr2bl w:val="nil"/>
                  </w:tcBorders>
                  <w:vAlign w:val="center"/>
                </w:tcPr>
                <w:p w14:paraId="6854536A">
                  <w:pPr>
                    <w:jc w:val="left"/>
                    <w:rPr>
                      <w:szCs w:val="21"/>
                      <w:u w:val="single"/>
                    </w:rPr>
                  </w:pPr>
                  <w:r>
                    <w:rPr>
                      <w:szCs w:val="21"/>
                      <w:u w:val="single"/>
                    </w:rPr>
                    <w:t>(一) 按程序做好园区规划调整。园区核准面积开发程度较高，园区北部已与县城融合，周边存在大量居住区，未来应进一步优化空间布局，将影响较大的工业项目向园区南部、西部布局但应重点关注和采取措施避免工业污染排放对园区南部邻近的湘潭县第九中学、湘潭县职业技术学校的影响，园区应结合2022年重新核准的产业园区边界面积及四至范围适时重新启动规划调整并开展规划环评，重点做好园区与城区之间的边界管理，推动园区整体连片发展，从生态环境相容性角度统筹考虑</w:t>
                  </w:r>
                </w:p>
                <w:p w14:paraId="06110392">
                  <w:pPr>
                    <w:jc w:val="left"/>
                    <w:rPr>
                      <w:szCs w:val="21"/>
                      <w:u w:val="single"/>
                    </w:rPr>
                  </w:pPr>
                  <w:r>
                    <w:rPr>
                      <w:szCs w:val="21"/>
                      <w:u w:val="single"/>
                    </w:rPr>
                    <w:t>区域功能布局，逐步减少园区周边环境敏感目标，减小工业开发对城市居住及社会服务功能的影响。</w:t>
                  </w:r>
                </w:p>
              </w:tc>
              <w:tc>
                <w:tcPr>
                  <w:tcW w:w="2117" w:type="dxa"/>
                  <w:tcBorders>
                    <w:tl2br w:val="nil"/>
                    <w:tr2bl w:val="nil"/>
                  </w:tcBorders>
                  <w:vAlign w:val="center"/>
                </w:tcPr>
                <w:p w14:paraId="55C2A765">
                  <w:pPr>
                    <w:jc w:val="center"/>
                    <w:rPr>
                      <w:szCs w:val="21"/>
                      <w:u w:val="single"/>
                    </w:rPr>
                  </w:pPr>
                  <w:r>
                    <w:rPr>
                      <w:szCs w:val="21"/>
                      <w:u w:val="single"/>
                    </w:rPr>
                    <w:t>本项目不涉及</w:t>
                  </w:r>
                </w:p>
              </w:tc>
              <w:tc>
                <w:tcPr>
                  <w:tcW w:w="691" w:type="dxa"/>
                  <w:tcBorders>
                    <w:tl2br w:val="nil"/>
                    <w:tr2bl w:val="nil"/>
                  </w:tcBorders>
                  <w:vAlign w:val="center"/>
                </w:tcPr>
                <w:p w14:paraId="279C9FBD">
                  <w:pPr>
                    <w:jc w:val="center"/>
                    <w:rPr>
                      <w:szCs w:val="21"/>
                      <w:u w:val="single"/>
                    </w:rPr>
                  </w:pPr>
                  <w:r>
                    <w:rPr>
                      <w:szCs w:val="21"/>
                      <w:u w:val="single"/>
                    </w:rPr>
                    <w:t>符合</w:t>
                  </w:r>
                </w:p>
              </w:tc>
            </w:tr>
            <w:tr w14:paraId="3B77D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417" w:type="dxa"/>
                  <w:tcBorders>
                    <w:tl2br w:val="nil"/>
                    <w:tr2bl w:val="nil"/>
                  </w:tcBorders>
                  <w:vAlign w:val="center"/>
                </w:tcPr>
                <w:p w14:paraId="71607A06">
                  <w:pPr>
                    <w:jc w:val="center"/>
                    <w:rPr>
                      <w:szCs w:val="21"/>
                      <w:u w:val="single"/>
                    </w:rPr>
                  </w:pPr>
                  <w:r>
                    <w:rPr>
                      <w:szCs w:val="21"/>
                      <w:u w:val="single"/>
                    </w:rPr>
                    <w:t>2</w:t>
                  </w:r>
                </w:p>
              </w:tc>
              <w:tc>
                <w:tcPr>
                  <w:tcW w:w="4253" w:type="dxa"/>
                  <w:tcBorders>
                    <w:tl2br w:val="nil"/>
                    <w:tr2bl w:val="nil"/>
                  </w:tcBorders>
                  <w:vAlign w:val="center"/>
                </w:tcPr>
                <w:p w14:paraId="1D362C2C">
                  <w:pPr>
                    <w:jc w:val="left"/>
                    <w:rPr>
                      <w:szCs w:val="21"/>
                      <w:u w:val="single"/>
                    </w:rPr>
                  </w:pPr>
                  <w:r>
                    <w:rPr>
                      <w:szCs w:val="21"/>
                      <w:u w:val="single"/>
                    </w:rPr>
                    <w:t>进一步严格产业环境准入。园区后续发展与规划调整须符合“三线一单”环境准入要求、长江经济带发展负面清单指南(试行)及《报告书》提出的环境准入条件和负面清单要求，后续不得引进与园区产业定位相冲突的产业。对不符合园区用地规划、产业定位的现有污染排放企业，应按《报告书》建议强化污染防治措施，禁止新增污染物排放量。</w:t>
                  </w:r>
                </w:p>
              </w:tc>
              <w:tc>
                <w:tcPr>
                  <w:tcW w:w="2117" w:type="dxa"/>
                  <w:tcBorders>
                    <w:tl2br w:val="nil"/>
                    <w:tr2bl w:val="nil"/>
                  </w:tcBorders>
                  <w:vAlign w:val="center"/>
                </w:tcPr>
                <w:p w14:paraId="42494E5B">
                  <w:pPr>
                    <w:jc w:val="left"/>
                    <w:rPr>
                      <w:szCs w:val="21"/>
                      <w:u w:val="single"/>
                    </w:rPr>
                  </w:pPr>
                  <w:r>
                    <w:rPr>
                      <w:szCs w:val="21"/>
                      <w:u w:val="single"/>
                    </w:rPr>
                    <w:t>本项目属于金属制品业，符合“三线一单”环境准入要求、长江经济带发展负面清单指南(试行)要求，产业定位与规划环评相符。</w:t>
                  </w:r>
                </w:p>
              </w:tc>
              <w:tc>
                <w:tcPr>
                  <w:tcW w:w="691" w:type="dxa"/>
                  <w:tcBorders>
                    <w:tl2br w:val="nil"/>
                    <w:tr2bl w:val="nil"/>
                  </w:tcBorders>
                  <w:vAlign w:val="center"/>
                </w:tcPr>
                <w:p w14:paraId="114FBFA5">
                  <w:pPr>
                    <w:jc w:val="center"/>
                    <w:rPr>
                      <w:szCs w:val="21"/>
                      <w:u w:val="single"/>
                    </w:rPr>
                  </w:pPr>
                  <w:r>
                    <w:rPr>
                      <w:szCs w:val="21"/>
                      <w:u w:val="single"/>
                    </w:rPr>
                    <w:t>符合</w:t>
                  </w:r>
                </w:p>
              </w:tc>
            </w:tr>
            <w:tr w14:paraId="59212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1" w:hRule="atLeast"/>
                <w:jc w:val="center"/>
              </w:trPr>
              <w:tc>
                <w:tcPr>
                  <w:tcW w:w="417" w:type="dxa"/>
                  <w:tcBorders>
                    <w:tl2br w:val="nil"/>
                    <w:tr2bl w:val="nil"/>
                  </w:tcBorders>
                  <w:vAlign w:val="center"/>
                </w:tcPr>
                <w:p w14:paraId="7F1EA38E">
                  <w:pPr>
                    <w:jc w:val="center"/>
                    <w:rPr>
                      <w:szCs w:val="21"/>
                      <w:u w:val="single"/>
                    </w:rPr>
                  </w:pPr>
                  <w:r>
                    <w:rPr>
                      <w:szCs w:val="21"/>
                      <w:u w:val="single"/>
                    </w:rPr>
                    <w:t>3</w:t>
                  </w:r>
                </w:p>
              </w:tc>
              <w:tc>
                <w:tcPr>
                  <w:tcW w:w="4253" w:type="dxa"/>
                  <w:tcBorders>
                    <w:tl2br w:val="nil"/>
                    <w:tr2bl w:val="nil"/>
                  </w:tcBorders>
                  <w:vAlign w:val="center"/>
                </w:tcPr>
                <w:p w14:paraId="557585FB">
                  <w:pPr>
                    <w:jc w:val="left"/>
                    <w:rPr>
                      <w:szCs w:val="21"/>
                      <w:u w:val="single"/>
                    </w:rPr>
                  </w:pPr>
                  <w:r>
                    <w:rPr>
                      <w:szCs w:val="21"/>
                      <w:u w:val="single"/>
                    </w:rPr>
                    <w:t>进一步落实园区污染管控措施。加强园区雨污分流系统、污水收集管网的建设、管理和维护，确保园区生产、生活废水应收尽收，全部送至污水处理厂集中处理，配合园区依托的污水处理厂适时开展扩建工程以确保园区废水得到妥善处置。加强园区大气污染防治，严格控制涉重企业废气排放，重点推动园区企业加强对 VOCs排放的治理，加大对园区内重点排污单位废气治理措施运行情况及废气无组织排放的监管力度，确保废气收集与处理净化装置</w:t>
                  </w:r>
                </w:p>
                <w:p w14:paraId="18A1D0B8">
                  <w:pPr>
                    <w:jc w:val="left"/>
                    <w:rPr>
                      <w:szCs w:val="21"/>
                      <w:u w:val="single"/>
                    </w:rPr>
                  </w:pPr>
                  <w:r>
                    <w:rPr>
                      <w:szCs w:val="21"/>
                      <w:u w:val="single"/>
                    </w:rPr>
                    <w:t>正常运行并达标排放。做好工业固体废物和生活垃圾的分类收集、转运、综合利用和无害化处理，建立完善的固废管理体系。对危险废物应严格按照国家有关规定综合利用或妥善处置，对危险废物产生企业和经营单位，应强化日常环境监管严格落实排污许可制度和污染物排放总量控制，减少污染物的排放量。园区应落实第三方环境治理工作相关政策要求，强化对重点产排污企业的监管与服务。</w:t>
                  </w:r>
                </w:p>
              </w:tc>
              <w:tc>
                <w:tcPr>
                  <w:tcW w:w="2117" w:type="dxa"/>
                  <w:tcBorders>
                    <w:tl2br w:val="nil"/>
                    <w:tr2bl w:val="nil"/>
                  </w:tcBorders>
                  <w:vAlign w:val="center"/>
                </w:tcPr>
                <w:p w14:paraId="12D0D0DA">
                  <w:pPr>
                    <w:jc w:val="left"/>
                    <w:rPr>
                      <w:szCs w:val="21"/>
                      <w:u w:val="single"/>
                    </w:rPr>
                  </w:pPr>
                  <w:r>
                    <w:rPr>
                      <w:szCs w:val="21"/>
                      <w:u w:val="single"/>
                    </w:rPr>
                    <w:t>项目厂区内排水采用雨污分流制。雨水经厂区内雨水管道排入市政雨水管网；无外排生产废水；生活污水依托厂区现有化粪池处理后排入市政污水管网，进入湘潭县第一污水处理厂进一步处理达标后外排。废气产污节点均配置废气收集装置和净化装置，处理后达标排放。工业固体废物和生活垃圾进行分类收集、转运、综合利用和无害化处理；建设危险废物暂存间，危险废物委托给有资质的单位进行处理。</w:t>
                  </w:r>
                </w:p>
              </w:tc>
              <w:tc>
                <w:tcPr>
                  <w:tcW w:w="691" w:type="dxa"/>
                  <w:tcBorders>
                    <w:tl2br w:val="nil"/>
                    <w:tr2bl w:val="nil"/>
                  </w:tcBorders>
                  <w:vAlign w:val="center"/>
                </w:tcPr>
                <w:p w14:paraId="6FE902E6">
                  <w:pPr>
                    <w:jc w:val="center"/>
                    <w:rPr>
                      <w:szCs w:val="21"/>
                      <w:u w:val="single"/>
                    </w:rPr>
                  </w:pPr>
                  <w:r>
                    <w:rPr>
                      <w:szCs w:val="21"/>
                      <w:u w:val="single"/>
                    </w:rPr>
                    <w:t>符合</w:t>
                  </w:r>
                </w:p>
              </w:tc>
            </w:tr>
            <w:tr w14:paraId="3ABCC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8" w:hRule="atLeast"/>
                <w:jc w:val="center"/>
              </w:trPr>
              <w:tc>
                <w:tcPr>
                  <w:tcW w:w="417" w:type="dxa"/>
                  <w:tcBorders>
                    <w:tl2br w:val="nil"/>
                    <w:tr2bl w:val="nil"/>
                  </w:tcBorders>
                  <w:vAlign w:val="center"/>
                </w:tcPr>
                <w:p w14:paraId="68849C66">
                  <w:pPr>
                    <w:jc w:val="center"/>
                    <w:rPr>
                      <w:szCs w:val="21"/>
                      <w:u w:val="single"/>
                    </w:rPr>
                  </w:pPr>
                  <w:r>
                    <w:rPr>
                      <w:szCs w:val="21"/>
                      <w:u w:val="single"/>
                    </w:rPr>
                    <w:t>4</w:t>
                  </w:r>
                </w:p>
              </w:tc>
              <w:tc>
                <w:tcPr>
                  <w:tcW w:w="4253" w:type="dxa"/>
                  <w:tcBorders>
                    <w:tl2br w:val="nil"/>
                    <w:tr2bl w:val="nil"/>
                  </w:tcBorders>
                  <w:vAlign w:val="center"/>
                </w:tcPr>
                <w:p w14:paraId="4270DBB5">
                  <w:pPr>
                    <w:jc w:val="left"/>
                    <w:rPr>
                      <w:szCs w:val="21"/>
                      <w:u w:val="single"/>
                    </w:rPr>
                  </w:pPr>
                  <w:r>
                    <w:rPr>
                      <w:szCs w:val="21"/>
                      <w:u w:val="single"/>
                    </w:rPr>
                    <w:t>完善园区环境监测体系。园区应严格落实跟踪评价提出的监测方案，应结合园区规划的功能分区、产业布局、重点企业分布、特征污染物的排放种类和状况等，建立健全区域环境空气、地表水、地下水、土壤等环境要素的监控体系。加强对园区重点排放单位的监督性监测，特别是对于环评明确了“生产废水不外排”的企业要严格监管，防止其偷排漏排以及通过雨水途径非法排放。</w:t>
                  </w:r>
                </w:p>
              </w:tc>
              <w:tc>
                <w:tcPr>
                  <w:tcW w:w="2117" w:type="dxa"/>
                  <w:tcBorders>
                    <w:tl2br w:val="nil"/>
                    <w:tr2bl w:val="nil"/>
                  </w:tcBorders>
                  <w:vAlign w:val="center"/>
                </w:tcPr>
                <w:p w14:paraId="7EA982BF">
                  <w:pPr>
                    <w:jc w:val="left"/>
                    <w:rPr>
                      <w:szCs w:val="21"/>
                      <w:u w:val="single"/>
                    </w:rPr>
                  </w:pPr>
                  <w:r>
                    <w:rPr>
                      <w:szCs w:val="21"/>
                      <w:u w:val="single"/>
                    </w:rPr>
                    <w:t>本项目无外排生产废水。</w:t>
                  </w:r>
                </w:p>
              </w:tc>
              <w:tc>
                <w:tcPr>
                  <w:tcW w:w="691" w:type="dxa"/>
                  <w:tcBorders>
                    <w:tl2br w:val="nil"/>
                    <w:tr2bl w:val="nil"/>
                  </w:tcBorders>
                  <w:vAlign w:val="center"/>
                </w:tcPr>
                <w:p w14:paraId="4809CAFA">
                  <w:pPr>
                    <w:jc w:val="center"/>
                    <w:rPr>
                      <w:szCs w:val="21"/>
                      <w:u w:val="single"/>
                    </w:rPr>
                  </w:pPr>
                  <w:r>
                    <w:rPr>
                      <w:szCs w:val="21"/>
                      <w:u w:val="single"/>
                    </w:rPr>
                    <w:t>符合</w:t>
                  </w:r>
                </w:p>
              </w:tc>
            </w:tr>
            <w:tr w14:paraId="427F0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417" w:type="dxa"/>
                  <w:tcBorders>
                    <w:tl2br w:val="nil"/>
                    <w:tr2bl w:val="nil"/>
                  </w:tcBorders>
                  <w:vAlign w:val="center"/>
                </w:tcPr>
                <w:p w14:paraId="763B36C0">
                  <w:pPr>
                    <w:jc w:val="center"/>
                    <w:rPr>
                      <w:szCs w:val="21"/>
                      <w:u w:val="single"/>
                    </w:rPr>
                  </w:pPr>
                  <w:r>
                    <w:rPr>
                      <w:szCs w:val="21"/>
                      <w:u w:val="single"/>
                    </w:rPr>
                    <w:t>5</w:t>
                  </w:r>
                </w:p>
              </w:tc>
              <w:tc>
                <w:tcPr>
                  <w:tcW w:w="4253" w:type="dxa"/>
                  <w:tcBorders>
                    <w:tl2br w:val="nil"/>
                    <w:tr2bl w:val="nil"/>
                  </w:tcBorders>
                  <w:vAlign w:val="center"/>
                </w:tcPr>
                <w:p w14:paraId="58B05C02">
                  <w:pPr>
                    <w:jc w:val="left"/>
                    <w:rPr>
                      <w:szCs w:val="21"/>
                      <w:u w:val="single"/>
                    </w:rPr>
                  </w:pPr>
                  <w:r>
                    <w:rPr>
                      <w:szCs w:val="21"/>
                      <w:u w:val="single"/>
                    </w:rPr>
                    <w:t>健全园区环境风险防控体系。加强园区重要环境风险源管控，落实环境风险防控措施和应急响应联动机制，确保区域环境安全。</w:t>
                  </w:r>
                </w:p>
              </w:tc>
              <w:tc>
                <w:tcPr>
                  <w:tcW w:w="2117" w:type="dxa"/>
                  <w:tcBorders>
                    <w:tl2br w:val="nil"/>
                    <w:tr2bl w:val="nil"/>
                  </w:tcBorders>
                  <w:vAlign w:val="center"/>
                </w:tcPr>
                <w:p w14:paraId="00C6A71A">
                  <w:pPr>
                    <w:jc w:val="left"/>
                    <w:rPr>
                      <w:szCs w:val="21"/>
                      <w:u w:val="single"/>
                    </w:rPr>
                  </w:pPr>
                  <w:r>
                    <w:rPr>
                      <w:szCs w:val="21"/>
                      <w:u w:val="single"/>
                    </w:rPr>
                    <w:t>本项</w:t>
                  </w:r>
                  <w:r>
                    <w:rPr>
                      <w:rFonts w:hint="eastAsia"/>
                      <w:szCs w:val="21"/>
                      <w:u w:val="single"/>
                    </w:rPr>
                    <w:t>目</w:t>
                  </w:r>
                  <w:r>
                    <w:rPr>
                      <w:szCs w:val="21"/>
                      <w:u w:val="single"/>
                    </w:rPr>
                    <w:t>建设后将</w:t>
                  </w:r>
                  <w:r>
                    <w:rPr>
                      <w:rFonts w:hint="eastAsia"/>
                      <w:szCs w:val="21"/>
                      <w:u w:val="single"/>
                    </w:rPr>
                    <w:t>根据要求</w:t>
                  </w:r>
                  <w:r>
                    <w:rPr>
                      <w:szCs w:val="21"/>
                      <w:u w:val="single"/>
                    </w:rPr>
                    <w:t>编制突发环境事件应急预案。</w:t>
                  </w:r>
                </w:p>
              </w:tc>
              <w:tc>
                <w:tcPr>
                  <w:tcW w:w="691" w:type="dxa"/>
                  <w:tcBorders>
                    <w:tl2br w:val="nil"/>
                    <w:tr2bl w:val="nil"/>
                  </w:tcBorders>
                  <w:vAlign w:val="center"/>
                </w:tcPr>
                <w:p w14:paraId="600532E9">
                  <w:pPr>
                    <w:jc w:val="center"/>
                    <w:rPr>
                      <w:szCs w:val="21"/>
                      <w:u w:val="single"/>
                    </w:rPr>
                  </w:pPr>
                  <w:r>
                    <w:rPr>
                      <w:szCs w:val="21"/>
                      <w:u w:val="single"/>
                    </w:rPr>
                    <w:t>符合</w:t>
                  </w:r>
                </w:p>
              </w:tc>
            </w:tr>
            <w:tr w14:paraId="7FDF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417" w:type="dxa"/>
                  <w:tcBorders>
                    <w:tl2br w:val="nil"/>
                    <w:tr2bl w:val="nil"/>
                  </w:tcBorders>
                  <w:vAlign w:val="center"/>
                </w:tcPr>
                <w:p w14:paraId="1DC04375">
                  <w:pPr>
                    <w:jc w:val="center"/>
                    <w:rPr>
                      <w:szCs w:val="21"/>
                      <w:u w:val="single"/>
                    </w:rPr>
                  </w:pPr>
                  <w:r>
                    <w:rPr>
                      <w:szCs w:val="21"/>
                      <w:u w:val="single"/>
                    </w:rPr>
                    <w:t>6</w:t>
                  </w:r>
                </w:p>
              </w:tc>
              <w:tc>
                <w:tcPr>
                  <w:tcW w:w="4253" w:type="dxa"/>
                  <w:tcBorders>
                    <w:tl2br w:val="nil"/>
                    <w:tr2bl w:val="nil"/>
                  </w:tcBorders>
                  <w:vAlign w:val="center"/>
                </w:tcPr>
                <w:p w14:paraId="73E89D64">
                  <w:pPr>
                    <w:jc w:val="left"/>
                    <w:rPr>
                      <w:szCs w:val="21"/>
                      <w:u w:val="single"/>
                    </w:rPr>
                  </w:pPr>
                  <w:r>
                    <w:rPr>
                      <w:szCs w:val="21"/>
                      <w:u w:val="single"/>
                    </w:rPr>
                    <w:t>加强对环境敏感点的保护。严格做好控规，杜绝在规划的工业用地上新增环境敏感目标，防止发生居民再次安置和次生环境问题，对于具体项目环评设置防护距离和拆迁要求的，要确保予以落实。</w:t>
                  </w:r>
                </w:p>
              </w:tc>
              <w:tc>
                <w:tcPr>
                  <w:tcW w:w="2117" w:type="dxa"/>
                  <w:tcBorders>
                    <w:tl2br w:val="nil"/>
                    <w:tr2bl w:val="nil"/>
                  </w:tcBorders>
                  <w:vAlign w:val="center"/>
                </w:tcPr>
                <w:p w14:paraId="3DEB06E1">
                  <w:pPr>
                    <w:jc w:val="left"/>
                    <w:rPr>
                      <w:szCs w:val="21"/>
                      <w:u w:val="single"/>
                    </w:rPr>
                  </w:pPr>
                  <w:r>
                    <w:rPr>
                      <w:szCs w:val="21"/>
                      <w:u w:val="single"/>
                    </w:rPr>
                    <w:t>本项目属于租赁的已经</w:t>
                  </w:r>
                  <w:r>
                    <w:rPr>
                      <w:rFonts w:hint="eastAsia"/>
                      <w:szCs w:val="21"/>
                      <w:u w:val="single"/>
                    </w:rPr>
                    <w:t>建</w:t>
                  </w:r>
                  <w:r>
                    <w:rPr>
                      <w:szCs w:val="21"/>
                      <w:u w:val="single"/>
                    </w:rPr>
                    <w:t>成的工业厂房，不新增工业厂房。</w:t>
                  </w:r>
                </w:p>
              </w:tc>
              <w:tc>
                <w:tcPr>
                  <w:tcW w:w="691" w:type="dxa"/>
                  <w:tcBorders>
                    <w:tl2br w:val="nil"/>
                    <w:tr2bl w:val="nil"/>
                  </w:tcBorders>
                  <w:vAlign w:val="center"/>
                </w:tcPr>
                <w:p w14:paraId="7C73C1D2">
                  <w:pPr>
                    <w:jc w:val="center"/>
                    <w:rPr>
                      <w:szCs w:val="21"/>
                      <w:u w:val="single"/>
                    </w:rPr>
                  </w:pPr>
                  <w:r>
                    <w:rPr>
                      <w:szCs w:val="21"/>
                      <w:u w:val="single"/>
                    </w:rPr>
                    <w:t>符合</w:t>
                  </w:r>
                </w:p>
              </w:tc>
            </w:tr>
            <w:tr w14:paraId="466D9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417" w:type="dxa"/>
                  <w:tcBorders>
                    <w:tl2br w:val="nil"/>
                    <w:tr2bl w:val="nil"/>
                  </w:tcBorders>
                  <w:vAlign w:val="center"/>
                </w:tcPr>
                <w:p w14:paraId="40D2A4CC">
                  <w:pPr>
                    <w:jc w:val="center"/>
                    <w:rPr>
                      <w:szCs w:val="21"/>
                      <w:u w:val="single"/>
                    </w:rPr>
                  </w:pPr>
                  <w:r>
                    <w:rPr>
                      <w:szCs w:val="21"/>
                      <w:u w:val="single"/>
                    </w:rPr>
                    <w:t>7</w:t>
                  </w:r>
                </w:p>
              </w:tc>
              <w:tc>
                <w:tcPr>
                  <w:tcW w:w="4253" w:type="dxa"/>
                  <w:tcBorders>
                    <w:tl2br w:val="nil"/>
                    <w:tr2bl w:val="nil"/>
                  </w:tcBorders>
                  <w:vAlign w:val="center"/>
                </w:tcPr>
                <w:p w14:paraId="6C08FFA5">
                  <w:pPr>
                    <w:jc w:val="left"/>
                    <w:rPr>
                      <w:szCs w:val="21"/>
                      <w:u w:val="single"/>
                    </w:rPr>
                  </w:pPr>
                  <w:r>
                    <w:rPr>
                      <w:szCs w:val="21"/>
                      <w:u w:val="single"/>
                    </w:rPr>
                    <w:t>做好园区后续开发过程中生态环境保护。园区开发过程中对土石方开挖、堆存及回填要实施围挡、护坡等措施，裸露地及时恢复植被，防止开发建设中的扬尘污染和水土流失。</w:t>
                  </w:r>
                </w:p>
              </w:tc>
              <w:tc>
                <w:tcPr>
                  <w:tcW w:w="2117" w:type="dxa"/>
                  <w:tcBorders>
                    <w:tl2br w:val="nil"/>
                    <w:tr2bl w:val="nil"/>
                  </w:tcBorders>
                  <w:vAlign w:val="center"/>
                </w:tcPr>
                <w:p w14:paraId="30445F78">
                  <w:pPr>
                    <w:jc w:val="left"/>
                    <w:rPr>
                      <w:szCs w:val="21"/>
                      <w:u w:val="single"/>
                    </w:rPr>
                  </w:pPr>
                  <w:r>
                    <w:rPr>
                      <w:szCs w:val="21"/>
                      <w:u w:val="single"/>
                    </w:rPr>
                    <w:t>本项目属于租赁厂房，不开发建设。</w:t>
                  </w:r>
                </w:p>
              </w:tc>
              <w:tc>
                <w:tcPr>
                  <w:tcW w:w="691" w:type="dxa"/>
                  <w:tcBorders>
                    <w:tl2br w:val="nil"/>
                    <w:tr2bl w:val="nil"/>
                  </w:tcBorders>
                  <w:vAlign w:val="center"/>
                </w:tcPr>
                <w:p w14:paraId="4A0F4241">
                  <w:pPr>
                    <w:jc w:val="center"/>
                    <w:rPr>
                      <w:szCs w:val="21"/>
                      <w:u w:val="single"/>
                    </w:rPr>
                  </w:pPr>
                  <w:r>
                    <w:rPr>
                      <w:szCs w:val="21"/>
                      <w:u w:val="single"/>
                    </w:rPr>
                    <w:t>符合</w:t>
                  </w:r>
                </w:p>
              </w:tc>
            </w:tr>
          </w:tbl>
          <w:p w14:paraId="74917F63">
            <w:pPr>
              <w:pStyle w:val="25"/>
              <w:spacing w:line="360" w:lineRule="auto"/>
              <w:ind w:left="0" w:leftChars="0" w:firstLine="560" w:firstLineChars="200"/>
            </w:pPr>
          </w:p>
        </w:tc>
      </w:tr>
      <w:tr w14:paraId="2E4B31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04" w:hRule="atLeast"/>
          <w:jc w:val="center"/>
        </w:trPr>
        <w:tc>
          <w:tcPr>
            <w:tcW w:w="1722" w:type="dxa"/>
            <w:vAlign w:val="center"/>
          </w:tcPr>
          <w:p w14:paraId="46D72519">
            <w:pPr>
              <w:autoSpaceDE w:val="0"/>
              <w:autoSpaceDN w:val="0"/>
              <w:adjustRightInd w:val="0"/>
              <w:snapToGrid w:val="0"/>
              <w:jc w:val="center"/>
              <w:rPr>
                <w:kern w:val="0"/>
                <w:szCs w:val="21"/>
              </w:rPr>
            </w:pPr>
            <w:r>
              <w:rPr>
                <w:kern w:val="0"/>
                <w:szCs w:val="21"/>
              </w:rPr>
              <w:t>其他符合性分析</w:t>
            </w:r>
          </w:p>
        </w:tc>
        <w:tc>
          <w:tcPr>
            <w:tcW w:w="7602" w:type="dxa"/>
            <w:gridSpan w:val="3"/>
            <w:vAlign w:val="center"/>
          </w:tcPr>
          <w:p w14:paraId="46B6FB76">
            <w:pPr>
              <w:spacing w:line="360" w:lineRule="auto"/>
              <w:ind w:firstLine="482" w:firstLineChars="200"/>
              <w:rPr>
                <w:b/>
                <w:bCs/>
                <w:sz w:val="24"/>
              </w:rPr>
            </w:pPr>
            <w:r>
              <w:rPr>
                <w:b/>
                <w:bCs/>
                <w:sz w:val="24"/>
              </w:rPr>
              <w:t>1、产业政策相符性</w:t>
            </w:r>
          </w:p>
          <w:p w14:paraId="74D9AD5D">
            <w:pPr>
              <w:pStyle w:val="9"/>
              <w:ind w:firstLine="512"/>
            </w:pPr>
            <w:r>
              <w:rPr>
                <w:rFonts w:ascii="Times New Roman" w:hAnsi="Times New Roman"/>
                <w:spacing w:val="8"/>
              </w:rPr>
              <w:t>本项目属于C339</w:t>
            </w:r>
            <w:r>
              <w:rPr>
                <w:rFonts w:hint="eastAsia" w:ascii="Times New Roman" w:hAnsi="Times New Roman"/>
                <w:spacing w:val="8"/>
              </w:rPr>
              <w:t>1黑</w:t>
            </w:r>
            <w:r>
              <w:rPr>
                <w:rFonts w:ascii="Times New Roman" w:hAnsi="Times New Roman"/>
                <w:spacing w:val="8"/>
              </w:rPr>
              <w:t>色金属铸造，不属《产业结构调整指导目录</w:t>
            </w:r>
            <w:r>
              <w:rPr>
                <w:rFonts w:hint="eastAsia" w:ascii="Times New Roman" w:hAnsi="Times New Roman"/>
                <w:spacing w:val="8"/>
              </w:rPr>
              <w:t>（</w:t>
            </w:r>
            <w:r>
              <w:rPr>
                <w:rFonts w:ascii="Times New Roman" w:hAnsi="Times New Roman"/>
                <w:spacing w:val="8"/>
              </w:rPr>
              <w:t>20</w:t>
            </w:r>
            <w:r>
              <w:rPr>
                <w:rFonts w:hint="eastAsia" w:ascii="Times New Roman" w:hAnsi="Times New Roman"/>
                <w:spacing w:val="8"/>
              </w:rPr>
              <w:t>24</w:t>
            </w:r>
            <w:r>
              <w:rPr>
                <w:rFonts w:ascii="Times New Roman" w:hAnsi="Times New Roman"/>
                <w:spacing w:val="8"/>
              </w:rPr>
              <w:t>年本</w:t>
            </w:r>
            <w:r>
              <w:rPr>
                <w:rFonts w:hint="eastAsia" w:ascii="Times New Roman" w:hAnsi="Times New Roman"/>
                <w:spacing w:val="8"/>
              </w:rPr>
              <w:t>）</w:t>
            </w:r>
            <w:r>
              <w:rPr>
                <w:rFonts w:ascii="Times New Roman" w:hAnsi="Times New Roman"/>
                <w:spacing w:val="8"/>
              </w:rPr>
              <w:t>》中限制类、淘汰类和《市场准入负面清单（2022年版）》中的禁止准入类项目，属于允许类。</w:t>
            </w:r>
            <w:r>
              <w:rPr>
                <w:rFonts w:hint="eastAsia" w:ascii="Times New Roman" w:hAnsi="Times New Roman"/>
                <w:spacing w:val="8"/>
              </w:rPr>
              <w:t>根据2021年12月湖南省发展和改革委员会发布的</w:t>
            </w:r>
            <w:r>
              <w:rPr>
                <w:rFonts w:ascii="Times New Roman" w:hAnsi="Times New Roman"/>
                <w:spacing w:val="8"/>
              </w:rPr>
              <w:t>《湖南省</w:t>
            </w:r>
            <w:r>
              <w:rPr>
                <w:rFonts w:hint="eastAsia" w:ascii="Times New Roman" w:hAnsi="Times New Roman"/>
                <w:spacing w:val="8"/>
              </w:rPr>
              <w:t>“</w:t>
            </w:r>
            <w:r>
              <w:rPr>
                <w:rFonts w:ascii="Times New Roman" w:hAnsi="Times New Roman"/>
                <w:spacing w:val="8"/>
              </w:rPr>
              <w:t>两高</w:t>
            </w:r>
            <w:r>
              <w:rPr>
                <w:rFonts w:hint="eastAsia" w:ascii="Times New Roman" w:hAnsi="Times New Roman"/>
                <w:spacing w:val="8"/>
              </w:rPr>
              <w:t>”</w:t>
            </w:r>
            <w:r>
              <w:rPr>
                <w:rFonts w:ascii="Times New Roman" w:hAnsi="Times New Roman"/>
                <w:spacing w:val="8"/>
              </w:rPr>
              <w:t>项目管理目录》</w:t>
            </w:r>
            <w:r>
              <w:rPr>
                <w:rFonts w:hint="eastAsia" w:ascii="Times New Roman" w:hAnsi="Times New Roman"/>
                <w:spacing w:val="8"/>
              </w:rPr>
              <w:t>，本项目不涉及有色金属冶练和炼钢等，不属于“两高”项目。</w:t>
            </w:r>
            <w:r>
              <w:rPr>
                <w:rFonts w:ascii="Times New Roman" w:hAnsi="Times New Roman"/>
                <w:spacing w:val="8"/>
              </w:rPr>
              <w:t>因此，该项目符合国家和地方的有关产业政策规定。</w:t>
            </w:r>
          </w:p>
          <w:p w14:paraId="5DDCBE45">
            <w:pPr>
              <w:autoSpaceDE w:val="0"/>
              <w:autoSpaceDN w:val="0"/>
              <w:adjustRightInd w:val="0"/>
              <w:snapToGrid w:val="0"/>
              <w:spacing w:line="360" w:lineRule="auto"/>
              <w:rPr>
                <w:b/>
                <w:bCs/>
                <w:spacing w:val="8"/>
                <w:sz w:val="24"/>
                <w:szCs w:val="20"/>
              </w:rPr>
            </w:pPr>
            <w:r>
              <w:rPr>
                <w:rFonts w:hint="eastAsia"/>
                <w:b/>
                <w:bCs/>
                <w:spacing w:val="8"/>
                <w:sz w:val="24"/>
                <w:szCs w:val="20"/>
              </w:rPr>
              <w:t>2、与铸造企业规范条件相符性</w:t>
            </w:r>
          </w:p>
          <w:p w14:paraId="787C5613">
            <w:pPr>
              <w:spacing w:line="360" w:lineRule="auto"/>
              <w:ind w:firstLine="480" w:firstLineChars="200"/>
              <w:rPr>
                <w:kern w:val="0"/>
                <w:sz w:val="24"/>
                <w:u w:val="single"/>
              </w:rPr>
            </w:pPr>
            <w:r>
              <w:rPr>
                <w:kern w:val="0"/>
                <w:sz w:val="24"/>
                <w:u w:val="single"/>
              </w:rPr>
              <w:t>《铸造企业规范条件》（T/CFA0310021-20</w:t>
            </w:r>
            <w:r>
              <w:rPr>
                <w:rFonts w:hint="eastAsia"/>
                <w:kern w:val="0"/>
                <w:sz w:val="24"/>
                <w:u w:val="single"/>
              </w:rPr>
              <w:t>23</w:t>
            </w:r>
            <w:r>
              <w:rPr>
                <w:kern w:val="0"/>
                <w:sz w:val="24"/>
                <w:u w:val="single"/>
              </w:rPr>
              <w:t>）为行业团体标准，无强制性。但考虑到</w:t>
            </w:r>
            <w:r>
              <w:rPr>
                <w:color w:val="000000"/>
                <w:sz w:val="24"/>
                <w:u w:val="single"/>
              </w:rPr>
              <w:t>中华人民共和国工业和信息化部公告 2019 年第 19 号文规定了“</w:t>
            </w:r>
            <w:r>
              <w:rPr>
                <w:color w:val="000000"/>
                <w:kern w:val="0"/>
                <w:sz w:val="24"/>
                <w:u w:val="single"/>
              </w:rPr>
              <w:t>铸造行业相关组织要充分发挥行业自治作用，加强行业自律建设，维护市场公平秩序，引导监督企业规范发展</w:t>
            </w:r>
            <w:r>
              <w:rPr>
                <w:color w:val="000000"/>
                <w:sz w:val="24"/>
                <w:u w:val="single"/>
              </w:rPr>
              <w:t>”，因此该《条件》仍具有指导意义。本项目与其相符性见</w:t>
            </w:r>
            <w:r>
              <w:rPr>
                <w:rFonts w:hint="eastAsia"/>
                <w:color w:val="000000"/>
                <w:sz w:val="24"/>
                <w:u w:val="single"/>
              </w:rPr>
              <w:t>下</w:t>
            </w:r>
            <w:r>
              <w:rPr>
                <w:color w:val="000000"/>
                <w:sz w:val="24"/>
                <w:u w:val="single"/>
              </w:rPr>
              <w:t>表。</w:t>
            </w:r>
          </w:p>
          <w:p w14:paraId="54FEFE27">
            <w:pPr>
              <w:ind w:firstLine="422" w:firstLineChars="200"/>
              <w:jc w:val="center"/>
              <w:rPr>
                <w:rFonts w:ascii="宋体" w:hAnsi="宋体" w:cs="宋体"/>
                <w:b/>
                <w:kern w:val="0"/>
                <w:szCs w:val="21"/>
                <w:u w:val="single"/>
              </w:rPr>
            </w:pPr>
            <w:r>
              <w:rPr>
                <w:b/>
                <w:kern w:val="0"/>
                <w:szCs w:val="21"/>
                <w:u w:val="single"/>
              </w:rPr>
              <w:t>表</w:t>
            </w:r>
            <w:r>
              <w:rPr>
                <w:rFonts w:hint="eastAsia"/>
                <w:b/>
                <w:kern w:val="0"/>
                <w:szCs w:val="21"/>
                <w:u w:val="single"/>
              </w:rPr>
              <w:t>1-4</w:t>
            </w:r>
            <w:r>
              <w:rPr>
                <w:b/>
                <w:kern w:val="0"/>
                <w:szCs w:val="21"/>
                <w:u w:val="single"/>
              </w:rPr>
              <w:t xml:space="preserve">  项目与</w:t>
            </w:r>
            <w:r>
              <w:rPr>
                <w:rFonts w:hint="eastAsia"/>
                <w:b/>
                <w:kern w:val="0"/>
                <w:szCs w:val="21"/>
                <w:u w:val="single"/>
              </w:rPr>
              <w:t>《铸造企业规范条件》</w:t>
            </w:r>
            <w:r>
              <w:rPr>
                <w:rFonts w:hint="eastAsia" w:ascii="宋体" w:hAnsi="宋体" w:cs="宋体"/>
                <w:b/>
                <w:kern w:val="0"/>
                <w:szCs w:val="21"/>
                <w:u w:val="single"/>
              </w:rPr>
              <w:t>相符性分析</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744"/>
              <w:gridCol w:w="3816"/>
              <w:gridCol w:w="2585"/>
              <w:gridCol w:w="447"/>
            </w:tblGrid>
            <w:tr w14:paraId="5212D3E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78" w:type="pct"/>
                  <w:tcBorders>
                    <w:tl2br w:val="nil"/>
                    <w:tr2bl w:val="nil"/>
                  </w:tcBorders>
                  <w:vAlign w:val="center"/>
                </w:tcPr>
                <w:p w14:paraId="556903B2">
                  <w:pPr>
                    <w:topLinePunct/>
                    <w:textAlignment w:val="bottom"/>
                    <w:rPr>
                      <w:b/>
                      <w:bCs/>
                      <w:szCs w:val="21"/>
                      <w:u w:val="single"/>
                    </w:rPr>
                  </w:pPr>
                  <w:r>
                    <w:rPr>
                      <w:b/>
                      <w:bCs/>
                      <w:szCs w:val="21"/>
                      <w:u w:val="single"/>
                    </w:rPr>
                    <w:t>序号</w:t>
                  </w:r>
                </w:p>
              </w:tc>
              <w:tc>
                <w:tcPr>
                  <w:tcW w:w="2550" w:type="pct"/>
                  <w:tcBorders>
                    <w:tl2br w:val="nil"/>
                    <w:tr2bl w:val="nil"/>
                  </w:tcBorders>
                  <w:vAlign w:val="center"/>
                </w:tcPr>
                <w:p w14:paraId="38BFA239">
                  <w:pPr>
                    <w:topLinePunct/>
                    <w:textAlignment w:val="bottom"/>
                    <w:rPr>
                      <w:b/>
                      <w:bCs/>
                      <w:szCs w:val="21"/>
                      <w:u w:val="single"/>
                    </w:rPr>
                  </w:pPr>
                  <w:r>
                    <w:rPr>
                      <w:b/>
                      <w:bCs/>
                      <w:szCs w:val="21"/>
                      <w:u w:val="single"/>
                    </w:rPr>
                    <w:t>要求</w:t>
                  </w:r>
                </w:p>
              </w:tc>
              <w:tc>
                <w:tcPr>
                  <w:tcW w:w="1739" w:type="pct"/>
                  <w:tcBorders>
                    <w:tl2br w:val="nil"/>
                    <w:tr2bl w:val="nil"/>
                  </w:tcBorders>
                  <w:vAlign w:val="center"/>
                </w:tcPr>
                <w:p w14:paraId="2ABF4764">
                  <w:pPr>
                    <w:topLinePunct/>
                    <w:textAlignment w:val="bottom"/>
                    <w:rPr>
                      <w:b/>
                      <w:bCs/>
                      <w:szCs w:val="21"/>
                      <w:u w:val="single"/>
                    </w:rPr>
                  </w:pPr>
                  <w:r>
                    <w:rPr>
                      <w:b/>
                      <w:bCs/>
                      <w:szCs w:val="21"/>
                      <w:u w:val="single"/>
                    </w:rPr>
                    <w:t>本项目情况</w:t>
                  </w:r>
                </w:p>
              </w:tc>
              <w:tc>
                <w:tcPr>
                  <w:tcW w:w="331" w:type="pct"/>
                  <w:tcBorders>
                    <w:tl2br w:val="nil"/>
                    <w:tr2bl w:val="nil"/>
                  </w:tcBorders>
                  <w:vAlign w:val="center"/>
                </w:tcPr>
                <w:p w14:paraId="07228346">
                  <w:pPr>
                    <w:topLinePunct/>
                    <w:textAlignment w:val="bottom"/>
                    <w:rPr>
                      <w:b/>
                      <w:bCs/>
                      <w:szCs w:val="21"/>
                      <w:u w:val="single"/>
                    </w:rPr>
                  </w:pPr>
                  <w:r>
                    <w:rPr>
                      <w:b/>
                      <w:bCs/>
                      <w:szCs w:val="21"/>
                      <w:u w:val="single"/>
                    </w:rPr>
                    <w:t>符合性</w:t>
                  </w:r>
                </w:p>
              </w:tc>
            </w:tr>
            <w:tr w14:paraId="2B2737D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79" w:hRule="atLeast"/>
                <w:jc w:val="center"/>
              </w:trPr>
              <w:tc>
                <w:tcPr>
                  <w:tcW w:w="378" w:type="pct"/>
                  <w:vMerge w:val="restart"/>
                  <w:tcBorders>
                    <w:tl2br w:val="nil"/>
                    <w:tr2bl w:val="nil"/>
                  </w:tcBorders>
                  <w:vAlign w:val="center"/>
                </w:tcPr>
                <w:p w14:paraId="3757CC43">
                  <w:pPr>
                    <w:topLinePunct/>
                    <w:textAlignment w:val="bottom"/>
                    <w:rPr>
                      <w:szCs w:val="21"/>
                      <w:u w:val="single"/>
                    </w:rPr>
                  </w:pPr>
                  <w:r>
                    <w:rPr>
                      <w:b/>
                      <w:szCs w:val="21"/>
                      <w:u w:val="single"/>
                    </w:rPr>
                    <w:t>建设条件和布局</w:t>
                  </w:r>
                </w:p>
              </w:tc>
              <w:tc>
                <w:tcPr>
                  <w:tcW w:w="2550" w:type="pct"/>
                  <w:tcBorders>
                    <w:tl2br w:val="nil"/>
                    <w:tr2bl w:val="nil"/>
                  </w:tcBorders>
                  <w:vAlign w:val="center"/>
                </w:tcPr>
                <w:p w14:paraId="3E43F889">
                  <w:pPr>
                    <w:topLinePunct/>
                    <w:textAlignment w:val="bottom"/>
                    <w:rPr>
                      <w:szCs w:val="21"/>
                      <w:u w:val="single"/>
                    </w:rPr>
                  </w:pPr>
                  <w:r>
                    <w:rPr>
                      <w:szCs w:val="21"/>
                      <w:u w:val="single"/>
                    </w:rPr>
                    <w:t>铸造企业的布局和厂址的确定应符合国家相关法律法规、产业政策以及各地方政府装备制造业和铸造行业的总体规划要求。</w:t>
                  </w:r>
                </w:p>
              </w:tc>
              <w:tc>
                <w:tcPr>
                  <w:tcW w:w="1739" w:type="pct"/>
                  <w:tcBorders>
                    <w:tl2br w:val="nil"/>
                    <w:tr2bl w:val="nil"/>
                  </w:tcBorders>
                  <w:vAlign w:val="center"/>
                </w:tcPr>
                <w:p w14:paraId="50A28393">
                  <w:pPr>
                    <w:topLinePunct/>
                    <w:textAlignment w:val="bottom"/>
                    <w:rPr>
                      <w:szCs w:val="21"/>
                      <w:u w:val="single"/>
                    </w:rPr>
                  </w:pPr>
                  <w:r>
                    <w:rPr>
                      <w:szCs w:val="21"/>
                      <w:u w:val="single"/>
                    </w:rPr>
                    <w:t>本工程位于工业园区内，项目建设不新增用地,不违背国家相关法律法规、产业政策等要求，符合文件要求。</w:t>
                  </w:r>
                </w:p>
              </w:tc>
              <w:tc>
                <w:tcPr>
                  <w:tcW w:w="331" w:type="pct"/>
                  <w:tcBorders>
                    <w:tl2br w:val="nil"/>
                    <w:tr2bl w:val="nil"/>
                  </w:tcBorders>
                  <w:vAlign w:val="center"/>
                </w:tcPr>
                <w:p w14:paraId="059E7626">
                  <w:pPr>
                    <w:topLinePunct/>
                    <w:textAlignment w:val="bottom"/>
                    <w:rPr>
                      <w:szCs w:val="21"/>
                      <w:u w:val="single"/>
                    </w:rPr>
                  </w:pPr>
                  <w:r>
                    <w:rPr>
                      <w:szCs w:val="21"/>
                      <w:u w:val="single"/>
                    </w:rPr>
                    <w:t>符合</w:t>
                  </w:r>
                </w:p>
              </w:tc>
            </w:tr>
            <w:tr w14:paraId="63F021F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378" w:type="pct"/>
                  <w:vMerge w:val="continue"/>
                  <w:tcBorders>
                    <w:tl2br w:val="nil"/>
                    <w:tr2bl w:val="nil"/>
                  </w:tcBorders>
                  <w:vAlign w:val="center"/>
                </w:tcPr>
                <w:p w14:paraId="1A95269E">
                  <w:pPr>
                    <w:topLinePunct/>
                    <w:textAlignment w:val="bottom"/>
                    <w:rPr>
                      <w:szCs w:val="21"/>
                      <w:u w:val="single"/>
                    </w:rPr>
                  </w:pPr>
                </w:p>
              </w:tc>
              <w:tc>
                <w:tcPr>
                  <w:tcW w:w="2550" w:type="pct"/>
                  <w:tcBorders>
                    <w:tl2br w:val="nil"/>
                    <w:tr2bl w:val="nil"/>
                  </w:tcBorders>
                  <w:vAlign w:val="center"/>
                </w:tcPr>
                <w:p w14:paraId="66F73F22">
                  <w:pPr>
                    <w:topLinePunct/>
                    <w:textAlignment w:val="bottom"/>
                    <w:rPr>
                      <w:szCs w:val="21"/>
                      <w:u w:val="single"/>
                    </w:rPr>
                  </w:pPr>
                  <w:r>
                    <w:rPr>
                      <w:szCs w:val="21"/>
                      <w:u w:val="single"/>
                    </w:rPr>
                    <w:t>企业生产场所应依法取得土地使用权并符合土地使用性质。</w:t>
                  </w:r>
                </w:p>
              </w:tc>
              <w:tc>
                <w:tcPr>
                  <w:tcW w:w="1739" w:type="pct"/>
                  <w:tcBorders>
                    <w:tl2br w:val="nil"/>
                    <w:tr2bl w:val="nil"/>
                  </w:tcBorders>
                  <w:vAlign w:val="center"/>
                </w:tcPr>
                <w:p w14:paraId="363DDCFC">
                  <w:pPr>
                    <w:topLinePunct/>
                    <w:textAlignment w:val="bottom"/>
                    <w:rPr>
                      <w:szCs w:val="21"/>
                      <w:u w:val="single"/>
                    </w:rPr>
                  </w:pPr>
                  <w:r>
                    <w:rPr>
                      <w:szCs w:val="21"/>
                      <w:u w:val="single"/>
                    </w:rPr>
                    <w:t>根据企业提供的土地证，本项目属工业用地，符合当地土地使用性质，符合文件要求。</w:t>
                  </w:r>
                </w:p>
              </w:tc>
              <w:tc>
                <w:tcPr>
                  <w:tcW w:w="331" w:type="pct"/>
                  <w:tcBorders>
                    <w:tl2br w:val="nil"/>
                    <w:tr2bl w:val="nil"/>
                  </w:tcBorders>
                  <w:vAlign w:val="center"/>
                </w:tcPr>
                <w:p w14:paraId="7E537D05">
                  <w:pPr>
                    <w:topLinePunct/>
                    <w:textAlignment w:val="bottom"/>
                    <w:rPr>
                      <w:szCs w:val="21"/>
                      <w:u w:val="single"/>
                    </w:rPr>
                  </w:pPr>
                  <w:r>
                    <w:rPr>
                      <w:szCs w:val="21"/>
                      <w:u w:val="single"/>
                    </w:rPr>
                    <w:t>符合</w:t>
                  </w:r>
                </w:p>
              </w:tc>
            </w:tr>
            <w:tr w14:paraId="584BE0C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78" w:type="pct"/>
                  <w:vMerge w:val="restart"/>
                  <w:tcBorders>
                    <w:tl2br w:val="nil"/>
                    <w:tr2bl w:val="nil"/>
                  </w:tcBorders>
                  <w:vAlign w:val="center"/>
                </w:tcPr>
                <w:p w14:paraId="0E5442B9">
                  <w:pPr>
                    <w:topLinePunct/>
                    <w:textAlignment w:val="bottom"/>
                    <w:rPr>
                      <w:szCs w:val="21"/>
                      <w:u w:val="single"/>
                    </w:rPr>
                  </w:pPr>
                  <w:r>
                    <w:rPr>
                      <w:b/>
                      <w:szCs w:val="21"/>
                      <w:u w:val="single"/>
                    </w:rPr>
                    <w:t>生产工艺</w:t>
                  </w:r>
                </w:p>
              </w:tc>
              <w:tc>
                <w:tcPr>
                  <w:tcW w:w="2550" w:type="pct"/>
                  <w:tcBorders>
                    <w:tl2br w:val="nil"/>
                    <w:tr2bl w:val="nil"/>
                  </w:tcBorders>
                  <w:vAlign w:val="center"/>
                </w:tcPr>
                <w:p w14:paraId="519070F2">
                  <w:pPr>
                    <w:topLinePunct/>
                    <w:textAlignment w:val="bottom"/>
                    <w:rPr>
                      <w:szCs w:val="21"/>
                      <w:u w:val="single"/>
                    </w:rPr>
                  </w:pPr>
                  <w:r>
                    <w:rPr>
                      <w:szCs w:val="21"/>
                      <w:u w:val="single"/>
                    </w:rPr>
                    <w:t>企业应根据所生产铸件的材质、品种、批量，合理选择低污染、低排放、低能耗、经济高效的铸造工艺。</w:t>
                  </w:r>
                </w:p>
              </w:tc>
              <w:tc>
                <w:tcPr>
                  <w:tcW w:w="1739" w:type="pct"/>
                  <w:tcBorders>
                    <w:tl2br w:val="nil"/>
                    <w:tr2bl w:val="nil"/>
                  </w:tcBorders>
                  <w:vAlign w:val="center"/>
                </w:tcPr>
                <w:p w14:paraId="2D49E788">
                  <w:pPr>
                    <w:topLinePunct/>
                    <w:textAlignment w:val="bottom"/>
                    <w:rPr>
                      <w:szCs w:val="21"/>
                      <w:u w:val="single"/>
                    </w:rPr>
                  </w:pPr>
                  <w:r>
                    <w:rPr>
                      <w:szCs w:val="21"/>
                      <w:u w:val="single"/>
                    </w:rPr>
                    <w:t>本项目采用的消失模工艺和水玻璃自硬砂工艺为低污染、低排放、低能耗、经济高效的先进工艺，符合文件要求。</w:t>
                  </w:r>
                </w:p>
              </w:tc>
              <w:tc>
                <w:tcPr>
                  <w:tcW w:w="331" w:type="pct"/>
                  <w:vMerge w:val="restart"/>
                  <w:tcBorders>
                    <w:tl2br w:val="nil"/>
                    <w:tr2bl w:val="nil"/>
                  </w:tcBorders>
                  <w:vAlign w:val="center"/>
                </w:tcPr>
                <w:p w14:paraId="07440A4D">
                  <w:pPr>
                    <w:topLinePunct/>
                    <w:textAlignment w:val="bottom"/>
                    <w:rPr>
                      <w:szCs w:val="21"/>
                      <w:u w:val="single"/>
                    </w:rPr>
                  </w:pPr>
                  <w:r>
                    <w:rPr>
                      <w:szCs w:val="21"/>
                      <w:u w:val="single"/>
                    </w:rPr>
                    <w:t>符合</w:t>
                  </w:r>
                </w:p>
              </w:tc>
            </w:tr>
            <w:tr w14:paraId="6C5364A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78" w:type="pct"/>
                  <w:vMerge w:val="continue"/>
                  <w:tcBorders>
                    <w:tl2br w:val="nil"/>
                    <w:tr2bl w:val="nil"/>
                  </w:tcBorders>
                  <w:vAlign w:val="center"/>
                </w:tcPr>
                <w:p w14:paraId="71FBCE1E">
                  <w:pPr>
                    <w:topLinePunct/>
                    <w:textAlignment w:val="bottom"/>
                    <w:rPr>
                      <w:szCs w:val="21"/>
                      <w:u w:val="single"/>
                    </w:rPr>
                  </w:pPr>
                </w:p>
              </w:tc>
              <w:tc>
                <w:tcPr>
                  <w:tcW w:w="2550" w:type="pct"/>
                  <w:tcBorders>
                    <w:tl2br w:val="nil"/>
                    <w:tr2bl w:val="nil"/>
                  </w:tcBorders>
                  <w:vAlign w:val="center"/>
                </w:tcPr>
                <w:p w14:paraId="641F5732">
                  <w:pPr>
                    <w:topLinePunct/>
                    <w:textAlignment w:val="bottom"/>
                    <w:rPr>
                      <w:szCs w:val="21"/>
                      <w:u w:val="single"/>
                    </w:rPr>
                  </w:pPr>
                  <w:r>
                    <w:rPr>
                      <w:szCs w:val="21"/>
                      <w:u w:val="single"/>
                    </w:rPr>
                    <w:t>企业不应使用国家明令淘汰的生产工艺。不应采用粘土砂干型/芯、油砂制芯、七O砂制型/芯等落后铸造工艺；粘土砂批量铸件生产企业不应采用手工造型；水玻璃熔模精密铸造企业模壳硬化不应采用氯化铵硬化工艺；铝合金、锌合金等有色金属熔炼不应采用六氯乙烷等有毒有害的精炼剂。</w:t>
                  </w:r>
                </w:p>
              </w:tc>
              <w:tc>
                <w:tcPr>
                  <w:tcW w:w="1739" w:type="pct"/>
                  <w:tcBorders>
                    <w:tl2br w:val="nil"/>
                    <w:tr2bl w:val="nil"/>
                  </w:tcBorders>
                  <w:vAlign w:val="center"/>
                </w:tcPr>
                <w:p w14:paraId="21611493">
                  <w:pPr>
                    <w:topLinePunct/>
                    <w:textAlignment w:val="bottom"/>
                    <w:rPr>
                      <w:szCs w:val="21"/>
                      <w:u w:val="single"/>
                    </w:rPr>
                  </w:pPr>
                  <w:r>
                    <w:rPr>
                      <w:szCs w:val="21"/>
                      <w:u w:val="single"/>
                    </w:rPr>
                    <w:t>本项目不使用粘土砂干型/芯、油砂制芯、七O砂制型/芯等已淘汰的生产工艺；不涉及水玻璃熔模精密铸造工艺；项目不涉及有色金属熔炼，符合文件要求。</w:t>
                  </w:r>
                </w:p>
              </w:tc>
              <w:tc>
                <w:tcPr>
                  <w:tcW w:w="331" w:type="pct"/>
                  <w:vMerge w:val="continue"/>
                  <w:tcBorders>
                    <w:tl2br w:val="nil"/>
                    <w:tr2bl w:val="nil"/>
                  </w:tcBorders>
                  <w:vAlign w:val="center"/>
                </w:tcPr>
                <w:p w14:paraId="245F0519">
                  <w:pPr>
                    <w:topLinePunct/>
                    <w:textAlignment w:val="bottom"/>
                    <w:rPr>
                      <w:szCs w:val="21"/>
                      <w:u w:val="single"/>
                    </w:rPr>
                  </w:pPr>
                </w:p>
              </w:tc>
            </w:tr>
            <w:tr w14:paraId="06D5C8C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78" w:type="pct"/>
                  <w:vMerge w:val="continue"/>
                  <w:tcBorders>
                    <w:tl2br w:val="nil"/>
                    <w:tr2bl w:val="nil"/>
                  </w:tcBorders>
                  <w:vAlign w:val="center"/>
                </w:tcPr>
                <w:p w14:paraId="564A1D75">
                  <w:pPr>
                    <w:topLinePunct/>
                    <w:textAlignment w:val="bottom"/>
                    <w:rPr>
                      <w:szCs w:val="21"/>
                      <w:u w:val="single"/>
                    </w:rPr>
                  </w:pPr>
                </w:p>
              </w:tc>
              <w:tc>
                <w:tcPr>
                  <w:tcW w:w="2550" w:type="pct"/>
                  <w:tcBorders>
                    <w:tl2br w:val="nil"/>
                    <w:tr2bl w:val="nil"/>
                  </w:tcBorders>
                  <w:vAlign w:val="center"/>
                </w:tcPr>
                <w:p w14:paraId="7458FED2">
                  <w:pPr>
                    <w:topLinePunct/>
                    <w:textAlignment w:val="bottom"/>
                    <w:rPr>
                      <w:szCs w:val="21"/>
                      <w:u w:val="single"/>
                    </w:rPr>
                  </w:pPr>
                  <w:r>
                    <w:rPr>
                      <w:szCs w:val="21"/>
                      <w:u w:val="single"/>
                    </w:rPr>
                    <w:t>新（改、扩）建粘土砂型铸造项目应采用自动化造型；新（改、扩）建熔模精密铸造项目不应采用水玻璃熔模精密铸造工艺。</w:t>
                  </w:r>
                </w:p>
              </w:tc>
              <w:tc>
                <w:tcPr>
                  <w:tcW w:w="1739" w:type="pct"/>
                  <w:tcBorders>
                    <w:tl2br w:val="nil"/>
                    <w:tr2bl w:val="nil"/>
                  </w:tcBorders>
                  <w:vAlign w:val="center"/>
                </w:tcPr>
                <w:p w14:paraId="1534BF05">
                  <w:pPr>
                    <w:topLinePunct/>
                    <w:textAlignment w:val="bottom"/>
                    <w:rPr>
                      <w:szCs w:val="21"/>
                      <w:u w:val="single"/>
                    </w:rPr>
                  </w:pPr>
                  <w:r>
                    <w:rPr>
                      <w:szCs w:val="21"/>
                      <w:u w:val="single"/>
                    </w:rPr>
                    <w:t>本项目不涉及粘土砂型铸造；本项目铸造工艺为消失模铸造工艺及水玻璃自硬砂铸造工艺，无水玻璃熔模精密铸造工艺，符合文件要求。</w:t>
                  </w:r>
                </w:p>
              </w:tc>
              <w:tc>
                <w:tcPr>
                  <w:tcW w:w="331" w:type="pct"/>
                  <w:vMerge w:val="continue"/>
                  <w:tcBorders>
                    <w:tl2br w:val="nil"/>
                    <w:tr2bl w:val="nil"/>
                  </w:tcBorders>
                  <w:vAlign w:val="center"/>
                </w:tcPr>
                <w:p w14:paraId="2390D8B1">
                  <w:pPr>
                    <w:topLinePunct/>
                    <w:textAlignment w:val="bottom"/>
                    <w:rPr>
                      <w:szCs w:val="21"/>
                      <w:u w:val="single"/>
                    </w:rPr>
                  </w:pPr>
                </w:p>
              </w:tc>
            </w:tr>
            <w:tr w14:paraId="4EA3EA8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78" w:type="pct"/>
                  <w:vMerge w:val="restart"/>
                  <w:tcBorders>
                    <w:tl2br w:val="nil"/>
                    <w:tr2bl w:val="nil"/>
                  </w:tcBorders>
                  <w:vAlign w:val="center"/>
                </w:tcPr>
                <w:p w14:paraId="52846943">
                  <w:pPr>
                    <w:topLinePunct/>
                    <w:textAlignment w:val="bottom"/>
                    <w:rPr>
                      <w:szCs w:val="21"/>
                      <w:u w:val="single"/>
                    </w:rPr>
                  </w:pPr>
                  <w:r>
                    <w:rPr>
                      <w:b/>
                      <w:szCs w:val="21"/>
                      <w:u w:val="single"/>
                    </w:rPr>
                    <w:t>生产装备</w:t>
                  </w:r>
                </w:p>
              </w:tc>
              <w:tc>
                <w:tcPr>
                  <w:tcW w:w="2550" w:type="pct"/>
                  <w:tcBorders>
                    <w:tl2br w:val="nil"/>
                    <w:tr2bl w:val="nil"/>
                  </w:tcBorders>
                  <w:vAlign w:val="center"/>
                </w:tcPr>
                <w:p w14:paraId="3CC7098E">
                  <w:pPr>
                    <w:topLinePunct/>
                    <w:textAlignment w:val="bottom"/>
                    <w:rPr>
                      <w:szCs w:val="21"/>
                      <w:u w:val="single"/>
                    </w:rPr>
                  </w:pPr>
                  <w:r>
                    <w:rPr>
                      <w:szCs w:val="21"/>
                      <w:u w:val="single"/>
                    </w:rPr>
                    <w:t>企业不应使用国家命令淘汰的生产装备，如：无芯工频感应电炉、0.25吨以上无磁轭的铝壳中频感应电炉等。</w:t>
                  </w:r>
                </w:p>
              </w:tc>
              <w:tc>
                <w:tcPr>
                  <w:tcW w:w="1739" w:type="pct"/>
                  <w:tcBorders>
                    <w:tl2br w:val="nil"/>
                    <w:tr2bl w:val="nil"/>
                  </w:tcBorders>
                  <w:vAlign w:val="center"/>
                </w:tcPr>
                <w:p w14:paraId="3AC65ABD">
                  <w:pPr>
                    <w:topLinePunct/>
                    <w:textAlignment w:val="bottom"/>
                    <w:rPr>
                      <w:szCs w:val="21"/>
                      <w:u w:val="single"/>
                    </w:rPr>
                  </w:pPr>
                  <w:r>
                    <w:rPr>
                      <w:szCs w:val="21"/>
                      <w:u w:val="single"/>
                    </w:rPr>
                    <w:t>本项目采用电炉进行熔化，不属于无芯工频感应电炉，不属于铝壳炉等淘汰设备，符合文件要求。</w:t>
                  </w:r>
                </w:p>
              </w:tc>
              <w:tc>
                <w:tcPr>
                  <w:tcW w:w="331" w:type="pct"/>
                  <w:vMerge w:val="restart"/>
                  <w:tcBorders>
                    <w:tl2br w:val="nil"/>
                    <w:tr2bl w:val="nil"/>
                  </w:tcBorders>
                  <w:vAlign w:val="center"/>
                </w:tcPr>
                <w:p w14:paraId="6693C971">
                  <w:pPr>
                    <w:topLinePunct/>
                    <w:textAlignment w:val="bottom"/>
                    <w:rPr>
                      <w:szCs w:val="21"/>
                      <w:u w:val="single"/>
                    </w:rPr>
                  </w:pPr>
                  <w:r>
                    <w:rPr>
                      <w:szCs w:val="21"/>
                      <w:u w:val="single"/>
                    </w:rPr>
                    <w:t>符合</w:t>
                  </w:r>
                </w:p>
              </w:tc>
            </w:tr>
            <w:tr w14:paraId="557E137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378" w:type="pct"/>
                  <w:vMerge w:val="continue"/>
                  <w:tcBorders>
                    <w:tl2br w:val="nil"/>
                    <w:tr2bl w:val="nil"/>
                  </w:tcBorders>
                  <w:vAlign w:val="center"/>
                </w:tcPr>
                <w:p w14:paraId="0168841A">
                  <w:pPr>
                    <w:topLinePunct/>
                    <w:textAlignment w:val="bottom"/>
                    <w:rPr>
                      <w:szCs w:val="21"/>
                      <w:u w:val="single"/>
                    </w:rPr>
                  </w:pPr>
                </w:p>
              </w:tc>
              <w:tc>
                <w:tcPr>
                  <w:tcW w:w="2550" w:type="pct"/>
                  <w:tcBorders>
                    <w:tl2br w:val="nil"/>
                    <w:tr2bl w:val="nil"/>
                  </w:tcBorders>
                  <w:vAlign w:val="center"/>
                </w:tcPr>
                <w:p w14:paraId="21A08B20">
                  <w:pPr>
                    <w:topLinePunct/>
                    <w:textAlignment w:val="bottom"/>
                    <w:rPr>
                      <w:szCs w:val="21"/>
                      <w:u w:val="single"/>
                    </w:rPr>
                  </w:pPr>
                  <w:r>
                    <w:rPr>
                      <w:szCs w:val="21"/>
                      <w:u w:val="single"/>
                    </w:rPr>
                    <w:t>铸件生产企业采用冲天炉熔炼，其设备熔化率宜大于10吨/小时。</w:t>
                  </w:r>
                </w:p>
              </w:tc>
              <w:tc>
                <w:tcPr>
                  <w:tcW w:w="1739" w:type="pct"/>
                  <w:tcBorders>
                    <w:tl2br w:val="nil"/>
                    <w:tr2bl w:val="nil"/>
                  </w:tcBorders>
                  <w:vAlign w:val="center"/>
                </w:tcPr>
                <w:p w14:paraId="27060E83">
                  <w:pPr>
                    <w:topLinePunct/>
                    <w:textAlignment w:val="bottom"/>
                    <w:rPr>
                      <w:szCs w:val="21"/>
                      <w:u w:val="single"/>
                    </w:rPr>
                  </w:pPr>
                  <w:r>
                    <w:rPr>
                      <w:szCs w:val="21"/>
                      <w:u w:val="single"/>
                    </w:rPr>
                    <w:t>本项目不使用冲天炉，符合文件要求。</w:t>
                  </w:r>
                </w:p>
              </w:tc>
              <w:tc>
                <w:tcPr>
                  <w:tcW w:w="331" w:type="pct"/>
                  <w:vMerge w:val="continue"/>
                  <w:tcBorders>
                    <w:tl2br w:val="nil"/>
                    <w:tr2bl w:val="nil"/>
                  </w:tcBorders>
                  <w:vAlign w:val="center"/>
                </w:tcPr>
                <w:p w14:paraId="2E678C4C">
                  <w:pPr>
                    <w:topLinePunct/>
                    <w:textAlignment w:val="bottom"/>
                    <w:rPr>
                      <w:szCs w:val="21"/>
                      <w:u w:val="single"/>
                    </w:rPr>
                  </w:pPr>
                </w:p>
              </w:tc>
            </w:tr>
            <w:tr w14:paraId="62D8598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78" w:type="pct"/>
                  <w:vMerge w:val="restart"/>
                  <w:tcBorders>
                    <w:tl2br w:val="nil"/>
                    <w:tr2bl w:val="nil"/>
                  </w:tcBorders>
                  <w:vAlign w:val="center"/>
                </w:tcPr>
                <w:p w14:paraId="60BE9CBB">
                  <w:pPr>
                    <w:topLinePunct/>
                    <w:textAlignment w:val="bottom"/>
                    <w:rPr>
                      <w:szCs w:val="21"/>
                      <w:u w:val="single"/>
                    </w:rPr>
                  </w:pPr>
                  <w:r>
                    <w:rPr>
                      <w:b/>
                      <w:szCs w:val="21"/>
                      <w:u w:val="single"/>
                    </w:rPr>
                    <w:t>熔炼（化）及炉前检测设备</w:t>
                  </w:r>
                </w:p>
              </w:tc>
              <w:tc>
                <w:tcPr>
                  <w:tcW w:w="2550" w:type="pct"/>
                  <w:tcBorders>
                    <w:tl2br w:val="nil"/>
                    <w:tr2bl w:val="nil"/>
                  </w:tcBorders>
                  <w:vAlign w:val="center"/>
                </w:tcPr>
                <w:p w14:paraId="0B8F8CE6">
                  <w:pPr>
                    <w:topLinePunct/>
                    <w:textAlignment w:val="bottom"/>
                    <w:rPr>
                      <w:szCs w:val="21"/>
                      <w:u w:val="single"/>
                    </w:rPr>
                  </w:pPr>
                  <w:r>
                    <w:rPr>
                      <w:szCs w:val="21"/>
                      <w:u w:val="single"/>
                    </w:rPr>
                    <w:t>企业应配备与生产能力相匹配的熔炼、保温和精炼设备，如冲天炉、中频感应电炉、电弧炉、精炼炉（AOD、VOD、LF炉等）、电阻炉、燃气炉、保温炉等</w:t>
                  </w:r>
                </w:p>
              </w:tc>
              <w:tc>
                <w:tcPr>
                  <w:tcW w:w="1739" w:type="pct"/>
                  <w:tcBorders>
                    <w:tl2br w:val="nil"/>
                    <w:tr2bl w:val="nil"/>
                  </w:tcBorders>
                  <w:vAlign w:val="center"/>
                </w:tcPr>
                <w:p w14:paraId="1D1D1AAA">
                  <w:pPr>
                    <w:topLinePunct/>
                    <w:textAlignment w:val="bottom"/>
                    <w:rPr>
                      <w:szCs w:val="21"/>
                      <w:u w:val="single"/>
                    </w:rPr>
                  </w:pPr>
                  <w:r>
                    <w:rPr>
                      <w:szCs w:val="21"/>
                      <w:u w:val="single"/>
                    </w:rPr>
                    <w:t>本项目熔炼采用电炉生产能力与产能相匹配，符合文件要求。</w:t>
                  </w:r>
                </w:p>
              </w:tc>
              <w:tc>
                <w:tcPr>
                  <w:tcW w:w="331" w:type="pct"/>
                  <w:vMerge w:val="restart"/>
                  <w:tcBorders>
                    <w:tl2br w:val="nil"/>
                    <w:tr2bl w:val="nil"/>
                  </w:tcBorders>
                  <w:vAlign w:val="center"/>
                </w:tcPr>
                <w:p w14:paraId="0094ADB3">
                  <w:pPr>
                    <w:topLinePunct/>
                    <w:textAlignment w:val="bottom"/>
                    <w:rPr>
                      <w:szCs w:val="21"/>
                      <w:u w:val="single"/>
                    </w:rPr>
                  </w:pPr>
                  <w:r>
                    <w:rPr>
                      <w:szCs w:val="21"/>
                      <w:u w:val="single"/>
                    </w:rPr>
                    <w:t>符合</w:t>
                  </w:r>
                </w:p>
              </w:tc>
            </w:tr>
            <w:tr w14:paraId="49242D7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78" w:type="pct"/>
                  <w:vMerge w:val="continue"/>
                  <w:tcBorders>
                    <w:tl2br w:val="nil"/>
                    <w:tr2bl w:val="nil"/>
                  </w:tcBorders>
                  <w:vAlign w:val="center"/>
                </w:tcPr>
                <w:p w14:paraId="20EEB3E2">
                  <w:pPr>
                    <w:topLinePunct/>
                    <w:textAlignment w:val="bottom"/>
                    <w:rPr>
                      <w:szCs w:val="21"/>
                      <w:u w:val="single"/>
                    </w:rPr>
                  </w:pPr>
                </w:p>
              </w:tc>
              <w:tc>
                <w:tcPr>
                  <w:tcW w:w="2550" w:type="pct"/>
                  <w:tcBorders>
                    <w:tl2br w:val="nil"/>
                    <w:tr2bl w:val="nil"/>
                  </w:tcBorders>
                  <w:vAlign w:val="center"/>
                </w:tcPr>
                <w:p w14:paraId="0077BA60">
                  <w:pPr>
                    <w:topLinePunct/>
                    <w:textAlignment w:val="bottom"/>
                    <w:rPr>
                      <w:szCs w:val="21"/>
                      <w:u w:val="single"/>
                    </w:rPr>
                  </w:pPr>
                  <w:r>
                    <w:rPr>
                      <w:szCs w:val="21"/>
                      <w:u w:val="single"/>
                    </w:rPr>
                    <w:t>熔炼、保温和精炼设备炉前应配置必要的化学成分分析、金属液温度测量等检测仪器。</w:t>
                  </w:r>
                </w:p>
              </w:tc>
              <w:tc>
                <w:tcPr>
                  <w:tcW w:w="1739" w:type="pct"/>
                  <w:tcBorders>
                    <w:tl2br w:val="nil"/>
                    <w:tr2bl w:val="nil"/>
                  </w:tcBorders>
                  <w:vAlign w:val="center"/>
                </w:tcPr>
                <w:p w14:paraId="0C359D1D">
                  <w:pPr>
                    <w:topLinePunct/>
                    <w:textAlignment w:val="bottom"/>
                    <w:rPr>
                      <w:szCs w:val="21"/>
                      <w:u w:val="single"/>
                    </w:rPr>
                  </w:pPr>
                  <w:r>
                    <w:rPr>
                      <w:szCs w:val="21"/>
                      <w:u w:val="single"/>
                    </w:rPr>
                    <w:t>本项目熔炼前配备金属液温度测量仪器，符合文件要求。</w:t>
                  </w:r>
                </w:p>
              </w:tc>
              <w:tc>
                <w:tcPr>
                  <w:tcW w:w="331" w:type="pct"/>
                  <w:vMerge w:val="continue"/>
                  <w:tcBorders>
                    <w:tl2br w:val="nil"/>
                    <w:tr2bl w:val="nil"/>
                  </w:tcBorders>
                  <w:vAlign w:val="center"/>
                </w:tcPr>
                <w:p w14:paraId="7FD929C3">
                  <w:pPr>
                    <w:topLinePunct/>
                    <w:textAlignment w:val="bottom"/>
                    <w:rPr>
                      <w:szCs w:val="21"/>
                      <w:u w:val="single"/>
                    </w:rPr>
                  </w:pPr>
                </w:p>
              </w:tc>
            </w:tr>
            <w:tr w14:paraId="785DD18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78" w:type="pct"/>
                  <w:tcBorders>
                    <w:tl2br w:val="nil"/>
                    <w:tr2bl w:val="nil"/>
                  </w:tcBorders>
                  <w:vAlign w:val="center"/>
                </w:tcPr>
                <w:p w14:paraId="0BF01335">
                  <w:pPr>
                    <w:topLinePunct/>
                    <w:textAlignment w:val="bottom"/>
                    <w:rPr>
                      <w:szCs w:val="21"/>
                      <w:u w:val="single"/>
                    </w:rPr>
                  </w:pPr>
                  <w:r>
                    <w:rPr>
                      <w:b/>
                      <w:szCs w:val="21"/>
                      <w:u w:val="single"/>
                    </w:rPr>
                    <w:t>造型、制芯及成型设备</w:t>
                  </w:r>
                </w:p>
              </w:tc>
              <w:tc>
                <w:tcPr>
                  <w:tcW w:w="2550" w:type="pct"/>
                  <w:tcBorders>
                    <w:tl2br w:val="nil"/>
                    <w:tr2bl w:val="nil"/>
                  </w:tcBorders>
                  <w:vAlign w:val="center"/>
                </w:tcPr>
                <w:p w14:paraId="141D92DA">
                  <w:pPr>
                    <w:topLinePunct/>
                    <w:textAlignment w:val="bottom"/>
                    <w:rPr>
                      <w:szCs w:val="21"/>
                      <w:u w:val="single"/>
                    </w:rPr>
                  </w:pPr>
                  <w:r>
                    <w:rPr>
                      <w:szCs w:val="21"/>
                      <w:u w:val="single"/>
                    </w:rPr>
                    <w:t>企业应配备与产品及生产能力相匹配的造型、制芯及成型设备（线），如粘土砂造型机（线）、树脂砂混砂机、壳型（芯）机、铁模覆砂生产线、水玻璃砂生产线、消失模/V法/实型铸造设备、离心铸造设备、冷/热室压铸机、低压铸造机、重力铸造设备、挤压铸造设备、差压铸造设备、熔模铸造设备（线）、冷/热芯盒制芯机（中心）、制芯中心、快速成型设备等。</w:t>
                  </w:r>
                </w:p>
              </w:tc>
              <w:tc>
                <w:tcPr>
                  <w:tcW w:w="1739" w:type="pct"/>
                  <w:tcBorders>
                    <w:tl2br w:val="nil"/>
                    <w:tr2bl w:val="nil"/>
                  </w:tcBorders>
                  <w:vAlign w:val="center"/>
                </w:tcPr>
                <w:p w14:paraId="4D976A52">
                  <w:pPr>
                    <w:topLinePunct/>
                    <w:textAlignment w:val="bottom"/>
                    <w:rPr>
                      <w:szCs w:val="21"/>
                      <w:u w:val="single"/>
                    </w:rPr>
                  </w:pPr>
                  <w:r>
                    <w:rPr>
                      <w:szCs w:val="21"/>
                      <w:u w:val="single"/>
                    </w:rPr>
                    <w:t>本项目配备的生产设备与产能相匹配，符合文件要求。</w:t>
                  </w:r>
                </w:p>
              </w:tc>
              <w:tc>
                <w:tcPr>
                  <w:tcW w:w="331" w:type="pct"/>
                  <w:tcBorders>
                    <w:tl2br w:val="nil"/>
                    <w:tr2bl w:val="nil"/>
                  </w:tcBorders>
                  <w:vAlign w:val="center"/>
                </w:tcPr>
                <w:p w14:paraId="44D69D50">
                  <w:pPr>
                    <w:topLinePunct/>
                    <w:textAlignment w:val="bottom"/>
                    <w:rPr>
                      <w:szCs w:val="21"/>
                      <w:u w:val="single"/>
                    </w:rPr>
                  </w:pPr>
                  <w:r>
                    <w:rPr>
                      <w:szCs w:val="21"/>
                      <w:u w:val="single"/>
                    </w:rPr>
                    <w:t>符合</w:t>
                  </w:r>
                </w:p>
              </w:tc>
            </w:tr>
            <w:tr w14:paraId="595BB2D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78" w:type="pct"/>
                  <w:vMerge w:val="restart"/>
                  <w:tcBorders>
                    <w:tl2br w:val="nil"/>
                    <w:tr2bl w:val="nil"/>
                  </w:tcBorders>
                  <w:vAlign w:val="center"/>
                </w:tcPr>
                <w:p w14:paraId="423B8B6C">
                  <w:pPr>
                    <w:topLinePunct/>
                    <w:textAlignment w:val="bottom"/>
                    <w:rPr>
                      <w:szCs w:val="21"/>
                      <w:u w:val="single"/>
                    </w:rPr>
                  </w:pPr>
                  <w:r>
                    <w:rPr>
                      <w:b/>
                      <w:bCs/>
                      <w:szCs w:val="21"/>
                      <w:u w:val="single"/>
                    </w:rPr>
                    <w:t>砂处理设备和旧砂处理设备</w:t>
                  </w:r>
                </w:p>
              </w:tc>
              <w:tc>
                <w:tcPr>
                  <w:tcW w:w="2550" w:type="pct"/>
                  <w:tcBorders>
                    <w:tl2br w:val="nil"/>
                    <w:tr2bl w:val="nil"/>
                  </w:tcBorders>
                  <w:vAlign w:val="center"/>
                </w:tcPr>
                <w:p w14:paraId="01607964">
                  <w:pPr>
                    <w:topLinePunct/>
                    <w:textAlignment w:val="bottom"/>
                    <w:rPr>
                      <w:szCs w:val="21"/>
                      <w:u w:val="single"/>
                    </w:rPr>
                  </w:pPr>
                  <w:r>
                    <w:rPr>
                      <w:szCs w:val="21"/>
                      <w:u w:val="single"/>
                    </w:rPr>
                    <w:t>采用砂型铸造工艺的企业应配备完善的砂处理设备和旧砂处理设备，各种旧砂的回用率应达到以下要求：粘土砂≥95%、呋喃树脂自硬砂（再生）≥90%、碱酚醛树脂自硬砂（再生）≥80%、酯硬化水玻璃砂（再生）≥80%</w:t>
                  </w:r>
                </w:p>
              </w:tc>
              <w:tc>
                <w:tcPr>
                  <w:tcW w:w="1739" w:type="pct"/>
                  <w:vMerge w:val="restart"/>
                  <w:tcBorders>
                    <w:tl2br w:val="nil"/>
                    <w:tr2bl w:val="nil"/>
                  </w:tcBorders>
                  <w:vAlign w:val="center"/>
                </w:tcPr>
                <w:p w14:paraId="6D1DABEB">
                  <w:pPr>
                    <w:topLinePunct/>
                    <w:textAlignment w:val="bottom"/>
                    <w:rPr>
                      <w:szCs w:val="21"/>
                      <w:u w:val="single"/>
                    </w:rPr>
                  </w:pPr>
                  <w:r>
                    <w:rPr>
                      <w:szCs w:val="21"/>
                      <w:u w:val="single"/>
                    </w:rPr>
                    <w:t>本项目消失模铸造砂再生处理后，回用率不低于95%，满足文件要求</w:t>
                  </w:r>
                  <w:r>
                    <w:rPr>
                      <w:kern w:val="10"/>
                      <w:szCs w:val="21"/>
                      <w:u w:val="single"/>
                    </w:rPr>
                    <w:t>。</w:t>
                  </w:r>
                </w:p>
                <w:p w14:paraId="2659583A">
                  <w:pPr>
                    <w:topLinePunct/>
                    <w:textAlignment w:val="bottom"/>
                    <w:rPr>
                      <w:szCs w:val="21"/>
                      <w:u w:val="single"/>
                    </w:rPr>
                  </w:pPr>
                  <w:r>
                    <w:rPr>
                      <w:szCs w:val="21"/>
                      <w:u w:val="single"/>
                    </w:rPr>
                    <w:t>本项</w:t>
                  </w:r>
                  <w:r>
                    <w:rPr>
                      <w:kern w:val="10"/>
                      <w:szCs w:val="21"/>
                      <w:u w:val="single"/>
                    </w:rPr>
                    <w:t>目水玻璃铸造废砂收集后送至原厂家再生回收利用。</w:t>
                  </w:r>
                </w:p>
              </w:tc>
              <w:tc>
                <w:tcPr>
                  <w:tcW w:w="331" w:type="pct"/>
                  <w:vMerge w:val="restart"/>
                  <w:tcBorders>
                    <w:tl2br w:val="nil"/>
                    <w:tr2bl w:val="nil"/>
                  </w:tcBorders>
                  <w:vAlign w:val="center"/>
                </w:tcPr>
                <w:p w14:paraId="4C9A5FD8">
                  <w:pPr>
                    <w:topLinePunct/>
                    <w:textAlignment w:val="bottom"/>
                    <w:rPr>
                      <w:szCs w:val="21"/>
                      <w:u w:val="single"/>
                    </w:rPr>
                  </w:pPr>
                  <w:r>
                    <w:rPr>
                      <w:szCs w:val="21"/>
                      <w:u w:val="single"/>
                    </w:rPr>
                    <w:t>符合</w:t>
                  </w:r>
                </w:p>
              </w:tc>
            </w:tr>
            <w:tr w14:paraId="5E64D8B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78" w:type="pct"/>
                  <w:vMerge w:val="continue"/>
                  <w:tcBorders>
                    <w:tl2br w:val="nil"/>
                    <w:tr2bl w:val="nil"/>
                  </w:tcBorders>
                  <w:vAlign w:val="center"/>
                </w:tcPr>
                <w:p w14:paraId="2DE8C5FC">
                  <w:pPr>
                    <w:topLinePunct/>
                    <w:textAlignment w:val="bottom"/>
                    <w:rPr>
                      <w:szCs w:val="21"/>
                      <w:u w:val="single"/>
                    </w:rPr>
                  </w:pPr>
                </w:p>
              </w:tc>
              <w:tc>
                <w:tcPr>
                  <w:tcW w:w="2550" w:type="pct"/>
                  <w:tcBorders>
                    <w:tl2br w:val="nil"/>
                    <w:tr2bl w:val="nil"/>
                  </w:tcBorders>
                  <w:vAlign w:val="center"/>
                </w:tcPr>
                <w:p w14:paraId="56003341">
                  <w:pPr>
                    <w:topLinePunct/>
                    <w:textAlignment w:val="bottom"/>
                    <w:rPr>
                      <w:szCs w:val="21"/>
                      <w:u w:val="single"/>
                    </w:rPr>
                  </w:pPr>
                  <w:r>
                    <w:rPr>
                      <w:szCs w:val="21"/>
                      <w:u w:val="single"/>
                    </w:rPr>
                    <w:t>采用水玻璃砂型铸造工艺的企业宜配备合理的再生设备。</w:t>
                  </w:r>
                </w:p>
              </w:tc>
              <w:tc>
                <w:tcPr>
                  <w:tcW w:w="1739" w:type="pct"/>
                  <w:vMerge w:val="continue"/>
                  <w:tcBorders>
                    <w:tl2br w:val="nil"/>
                    <w:tr2bl w:val="nil"/>
                  </w:tcBorders>
                  <w:vAlign w:val="center"/>
                </w:tcPr>
                <w:p w14:paraId="60BB353B">
                  <w:pPr>
                    <w:topLinePunct/>
                    <w:textAlignment w:val="bottom"/>
                    <w:rPr>
                      <w:szCs w:val="21"/>
                      <w:u w:val="single"/>
                    </w:rPr>
                  </w:pPr>
                </w:p>
              </w:tc>
              <w:tc>
                <w:tcPr>
                  <w:tcW w:w="331" w:type="pct"/>
                  <w:vMerge w:val="continue"/>
                  <w:tcBorders>
                    <w:tl2br w:val="nil"/>
                    <w:tr2bl w:val="nil"/>
                  </w:tcBorders>
                  <w:vAlign w:val="center"/>
                </w:tcPr>
                <w:p w14:paraId="08F5F280">
                  <w:pPr>
                    <w:topLinePunct/>
                    <w:textAlignment w:val="bottom"/>
                    <w:rPr>
                      <w:szCs w:val="21"/>
                      <w:u w:val="single"/>
                    </w:rPr>
                  </w:pPr>
                </w:p>
              </w:tc>
            </w:tr>
            <w:tr w14:paraId="784CD19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47" w:hRule="atLeast"/>
                <w:jc w:val="center"/>
              </w:trPr>
              <w:tc>
                <w:tcPr>
                  <w:tcW w:w="378" w:type="pct"/>
                  <w:tcBorders>
                    <w:tl2br w:val="nil"/>
                    <w:tr2bl w:val="nil"/>
                  </w:tcBorders>
                  <w:vAlign w:val="center"/>
                </w:tcPr>
                <w:p w14:paraId="5DDAB181">
                  <w:pPr>
                    <w:topLinePunct/>
                    <w:textAlignment w:val="bottom"/>
                    <w:rPr>
                      <w:szCs w:val="21"/>
                      <w:u w:val="single"/>
                    </w:rPr>
                  </w:pPr>
                  <w:r>
                    <w:rPr>
                      <w:b/>
                      <w:szCs w:val="21"/>
                      <w:u w:val="single"/>
                    </w:rPr>
                    <w:t>能源消耗</w:t>
                  </w:r>
                </w:p>
              </w:tc>
              <w:tc>
                <w:tcPr>
                  <w:tcW w:w="2550" w:type="pct"/>
                  <w:tcBorders>
                    <w:tl2br w:val="nil"/>
                    <w:tr2bl w:val="nil"/>
                  </w:tcBorders>
                  <w:vAlign w:val="center"/>
                </w:tcPr>
                <w:p w14:paraId="29D89794">
                  <w:pPr>
                    <w:topLinePunct/>
                    <w:textAlignment w:val="bottom"/>
                    <w:rPr>
                      <w:szCs w:val="21"/>
                      <w:u w:val="single"/>
                    </w:rPr>
                  </w:pPr>
                  <w:r>
                    <w:rPr>
                      <w:szCs w:val="21"/>
                      <w:u w:val="single"/>
                    </w:rPr>
                    <w:t>企业的主要熔炼设备按其熔炼不同金 属应满足表3～表9的规定</w:t>
                  </w:r>
                </w:p>
              </w:tc>
              <w:tc>
                <w:tcPr>
                  <w:tcW w:w="1739" w:type="pct"/>
                  <w:tcBorders>
                    <w:tl2br w:val="nil"/>
                    <w:tr2bl w:val="nil"/>
                  </w:tcBorders>
                  <w:vAlign w:val="center"/>
                </w:tcPr>
                <w:p w14:paraId="753BC9F3">
                  <w:pPr>
                    <w:topLinePunct/>
                    <w:textAlignment w:val="bottom"/>
                    <w:rPr>
                      <w:szCs w:val="21"/>
                      <w:u w:val="single"/>
                    </w:rPr>
                  </w:pPr>
                  <w:r>
                    <w:rPr>
                      <w:szCs w:val="21"/>
                      <w:u w:val="single"/>
                    </w:rPr>
                    <w:t>参照表4中频无心感应电炉熔炼（普通碳钢）的能耗指标（1600℃），本项目电炉满足相应能耗要求</w:t>
                  </w:r>
                  <w:r>
                    <w:rPr>
                      <w:u w:val="single"/>
                    </w:rPr>
                    <w:t>。</w:t>
                  </w:r>
                </w:p>
              </w:tc>
              <w:tc>
                <w:tcPr>
                  <w:tcW w:w="331" w:type="pct"/>
                  <w:tcBorders>
                    <w:tl2br w:val="nil"/>
                    <w:tr2bl w:val="nil"/>
                  </w:tcBorders>
                  <w:vAlign w:val="center"/>
                </w:tcPr>
                <w:p w14:paraId="11BF7088">
                  <w:pPr>
                    <w:topLinePunct/>
                    <w:textAlignment w:val="bottom"/>
                    <w:rPr>
                      <w:szCs w:val="21"/>
                      <w:u w:val="single"/>
                    </w:rPr>
                  </w:pPr>
                  <w:r>
                    <w:rPr>
                      <w:szCs w:val="21"/>
                      <w:u w:val="single"/>
                    </w:rPr>
                    <w:t>符合</w:t>
                  </w:r>
                </w:p>
              </w:tc>
            </w:tr>
            <w:tr w14:paraId="6488ABC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16" w:hRule="atLeast"/>
                <w:jc w:val="center"/>
              </w:trPr>
              <w:tc>
                <w:tcPr>
                  <w:tcW w:w="378" w:type="pct"/>
                  <w:vMerge w:val="restart"/>
                  <w:tcBorders>
                    <w:tl2br w:val="nil"/>
                    <w:tr2bl w:val="nil"/>
                  </w:tcBorders>
                  <w:vAlign w:val="center"/>
                </w:tcPr>
                <w:p w14:paraId="36128DCA">
                  <w:pPr>
                    <w:topLinePunct/>
                    <w:textAlignment w:val="bottom"/>
                    <w:rPr>
                      <w:szCs w:val="21"/>
                      <w:u w:val="single"/>
                    </w:rPr>
                  </w:pPr>
                  <w:r>
                    <w:rPr>
                      <w:szCs w:val="21"/>
                      <w:u w:val="single"/>
                    </w:rPr>
                    <w:t>环境保护</w:t>
                  </w:r>
                </w:p>
              </w:tc>
              <w:tc>
                <w:tcPr>
                  <w:tcW w:w="2550" w:type="pct"/>
                  <w:tcBorders>
                    <w:tl2br w:val="nil"/>
                    <w:tr2bl w:val="nil"/>
                  </w:tcBorders>
                  <w:vAlign w:val="center"/>
                </w:tcPr>
                <w:p w14:paraId="00D64DBC">
                  <w:pPr>
                    <w:topLinePunct/>
                    <w:textAlignment w:val="bottom"/>
                    <w:rPr>
                      <w:szCs w:val="21"/>
                      <w:u w:val="single"/>
                    </w:rPr>
                  </w:pPr>
                  <w:r>
                    <w:rPr>
                      <w:szCs w:val="21"/>
                      <w:u w:val="single"/>
                    </w:rPr>
                    <w:t>企业应按HJ1115、HJ1200的要求,取得排污许可证；宜按照HJ1251 的要求制定自行监测方案。</w:t>
                  </w:r>
                </w:p>
              </w:tc>
              <w:tc>
                <w:tcPr>
                  <w:tcW w:w="1739" w:type="pct"/>
                  <w:tcBorders>
                    <w:tl2br w:val="nil"/>
                    <w:tr2bl w:val="nil"/>
                  </w:tcBorders>
                  <w:vAlign w:val="center"/>
                </w:tcPr>
                <w:p w14:paraId="3870E67C">
                  <w:pPr>
                    <w:topLinePunct/>
                    <w:textAlignment w:val="bottom"/>
                    <w:rPr>
                      <w:szCs w:val="21"/>
                      <w:u w:val="single"/>
                    </w:rPr>
                  </w:pPr>
                  <w:r>
                    <w:rPr>
                      <w:szCs w:val="21"/>
                      <w:u w:val="single"/>
                    </w:rPr>
                    <w:t>企业将按照要求申请排污许可证并制定自行监测方案。</w:t>
                  </w:r>
                </w:p>
              </w:tc>
              <w:tc>
                <w:tcPr>
                  <w:tcW w:w="331" w:type="pct"/>
                  <w:tcBorders>
                    <w:tl2br w:val="nil"/>
                    <w:tr2bl w:val="nil"/>
                  </w:tcBorders>
                  <w:vAlign w:val="center"/>
                </w:tcPr>
                <w:p w14:paraId="5E46FDEF">
                  <w:pPr>
                    <w:topLinePunct/>
                    <w:textAlignment w:val="bottom"/>
                    <w:rPr>
                      <w:szCs w:val="21"/>
                      <w:u w:val="single"/>
                    </w:rPr>
                  </w:pPr>
                  <w:r>
                    <w:rPr>
                      <w:szCs w:val="21"/>
                      <w:u w:val="single"/>
                    </w:rPr>
                    <w:t>符合</w:t>
                  </w:r>
                </w:p>
              </w:tc>
            </w:tr>
            <w:tr w14:paraId="5469A94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47" w:hRule="atLeast"/>
                <w:jc w:val="center"/>
              </w:trPr>
              <w:tc>
                <w:tcPr>
                  <w:tcW w:w="378" w:type="pct"/>
                  <w:vMerge w:val="continue"/>
                  <w:tcBorders>
                    <w:tl2br w:val="nil"/>
                    <w:tr2bl w:val="nil"/>
                  </w:tcBorders>
                  <w:vAlign w:val="center"/>
                </w:tcPr>
                <w:p w14:paraId="6A3348C9">
                  <w:pPr>
                    <w:topLinePunct/>
                    <w:textAlignment w:val="bottom"/>
                    <w:rPr>
                      <w:szCs w:val="21"/>
                      <w:u w:val="single"/>
                    </w:rPr>
                  </w:pPr>
                </w:p>
              </w:tc>
              <w:tc>
                <w:tcPr>
                  <w:tcW w:w="2550" w:type="pct"/>
                  <w:tcBorders>
                    <w:tl2br w:val="nil"/>
                    <w:tr2bl w:val="nil"/>
                  </w:tcBorders>
                  <w:vAlign w:val="center"/>
                </w:tcPr>
                <w:p w14:paraId="4C7C3025">
                  <w:pPr>
                    <w:topLinePunct/>
                    <w:textAlignment w:val="bottom"/>
                    <w:rPr>
                      <w:szCs w:val="21"/>
                      <w:u w:val="single"/>
                    </w:rPr>
                  </w:pPr>
                  <w:r>
                    <w:rPr>
                      <w:szCs w:val="21"/>
                      <w:u w:val="single"/>
                    </w:rPr>
                    <w:t>企业大气污染物排放应符合GB39726的要求。应配置完善的环保处理装置，废气、废水、噪声工业固体废物等排放与处置措施应符合国家及地方环保法规和标准的规定。</w:t>
                  </w:r>
                </w:p>
              </w:tc>
              <w:tc>
                <w:tcPr>
                  <w:tcW w:w="1739" w:type="pct"/>
                  <w:tcBorders>
                    <w:tl2br w:val="nil"/>
                    <w:tr2bl w:val="nil"/>
                  </w:tcBorders>
                  <w:vAlign w:val="center"/>
                </w:tcPr>
                <w:p w14:paraId="534FCF36">
                  <w:pPr>
                    <w:topLinePunct/>
                    <w:textAlignment w:val="bottom"/>
                    <w:rPr>
                      <w:szCs w:val="21"/>
                      <w:u w:val="single"/>
                    </w:rPr>
                  </w:pPr>
                  <w:r>
                    <w:rPr>
                      <w:szCs w:val="21"/>
                      <w:u w:val="single"/>
                    </w:rPr>
                    <w:t>企业配套建设环保处理装置，废气、废水、噪声工业固体废物等排放与处置措施符合国家及地方环保法规和标准的规定</w:t>
                  </w:r>
                </w:p>
              </w:tc>
              <w:tc>
                <w:tcPr>
                  <w:tcW w:w="331" w:type="pct"/>
                  <w:tcBorders>
                    <w:tl2br w:val="nil"/>
                    <w:tr2bl w:val="nil"/>
                  </w:tcBorders>
                  <w:vAlign w:val="center"/>
                </w:tcPr>
                <w:p w14:paraId="37CD274E">
                  <w:pPr>
                    <w:topLinePunct/>
                    <w:textAlignment w:val="bottom"/>
                    <w:rPr>
                      <w:szCs w:val="21"/>
                      <w:u w:val="single"/>
                    </w:rPr>
                  </w:pPr>
                  <w:r>
                    <w:rPr>
                      <w:szCs w:val="21"/>
                      <w:u w:val="single"/>
                    </w:rPr>
                    <w:t>符合</w:t>
                  </w:r>
                </w:p>
              </w:tc>
            </w:tr>
          </w:tbl>
          <w:p w14:paraId="748F4594">
            <w:pPr>
              <w:spacing w:line="360" w:lineRule="auto"/>
              <w:ind w:firstLine="482" w:firstLineChars="200"/>
              <w:rPr>
                <w:b/>
                <w:bCs/>
                <w:kern w:val="44"/>
                <w:position w:val="-6"/>
                <w:sz w:val="24"/>
                <w:lang w:bidi="ar"/>
              </w:rPr>
            </w:pPr>
            <w:r>
              <w:rPr>
                <w:rFonts w:hint="eastAsia"/>
                <w:b/>
                <w:bCs/>
                <w:kern w:val="44"/>
                <w:position w:val="-6"/>
                <w:sz w:val="24"/>
                <w:lang w:bidi="ar"/>
              </w:rPr>
              <w:t>3、湘潭县“三区三线”相符性分析</w:t>
            </w:r>
          </w:p>
          <w:p w14:paraId="376D4197">
            <w:pPr>
              <w:spacing w:line="360" w:lineRule="auto"/>
              <w:ind w:firstLine="472" w:firstLineChars="200"/>
              <w:rPr>
                <w:spacing w:val="-2"/>
                <w:position w:val="-6"/>
                <w:sz w:val="24"/>
                <w:lang w:bidi="ar"/>
              </w:rPr>
            </w:pPr>
            <w:r>
              <w:rPr>
                <w:spacing w:val="-2"/>
                <w:position w:val="-6"/>
                <w:sz w:val="24"/>
                <w:lang w:bidi="ar"/>
              </w:rPr>
              <w:t>2022年7月18日，湘潭县自然资源局召开了“三区三线”划定工作会议，会议强调按照耕地和永久基本农田、生态保护红线、城镇开发边界次序，以前期永久基本农田核实整改补足、生态保护红线评估调整和城镇开发边界模拟划定成果为基础，结合湘潭县国土空间总体规划编制，统筹划定耕地和永久基本农田、生态保护红线、城镇开发边界，为高水平编制国土空间规划打下坚实基础。</w:t>
            </w:r>
          </w:p>
          <w:p w14:paraId="757A1D63">
            <w:pPr>
              <w:spacing w:line="360" w:lineRule="auto"/>
              <w:ind w:firstLine="472" w:firstLineChars="200"/>
              <w:rPr>
                <w:b/>
                <w:bCs/>
                <w:kern w:val="44"/>
                <w:position w:val="-6"/>
                <w:sz w:val="24"/>
                <w:lang w:bidi="ar"/>
              </w:rPr>
            </w:pPr>
            <w:r>
              <w:rPr>
                <w:spacing w:val="-2"/>
                <w:position w:val="-6"/>
                <w:sz w:val="24"/>
                <w:lang w:bidi="ar"/>
              </w:rPr>
              <w:t>本项目所在区域为城镇空间，土地类型为工业用地，区域内无生态保护红线区，不涉及占用或穿越生态保护红线，不新增用地，不占用基本农田，符合“三区三线”划定规则</w:t>
            </w:r>
            <w:r>
              <w:rPr>
                <w:rFonts w:hint="eastAsia"/>
                <w:spacing w:val="-2"/>
                <w:position w:val="-6"/>
                <w:sz w:val="24"/>
                <w:lang w:bidi="ar"/>
              </w:rPr>
              <w:t>。</w:t>
            </w:r>
          </w:p>
          <w:p w14:paraId="68C64F81">
            <w:pPr>
              <w:spacing w:line="360" w:lineRule="auto"/>
              <w:ind w:firstLine="482" w:firstLineChars="200"/>
              <w:rPr>
                <w:spacing w:val="-2"/>
                <w:position w:val="-6"/>
                <w:sz w:val="24"/>
                <w:lang w:bidi="ar"/>
              </w:rPr>
            </w:pPr>
            <w:r>
              <w:rPr>
                <w:rFonts w:hint="eastAsia"/>
                <w:b/>
                <w:bCs/>
                <w:kern w:val="44"/>
                <w:position w:val="-6"/>
                <w:sz w:val="24"/>
                <w:lang w:bidi="ar"/>
              </w:rPr>
              <w:t>4</w:t>
            </w:r>
            <w:r>
              <w:rPr>
                <w:b/>
                <w:bCs/>
                <w:kern w:val="44"/>
                <w:position w:val="-6"/>
                <w:sz w:val="24"/>
                <w:lang w:bidi="ar"/>
              </w:rPr>
              <w:t>、</w:t>
            </w:r>
            <w:r>
              <w:rPr>
                <w:rFonts w:hint="eastAsia"/>
                <w:b/>
                <w:bCs/>
                <w:kern w:val="44"/>
                <w:position w:val="-6"/>
                <w:sz w:val="24"/>
                <w:lang w:bidi="ar"/>
              </w:rPr>
              <w:t>“生态环境分区管控”</w:t>
            </w:r>
            <w:r>
              <w:rPr>
                <w:b/>
                <w:bCs/>
                <w:kern w:val="44"/>
                <w:position w:val="-6"/>
                <w:sz w:val="24"/>
                <w:lang w:bidi="ar"/>
              </w:rPr>
              <w:t>相符性分析</w:t>
            </w:r>
          </w:p>
          <w:p w14:paraId="1AE50179">
            <w:pPr>
              <w:spacing w:line="360" w:lineRule="auto"/>
              <w:ind w:firstLine="472" w:firstLineChars="200"/>
              <w:rPr>
                <w:spacing w:val="-2"/>
                <w:position w:val="-6"/>
                <w:sz w:val="24"/>
                <w:lang w:bidi="ar"/>
              </w:rPr>
            </w:pPr>
            <w:r>
              <w:rPr>
                <w:spacing w:val="-2"/>
                <w:position w:val="-6"/>
                <w:sz w:val="24"/>
                <w:lang w:bidi="ar"/>
              </w:rPr>
              <w:t>“三线一单”主要指生态保护红线、环境质量底线、资源利用上线和生态环境准入清单。</w:t>
            </w:r>
          </w:p>
          <w:p w14:paraId="5E76513A">
            <w:pPr>
              <w:spacing w:line="360" w:lineRule="auto"/>
              <w:ind w:firstLine="472" w:firstLineChars="200"/>
              <w:rPr>
                <w:spacing w:val="-2"/>
                <w:position w:val="-6"/>
                <w:sz w:val="24"/>
                <w:lang w:bidi="ar"/>
              </w:rPr>
            </w:pPr>
            <w:r>
              <w:rPr>
                <w:spacing w:val="-2"/>
                <w:position w:val="-6"/>
                <w:sz w:val="24"/>
                <w:lang w:bidi="ar"/>
              </w:rPr>
              <w:t xml:space="preserve">（1）生态保护红线 </w:t>
            </w:r>
          </w:p>
          <w:p w14:paraId="7C1708D7">
            <w:pPr>
              <w:spacing w:line="360" w:lineRule="auto"/>
              <w:ind w:firstLine="472" w:firstLineChars="200"/>
              <w:rPr>
                <w:spacing w:val="-2"/>
                <w:position w:val="-6"/>
                <w:sz w:val="24"/>
                <w:lang w:bidi="ar"/>
              </w:rPr>
            </w:pPr>
            <w:r>
              <w:rPr>
                <w:spacing w:val="-2"/>
                <w:position w:val="-6"/>
                <w:sz w:val="24"/>
                <w:lang w:bidi="ar"/>
              </w:rPr>
              <w:t>本项目位于</w:t>
            </w:r>
            <w:r>
              <w:rPr>
                <w:rFonts w:hint="eastAsia"/>
                <w:spacing w:val="-2"/>
                <w:position w:val="-6"/>
                <w:sz w:val="24"/>
                <w:lang w:bidi="ar"/>
              </w:rPr>
              <w:t>湘潭县易俗河镇</w:t>
            </w:r>
            <w:r>
              <w:rPr>
                <w:spacing w:val="-2"/>
                <w:position w:val="-6"/>
                <w:sz w:val="24"/>
                <w:lang w:bidi="ar"/>
              </w:rPr>
              <w:t>海鸥东路370号，属于湘潭天易经开区内，项目所在地不涉及自然保护区、风景名胜区、饮用水源保护区等生态保护目标，项目所在地不在生态保护红线范围内。</w:t>
            </w:r>
          </w:p>
          <w:p w14:paraId="1ABB1A17">
            <w:pPr>
              <w:spacing w:line="360" w:lineRule="auto"/>
              <w:ind w:firstLine="472" w:firstLineChars="200"/>
              <w:rPr>
                <w:spacing w:val="-2"/>
                <w:position w:val="-6"/>
                <w:sz w:val="24"/>
                <w:lang w:bidi="ar"/>
              </w:rPr>
            </w:pPr>
            <w:r>
              <w:rPr>
                <w:spacing w:val="-2"/>
                <w:position w:val="-6"/>
                <w:sz w:val="24"/>
                <w:lang w:bidi="ar"/>
              </w:rPr>
              <w:t xml:space="preserve">（2）环境质量底线 </w:t>
            </w:r>
          </w:p>
          <w:p w14:paraId="16E4B31C">
            <w:pPr>
              <w:spacing w:line="360" w:lineRule="auto"/>
              <w:ind w:firstLine="472" w:firstLineChars="200"/>
              <w:rPr>
                <w:spacing w:val="-2"/>
                <w:position w:val="-6"/>
                <w:sz w:val="24"/>
                <w:lang w:bidi="ar"/>
              </w:rPr>
            </w:pPr>
            <w:r>
              <w:rPr>
                <w:spacing w:val="-2"/>
                <w:position w:val="-6"/>
                <w:sz w:val="24"/>
                <w:lang w:bidi="ar"/>
              </w:rPr>
              <w:t>根据项目区域环境质量现状监测结果显示：202</w:t>
            </w:r>
            <w:r>
              <w:rPr>
                <w:rFonts w:hint="eastAsia"/>
                <w:spacing w:val="-2"/>
                <w:position w:val="-6"/>
                <w:sz w:val="24"/>
                <w:lang w:bidi="ar"/>
              </w:rPr>
              <w:t>3</w:t>
            </w:r>
            <w:r>
              <w:rPr>
                <w:spacing w:val="-2"/>
                <w:position w:val="-6"/>
                <w:sz w:val="24"/>
                <w:lang w:bidi="ar"/>
              </w:rPr>
              <w:t>年项目所在区域</w:t>
            </w:r>
            <w:r>
              <w:rPr>
                <w:rFonts w:hint="eastAsia"/>
                <w:spacing w:val="-2"/>
                <w:position w:val="-6"/>
                <w:sz w:val="24"/>
                <w:lang w:bidi="ar"/>
              </w:rPr>
              <w:t>除</w:t>
            </w:r>
            <w:r>
              <w:rPr>
                <w:spacing w:val="-2"/>
                <w:position w:val="-6"/>
                <w:sz w:val="24"/>
                <w:lang w:bidi="ar"/>
              </w:rPr>
              <w:t>PM</w:t>
            </w:r>
            <w:r>
              <w:rPr>
                <w:spacing w:val="-2"/>
                <w:position w:val="-6"/>
                <w:sz w:val="24"/>
                <w:vertAlign w:val="subscript"/>
                <w:lang w:bidi="ar"/>
              </w:rPr>
              <w:t>2.5</w:t>
            </w:r>
            <w:r>
              <w:rPr>
                <w:spacing w:val="-2"/>
                <w:position w:val="-6"/>
                <w:sz w:val="24"/>
                <w:lang w:bidi="ar"/>
              </w:rPr>
              <w:t>的年平均浓度</w:t>
            </w:r>
            <w:r>
              <w:rPr>
                <w:rFonts w:hint="eastAsia"/>
                <w:spacing w:val="-2"/>
                <w:position w:val="-6"/>
                <w:sz w:val="24"/>
                <w:lang w:bidi="ar"/>
              </w:rPr>
              <w:t>不达标外，</w:t>
            </w:r>
            <w:r>
              <w:rPr>
                <w:spacing w:val="-2"/>
                <w:position w:val="-6"/>
                <w:sz w:val="24"/>
                <w:lang w:bidi="ar"/>
              </w:rPr>
              <w:t>SO</w:t>
            </w:r>
            <w:r>
              <w:rPr>
                <w:spacing w:val="-2"/>
                <w:position w:val="-6"/>
                <w:sz w:val="24"/>
                <w:vertAlign w:val="subscript"/>
                <w:lang w:bidi="ar"/>
              </w:rPr>
              <w:t>2</w:t>
            </w:r>
            <w:r>
              <w:rPr>
                <w:spacing w:val="-2"/>
                <w:position w:val="-6"/>
                <w:sz w:val="24"/>
                <w:lang w:bidi="ar"/>
              </w:rPr>
              <w:t>、NO</w:t>
            </w:r>
            <w:r>
              <w:rPr>
                <w:spacing w:val="-2"/>
                <w:position w:val="-6"/>
                <w:sz w:val="24"/>
                <w:vertAlign w:val="subscript"/>
                <w:lang w:bidi="ar"/>
              </w:rPr>
              <w:t>2</w:t>
            </w:r>
            <w:r>
              <w:rPr>
                <w:spacing w:val="-2"/>
                <w:position w:val="-6"/>
                <w:sz w:val="24"/>
                <w:lang w:bidi="ar"/>
              </w:rPr>
              <w:t>、PM</w:t>
            </w:r>
            <w:r>
              <w:rPr>
                <w:spacing w:val="-2"/>
                <w:position w:val="-6"/>
                <w:sz w:val="24"/>
                <w:vertAlign w:val="subscript"/>
                <w:lang w:bidi="ar"/>
              </w:rPr>
              <w:t>10</w:t>
            </w:r>
            <w:r>
              <w:rPr>
                <w:spacing w:val="-2"/>
                <w:position w:val="-6"/>
                <w:sz w:val="24"/>
                <w:lang w:bidi="ar"/>
              </w:rPr>
              <w:t>的年平均浓度，CO</w:t>
            </w:r>
            <w:r>
              <w:rPr>
                <w:rFonts w:hint="eastAsia"/>
                <w:spacing w:val="-2"/>
                <w:position w:val="-6"/>
                <w:sz w:val="24"/>
                <w:lang w:bidi="ar"/>
              </w:rPr>
              <w:t xml:space="preserve"> </w:t>
            </w:r>
            <w:r>
              <w:rPr>
                <w:spacing w:val="-2"/>
                <w:position w:val="-6"/>
                <w:sz w:val="24"/>
                <w:lang w:bidi="ar"/>
              </w:rPr>
              <w:t>24小时平均第95百分位数浓度，O</w:t>
            </w:r>
            <w:r>
              <w:rPr>
                <w:spacing w:val="-2"/>
                <w:position w:val="-6"/>
                <w:sz w:val="24"/>
                <w:vertAlign w:val="subscript"/>
                <w:lang w:bidi="ar"/>
              </w:rPr>
              <w:t>3</w:t>
            </w:r>
            <w:r>
              <w:rPr>
                <w:spacing w:val="-2"/>
                <w:position w:val="-6"/>
                <w:sz w:val="24"/>
                <w:lang w:bidi="ar"/>
              </w:rPr>
              <w:t>日最大8小时平均第90百分位数浓度均能满足《环境空气质量标准》（GB 3095-2012）中二级标准，本项目所在区域为环境空气质量</w:t>
            </w:r>
            <w:r>
              <w:rPr>
                <w:rFonts w:hint="eastAsia"/>
                <w:spacing w:val="-2"/>
                <w:position w:val="-6"/>
                <w:sz w:val="24"/>
                <w:lang w:bidi="ar"/>
              </w:rPr>
              <w:t>不</w:t>
            </w:r>
            <w:r>
              <w:rPr>
                <w:spacing w:val="-2"/>
                <w:position w:val="-6"/>
                <w:sz w:val="24"/>
                <w:lang w:bidi="ar"/>
              </w:rPr>
              <w:t>达标区；项目区域地表水体各监测指标均满足《地表水环境质量标准》（GB3838-2002）中III类标准。同时，项目营运期产生的废水、废气、噪声、固体废物等污染物经采取相应的治理措施，对周边环境的影响较小，不会改变项目所在区域环境质量现状要求，故本项目建设不会突破区域环境质量底线。</w:t>
            </w:r>
          </w:p>
          <w:p w14:paraId="5EB7E8F9">
            <w:pPr>
              <w:spacing w:line="360" w:lineRule="auto"/>
              <w:ind w:firstLine="472" w:firstLineChars="200"/>
              <w:rPr>
                <w:spacing w:val="-2"/>
                <w:position w:val="-6"/>
                <w:sz w:val="24"/>
                <w:lang w:bidi="ar"/>
              </w:rPr>
            </w:pPr>
            <w:r>
              <w:rPr>
                <w:spacing w:val="-2"/>
                <w:position w:val="-6"/>
                <w:sz w:val="24"/>
                <w:lang w:bidi="ar"/>
              </w:rPr>
              <w:t xml:space="preserve">（3）资源利用上线 </w:t>
            </w:r>
          </w:p>
          <w:p w14:paraId="50719450">
            <w:pPr>
              <w:spacing w:line="360" w:lineRule="auto"/>
              <w:ind w:firstLine="472" w:firstLineChars="200"/>
              <w:rPr>
                <w:spacing w:val="-2"/>
                <w:position w:val="-6"/>
                <w:sz w:val="24"/>
                <w:lang w:bidi="ar"/>
              </w:rPr>
            </w:pPr>
            <w:r>
              <w:rPr>
                <w:spacing w:val="-2"/>
                <w:position w:val="-6"/>
                <w:sz w:val="24"/>
                <w:lang w:bidi="ar"/>
              </w:rPr>
              <w:t>项目位于湘潭天易经开区内，租赁厂房，不新增用地，不占用区域土地资源。本项目营运期所用能源主要为水和电。项目所在地用电用水供给充裕，在区域资源利用上线的承受范围之内，符合区域资源利用上线的要求。</w:t>
            </w:r>
          </w:p>
          <w:p w14:paraId="3053A492">
            <w:pPr>
              <w:spacing w:line="360" w:lineRule="auto"/>
              <w:ind w:firstLine="472" w:firstLineChars="200"/>
              <w:rPr>
                <w:spacing w:val="-2"/>
                <w:position w:val="-6"/>
                <w:sz w:val="24"/>
                <w:u w:val="single"/>
                <w:lang w:bidi="ar"/>
              </w:rPr>
            </w:pPr>
            <w:r>
              <w:rPr>
                <w:spacing w:val="-2"/>
                <w:position w:val="-6"/>
                <w:sz w:val="24"/>
                <w:u w:val="single"/>
                <w:lang w:bidi="ar"/>
              </w:rPr>
              <w:t xml:space="preserve">（4）生态环境准入清单 </w:t>
            </w:r>
          </w:p>
          <w:p w14:paraId="13DD30E9">
            <w:pPr>
              <w:spacing w:line="360" w:lineRule="auto"/>
              <w:ind w:firstLine="472" w:firstLineChars="200"/>
              <w:rPr>
                <w:b/>
                <w:bCs/>
                <w:spacing w:val="-2"/>
                <w:position w:val="-6"/>
                <w:szCs w:val="21"/>
                <w:u w:val="single"/>
                <w:lang w:bidi="ar"/>
              </w:rPr>
            </w:pPr>
            <w:r>
              <w:rPr>
                <w:spacing w:val="-2"/>
                <w:position w:val="-6"/>
                <w:sz w:val="24"/>
                <w:u w:val="single"/>
                <w:lang w:bidi="ar"/>
              </w:rPr>
              <w:t>根据《湖南省生态环境分区管控总体管控要求暨省级以上产业园区生态环境准入清单》（湘环函〔2024〕26 号）</w:t>
            </w:r>
            <w:r>
              <w:rPr>
                <w:rFonts w:hint="eastAsia"/>
                <w:spacing w:val="-2"/>
                <w:position w:val="-6"/>
                <w:sz w:val="24"/>
                <w:u w:val="single"/>
                <w:lang w:bidi="ar"/>
              </w:rPr>
              <w:t>、《湘潭市人民政府关于实施“三线一单”生态环境分区管控的意见》</w:t>
            </w:r>
            <w:r>
              <w:rPr>
                <w:rFonts w:hint="eastAsia"/>
                <w:spacing w:val="-2"/>
                <w:position w:val="-6"/>
                <w:sz w:val="24"/>
                <w:u w:val="single"/>
                <w:lang w:eastAsia="zh-CN" w:bidi="ar"/>
              </w:rPr>
              <w:t>（</w:t>
            </w:r>
            <w:r>
              <w:rPr>
                <w:rFonts w:hint="eastAsia"/>
                <w:spacing w:val="-2"/>
                <w:position w:val="-6"/>
                <w:sz w:val="24"/>
                <w:u w:val="single"/>
                <w:lang w:bidi="ar"/>
              </w:rPr>
              <w:t>潭政发〔2020〕12 号</w:t>
            </w:r>
            <w:r>
              <w:rPr>
                <w:rFonts w:hint="eastAsia"/>
                <w:spacing w:val="-2"/>
                <w:position w:val="-6"/>
                <w:sz w:val="24"/>
                <w:u w:val="single"/>
                <w:lang w:eastAsia="zh-CN" w:bidi="ar"/>
              </w:rPr>
              <w:t>）</w:t>
            </w:r>
            <w:r>
              <w:rPr>
                <w:spacing w:val="-2"/>
                <w:position w:val="-6"/>
                <w:sz w:val="24"/>
                <w:u w:val="single"/>
                <w:lang w:bidi="ar"/>
              </w:rPr>
              <w:t>的相关规定，本项目位于湘潭天易经开区内，</w:t>
            </w:r>
            <w:r>
              <w:rPr>
                <w:rFonts w:hint="eastAsia"/>
                <w:spacing w:val="-2"/>
                <w:position w:val="-6"/>
                <w:sz w:val="24"/>
                <w:u w:val="single"/>
                <w:lang w:bidi="ar"/>
              </w:rPr>
              <w:t>管控单元为</w:t>
            </w:r>
            <w:r>
              <w:rPr>
                <w:spacing w:val="-2"/>
                <w:position w:val="-6"/>
                <w:sz w:val="24"/>
                <w:u w:val="single"/>
                <w:lang w:bidi="ar"/>
              </w:rPr>
              <w:t>湘潭天易经济开发区</w:t>
            </w:r>
            <w:r>
              <w:rPr>
                <w:rFonts w:hint="eastAsia"/>
                <w:spacing w:val="-2"/>
                <w:position w:val="-6"/>
                <w:sz w:val="24"/>
                <w:u w:val="single"/>
                <w:lang w:bidi="ar"/>
              </w:rPr>
              <w:t>，</w:t>
            </w:r>
            <w:r>
              <w:rPr>
                <w:spacing w:val="-2"/>
                <w:position w:val="-6"/>
                <w:sz w:val="24"/>
                <w:u w:val="single"/>
                <w:lang w:bidi="ar"/>
              </w:rPr>
              <w:t>属于重点管控单元。</w:t>
            </w:r>
            <w:r>
              <w:rPr>
                <w:rFonts w:hint="eastAsia"/>
                <w:spacing w:val="-2"/>
                <w:position w:val="-6"/>
                <w:sz w:val="24"/>
                <w:u w:val="single"/>
                <w:lang w:bidi="ar"/>
              </w:rPr>
              <w:t>具体符合性分析如下：</w:t>
            </w:r>
          </w:p>
          <w:p w14:paraId="27AA1324">
            <w:pPr>
              <w:widowControl/>
              <w:snapToGrid w:val="0"/>
              <w:jc w:val="center"/>
              <w:rPr>
                <w:b/>
                <w:bCs/>
                <w:kern w:val="0"/>
                <w:szCs w:val="21"/>
                <w:u w:val="single"/>
              </w:rPr>
            </w:pPr>
            <w:r>
              <w:rPr>
                <w:b/>
                <w:bCs/>
                <w:szCs w:val="21"/>
                <w:u w:val="single"/>
                <w:lang w:bidi="ar"/>
              </w:rPr>
              <w:t>表1-</w:t>
            </w:r>
            <w:r>
              <w:rPr>
                <w:rFonts w:hint="eastAsia"/>
                <w:b/>
                <w:bCs/>
                <w:szCs w:val="21"/>
                <w:u w:val="single"/>
                <w:lang w:bidi="ar"/>
              </w:rPr>
              <w:t>5</w:t>
            </w:r>
            <w:r>
              <w:rPr>
                <w:b/>
                <w:bCs/>
                <w:szCs w:val="21"/>
                <w:u w:val="single"/>
                <w:lang w:bidi="ar"/>
              </w:rPr>
              <w:t xml:space="preserve"> </w:t>
            </w:r>
            <w:r>
              <w:rPr>
                <w:rFonts w:hint="eastAsia"/>
                <w:b/>
                <w:bCs/>
                <w:szCs w:val="21"/>
                <w:u w:val="single"/>
                <w:lang w:bidi="ar"/>
              </w:rPr>
              <w:t>与</w:t>
            </w:r>
            <w:r>
              <w:rPr>
                <w:b/>
                <w:bCs/>
                <w:szCs w:val="21"/>
                <w:u w:val="single"/>
                <w:lang w:bidi="ar"/>
              </w:rPr>
              <w:t>《湖南省生态环境分区管控总体管控要求暨省级以上产业园区生态环境准入清单》</w:t>
            </w:r>
            <w:r>
              <w:rPr>
                <w:rFonts w:hint="eastAsia"/>
                <w:b/>
                <w:bCs/>
                <w:szCs w:val="21"/>
                <w:u w:val="single"/>
                <w:lang w:bidi="ar"/>
              </w:rPr>
              <w:t>符合性分析</w:t>
            </w:r>
          </w:p>
          <w:tbl>
            <w:tblPr>
              <w:tblStyle w:val="3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5"/>
              <w:gridCol w:w="822"/>
              <w:gridCol w:w="1137"/>
              <w:gridCol w:w="2328"/>
              <w:gridCol w:w="2232"/>
              <w:gridCol w:w="435"/>
            </w:tblGrid>
            <w:tr w14:paraId="62FF4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412" w:type="pct"/>
                  <w:tcBorders>
                    <w:tl2br w:val="nil"/>
                    <w:tr2bl w:val="nil"/>
                  </w:tcBorders>
                  <w:vAlign w:val="center"/>
                </w:tcPr>
                <w:p w14:paraId="42AD2445">
                  <w:pPr>
                    <w:autoSpaceDE w:val="0"/>
                    <w:autoSpaceDN w:val="0"/>
                    <w:adjustRightInd w:val="0"/>
                    <w:snapToGrid w:val="0"/>
                    <w:jc w:val="center"/>
                    <w:rPr>
                      <w:szCs w:val="21"/>
                      <w:u w:val="single"/>
                    </w:rPr>
                  </w:pPr>
                  <w:r>
                    <w:rPr>
                      <w:szCs w:val="21"/>
                      <w:u w:val="single"/>
                    </w:rPr>
                    <w:t>单元名称</w:t>
                  </w:r>
                </w:p>
              </w:tc>
              <w:tc>
                <w:tcPr>
                  <w:tcW w:w="542" w:type="pct"/>
                  <w:tcBorders>
                    <w:tl2br w:val="nil"/>
                    <w:tr2bl w:val="nil"/>
                  </w:tcBorders>
                  <w:vAlign w:val="center"/>
                </w:tcPr>
                <w:p w14:paraId="07553CE4">
                  <w:pPr>
                    <w:autoSpaceDE w:val="0"/>
                    <w:autoSpaceDN w:val="0"/>
                    <w:adjustRightInd w:val="0"/>
                    <w:snapToGrid w:val="0"/>
                    <w:jc w:val="center"/>
                    <w:rPr>
                      <w:szCs w:val="21"/>
                      <w:u w:val="single"/>
                    </w:rPr>
                  </w:pPr>
                  <w:r>
                    <w:rPr>
                      <w:szCs w:val="21"/>
                      <w:u w:val="single"/>
                    </w:rPr>
                    <w:t>单元分类</w:t>
                  </w:r>
                </w:p>
              </w:tc>
              <w:tc>
                <w:tcPr>
                  <w:tcW w:w="750" w:type="pct"/>
                  <w:tcBorders>
                    <w:tl2br w:val="nil"/>
                    <w:tr2bl w:val="nil"/>
                  </w:tcBorders>
                  <w:vAlign w:val="center"/>
                </w:tcPr>
                <w:p w14:paraId="6C0DB7CA">
                  <w:pPr>
                    <w:autoSpaceDE w:val="0"/>
                    <w:autoSpaceDN w:val="0"/>
                    <w:adjustRightInd w:val="0"/>
                    <w:snapToGrid w:val="0"/>
                    <w:jc w:val="center"/>
                    <w:rPr>
                      <w:szCs w:val="21"/>
                      <w:u w:val="single"/>
                    </w:rPr>
                  </w:pPr>
                  <w:r>
                    <w:rPr>
                      <w:szCs w:val="21"/>
                      <w:u w:val="single"/>
                    </w:rPr>
                    <w:t>区域主体功能定位</w:t>
                  </w:r>
                </w:p>
              </w:tc>
              <w:tc>
                <w:tcPr>
                  <w:tcW w:w="3294" w:type="pct"/>
                  <w:gridSpan w:val="3"/>
                  <w:tcBorders>
                    <w:tl2br w:val="nil"/>
                    <w:tr2bl w:val="nil"/>
                  </w:tcBorders>
                  <w:vAlign w:val="center"/>
                </w:tcPr>
                <w:p w14:paraId="6550ACBA">
                  <w:pPr>
                    <w:autoSpaceDE w:val="0"/>
                    <w:autoSpaceDN w:val="0"/>
                    <w:adjustRightInd w:val="0"/>
                    <w:snapToGrid w:val="0"/>
                    <w:jc w:val="center"/>
                    <w:rPr>
                      <w:szCs w:val="21"/>
                      <w:u w:val="single"/>
                    </w:rPr>
                  </w:pPr>
                  <w:r>
                    <w:rPr>
                      <w:szCs w:val="21"/>
                      <w:u w:val="single"/>
                    </w:rPr>
                    <w:t>主导产业</w:t>
                  </w:r>
                </w:p>
              </w:tc>
            </w:tr>
            <w:tr w14:paraId="1070D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8" w:hRule="atLeast"/>
              </w:trPr>
              <w:tc>
                <w:tcPr>
                  <w:tcW w:w="412" w:type="pct"/>
                  <w:tcBorders>
                    <w:tl2br w:val="nil"/>
                    <w:tr2bl w:val="nil"/>
                  </w:tcBorders>
                  <w:vAlign w:val="center"/>
                </w:tcPr>
                <w:p w14:paraId="7776A35C">
                  <w:pPr>
                    <w:autoSpaceDE w:val="0"/>
                    <w:autoSpaceDN w:val="0"/>
                    <w:adjustRightInd w:val="0"/>
                    <w:snapToGrid w:val="0"/>
                    <w:jc w:val="center"/>
                    <w:rPr>
                      <w:szCs w:val="21"/>
                      <w:u w:val="single"/>
                    </w:rPr>
                  </w:pPr>
                  <w:r>
                    <w:rPr>
                      <w:szCs w:val="21"/>
                      <w:u w:val="single"/>
                    </w:rPr>
                    <w:t>湘潭天易经济开发区</w:t>
                  </w:r>
                </w:p>
              </w:tc>
              <w:tc>
                <w:tcPr>
                  <w:tcW w:w="542" w:type="pct"/>
                  <w:tcBorders>
                    <w:tl2br w:val="nil"/>
                    <w:tr2bl w:val="nil"/>
                  </w:tcBorders>
                  <w:vAlign w:val="center"/>
                </w:tcPr>
                <w:p w14:paraId="1D65FC95">
                  <w:pPr>
                    <w:autoSpaceDE w:val="0"/>
                    <w:autoSpaceDN w:val="0"/>
                    <w:adjustRightInd w:val="0"/>
                    <w:snapToGrid w:val="0"/>
                    <w:jc w:val="center"/>
                    <w:rPr>
                      <w:szCs w:val="21"/>
                      <w:u w:val="single"/>
                    </w:rPr>
                  </w:pPr>
                  <w:r>
                    <w:rPr>
                      <w:szCs w:val="21"/>
                      <w:u w:val="single"/>
                    </w:rPr>
                    <w:t>重点管控单元</w:t>
                  </w:r>
                </w:p>
              </w:tc>
              <w:tc>
                <w:tcPr>
                  <w:tcW w:w="750" w:type="pct"/>
                  <w:tcBorders>
                    <w:tl2br w:val="nil"/>
                    <w:tr2bl w:val="nil"/>
                  </w:tcBorders>
                  <w:vAlign w:val="center"/>
                </w:tcPr>
                <w:p w14:paraId="6C9792DA">
                  <w:pPr>
                    <w:autoSpaceDE w:val="0"/>
                    <w:autoSpaceDN w:val="0"/>
                    <w:adjustRightInd w:val="0"/>
                    <w:snapToGrid w:val="0"/>
                    <w:jc w:val="center"/>
                    <w:rPr>
                      <w:szCs w:val="21"/>
                      <w:u w:val="single"/>
                    </w:rPr>
                  </w:pPr>
                  <w:r>
                    <w:rPr>
                      <w:szCs w:val="21"/>
                      <w:u w:val="single"/>
                    </w:rPr>
                    <w:t>易俗河镇</w:t>
                  </w:r>
                </w:p>
                <w:p w14:paraId="0DE9B447">
                  <w:pPr>
                    <w:autoSpaceDE w:val="0"/>
                    <w:autoSpaceDN w:val="0"/>
                    <w:adjustRightInd w:val="0"/>
                    <w:snapToGrid w:val="0"/>
                    <w:jc w:val="center"/>
                    <w:rPr>
                      <w:szCs w:val="21"/>
                      <w:u w:val="single"/>
                    </w:rPr>
                  </w:pPr>
                  <w:r>
                    <w:rPr>
                      <w:szCs w:val="21"/>
                      <w:u w:val="single"/>
                    </w:rPr>
                    <w:t>：城市化地区 /历 史文化资源富集区</w:t>
                  </w:r>
                </w:p>
              </w:tc>
              <w:tc>
                <w:tcPr>
                  <w:tcW w:w="3294" w:type="pct"/>
                  <w:gridSpan w:val="3"/>
                  <w:tcBorders>
                    <w:tl2br w:val="nil"/>
                    <w:tr2bl w:val="nil"/>
                  </w:tcBorders>
                  <w:vAlign w:val="center"/>
                </w:tcPr>
                <w:p w14:paraId="430E76DF">
                  <w:pPr>
                    <w:autoSpaceDE w:val="0"/>
                    <w:autoSpaceDN w:val="0"/>
                    <w:adjustRightInd w:val="0"/>
                    <w:snapToGrid w:val="0"/>
                    <w:jc w:val="left"/>
                    <w:rPr>
                      <w:szCs w:val="21"/>
                      <w:u w:val="single"/>
                    </w:rPr>
                  </w:pPr>
                  <w:r>
                    <w:rPr>
                      <w:szCs w:val="21"/>
                      <w:u w:val="single"/>
                    </w:rPr>
                    <w:t>湘环评函〔2017〕31 号：先进装备制造业、农产品精深加工业、现代服务业、新材料产业、节能环保产业；</w:t>
                  </w:r>
                </w:p>
                <w:p w14:paraId="3305CC69">
                  <w:pPr>
                    <w:autoSpaceDE w:val="0"/>
                    <w:autoSpaceDN w:val="0"/>
                    <w:adjustRightInd w:val="0"/>
                    <w:snapToGrid w:val="0"/>
                    <w:jc w:val="left"/>
                  </w:pPr>
                  <w:r>
                    <w:rPr>
                      <w:szCs w:val="21"/>
                      <w:u w:val="single"/>
                    </w:rPr>
                    <w:t>六部委公告 2018 年第 4 号：食品、装备制造；</w:t>
                  </w:r>
                </w:p>
                <w:p w14:paraId="4B0EC38D">
                  <w:pPr>
                    <w:autoSpaceDE w:val="0"/>
                    <w:autoSpaceDN w:val="0"/>
                    <w:adjustRightInd w:val="0"/>
                    <w:snapToGrid w:val="0"/>
                    <w:jc w:val="left"/>
                    <w:rPr>
                      <w:szCs w:val="21"/>
                      <w:u w:val="single"/>
                    </w:rPr>
                  </w:pPr>
                  <w:r>
                    <w:rPr>
                      <w:szCs w:val="21"/>
                      <w:u w:val="single"/>
                    </w:rPr>
                    <w:t>湘发改地区〔2021〕394 号：主导产业：食品医药；特色产业：新材料（海泡石、防腐保温为主）。</w:t>
                  </w:r>
                </w:p>
              </w:tc>
            </w:tr>
            <w:tr w14:paraId="30F17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412" w:type="pct"/>
                  <w:tcBorders>
                    <w:tl2br w:val="nil"/>
                    <w:tr2bl w:val="nil"/>
                  </w:tcBorders>
                  <w:vAlign w:val="center"/>
                </w:tcPr>
                <w:p w14:paraId="5345E0D6">
                  <w:pPr>
                    <w:autoSpaceDE w:val="0"/>
                    <w:autoSpaceDN w:val="0"/>
                    <w:adjustRightInd w:val="0"/>
                    <w:snapToGrid w:val="0"/>
                    <w:jc w:val="center"/>
                    <w:rPr>
                      <w:szCs w:val="21"/>
                      <w:u w:val="single"/>
                    </w:rPr>
                  </w:pPr>
                  <w:r>
                    <w:rPr>
                      <w:szCs w:val="21"/>
                      <w:u w:val="single"/>
                    </w:rPr>
                    <w:t>管控维度</w:t>
                  </w:r>
                </w:p>
              </w:tc>
              <w:tc>
                <w:tcPr>
                  <w:tcW w:w="2827" w:type="pct"/>
                  <w:gridSpan w:val="3"/>
                  <w:tcBorders>
                    <w:tl2br w:val="nil"/>
                    <w:tr2bl w:val="nil"/>
                  </w:tcBorders>
                  <w:vAlign w:val="center"/>
                </w:tcPr>
                <w:p w14:paraId="3ACF5CE4">
                  <w:pPr>
                    <w:autoSpaceDE w:val="0"/>
                    <w:autoSpaceDN w:val="0"/>
                    <w:adjustRightInd w:val="0"/>
                    <w:snapToGrid w:val="0"/>
                    <w:jc w:val="center"/>
                    <w:rPr>
                      <w:szCs w:val="21"/>
                      <w:u w:val="single"/>
                    </w:rPr>
                  </w:pPr>
                  <w:r>
                    <w:rPr>
                      <w:szCs w:val="21"/>
                      <w:u w:val="single"/>
                    </w:rPr>
                    <w:t>湘潭天易经开区管控要求</w:t>
                  </w:r>
                </w:p>
              </w:tc>
              <w:tc>
                <w:tcPr>
                  <w:tcW w:w="1472" w:type="pct"/>
                  <w:tcBorders>
                    <w:tl2br w:val="nil"/>
                    <w:tr2bl w:val="nil"/>
                  </w:tcBorders>
                  <w:vAlign w:val="center"/>
                </w:tcPr>
                <w:p w14:paraId="402B66ED">
                  <w:pPr>
                    <w:autoSpaceDE w:val="0"/>
                    <w:autoSpaceDN w:val="0"/>
                    <w:adjustRightInd w:val="0"/>
                    <w:snapToGrid w:val="0"/>
                    <w:jc w:val="center"/>
                    <w:rPr>
                      <w:szCs w:val="21"/>
                      <w:u w:val="single"/>
                    </w:rPr>
                  </w:pPr>
                  <w:r>
                    <w:rPr>
                      <w:szCs w:val="21"/>
                      <w:u w:val="single"/>
                    </w:rPr>
                    <w:t>本项目情况</w:t>
                  </w:r>
                </w:p>
              </w:tc>
              <w:tc>
                <w:tcPr>
                  <w:tcW w:w="287" w:type="pct"/>
                  <w:tcBorders>
                    <w:tl2br w:val="nil"/>
                    <w:tr2bl w:val="nil"/>
                  </w:tcBorders>
                  <w:vAlign w:val="center"/>
                </w:tcPr>
                <w:p w14:paraId="5C18729B">
                  <w:pPr>
                    <w:autoSpaceDE w:val="0"/>
                    <w:autoSpaceDN w:val="0"/>
                    <w:adjustRightInd w:val="0"/>
                    <w:snapToGrid w:val="0"/>
                    <w:jc w:val="center"/>
                    <w:rPr>
                      <w:szCs w:val="21"/>
                      <w:u w:val="single"/>
                    </w:rPr>
                  </w:pPr>
                  <w:r>
                    <w:rPr>
                      <w:szCs w:val="21"/>
                      <w:u w:val="single"/>
                    </w:rPr>
                    <w:t>是否符合</w:t>
                  </w:r>
                </w:p>
              </w:tc>
            </w:tr>
            <w:tr w14:paraId="71B33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412" w:type="pct"/>
                  <w:tcBorders>
                    <w:tl2br w:val="nil"/>
                    <w:tr2bl w:val="nil"/>
                  </w:tcBorders>
                  <w:vAlign w:val="center"/>
                </w:tcPr>
                <w:p w14:paraId="3B3C4C95">
                  <w:pPr>
                    <w:autoSpaceDE w:val="0"/>
                    <w:autoSpaceDN w:val="0"/>
                    <w:adjustRightInd w:val="0"/>
                    <w:snapToGrid w:val="0"/>
                    <w:jc w:val="center"/>
                    <w:rPr>
                      <w:szCs w:val="21"/>
                      <w:u w:val="single"/>
                    </w:rPr>
                  </w:pPr>
                  <w:r>
                    <w:rPr>
                      <w:szCs w:val="21"/>
                      <w:u w:val="single"/>
                    </w:rPr>
                    <w:t>空间布局约束</w:t>
                  </w:r>
                </w:p>
              </w:tc>
              <w:tc>
                <w:tcPr>
                  <w:tcW w:w="2827" w:type="pct"/>
                  <w:gridSpan w:val="3"/>
                  <w:tcBorders>
                    <w:tl2br w:val="nil"/>
                    <w:tr2bl w:val="nil"/>
                  </w:tcBorders>
                  <w:vAlign w:val="center"/>
                </w:tcPr>
                <w:p w14:paraId="1352B956">
                  <w:pPr>
                    <w:jc w:val="left"/>
                    <w:rPr>
                      <w:bCs/>
                      <w:szCs w:val="21"/>
                      <w:u w:val="single"/>
                    </w:rPr>
                  </w:pPr>
                  <w:r>
                    <w:rPr>
                      <w:rFonts w:hint="eastAsia"/>
                      <w:bCs/>
                      <w:szCs w:val="21"/>
                      <w:u w:val="single"/>
                    </w:rPr>
                    <w:t>（1.1）</w:t>
                  </w:r>
                  <w:r>
                    <w:rPr>
                      <w:bCs/>
                      <w:szCs w:val="21"/>
                      <w:u w:val="single"/>
                    </w:rPr>
                    <w:t>新建工业项目应集中在天易经开区内建设，对示范区范围内不符合规划要求的已有项目逐步调整。禁止建设对区域大气环境造成明显不利影响的大气污染型项目。</w:t>
                  </w:r>
                </w:p>
                <w:p w14:paraId="679CDD79">
                  <w:pPr>
                    <w:jc w:val="left"/>
                    <w:rPr>
                      <w:bCs/>
                      <w:szCs w:val="21"/>
                      <w:u w:val="single"/>
                    </w:rPr>
                  </w:pPr>
                  <w:r>
                    <w:rPr>
                      <w:rFonts w:hint="eastAsia"/>
                      <w:bCs/>
                      <w:szCs w:val="21"/>
                      <w:u w:val="single"/>
                    </w:rPr>
                    <w:t>（1.2）</w:t>
                  </w:r>
                  <w:r>
                    <w:rPr>
                      <w:bCs/>
                      <w:szCs w:val="21"/>
                      <w:u w:val="single"/>
                    </w:rPr>
                    <w:t>合理优化工业布局，将气型污染相对明显的企业远离居住区等环境敏感区域，园区北部居住用地周边禁止引进气型污染企业，做好工业用地与居住等其它用地之间的隔离。</w:t>
                  </w:r>
                </w:p>
              </w:tc>
              <w:tc>
                <w:tcPr>
                  <w:tcW w:w="1472" w:type="pct"/>
                  <w:tcBorders>
                    <w:tl2br w:val="nil"/>
                    <w:tr2bl w:val="nil"/>
                  </w:tcBorders>
                  <w:vAlign w:val="center"/>
                </w:tcPr>
                <w:p w14:paraId="07E964DE">
                  <w:pPr>
                    <w:autoSpaceDE w:val="0"/>
                    <w:autoSpaceDN w:val="0"/>
                    <w:adjustRightInd w:val="0"/>
                    <w:snapToGrid w:val="0"/>
                    <w:jc w:val="left"/>
                    <w:rPr>
                      <w:szCs w:val="21"/>
                      <w:u w:val="single"/>
                    </w:rPr>
                  </w:pPr>
                  <w:r>
                    <w:rPr>
                      <w:szCs w:val="21"/>
                      <w:u w:val="single"/>
                    </w:rPr>
                    <w:t>本项目位于天易经开区内，租赁</w:t>
                  </w:r>
                  <w:r>
                    <w:rPr>
                      <w:rFonts w:hint="eastAsia"/>
                      <w:szCs w:val="21"/>
                      <w:u w:val="single"/>
                    </w:rPr>
                    <w:t>湘潭国发重工有限公司</w:t>
                  </w:r>
                  <w:r>
                    <w:rPr>
                      <w:szCs w:val="21"/>
                      <w:u w:val="single"/>
                    </w:rPr>
                    <w:t>厂房，无需新增工业用地；属于</w:t>
                  </w:r>
                  <w:r>
                    <w:rPr>
                      <w:rFonts w:hint="eastAsia"/>
                      <w:szCs w:val="21"/>
                      <w:u w:val="single"/>
                    </w:rPr>
                    <w:t>黑色</w:t>
                  </w:r>
                  <w:r>
                    <w:rPr>
                      <w:szCs w:val="21"/>
                      <w:u w:val="single"/>
                    </w:rPr>
                    <w:t>金属铸造，</w:t>
                  </w:r>
                  <w:r>
                    <w:rPr>
                      <w:rFonts w:hint="eastAsia"/>
                      <w:szCs w:val="21"/>
                      <w:u w:val="single"/>
                    </w:rPr>
                    <w:t>项目采取相应废气治理措施，</w:t>
                  </w:r>
                  <w:r>
                    <w:rPr>
                      <w:szCs w:val="21"/>
                      <w:u w:val="single"/>
                    </w:rPr>
                    <w:t>不会对区域大气环境造成</w:t>
                  </w:r>
                  <w:r>
                    <w:rPr>
                      <w:rFonts w:hint="eastAsia"/>
                      <w:szCs w:val="21"/>
                      <w:u w:val="single"/>
                    </w:rPr>
                    <w:t>明显</w:t>
                  </w:r>
                  <w:r>
                    <w:rPr>
                      <w:szCs w:val="21"/>
                      <w:u w:val="single"/>
                    </w:rPr>
                    <w:t>不利影响，</w:t>
                  </w:r>
                  <w:r>
                    <w:rPr>
                      <w:rFonts w:hint="eastAsia"/>
                      <w:szCs w:val="21"/>
                      <w:u w:val="single"/>
                    </w:rPr>
                    <w:t>项目位于园区中部，</w:t>
                  </w:r>
                  <w:r>
                    <w:rPr>
                      <w:szCs w:val="21"/>
                      <w:u w:val="single"/>
                    </w:rPr>
                    <w:t>远离园区居住用地</w:t>
                  </w:r>
                </w:p>
              </w:tc>
              <w:tc>
                <w:tcPr>
                  <w:tcW w:w="287" w:type="pct"/>
                  <w:tcBorders>
                    <w:tl2br w:val="nil"/>
                    <w:tr2bl w:val="nil"/>
                  </w:tcBorders>
                  <w:vAlign w:val="center"/>
                </w:tcPr>
                <w:p w14:paraId="1FCF606F">
                  <w:pPr>
                    <w:autoSpaceDE w:val="0"/>
                    <w:autoSpaceDN w:val="0"/>
                    <w:adjustRightInd w:val="0"/>
                    <w:snapToGrid w:val="0"/>
                    <w:jc w:val="center"/>
                    <w:rPr>
                      <w:szCs w:val="21"/>
                      <w:u w:val="single"/>
                    </w:rPr>
                  </w:pPr>
                  <w:r>
                    <w:rPr>
                      <w:szCs w:val="21"/>
                      <w:u w:val="single"/>
                    </w:rPr>
                    <w:t>符合</w:t>
                  </w:r>
                </w:p>
              </w:tc>
            </w:tr>
            <w:tr w14:paraId="0EC10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3" w:hRule="atLeast"/>
              </w:trPr>
              <w:tc>
                <w:tcPr>
                  <w:tcW w:w="412" w:type="pct"/>
                  <w:tcBorders>
                    <w:tl2br w:val="nil"/>
                    <w:tr2bl w:val="nil"/>
                  </w:tcBorders>
                  <w:vAlign w:val="center"/>
                </w:tcPr>
                <w:p w14:paraId="03350A5F">
                  <w:pPr>
                    <w:autoSpaceDE w:val="0"/>
                    <w:autoSpaceDN w:val="0"/>
                    <w:adjustRightInd w:val="0"/>
                    <w:snapToGrid w:val="0"/>
                    <w:jc w:val="center"/>
                    <w:rPr>
                      <w:szCs w:val="21"/>
                      <w:u w:val="single"/>
                    </w:rPr>
                  </w:pPr>
                  <w:r>
                    <w:rPr>
                      <w:szCs w:val="21"/>
                      <w:u w:val="single"/>
                    </w:rPr>
                    <w:t>污染物排放管控</w:t>
                  </w:r>
                </w:p>
              </w:tc>
              <w:tc>
                <w:tcPr>
                  <w:tcW w:w="2827" w:type="pct"/>
                  <w:gridSpan w:val="3"/>
                  <w:tcBorders>
                    <w:tl2br w:val="nil"/>
                    <w:tr2bl w:val="nil"/>
                  </w:tcBorders>
                  <w:vAlign w:val="center"/>
                </w:tcPr>
                <w:p w14:paraId="24DB9F2D">
                  <w:pPr>
                    <w:jc w:val="left"/>
                    <w:rPr>
                      <w:bCs/>
                      <w:szCs w:val="21"/>
                      <w:u w:val="single"/>
                    </w:rPr>
                  </w:pPr>
                  <w:r>
                    <w:rPr>
                      <w:bCs/>
                      <w:szCs w:val="21"/>
                      <w:u w:val="single"/>
                    </w:rPr>
                    <w:t>（2.1）废水：</w:t>
                  </w:r>
                </w:p>
                <w:p w14:paraId="187651D3">
                  <w:pPr>
                    <w:jc w:val="left"/>
                    <w:rPr>
                      <w:bCs/>
                      <w:szCs w:val="21"/>
                      <w:u w:val="single"/>
                    </w:rPr>
                  </w:pPr>
                  <w:r>
                    <w:rPr>
                      <w:bCs/>
                      <w:szCs w:val="21"/>
                      <w:u w:val="single"/>
                    </w:rPr>
                    <w:t>（2.</w:t>
                  </w:r>
                  <w:r>
                    <w:rPr>
                      <w:rFonts w:hint="eastAsia"/>
                      <w:bCs/>
                      <w:szCs w:val="21"/>
                      <w:u w:val="single"/>
                    </w:rPr>
                    <w:t>1</w:t>
                  </w:r>
                  <w:r>
                    <w:rPr>
                      <w:bCs/>
                      <w:szCs w:val="21"/>
                      <w:u w:val="single"/>
                    </w:rPr>
                    <w:t>.1）持续推进湘潭天易经济开发区“雨污分流”，污水经企业污水处理设施预处理达到污水处理厂接纳标准后分区排放，</w:t>
                  </w:r>
                  <w:r>
                    <w:rPr>
                      <w:rFonts w:hint="eastAsia"/>
                      <w:bCs/>
                      <w:szCs w:val="21"/>
                      <w:u w:val="single"/>
                    </w:rPr>
                    <w:t>区块一</w:t>
                  </w:r>
                  <w:r>
                    <w:rPr>
                      <w:bCs/>
                      <w:szCs w:val="21"/>
                      <w:u w:val="single"/>
                    </w:rPr>
                    <w:t>排入湘潭县第一污水处理厂</w:t>
                  </w:r>
                  <w:r>
                    <w:rPr>
                      <w:rFonts w:hint="eastAsia"/>
                      <w:bCs/>
                      <w:szCs w:val="21"/>
                      <w:u w:val="single"/>
                    </w:rPr>
                    <w:t>和</w:t>
                  </w:r>
                  <w:r>
                    <w:rPr>
                      <w:bCs/>
                      <w:szCs w:val="21"/>
                      <w:u w:val="single"/>
                    </w:rPr>
                    <w:t>湘潭县第二污水处理厂的废水处理达标后外排湘江，</w:t>
                  </w:r>
                  <w:r>
                    <w:rPr>
                      <w:rFonts w:hint="eastAsia"/>
                      <w:bCs/>
                      <w:szCs w:val="21"/>
                      <w:u w:val="single"/>
                    </w:rPr>
                    <w:t>区块三</w:t>
                  </w:r>
                  <w:r>
                    <w:rPr>
                      <w:bCs/>
                      <w:szCs w:val="21"/>
                      <w:u w:val="single"/>
                    </w:rPr>
                    <w:t>排入湘潭县第二污水处理厂的废水处理达标后外排涓水。区域雨水由南北两侧自流向云水渠，再分别往西流入涓水，往东流入向东渠，涓水和向东渠均往北流入湘江。</w:t>
                  </w:r>
                </w:p>
                <w:p w14:paraId="0E2DD948">
                  <w:pPr>
                    <w:jc w:val="left"/>
                    <w:rPr>
                      <w:bCs/>
                      <w:szCs w:val="21"/>
                      <w:u w:val="single"/>
                    </w:rPr>
                  </w:pPr>
                  <w:r>
                    <w:rPr>
                      <w:bCs/>
                      <w:szCs w:val="21"/>
                      <w:u w:val="single"/>
                    </w:rPr>
                    <w:t>（2.2）废气：</w:t>
                  </w:r>
                </w:p>
                <w:p w14:paraId="0FF55987">
                  <w:pPr>
                    <w:jc w:val="left"/>
                    <w:rPr>
                      <w:bCs/>
                      <w:szCs w:val="21"/>
                      <w:u w:val="single"/>
                    </w:rPr>
                  </w:pPr>
                  <w:r>
                    <w:rPr>
                      <w:bCs/>
                      <w:szCs w:val="21"/>
                      <w:u w:val="single"/>
                    </w:rPr>
                    <w:t>（2.2.1）实施工业涂装、包装印刷、家具制造等主要行业 VOCs 综合治理。推进涉VOCs 排放工业企业原辅料替代与治理水平提升。</w:t>
                  </w:r>
                </w:p>
                <w:p w14:paraId="527856A0">
                  <w:pPr>
                    <w:jc w:val="left"/>
                    <w:rPr>
                      <w:bCs/>
                      <w:szCs w:val="21"/>
                      <w:u w:val="single"/>
                    </w:rPr>
                  </w:pPr>
                  <w:r>
                    <w:rPr>
                      <w:bCs/>
                      <w:szCs w:val="21"/>
                      <w:u w:val="single"/>
                    </w:rPr>
                    <w:t>（2.2.2）加强工业企业无组织排放的综合整治。加快推进企业物料（含废渣）运输、装卸、储存和生产工艺过程中的无组织排放治理。采取密闭、围挡、遮盖、清扫、洒水等措施，减少内部物料堆存、传输、装卸等环节产生的粉尘和气态污染物的排放。</w:t>
                  </w:r>
                </w:p>
                <w:p w14:paraId="6DA01602">
                  <w:pPr>
                    <w:jc w:val="left"/>
                    <w:rPr>
                      <w:bCs/>
                      <w:szCs w:val="21"/>
                      <w:u w:val="single"/>
                    </w:rPr>
                  </w:pPr>
                  <w:r>
                    <w:rPr>
                      <w:bCs/>
                      <w:szCs w:val="21"/>
                      <w:u w:val="single"/>
                    </w:rPr>
                    <w:t>（2.3）固体废弃物：做好工业固体废物和生活垃圾的分类收集贮存、转运、综合利用和无害化处理。推行清洁生产，减少固体废物产生量；加强固体废物的资源化进程，提高综合利用率；规范固体废物处理措施，对工业企业产生固体废物特别是危险固废应按国家有关规定综合利用或妥善处置，严防二次污染。强化固体废物、危险废物等污染源管控。全面开展固体废物堆存场所排查。</w:t>
                  </w:r>
                </w:p>
                <w:p w14:paraId="31793B6C">
                  <w:pPr>
                    <w:jc w:val="left"/>
                    <w:rPr>
                      <w:bCs/>
                      <w:szCs w:val="21"/>
                      <w:u w:val="single"/>
                    </w:rPr>
                  </w:pPr>
                  <w:r>
                    <w:rPr>
                      <w:bCs/>
                      <w:szCs w:val="21"/>
                      <w:u w:val="single"/>
                    </w:rPr>
                    <w:t>（2.4）鼓励聚集低能耗、低排放、高附加值产业。推动现有园区制定低碳改造实施方案。</w:t>
                  </w:r>
                </w:p>
              </w:tc>
              <w:tc>
                <w:tcPr>
                  <w:tcW w:w="1472" w:type="pct"/>
                  <w:tcBorders>
                    <w:tl2br w:val="nil"/>
                    <w:tr2bl w:val="nil"/>
                  </w:tcBorders>
                  <w:vAlign w:val="center"/>
                </w:tcPr>
                <w:p w14:paraId="12E958E8">
                  <w:pPr>
                    <w:jc w:val="left"/>
                    <w:rPr>
                      <w:bCs/>
                      <w:szCs w:val="21"/>
                      <w:u w:val="single"/>
                    </w:rPr>
                  </w:pPr>
                  <w:r>
                    <w:rPr>
                      <w:bCs/>
                      <w:szCs w:val="21"/>
                      <w:u w:val="single"/>
                    </w:rPr>
                    <w:t>废水：生活污水</w:t>
                  </w:r>
                  <w:r>
                    <w:rPr>
                      <w:szCs w:val="21"/>
                      <w:u w:val="single"/>
                    </w:rPr>
                    <w:t>依托园区</w:t>
                  </w:r>
                  <w:r>
                    <w:rPr>
                      <w:bCs/>
                      <w:szCs w:val="21"/>
                      <w:u w:val="single"/>
                    </w:rPr>
                    <w:t>化粪池处理后，经污水管网，排入湘潭县第一污水处理厂处理达标后排入湘江，无生产废水外排；</w:t>
                  </w:r>
                </w:p>
                <w:p w14:paraId="1D047860">
                  <w:pPr>
                    <w:jc w:val="left"/>
                    <w:rPr>
                      <w:bCs/>
                      <w:szCs w:val="21"/>
                      <w:u w:val="single"/>
                    </w:rPr>
                  </w:pPr>
                  <w:r>
                    <w:rPr>
                      <w:bCs/>
                      <w:szCs w:val="21"/>
                      <w:u w:val="single"/>
                    </w:rPr>
                    <w:t>废气：熔</w:t>
                  </w:r>
                  <w:r>
                    <w:rPr>
                      <w:rFonts w:hint="eastAsia"/>
                      <w:bCs/>
                      <w:szCs w:val="21"/>
                      <w:u w:val="single"/>
                    </w:rPr>
                    <w:t>炼</w:t>
                  </w:r>
                  <w:r>
                    <w:rPr>
                      <w:bCs/>
                      <w:szCs w:val="21"/>
                      <w:u w:val="single"/>
                    </w:rPr>
                    <w:t>、</w:t>
                  </w:r>
                  <w:r>
                    <w:rPr>
                      <w:rFonts w:hint="eastAsia"/>
                      <w:bCs/>
                      <w:szCs w:val="21"/>
                      <w:u w:val="single"/>
                    </w:rPr>
                    <w:t>浇注、砂处理</w:t>
                  </w:r>
                  <w:r>
                    <w:rPr>
                      <w:bCs/>
                      <w:szCs w:val="21"/>
                      <w:u w:val="single"/>
                    </w:rPr>
                    <w:t>废气</w:t>
                  </w:r>
                  <w:r>
                    <w:rPr>
                      <w:rFonts w:hint="eastAsia"/>
                      <w:bCs/>
                      <w:szCs w:val="21"/>
                      <w:u w:val="single"/>
                    </w:rPr>
                    <w:t>中粉尘经</w:t>
                  </w:r>
                  <w:r>
                    <w:rPr>
                      <w:bCs/>
                      <w:szCs w:val="21"/>
                      <w:u w:val="single"/>
                    </w:rPr>
                    <w:t>布袋除尘器处理后通过排气筒排放</w:t>
                  </w:r>
                  <w:r>
                    <w:rPr>
                      <w:rFonts w:hint="eastAsia"/>
                      <w:bCs/>
                      <w:szCs w:val="21"/>
                      <w:u w:val="single"/>
                    </w:rPr>
                    <w:t>，发泡、切割、浇注废气和喷涂废气中有机废气经二级活性炭吸附后通过排气筒外排，抛丸</w:t>
                  </w:r>
                  <w:r>
                    <w:rPr>
                      <w:bCs/>
                      <w:szCs w:val="21"/>
                      <w:u w:val="single"/>
                    </w:rPr>
                    <w:t>粉尘通过自带吸尘系统处理后</w:t>
                  </w:r>
                  <w:r>
                    <w:rPr>
                      <w:rFonts w:hint="eastAsia"/>
                      <w:bCs/>
                      <w:szCs w:val="21"/>
                      <w:u w:val="single"/>
                    </w:rPr>
                    <w:t>通过排气筒排放</w:t>
                  </w:r>
                  <w:r>
                    <w:rPr>
                      <w:bCs/>
                      <w:szCs w:val="21"/>
                      <w:u w:val="single"/>
                    </w:rPr>
                    <w:t>，</w:t>
                  </w:r>
                  <w:r>
                    <w:rPr>
                      <w:rFonts w:hint="eastAsia"/>
                      <w:bCs/>
                      <w:szCs w:val="21"/>
                      <w:u w:val="single"/>
                    </w:rPr>
                    <w:t>去冒口、打磨</w:t>
                  </w:r>
                  <w:r>
                    <w:rPr>
                      <w:bCs/>
                      <w:szCs w:val="21"/>
                      <w:u w:val="single"/>
                    </w:rPr>
                    <w:t>粉尘</w:t>
                  </w:r>
                  <w:r>
                    <w:rPr>
                      <w:rFonts w:hint="eastAsia"/>
                      <w:bCs/>
                      <w:szCs w:val="21"/>
                      <w:u w:val="single"/>
                    </w:rPr>
                    <w:t>通过移动式除尘器处理，</w:t>
                  </w:r>
                  <w:r>
                    <w:rPr>
                      <w:bCs/>
                      <w:szCs w:val="21"/>
                      <w:u w:val="single"/>
                    </w:rPr>
                    <w:t>在车间内自然沉降</w:t>
                  </w:r>
                  <w:r>
                    <w:rPr>
                      <w:rFonts w:hint="eastAsia"/>
                      <w:bCs/>
                      <w:szCs w:val="21"/>
                      <w:u w:val="single"/>
                    </w:rPr>
                    <w:t>后</w:t>
                  </w:r>
                  <w:r>
                    <w:rPr>
                      <w:bCs/>
                      <w:szCs w:val="21"/>
                      <w:u w:val="single"/>
                    </w:rPr>
                    <w:t>无组织排放</w:t>
                  </w:r>
                  <w:r>
                    <w:rPr>
                      <w:rFonts w:hint="eastAsia"/>
                      <w:bCs/>
                      <w:szCs w:val="21"/>
                      <w:u w:val="single"/>
                    </w:rPr>
                    <w:t>。物料储存在密闭车间内，车间加强清扫。</w:t>
                  </w:r>
                </w:p>
                <w:p w14:paraId="4F8AC846">
                  <w:pPr>
                    <w:jc w:val="left"/>
                    <w:rPr>
                      <w:szCs w:val="21"/>
                      <w:u w:val="single"/>
                    </w:rPr>
                  </w:pPr>
                  <w:r>
                    <w:rPr>
                      <w:bCs/>
                      <w:szCs w:val="21"/>
                      <w:u w:val="single"/>
                    </w:rPr>
                    <w:t>固体废物：生活垃圾经收集后由环卫部门处置；废包装</w:t>
                  </w:r>
                  <w:r>
                    <w:rPr>
                      <w:rFonts w:hint="eastAsia"/>
                      <w:bCs/>
                      <w:szCs w:val="21"/>
                      <w:u w:val="single"/>
                    </w:rPr>
                    <w:t>袋</w:t>
                  </w:r>
                  <w:r>
                    <w:rPr>
                      <w:bCs/>
                      <w:szCs w:val="21"/>
                      <w:u w:val="single"/>
                    </w:rPr>
                    <w:t>、熔炉炉渣外售综合利用；含油废</w:t>
                  </w:r>
                  <w:r>
                    <w:rPr>
                      <w:rFonts w:hint="eastAsia"/>
                      <w:bCs/>
                      <w:szCs w:val="21"/>
                      <w:u w:val="single"/>
                    </w:rPr>
                    <w:t>抹布及</w:t>
                  </w:r>
                  <w:r>
                    <w:rPr>
                      <w:bCs/>
                      <w:szCs w:val="21"/>
                      <w:u w:val="single"/>
                    </w:rPr>
                    <w:t>手套、</w:t>
                  </w:r>
                  <w:r>
                    <w:rPr>
                      <w:rFonts w:hint="eastAsia"/>
                      <w:bCs/>
                      <w:szCs w:val="21"/>
                      <w:u w:val="single"/>
                    </w:rPr>
                    <w:t>漆雾过滤棉</w:t>
                  </w:r>
                  <w:r>
                    <w:rPr>
                      <w:bCs/>
                      <w:szCs w:val="21"/>
                      <w:u w:val="single"/>
                    </w:rPr>
                    <w:t>、</w:t>
                  </w:r>
                  <w:r>
                    <w:rPr>
                      <w:rFonts w:hint="eastAsia"/>
                      <w:bCs/>
                      <w:szCs w:val="21"/>
                      <w:u w:val="single"/>
                    </w:rPr>
                    <w:t>废活性炭、</w:t>
                  </w:r>
                  <w:r>
                    <w:rPr>
                      <w:bCs/>
                      <w:szCs w:val="21"/>
                      <w:u w:val="single"/>
                    </w:rPr>
                    <w:t>废油</w:t>
                  </w:r>
                  <w:r>
                    <w:rPr>
                      <w:rFonts w:hint="eastAsia"/>
                      <w:bCs/>
                      <w:szCs w:val="21"/>
                      <w:u w:val="single"/>
                    </w:rPr>
                    <w:t>漆</w:t>
                  </w:r>
                  <w:r>
                    <w:rPr>
                      <w:bCs/>
                      <w:szCs w:val="21"/>
                      <w:u w:val="single"/>
                    </w:rPr>
                    <w:t>桶等危险废物经分类收集后，委托有资质的单位处置。</w:t>
                  </w:r>
                </w:p>
              </w:tc>
              <w:tc>
                <w:tcPr>
                  <w:tcW w:w="287" w:type="pct"/>
                  <w:tcBorders>
                    <w:tl2br w:val="nil"/>
                    <w:tr2bl w:val="nil"/>
                  </w:tcBorders>
                  <w:vAlign w:val="center"/>
                </w:tcPr>
                <w:p w14:paraId="1A32179F">
                  <w:pPr>
                    <w:autoSpaceDE w:val="0"/>
                    <w:autoSpaceDN w:val="0"/>
                    <w:adjustRightInd w:val="0"/>
                    <w:snapToGrid w:val="0"/>
                    <w:jc w:val="center"/>
                    <w:rPr>
                      <w:szCs w:val="21"/>
                      <w:u w:val="single"/>
                    </w:rPr>
                  </w:pPr>
                  <w:r>
                    <w:rPr>
                      <w:szCs w:val="21"/>
                      <w:u w:val="single"/>
                    </w:rPr>
                    <w:t>符合</w:t>
                  </w:r>
                </w:p>
              </w:tc>
            </w:tr>
            <w:tr w14:paraId="1ECB4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412" w:type="pct"/>
                  <w:tcBorders>
                    <w:tl2br w:val="nil"/>
                    <w:tr2bl w:val="nil"/>
                  </w:tcBorders>
                  <w:vAlign w:val="center"/>
                </w:tcPr>
                <w:p w14:paraId="1D6B5984">
                  <w:pPr>
                    <w:autoSpaceDE w:val="0"/>
                    <w:autoSpaceDN w:val="0"/>
                    <w:adjustRightInd w:val="0"/>
                    <w:snapToGrid w:val="0"/>
                    <w:jc w:val="center"/>
                    <w:rPr>
                      <w:szCs w:val="21"/>
                      <w:u w:val="single"/>
                    </w:rPr>
                  </w:pPr>
                  <w:r>
                    <w:rPr>
                      <w:szCs w:val="21"/>
                      <w:u w:val="single"/>
                    </w:rPr>
                    <w:t>环境风险防控</w:t>
                  </w:r>
                </w:p>
              </w:tc>
              <w:tc>
                <w:tcPr>
                  <w:tcW w:w="2827" w:type="pct"/>
                  <w:gridSpan w:val="3"/>
                  <w:tcBorders>
                    <w:tl2br w:val="nil"/>
                    <w:tr2bl w:val="nil"/>
                  </w:tcBorders>
                  <w:vAlign w:val="center"/>
                </w:tcPr>
                <w:p w14:paraId="3A55F1D9">
                  <w:pPr>
                    <w:jc w:val="left"/>
                    <w:rPr>
                      <w:bCs/>
                      <w:szCs w:val="21"/>
                      <w:u w:val="single"/>
                    </w:rPr>
                  </w:pPr>
                  <w:r>
                    <w:rPr>
                      <w:bCs/>
                      <w:szCs w:val="21"/>
                      <w:u w:val="single"/>
                    </w:rPr>
                    <w:t>（3.1）经开区应建立健全各区块的环境风险防控体系，严格落实《湖南湘潭天易经济开发区突发环境事件应急预案》中相关要求，严防突发环境事件发生，提高应急处置能力。</w:t>
                  </w:r>
                </w:p>
                <w:p w14:paraId="0E2BE3F5">
                  <w:pPr>
                    <w:jc w:val="left"/>
                    <w:rPr>
                      <w:bCs/>
                      <w:szCs w:val="21"/>
                      <w:u w:val="single"/>
                    </w:rPr>
                  </w:pPr>
                  <w:r>
                    <w:rPr>
                      <w:bCs/>
                      <w:szCs w:val="21"/>
                      <w:u w:val="single"/>
                    </w:rPr>
                    <w:t>（3.2）经开区可能发生突发环境事件的污染物排放企业，生产、储存、运输、使用危险化学品的企业，产生、收集、贮存、运输、利用、处置危险废物的企业等应当编制和实施环境应急预案；鼓励其他企业制定单独的环境应急预案，或在突发事件应急预案中制定环境应急预案专章，并备案。</w:t>
                  </w:r>
                </w:p>
                <w:p w14:paraId="44D4E47A">
                  <w:pPr>
                    <w:jc w:val="left"/>
                    <w:rPr>
                      <w:bCs/>
                      <w:szCs w:val="21"/>
                      <w:u w:val="single"/>
                    </w:rPr>
                  </w:pPr>
                  <w:r>
                    <w:rPr>
                      <w:bCs/>
                      <w:szCs w:val="21"/>
                      <w:u w:val="single"/>
                    </w:rPr>
                    <w:t>（3.3）建设用地土壤风险防控：深入推进建设用地土壤污染防治和安全利用。严格建设用地土壤污染风险管控。强化腾退地块风险管控和修复活动监管。</w:t>
                  </w:r>
                </w:p>
              </w:tc>
              <w:tc>
                <w:tcPr>
                  <w:tcW w:w="1472" w:type="pct"/>
                  <w:tcBorders>
                    <w:tl2br w:val="nil"/>
                    <w:tr2bl w:val="nil"/>
                  </w:tcBorders>
                  <w:vAlign w:val="center"/>
                </w:tcPr>
                <w:p w14:paraId="364DF82F">
                  <w:pPr>
                    <w:autoSpaceDE w:val="0"/>
                    <w:autoSpaceDN w:val="0"/>
                    <w:adjustRightInd w:val="0"/>
                    <w:snapToGrid w:val="0"/>
                    <w:jc w:val="left"/>
                    <w:rPr>
                      <w:szCs w:val="21"/>
                      <w:u w:val="single"/>
                    </w:rPr>
                  </w:pPr>
                  <w:r>
                    <w:rPr>
                      <w:rFonts w:hint="eastAsia"/>
                      <w:szCs w:val="21"/>
                      <w:u w:val="single"/>
                    </w:rPr>
                    <w:t>企业将按要求编制环境应急预案并备案，定期实施预案演练。</w:t>
                  </w:r>
                </w:p>
              </w:tc>
              <w:tc>
                <w:tcPr>
                  <w:tcW w:w="287" w:type="pct"/>
                  <w:tcBorders>
                    <w:tl2br w:val="nil"/>
                    <w:tr2bl w:val="nil"/>
                  </w:tcBorders>
                  <w:vAlign w:val="center"/>
                </w:tcPr>
                <w:p w14:paraId="6836F113">
                  <w:pPr>
                    <w:autoSpaceDE w:val="0"/>
                    <w:autoSpaceDN w:val="0"/>
                    <w:adjustRightInd w:val="0"/>
                    <w:snapToGrid w:val="0"/>
                    <w:jc w:val="center"/>
                    <w:rPr>
                      <w:szCs w:val="21"/>
                      <w:u w:val="single"/>
                    </w:rPr>
                  </w:pPr>
                  <w:r>
                    <w:rPr>
                      <w:szCs w:val="21"/>
                      <w:u w:val="single"/>
                    </w:rPr>
                    <w:t>符合</w:t>
                  </w:r>
                </w:p>
              </w:tc>
            </w:tr>
            <w:tr w14:paraId="12310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5" w:hRule="atLeast"/>
              </w:trPr>
              <w:tc>
                <w:tcPr>
                  <w:tcW w:w="412" w:type="pct"/>
                  <w:tcBorders>
                    <w:tl2br w:val="nil"/>
                    <w:tr2bl w:val="nil"/>
                  </w:tcBorders>
                  <w:vAlign w:val="center"/>
                </w:tcPr>
                <w:p w14:paraId="76DA87DF">
                  <w:pPr>
                    <w:autoSpaceDE w:val="0"/>
                    <w:autoSpaceDN w:val="0"/>
                    <w:adjustRightInd w:val="0"/>
                    <w:snapToGrid w:val="0"/>
                    <w:jc w:val="center"/>
                    <w:rPr>
                      <w:szCs w:val="21"/>
                      <w:u w:val="single"/>
                    </w:rPr>
                  </w:pPr>
                  <w:r>
                    <w:rPr>
                      <w:szCs w:val="21"/>
                      <w:u w:val="single"/>
                    </w:rPr>
                    <w:t>资源开发效率要求</w:t>
                  </w:r>
                </w:p>
              </w:tc>
              <w:tc>
                <w:tcPr>
                  <w:tcW w:w="2827" w:type="pct"/>
                  <w:gridSpan w:val="3"/>
                  <w:tcBorders>
                    <w:tl2br w:val="nil"/>
                    <w:tr2bl w:val="nil"/>
                  </w:tcBorders>
                  <w:vAlign w:val="center"/>
                </w:tcPr>
                <w:p w14:paraId="389B7C22">
                  <w:pPr>
                    <w:jc w:val="left"/>
                    <w:rPr>
                      <w:bCs/>
                      <w:szCs w:val="21"/>
                      <w:u w:val="single"/>
                    </w:rPr>
                  </w:pPr>
                  <w:r>
                    <w:rPr>
                      <w:bCs/>
                      <w:szCs w:val="21"/>
                      <w:u w:val="single"/>
                    </w:rPr>
                    <w:t>（4.1）能源：区域内严格限制燃煤、重油等高污染燃料。 2025 年，示范区综合能源消费量预测等价值为 442800 吨标煤，单位</w:t>
                  </w:r>
                </w:p>
                <w:p w14:paraId="3FF60396">
                  <w:pPr>
                    <w:jc w:val="left"/>
                    <w:rPr>
                      <w:bCs/>
                      <w:szCs w:val="21"/>
                      <w:u w:val="single"/>
                    </w:rPr>
                  </w:pPr>
                  <w:r>
                    <w:rPr>
                      <w:bCs/>
                      <w:szCs w:val="21"/>
                      <w:u w:val="single"/>
                    </w:rPr>
                    <w:t>生产总值能耗预测值为 0.0762 吨标煤 /万元。</w:t>
                  </w:r>
                </w:p>
                <w:p w14:paraId="5BF46629">
                  <w:pPr>
                    <w:jc w:val="left"/>
                    <w:rPr>
                      <w:bCs/>
                      <w:szCs w:val="21"/>
                      <w:u w:val="single"/>
                    </w:rPr>
                  </w:pPr>
                  <w:r>
                    <w:rPr>
                      <w:bCs/>
                      <w:szCs w:val="21"/>
                      <w:u w:val="single"/>
                    </w:rPr>
                    <w:t>（4.2）加强工业节水力度。提高工业企业内部水的重复利用率；提高工艺节水贡献量；投资推广和研发高科技含量的用水节水</w:t>
                  </w:r>
                </w:p>
                <w:p w14:paraId="4A001679">
                  <w:pPr>
                    <w:jc w:val="left"/>
                    <w:rPr>
                      <w:bCs/>
                      <w:szCs w:val="21"/>
                      <w:u w:val="single"/>
                    </w:rPr>
                  </w:pPr>
                  <w:r>
                    <w:rPr>
                      <w:bCs/>
                      <w:szCs w:val="21"/>
                      <w:u w:val="single"/>
                    </w:rPr>
                    <w:t>设备和废水处理回用技术等手段促进工业节水。到 2025 年，湘潭县用水总量 6.93 亿立方米，万元工业增加值用水量比 2020 年下降3.77%。</w:t>
                  </w:r>
                </w:p>
                <w:p w14:paraId="006B0929">
                  <w:pPr>
                    <w:jc w:val="left"/>
                    <w:rPr>
                      <w:bCs/>
                      <w:szCs w:val="21"/>
                      <w:u w:val="single"/>
                    </w:rPr>
                  </w:pPr>
                  <w:r>
                    <w:rPr>
                      <w:bCs/>
                      <w:szCs w:val="21"/>
                      <w:u w:val="single"/>
                    </w:rPr>
                    <w:t>（4.3）土地资源：保障产业园区用地需求，深入落实“周转用地 + 标准地 + 弹性供地”产业园区用地政策，根据产业园区近三</w:t>
                  </w:r>
                </w:p>
                <w:p w14:paraId="254B1E45">
                  <w:pPr>
                    <w:jc w:val="left"/>
                    <w:rPr>
                      <w:bCs/>
                      <w:szCs w:val="21"/>
                      <w:u w:val="single"/>
                    </w:rPr>
                  </w:pPr>
                  <w:r>
                    <w:rPr>
                      <w:bCs/>
                      <w:szCs w:val="21"/>
                      <w:u w:val="single"/>
                    </w:rPr>
                    <w:t>年平均供地水平，分类预安排新增建设用地周转指标。省级园区工业用地固定资产投入强度达到 270 万元 / 亩，工业用地地均税收达到 17 万元 / 亩。</w:t>
                  </w:r>
                </w:p>
              </w:tc>
              <w:tc>
                <w:tcPr>
                  <w:tcW w:w="1472" w:type="pct"/>
                  <w:tcBorders>
                    <w:tl2br w:val="nil"/>
                    <w:tr2bl w:val="nil"/>
                  </w:tcBorders>
                  <w:vAlign w:val="center"/>
                </w:tcPr>
                <w:p w14:paraId="4DD515A2">
                  <w:pPr>
                    <w:autoSpaceDE w:val="0"/>
                    <w:autoSpaceDN w:val="0"/>
                    <w:adjustRightInd w:val="0"/>
                    <w:snapToGrid w:val="0"/>
                    <w:jc w:val="left"/>
                    <w:rPr>
                      <w:kern w:val="0"/>
                      <w:szCs w:val="21"/>
                      <w:u w:val="single"/>
                    </w:rPr>
                  </w:pPr>
                  <w:r>
                    <w:rPr>
                      <w:szCs w:val="21"/>
                      <w:u w:val="single"/>
                    </w:rPr>
                    <w:t>本项目涉及的主要能源为电</w:t>
                  </w:r>
                  <w:r>
                    <w:rPr>
                      <w:rFonts w:hint="eastAsia"/>
                      <w:szCs w:val="21"/>
                      <w:u w:val="single"/>
                    </w:rPr>
                    <w:t>、</w:t>
                  </w:r>
                  <w:r>
                    <w:rPr>
                      <w:szCs w:val="21"/>
                      <w:u w:val="single"/>
                    </w:rPr>
                    <w:t>水</w:t>
                  </w:r>
                  <w:r>
                    <w:rPr>
                      <w:rFonts w:hint="eastAsia"/>
                      <w:szCs w:val="21"/>
                      <w:u w:val="single"/>
                    </w:rPr>
                    <w:t>和天然气</w:t>
                  </w:r>
                  <w:r>
                    <w:rPr>
                      <w:szCs w:val="21"/>
                      <w:u w:val="single"/>
                    </w:rPr>
                    <w:t>，不涉及高污染燃料的使用；</w:t>
                  </w:r>
                  <w:r>
                    <w:rPr>
                      <w:rFonts w:hint="eastAsia"/>
                      <w:szCs w:val="21"/>
                      <w:u w:val="single"/>
                    </w:rPr>
                    <w:t>项目生产废水不外排，冷却水循环使用。</w:t>
                  </w:r>
                  <w:r>
                    <w:rPr>
                      <w:kern w:val="0"/>
                      <w:szCs w:val="21"/>
                      <w:u w:val="single"/>
                    </w:rPr>
                    <w:t>项目位于天易经开区内，</w:t>
                  </w:r>
                  <w:r>
                    <w:rPr>
                      <w:rFonts w:hint="eastAsia"/>
                      <w:kern w:val="0"/>
                      <w:szCs w:val="21"/>
                      <w:u w:val="single"/>
                    </w:rPr>
                    <w:t>租赁现有工业厂房，</w:t>
                  </w:r>
                  <w:r>
                    <w:rPr>
                      <w:kern w:val="0"/>
                      <w:szCs w:val="21"/>
                      <w:u w:val="single"/>
                    </w:rPr>
                    <w:t>不新增用地。</w:t>
                  </w:r>
                </w:p>
              </w:tc>
              <w:tc>
                <w:tcPr>
                  <w:tcW w:w="287" w:type="pct"/>
                  <w:tcBorders>
                    <w:tl2br w:val="nil"/>
                    <w:tr2bl w:val="nil"/>
                  </w:tcBorders>
                  <w:vAlign w:val="center"/>
                </w:tcPr>
                <w:p w14:paraId="02ABC1A8">
                  <w:pPr>
                    <w:autoSpaceDE w:val="0"/>
                    <w:autoSpaceDN w:val="0"/>
                    <w:adjustRightInd w:val="0"/>
                    <w:snapToGrid w:val="0"/>
                    <w:jc w:val="center"/>
                    <w:rPr>
                      <w:szCs w:val="21"/>
                      <w:u w:val="single"/>
                    </w:rPr>
                  </w:pPr>
                  <w:r>
                    <w:rPr>
                      <w:szCs w:val="21"/>
                      <w:u w:val="single"/>
                    </w:rPr>
                    <w:t>符合</w:t>
                  </w:r>
                </w:p>
              </w:tc>
            </w:tr>
          </w:tbl>
          <w:p w14:paraId="7D9C88D6">
            <w:pPr>
              <w:pStyle w:val="38"/>
              <w:rPr>
                <w:highlight w:val="yellow"/>
              </w:rPr>
            </w:pPr>
          </w:p>
          <w:p w14:paraId="793A6FE7">
            <w:pPr>
              <w:jc w:val="center"/>
              <w:rPr>
                <w:spacing w:val="-2"/>
                <w:position w:val="-6"/>
                <w:szCs w:val="21"/>
                <w:u w:val="single"/>
                <w:lang w:bidi="ar"/>
              </w:rPr>
            </w:pPr>
            <w:r>
              <w:rPr>
                <w:rFonts w:hint="eastAsia"/>
                <w:b/>
                <w:bCs/>
                <w:spacing w:val="-2"/>
                <w:position w:val="-6"/>
                <w:szCs w:val="21"/>
                <w:u w:val="single"/>
                <w:lang w:bidi="ar"/>
              </w:rPr>
              <w:t>表1-6 与湘潭市生态环境管控基本要求符合性分析</w:t>
            </w:r>
          </w:p>
          <w:tbl>
            <w:tblPr>
              <w:tblStyle w:val="31"/>
              <w:tblW w:w="73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0"/>
              <w:gridCol w:w="4534"/>
              <w:gridCol w:w="1227"/>
              <w:gridCol w:w="765"/>
            </w:tblGrid>
            <w:tr w14:paraId="02EEB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vAlign w:val="center"/>
                </w:tcPr>
                <w:p w14:paraId="51E3DBFD">
                  <w:pPr>
                    <w:jc w:val="center"/>
                    <w:rPr>
                      <w:spacing w:val="-2"/>
                      <w:position w:val="-6"/>
                      <w:szCs w:val="21"/>
                      <w:u w:val="single"/>
                      <w:lang w:bidi="ar"/>
                    </w:rPr>
                  </w:pPr>
                  <w:r>
                    <w:rPr>
                      <w:rFonts w:hint="eastAsia"/>
                      <w:spacing w:val="-2"/>
                      <w:position w:val="-6"/>
                      <w:szCs w:val="21"/>
                      <w:u w:val="single"/>
                      <w:lang w:bidi="ar"/>
                    </w:rPr>
                    <w:t>管控维度</w:t>
                  </w:r>
                </w:p>
              </w:tc>
              <w:tc>
                <w:tcPr>
                  <w:tcW w:w="4534" w:type="dxa"/>
                  <w:vAlign w:val="center"/>
                </w:tcPr>
                <w:p w14:paraId="2D7B687B">
                  <w:pPr>
                    <w:jc w:val="center"/>
                    <w:rPr>
                      <w:spacing w:val="-2"/>
                      <w:position w:val="-6"/>
                      <w:szCs w:val="21"/>
                      <w:u w:val="single"/>
                      <w:lang w:bidi="ar"/>
                    </w:rPr>
                  </w:pPr>
                  <w:r>
                    <w:rPr>
                      <w:rFonts w:hint="eastAsia"/>
                      <w:spacing w:val="-2"/>
                      <w:position w:val="-6"/>
                      <w:szCs w:val="21"/>
                      <w:u w:val="single"/>
                      <w:lang w:bidi="ar"/>
                    </w:rPr>
                    <w:t>管控要求</w:t>
                  </w:r>
                </w:p>
              </w:tc>
              <w:tc>
                <w:tcPr>
                  <w:tcW w:w="1227" w:type="dxa"/>
                  <w:vAlign w:val="center"/>
                </w:tcPr>
                <w:p w14:paraId="7263FBEA">
                  <w:pPr>
                    <w:jc w:val="center"/>
                    <w:rPr>
                      <w:spacing w:val="-2"/>
                      <w:position w:val="-6"/>
                      <w:szCs w:val="21"/>
                      <w:u w:val="single"/>
                      <w:lang w:bidi="ar"/>
                    </w:rPr>
                  </w:pPr>
                  <w:r>
                    <w:rPr>
                      <w:rFonts w:hint="eastAsia"/>
                      <w:spacing w:val="-2"/>
                      <w:position w:val="-6"/>
                      <w:szCs w:val="21"/>
                      <w:u w:val="single"/>
                      <w:lang w:bidi="ar"/>
                    </w:rPr>
                    <w:t>本项目</w:t>
                  </w:r>
                </w:p>
              </w:tc>
              <w:tc>
                <w:tcPr>
                  <w:tcW w:w="765" w:type="dxa"/>
                  <w:vAlign w:val="center"/>
                </w:tcPr>
                <w:p w14:paraId="00C439EC">
                  <w:pPr>
                    <w:jc w:val="center"/>
                    <w:rPr>
                      <w:spacing w:val="-2"/>
                      <w:position w:val="-6"/>
                      <w:szCs w:val="21"/>
                      <w:u w:val="single"/>
                      <w:lang w:bidi="ar"/>
                    </w:rPr>
                  </w:pPr>
                  <w:r>
                    <w:rPr>
                      <w:rFonts w:hint="eastAsia"/>
                      <w:spacing w:val="-2"/>
                      <w:position w:val="-6"/>
                      <w:szCs w:val="21"/>
                      <w:u w:val="single"/>
                      <w:lang w:bidi="ar"/>
                    </w:rPr>
                    <w:t>符合性分析</w:t>
                  </w:r>
                </w:p>
              </w:tc>
            </w:tr>
            <w:tr w14:paraId="64660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vAlign w:val="center"/>
                </w:tcPr>
                <w:p w14:paraId="1A84F655">
                  <w:pPr>
                    <w:jc w:val="center"/>
                    <w:rPr>
                      <w:spacing w:val="-2"/>
                      <w:position w:val="-6"/>
                      <w:szCs w:val="21"/>
                      <w:u w:val="single"/>
                      <w:lang w:bidi="ar"/>
                    </w:rPr>
                  </w:pPr>
                  <w:r>
                    <w:rPr>
                      <w:rFonts w:hint="eastAsia"/>
                      <w:spacing w:val="-2"/>
                      <w:position w:val="-6"/>
                      <w:szCs w:val="21"/>
                      <w:u w:val="single"/>
                      <w:lang w:bidi="ar"/>
                    </w:rPr>
                    <w:t>空间布局约束</w:t>
                  </w:r>
                </w:p>
              </w:tc>
              <w:tc>
                <w:tcPr>
                  <w:tcW w:w="4534" w:type="dxa"/>
                  <w:vAlign w:val="center"/>
                </w:tcPr>
                <w:p w14:paraId="79EAD102">
                  <w:pPr>
                    <w:rPr>
                      <w:spacing w:val="-2"/>
                      <w:position w:val="-6"/>
                      <w:szCs w:val="21"/>
                      <w:u w:val="single"/>
                      <w:lang w:bidi="ar"/>
                    </w:rPr>
                  </w:pPr>
                  <w:r>
                    <w:rPr>
                      <w:spacing w:val="-2"/>
                      <w:position w:val="-6"/>
                      <w:szCs w:val="21"/>
                      <w:u w:val="single"/>
                      <w:lang w:bidi="ar"/>
                    </w:rPr>
                    <w:t>1.严格限制在生态脆弱或环境敏感地区建设“两高”行业项目。</w:t>
                  </w:r>
                </w:p>
                <w:p w14:paraId="40613F23">
                  <w:pPr>
                    <w:rPr>
                      <w:spacing w:val="-2"/>
                      <w:position w:val="-6"/>
                      <w:szCs w:val="21"/>
                      <w:u w:val="single"/>
                      <w:lang w:bidi="ar"/>
                    </w:rPr>
                  </w:pPr>
                  <w:r>
                    <w:rPr>
                      <w:spacing w:val="-2"/>
                      <w:position w:val="-6"/>
                      <w:szCs w:val="21"/>
                      <w:u w:val="single"/>
                      <w:lang w:bidi="ar"/>
                    </w:rPr>
                    <w:t>2.严格控制火电、水泥、砖瓦、化工等高污染、高耗能项目，禁止新建不符合国家产业政策和行业准入条件的高污染项目。</w:t>
                  </w:r>
                </w:p>
                <w:p w14:paraId="6DBFF841">
                  <w:pPr>
                    <w:rPr>
                      <w:spacing w:val="-2"/>
                      <w:position w:val="-6"/>
                      <w:szCs w:val="21"/>
                      <w:u w:val="single"/>
                      <w:lang w:bidi="ar"/>
                    </w:rPr>
                  </w:pPr>
                  <w:r>
                    <w:rPr>
                      <w:spacing w:val="-2"/>
                      <w:position w:val="-6"/>
                      <w:szCs w:val="21"/>
                      <w:u w:val="single"/>
                      <w:lang w:bidi="ar"/>
                    </w:rPr>
                    <w:t>3.严格环境准入，严格限制石化、化工、包装印刷、工业涂装、家具制造、制药等高VOC</w:t>
                  </w:r>
                  <w:r>
                    <w:rPr>
                      <w:rFonts w:hint="eastAsia"/>
                      <w:spacing w:val="-2"/>
                      <w:position w:val="-6"/>
                      <w:szCs w:val="21"/>
                      <w:u w:val="single"/>
                      <w:lang w:bidi="ar"/>
                    </w:rPr>
                    <w:t>s</w:t>
                  </w:r>
                  <w:r>
                    <w:rPr>
                      <w:spacing w:val="-2"/>
                      <w:position w:val="-6"/>
                      <w:szCs w:val="21"/>
                      <w:u w:val="single"/>
                      <w:lang w:bidi="ar"/>
                    </w:rPr>
                    <w:t>排放建设项目，新建涉VOC</w:t>
                  </w:r>
                  <w:r>
                    <w:rPr>
                      <w:rFonts w:hint="eastAsia"/>
                      <w:spacing w:val="-2"/>
                      <w:position w:val="-6"/>
                      <w:szCs w:val="21"/>
                      <w:u w:val="single"/>
                      <w:lang w:bidi="ar"/>
                    </w:rPr>
                    <w:t>s</w:t>
                  </w:r>
                  <w:r>
                    <w:rPr>
                      <w:spacing w:val="-2"/>
                      <w:position w:val="-6"/>
                      <w:szCs w:val="21"/>
                      <w:u w:val="single"/>
                      <w:lang w:bidi="ar"/>
                    </w:rPr>
                    <w:t>排放的工业企业要入园区，试行区域内VOC排放等量或倍量削减替代。强化末端治理。加快推进汽车制造、有机化工、工业涂装、包装印刷、沥青搅拌、注塑、卷材等重点行业企业VOC治理，在主要排放环节安装集气罩或密闭式负压收集装置</w:t>
                  </w:r>
                  <w:r>
                    <w:rPr>
                      <w:rFonts w:hint="eastAsia"/>
                      <w:spacing w:val="-2"/>
                      <w:position w:val="-6"/>
                      <w:szCs w:val="21"/>
                      <w:u w:val="single"/>
                      <w:lang w:bidi="ar"/>
                    </w:rPr>
                    <w:t>。</w:t>
                  </w:r>
                </w:p>
              </w:tc>
              <w:tc>
                <w:tcPr>
                  <w:tcW w:w="1227" w:type="dxa"/>
                  <w:vAlign w:val="center"/>
                </w:tcPr>
                <w:p w14:paraId="78A3CDF2">
                  <w:pPr>
                    <w:rPr>
                      <w:spacing w:val="-2"/>
                      <w:position w:val="-6"/>
                      <w:szCs w:val="21"/>
                      <w:u w:val="single"/>
                      <w:lang w:bidi="ar"/>
                    </w:rPr>
                  </w:pPr>
                  <w:r>
                    <w:rPr>
                      <w:rFonts w:hint="eastAsia"/>
                      <w:spacing w:val="-2"/>
                      <w:position w:val="-6"/>
                      <w:szCs w:val="21"/>
                      <w:u w:val="single"/>
                      <w:lang w:bidi="ar"/>
                    </w:rPr>
                    <w:t>本项目属于金属制品业，不属于两高项目，废气产污节点均配置废气收集装置和净化装置，处理后达标排放，项目位于工业园区，VOC</w:t>
                  </w:r>
                  <w:r>
                    <w:rPr>
                      <w:rFonts w:hint="eastAsia"/>
                      <w:spacing w:val="-2"/>
                      <w:position w:val="-6"/>
                      <w:szCs w:val="21"/>
                      <w:u w:val="single"/>
                      <w:vertAlign w:val="subscript"/>
                      <w:lang w:bidi="ar"/>
                    </w:rPr>
                    <w:t>S</w:t>
                  </w:r>
                  <w:r>
                    <w:rPr>
                      <w:rFonts w:hint="eastAsia"/>
                      <w:spacing w:val="-2"/>
                      <w:position w:val="-6"/>
                      <w:szCs w:val="21"/>
                      <w:u w:val="single"/>
                      <w:lang w:bidi="ar"/>
                    </w:rPr>
                    <w:t>排放等量削减替代。</w:t>
                  </w:r>
                </w:p>
              </w:tc>
              <w:tc>
                <w:tcPr>
                  <w:tcW w:w="765" w:type="dxa"/>
                  <w:vAlign w:val="center"/>
                </w:tcPr>
                <w:p w14:paraId="3F20B254">
                  <w:pPr>
                    <w:jc w:val="center"/>
                    <w:rPr>
                      <w:spacing w:val="-2"/>
                      <w:position w:val="-6"/>
                      <w:szCs w:val="21"/>
                      <w:u w:val="single"/>
                      <w:lang w:bidi="ar"/>
                    </w:rPr>
                  </w:pPr>
                  <w:r>
                    <w:rPr>
                      <w:rFonts w:hint="eastAsia"/>
                      <w:spacing w:val="-2"/>
                      <w:position w:val="-6"/>
                      <w:szCs w:val="21"/>
                      <w:u w:val="single"/>
                      <w:lang w:bidi="ar"/>
                    </w:rPr>
                    <w:t>符合</w:t>
                  </w:r>
                </w:p>
              </w:tc>
            </w:tr>
            <w:tr w14:paraId="0F007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vAlign w:val="center"/>
                </w:tcPr>
                <w:p w14:paraId="39F17F0B">
                  <w:pPr>
                    <w:jc w:val="center"/>
                    <w:rPr>
                      <w:spacing w:val="-2"/>
                      <w:position w:val="-6"/>
                      <w:szCs w:val="21"/>
                      <w:u w:val="single"/>
                      <w:lang w:bidi="ar"/>
                    </w:rPr>
                  </w:pPr>
                  <w:r>
                    <w:rPr>
                      <w:rFonts w:hint="eastAsia"/>
                      <w:spacing w:val="-2"/>
                      <w:position w:val="-6"/>
                      <w:szCs w:val="21"/>
                      <w:u w:val="single"/>
                      <w:lang w:bidi="ar"/>
                    </w:rPr>
                    <w:t>污染物排放管控</w:t>
                  </w:r>
                </w:p>
              </w:tc>
              <w:tc>
                <w:tcPr>
                  <w:tcW w:w="4534" w:type="dxa"/>
                  <w:vAlign w:val="center"/>
                </w:tcPr>
                <w:p w14:paraId="00A3A9E2">
                  <w:pPr>
                    <w:rPr>
                      <w:spacing w:val="-2"/>
                      <w:position w:val="-6"/>
                      <w:szCs w:val="21"/>
                      <w:u w:val="single"/>
                      <w:lang w:bidi="ar"/>
                    </w:rPr>
                  </w:pPr>
                  <w:r>
                    <w:rPr>
                      <w:spacing w:val="-2"/>
                      <w:position w:val="-6"/>
                      <w:szCs w:val="21"/>
                      <w:u w:val="single"/>
                      <w:lang w:bidi="ar"/>
                    </w:rPr>
                    <w:t>1.废气:</w:t>
                  </w:r>
                </w:p>
                <w:p w14:paraId="21B8F142">
                  <w:pPr>
                    <w:rPr>
                      <w:spacing w:val="-2"/>
                      <w:position w:val="-6"/>
                      <w:szCs w:val="21"/>
                      <w:u w:val="single"/>
                      <w:lang w:bidi="ar"/>
                    </w:rPr>
                  </w:pPr>
                  <w:r>
                    <w:rPr>
                      <w:rFonts w:hint="eastAsia"/>
                      <w:spacing w:val="-2"/>
                      <w:position w:val="-6"/>
                      <w:szCs w:val="21"/>
                      <w:u w:val="single"/>
                      <w:lang w:bidi="ar"/>
                    </w:rPr>
                    <w:t>（</w:t>
                  </w:r>
                  <w:r>
                    <w:rPr>
                      <w:spacing w:val="-2"/>
                      <w:position w:val="-6"/>
                      <w:szCs w:val="21"/>
                      <w:u w:val="single"/>
                      <w:lang w:bidi="ar"/>
                    </w:rPr>
                    <w:t>1）深化工业锅炉、窑炉治理。严格执行钢铁、水泥、玻璃等行业产能置换实施办法，加大落后产能和不达标工业炉窑淘汰力度。所有20蒸吨以下的锅炉执行特别排放限值</w:t>
                  </w:r>
                  <w:r>
                    <w:rPr>
                      <w:rFonts w:hint="eastAsia"/>
                      <w:spacing w:val="-2"/>
                      <w:position w:val="-6"/>
                      <w:szCs w:val="21"/>
                      <w:u w:val="single"/>
                      <w:lang w:bidi="ar"/>
                    </w:rPr>
                    <w:t>，</w:t>
                  </w:r>
                  <w:r>
                    <w:rPr>
                      <w:spacing w:val="-2"/>
                      <w:position w:val="-6"/>
                      <w:szCs w:val="21"/>
                      <w:u w:val="single"/>
                      <w:lang w:bidi="ar"/>
                    </w:rPr>
                    <w:t>达不到排放要求的锅炉一律停产改造</w:t>
                  </w:r>
                  <w:r>
                    <w:rPr>
                      <w:rFonts w:hint="eastAsia"/>
                      <w:spacing w:val="-2"/>
                      <w:position w:val="-6"/>
                      <w:szCs w:val="21"/>
                      <w:u w:val="single"/>
                      <w:lang w:bidi="ar"/>
                    </w:rPr>
                    <w:t>，</w:t>
                  </w:r>
                  <w:r>
                    <w:rPr>
                      <w:spacing w:val="-2"/>
                      <w:position w:val="-6"/>
                      <w:szCs w:val="21"/>
                      <w:u w:val="single"/>
                      <w:lang w:bidi="ar"/>
                    </w:rPr>
                    <w:t>20蒸吨以上的燃煤锅炉要求达到火电厂大气污染排放标准。暂未制订行业排放标准的其他工业炉窑，按照颗粒物、二氧化硫、氮氧化物排放限值分别不高于50、200、300毫克/立方米的标准执行。达不到相关要求的工业炉窑，特护期内实施停产整治。</w:t>
                  </w:r>
                </w:p>
                <w:p w14:paraId="4F0C469F">
                  <w:pPr>
                    <w:rPr>
                      <w:spacing w:val="-2"/>
                      <w:position w:val="-6"/>
                      <w:szCs w:val="21"/>
                      <w:u w:val="single"/>
                      <w:lang w:bidi="ar"/>
                    </w:rPr>
                  </w:pPr>
                  <w:r>
                    <w:rPr>
                      <w:rFonts w:hint="eastAsia"/>
                      <w:spacing w:val="-2"/>
                      <w:position w:val="-6"/>
                      <w:szCs w:val="21"/>
                      <w:u w:val="single"/>
                      <w:lang w:bidi="ar"/>
                    </w:rPr>
                    <w:t>（</w:t>
                  </w:r>
                  <w:r>
                    <w:rPr>
                      <w:spacing w:val="-2"/>
                      <w:position w:val="-6"/>
                      <w:szCs w:val="21"/>
                      <w:u w:val="single"/>
                      <w:lang w:bidi="ar"/>
                    </w:rPr>
                    <w:t>2</w:t>
                  </w:r>
                  <w:r>
                    <w:rPr>
                      <w:rFonts w:hint="eastAsia"/>
                      <w:spacing w:val="-2"/>
                      <w:position w:val="-6"/>
                      <w:szCs w:val="21"/>
                      <w:u w:val="single"/>
                      <w:lang w:bidi="ar"/>
                    </w:rPr>
                    <w:t>）</w:t>
                  </w:r>
                  <w:r>
                    <w:rPr>
                      <w:spacing w:val="-2"/>
                      <w:position w:val="-6"/>
                      <w:szCs w:val="21"/>
                      <w:u w:val="single"/>
                      <w:lang w:bidi="ar"/>
                    </w:rPr>
                    <w:t>加强工业企业无组织排放摸底排查，加快钢铁、建材、有色、火电、焦化等行业企业以及锅炉物料(含废渣）运输、装卸、储存和生产工艺过程中的无组织排放治理。工业生产企业采取密闭、围挡、遮盖、清扫、洒水等措施，减少内部物料堆存、传输、装卸等环节产生的粉尘和气态污染物的排放。</w:t>
                  </w:r>
                </w:p>
                <w:p w14:paraId="24FE1858">
                  <w:pPr>
                    <w:rPr>
                      <w:spacing w:val="-2"/>
                      <w:position w:val="-6"/>
                      <w:szCs w:val="21"/>
                      <w:u w:val="single"/>
                      <w:lang w:bidi="ar"/>
                    </w:rPr>
                  </w:pPr>
                  <w:r>
                    <w:rPr>
                      <w:rFonts w:hint="eastAsia"/>
                      <w:spacing w:val="-2"/>
                      <w:position w:val="-6"/>
                      <w:szCs w:val="21"/>
                      <w:u w:val="single"/>
                      <w:lang w:bidi="ar"/>
                    </w:rPr>
                    <w:t>（</w:t>
                  </w:r>
                  <w:r>
                    <w:rPr>
                      <w:spacing w:val="-2"/>
                      <w:position w:val="-6"/>
                      <w:szCs w:val="21"/>
                      <w:u w:val="single"/>
                      <w:lang w:bidi="ar"/>
                    </w:rPr>
                    <w:t>3）水泥行业、钢铁工业、炼焦工业、铁合金工业、铅锌工业、锡锑汞工业、铜镍钴工业、再生铜铝铅锌工业、铝工业、镁钛工业、钒工业、无机化学工业、合成树脂工业、石油炼制和石油化学工业等相关行业执行大气污染物特别排放限值和超低排要求。</w:t>
                  </w:r>
                </w:p>
                <w:p w14:paraId="42F8AA35">
                  <w:pPr>
                    <w:rPr>
                      <w:spacing w:val="-2"/>
                      <w:position w:val="-6"/>
                      <w:szCs w:val="21"/>
                      <w:u w:val="single"/>
                      <w:lang w:bidi="ar"/>
                    </w:rPr>
                  </w:pPr>
                  <w:r>
                    <w:rPr>
                      <w:rFonts w:hint="eastAsia"/>
                      <w:spacing w:val="-2"/>
                      <w:position w:val="-6"/>
                      <w:szCs w:val="21"/>
                      <w:u w:val="single"/>
                      <w:lang w:bidi="ar"/>
                    </w:rPr>
                    <w:t>（</w:t>
                  </w:r>
                  <w:r>
                    <w:rPr>
                      <w:spacing w:val="-2"/>
                      <w:position w:val="-6"/>
                      <w:szCs w:val="21"/>
                      <w:u w:val="single"/>
                      <w:lang w:bidi="ar"/>
                    </w:rPr>
                    <w:t>4）加强特护期涉气工业企业环境监管，加强错峰生产、限产工作，建立完善大气污染联防联控机制，提升重污染天气监测预报预警能力，积极应对重污染天气，完善监测网络体系。</w:t>
                  </w:r>
                </w:p>
                <w:p w14:paraId="58A67C9C">
                  <w:pPr>
                    <w:rPr>
                      <w:spacing w:val="-2"/>
                      <w:position w:val="-6"/>
                      <w:szCs w:val="21"/>
                      <w:u w:val="single"/>
                      <w:lang w:bidi="ar"/>
                    </w:rPr>
                  </w:pPr>
                  <w:r>
                    <w:rPr>
                      <w:rFonts w:hint="eastAsia"/>
                      <w:spacing w:val="-2"/>
                      <w:position w:val="-6"/>
                      <w:szCs w:val="21"/>
                      <w:u w:val="single"/>
                      <w:lang w:bidi="ar"/>
                    </w:rPr>
                    <w:t>（</w:t>
                  </w:r>
                  <w:r>
                    <w:rPr>
                      <w:spacing w:val="-2"/>
                      <w:position w:val="-6"/>
                      <w:szCs w:val="21"/>
                      <w:u w:val="single"/>
                      <w:lang w:bidi="ar"/>
                    </w:rPr>
                    <w:t>5）开展柴油货车污染控制装置、车载诊断系统、尾气排放达标情况等监督抽查，同步抽测车用燃油、车用尿素质量及使用情况</w:t>
                  </w:r>
                  <w:r>
                    <w:rPr>
                      <w:rFonts w:hint="eastAsia"/>
                      <w:spacing w:val="-2"/>
                      <w:position w:val="-6"/>
                      <w:szCs w:val="21"/>
                      <w:u w:val="single"/>
                      <w:lang w:bidi="ar"/>
                    </w:rPr>
                    <w:t>；</w:t>
                  </w:r>
                  <w:r>
                    <w:rPr>
                      <w:spacing w:val="-2"/>
                      <w:position w:val="-6"/>
                      <w:szCs w:val="21"/>
                      <w:u w:val="single"/>
                      <w:lang w:bidi="ar"/>
                    </w:rPr>
                    <w:t>对物流园区、货物集散地、涉及大宗物料运输的工业企业等车辆停放集中的重点场所，开展入户监督抽测。</w:t>
                  </w:r>
                </w:p>
                <w:p w14:paraId="06073FD9">
                  <w:pPr>
                    <w:rPr>
                      <w:spacing w:val="-2"/>
                      <w:position w:val="-6"/>
                      <w:szCs w:val="21"/>
                      <w:u w:val="single"/>
                      <w:lang w:bidi="ar"/>
                    </w:rPr>
                  </w:pPr>
                  <w:r>
                    <w:rPr>
                      <w:rFonts w:hint="eastAsia"/>
                      <w:spacing w:val="-2"/>
                      <w:position w:val="-6"/>
                      <w:szCs w:val="21"/>
                      <w:u w:val="single"/>
                      <w:lang w:bidi="ar"/>
                    </w:rPr>
                    <w:t>（</w:t>
                  </w:r>
                  <w:r>
                    <w:rPr>
                      <w:spacing w:val="-2"/>
                      <w:position w:val="-6"/>
                      <w:szCs w:val="21"/>
                      <w:u w:val="single"/>
                      <w:lang w:bidi="ar"/>
                    </w:rPr>
                    <w:t>6</w:t>
                  </w:r>
                  <w:r>
                    <w:rPr>
                      <w:rFonts w:hint="eastAsia"/>
                      <w:spacing w:val="-2"/>
                      <w:position w:val="-6"/>
                      <w:szCs w:val="21"/>
                      <w:u w:val="single"/>
                      <w:lang w:bidi="ar"/>
                    </w:rPr>
                    <w:t>）</w:t>
                  </w:r>
                  <w:r>
                    <w:rPr>
                      <w:spacing w:val="-2"/>
                      <w:position w:val="-6"/>
                      <w:szCs w:val="21"/>
                      <w:u w:val="single"/>
                      <w:lang w:bidi="ar"/>
                    </w:rPr>
                    <w:t>严禁露天焚烧，全市范围内严禁露天焚烧沥青、油毡、橡胶、塑料、皮革、垃圾、杂草落叶、农作物秸秤以及其他经燃烧可产生有毒有害烟尘和恶臭气体的物质</w:t>
                  </w:r>
                  <w:r>
                    <w:rPr>
                      <w:rFonts w:hint="eastAsia"/>
                      <w:spacing w:val="-2"/>
                      <w:position w:val="-6"/>
                      <w:szCs w:val="21"/>
                      <w:u w:val="single"/>
                      <w:lang w:bidi="ar"/>
                    </w:rPr>
                    <w:t>；</w:t>
                  </w:r>
                  <w:r>
                    <w:rPr>
                      <w:spacing w:val="-2"/>
                      <w:position w:val="-6"/>
                      <w:szCs w:val="21"/>
                      <w:u w:val="single"/>
                      <w:lang w:bidi="ar"/>
                    </w:rPr>
                    <w:t>严禁黄王裸露</w:t>
                  </w:r>
                  <w:r>
                    <w:rPr>
                      <w:rFonts w:hint="eastAsia"/>
                      <w:spacing w:val="-2"/>
                      <w:position w:val="-6"/>
                      <w:szCs w:val="21"/>
                      <w:u w:val="single"/>
                      <w:lang w:bidi="ar"/>
                    </w:rPr>
                    <w:t>；</w:t>
                  </w:r>
                  <w:r>
                    <w:rPr>
                      <w:spacing w:val="-2"/>
                      <w:position w:val="-6"/>
                      <w:szCs w:val="21"/>
                      <w:u w:val="single"/>
                      <w:lang w:bidi="ar"/>
                    </w:rPr>
                    <w:t>严禁各类建筑废料堆场、渣土堆场、建筑工地、矿山等场地非作业面裸露黄土</w:t>
                  </w:r>
                  <w:r>
                    <w:rPr>
                      <w:rFonts w:hint="eastAsia"/>
                      <w:spacing w:val="-2"/>
                      <w:position w:val="-6"/>
                      <w:szCs w:val="21"/>
                      <w:u w:val="single"/>
                      <w:lang w:bidi="ar"/>
                    </w:rPr>
                    <w:t>；</w:t>
                  </w:r>
                  <w:r>
                    <w:rPr>
                      <w:spacing w:val="-2"/>
                      <w:position w:val="-6"/>
                      <w:szCs w:val="21"/>
                      <w:u w:val="single"/>
                      <w:lang w:bidi="ar"/>
                    </w:rPr>
                    <w:t>严禁违法施工</w:t>
                  </w:r>
                  <w:r>
                    <w:rPr>
                      <w:rFonts w:hint="eastAsia"/>
                      <w:spacing w:val="-2"/>
                      <w:position w:val="-6"/>
                      <w:szCs w:val="21"/>
                      <w:u w:val="single"/>
                      <w:lang w:bidi="ar"/>
                    </w:rPr>
                    <w:t>；</w:t>
                  </w:r>
                  <w:r>
                    <w:rPr>
                      <w:spacing w:val="-2"/>
                      <w:position w:val="-6"/>
                      <w:szCs w:val="21"/>
                      <w:u w:val="single"/>
                      <w:lang w:bidi="ar"/>
                    </w:rPr>
                    <w:t>严禁违法贮存物料</w:t>
                  </w:r>
                  <w:r>
                    <w:rPr>
                      <w:rFonts w:hint="eastAsia"/>
                      <w:spacing w:val="-2"/>
                      <w:position w:val="-6"/>
                      <w:szCs w:val="21"/>
                      <w:u w:val="single"/>
                      <w:lang w:bidi="ar"/>
                    </w:rPr>
                    <w:t>；</w:t>
                  </w:r>
                  <w:r>
                    <w:rPr>
                      <w:spacing w:val="-2"/>
                      <w:position w:val="-6"/>
                      <w:szCs w:val="21"/>
                      <w:u w:val="single"/>
                      <w:lang w:bidi="ar"/>
                    </w:rPr>
                    <w:t>严禁违法排放油烟;严禁违法排放废气;严禁违法处置渣土</w:t>
                  </w:r>
                  <w:r>
                    <w:rPr>
                      <w:rFonts w:hint="eastAsia"/>
                      <w:spacing w:val="-2"/>
                      <w:position w:val="-6"/>
                      <w:szCs w:val="21"/>
                      <w:u w:val="single"/>
                      <w:lang w:bidi="ar"/>
                    </w:rPr>
                    <w:t>；</w:t>
                  </w:r>
                  <w:r>
                    <w:rPr>
                      <w:spacing w:val="-2"/>
                      <w:position w:val="-6"/>
                      <w:szCs w:val="21"/>
                      <w:u w:val="single"/>
                      <w:lang w:bidi="ar"/>
                    </w:rPr>
                    <w:t>严禁车辆带泥上路</w:t>
                  </w:r>
                  <w:r>
                    <w:rPr>
                      <w:rFonts w:hint="eastAsia"/>
                      <w:spacing w:val="-2"/>
                      <w:position w:val="-6"/>
                      <w:szCs w:val="21"/>
                      <w:u w:val="single"/>
                      <w:lang w:bidi="ar"/>
                    </w:rPr>
                    <w:t>；</w:t>
                  </w:r>
                  <w:r>
                    <w:rPr>
                      <w:spacing w:val="-2"/>
                      <w:position w:val="-6"/>
                      <w:szCs w:val="21"/>
                      <w:u w:val="single"/>
                      <w:lang w:bidi="ar"/>
                    </w:rPr>
                    <w:t>严禁在禁燃区域禁燃时段燃放烟花爆竹</w:t>
                  </w:r>
                  <w:r>
                    <w:rPr>
                      <w:rFonts w:hint="eastAsia"/>
                      <w:spacing w:val="-2"/>
                      <w:position w:val="-6"/>
                      <w:szCs w:val="21"/>
                      <w:u w:val="single"/>
                      <w:lang w:bidi="ar"/>
                    </w:rPr>
                    <w:t>；</w:t>
                  </w:r>
                  <w:r>
                    <w:rPr>
                      <w:spacing w:val="-2"/>
                      <w:position w:val="-6"/>
                      <w:szCs w:val="21"/>
                      <w:u w:val="single"/>
                      <w:lang w:bidi="ar"/>
                    </w:rPr>
                    <w:t>严禁高排放车辆限行时段在限行区域行驶。</w:t>
                  </w:r>
                </w:p>
                <w:p w14:paraId="5F290CC5">
                  <w:pPr>
                    <w:rPr>
                      <w:u w:val="single"/>
                    </w:rPr>
                  </w:pPr>
                  <w:r>
                    <w:rPr>
                      <w:rFonts w:hint="eastAsia"/>
                      <w:u w:val="single"/>
                    </w:rPr>
                    <w:t>2.废水:</w:t>
                  </w:r>
                </w:p>
                <w:p w14:paraId="44DBD076">
                  <w:pPr>
                    <w:rPr>
                      <w:u w:val="single"/>
                    </w:rPr>
                  </w:pPr>
                  <w:r>
                    <w:rPr>
                      <w:rFonts w:hint="eastAsia"/>
                      <w:u w:val="single"/>
                    </w:rPr>
                    <w:t>（1）加强重点行业企业治理。实施完成皮革、钢铁、食品、氧化锌等重点行业的污染防治项目。湘潭县易俗河镇红燕山地区、湘乡皮革工业园及原五矿湖铁周边、锰矿地区等工业园区或重金属污染重点防控区域内企业污水接管率必须达到100%。制定造纸、焦化、氮肥、有色金属、印染、农副食品加工、原料药制造、制革、农药、电镀等行业专项治理方案，严禁已取缔的“十小”企业反弹。</w:t>
                  </w:r>
                </w:p>
                <w:p w14:paraId="3FD9121D">
                  <w:pPr>
                    <w:rPr>
                      <w:u w:val="single"/>
                    </w:rPr>
                  </w:pPr>
                  <w:r>
                    <w:rPr>
                      <w:rFonts w:hint="eastAsia"/>
                      <w:u w:val="single"/>
                    </w:rPr>
                    <w:t>（2）禁止生产、销售不符合节水标准的产品、设备。加大湘潭市老旧供水管网改造力度，对材质落后的供水管网进行更新改造。积极推行低影响开发建设模式，建设“滞、渗、蓄、用、排”相结合的雨水收集利用设施。</w:t>
                  </w:r>
                </w:p>
                <w:p w14:paraId="0598B4CF">
                  <w:pPr>
                    <w:rPr>
                      <w:u w:val="single"/>
                    </w:rPr>
                  </w:pPr>
                  <w:r>
                    <w:rPr>
                      <w:rFonts w:hint="eastAsia"/>
                      <w:u w:val="single"/>
                    </w:rPr>
                    <w:t>（3）严格执行船舶污染物排放标准，限期淘汰不能达到污染物排放标准的船舶，规范拆船行为，禁止冲滩拆解。禁止生活污水排放达不到要求的内河运输船舶以及单壳化学品船、600吨载重吨以上的单壳油船进入湘江航行。加快港口码头垃圾接收、转运及处理处置设施建设，提高含油污水、化学品洗舱水等接收处置能力及污染事故应急能力。加强全市高速公路服务区已建污水收集处理设施的运行管理，实现稳定达标排放。</w:t>
                  </w:r>
                </w:p>
                <w:p w14:paraId="4E5D2D9C">
                  <w:pPr>
                    <w:rPr>
                      <w:spacing w:val="-2"/>
                      <w:position w:val="-6"/>
                      <w:szCs w:val="21"/>
                      <w:u w:val="single"/>
                      <w:lang w:bidi="ar"/>
                    </w:rPr>
                  </w:pPr>
                  <w:r>
                    <w:rPr>
                      <w:rFonts w:hint="eastAsia"/>
                      <w:u w:val="single"/>
                    </w:rPr>
                    <w:t>（4）完成新一轮入河排污口普查，以湘江干流为重点，全面清查各类排污口现状和存在的问题，实施分类管理，制定落实整治措施。持续深入开展湘江非法码头专项整治，同步推进涓水、涟水和水府庙库区水域非法码头渡口整治工作，加快推进砂石码头规范化建设。</w:t>
                  </w:r>
                </w:p>
              </w:tc>
              <w:tc>
                <w:tcPr>
                  <w:tcW w:w="1227" w:type="dxa"/>
                  <w:vAlign w:val="center"/>
                </w:tcPr>
                <w:p w14:paraId="67AB8D4A">
                  <w:pPr>
                    <w:rPr>
                      <w:spacing w:val="-2"/>
                      <w:position w:val="-6"/>
                      <w:szCs w:val="21"/>
                      <w:u w:val="single"/>
                      <w:lang w:bidi="ar"/>
                    </w:rPr>
                  </w:pPr>
                  <w:r>
                    <w:rPr>
                      <w:rFonts w:hint="eastAsia"/>
                      <w:bCs/>
                      <w:szCs w:val="21"/>
                      <w:u w:val="single"/>
                    </w:rPr>
                    <w:t>项目天然气锅炉采用低氮燃烧，</w:t>
                  </w:r>
                  <w:r>
                    <w:rPr>
                      <w:bCs/>
                      <w:szCs w:val="21"/>
                      <w:u w:val="single"/>
                    </w:rPr>
                    <w:t>熔</w:t>
                  </w:r>
                  <w:r>
                    <w:rPr>
                      <w:rFonts w:hint="eastAsia"/>
                      <w:bCs/>
                      <w:szCs w:val="21"/>
                      <w:u w:val="single"/>
                    </w:rPr>
                    <w:t>炼</w:t>
                  </w:r>
                  <w:r>
                    <w:rPr>
                      <w:bCs/>
                      <w:szCs w:val="21"/>
                      <w:u w:val="single"/>
                    </w:rPr>
                    <w:t>、</w:t>
                  </w:r>
                  <w:r>
                    <w:rPr>
                      <w:rFonts w:hint="eastAsia"/>
                      <w:bCs/>
                      <w:szCs w:val="21"/>
                      <w:u w:val="single"/>
                    </w:rPr>
                    <w:t>浇注、砂处理</w:t>
                  </w:r>
                  <w:r>
                    <w:rPr>
                      <w:bCs/>
                      <w:szCs w:val="21"/>
                      <w:u w:val="single"/>
                    </w:rPr>
                    <w:t>废气</w:t>
                  </w:r>
                  <w:r>
                    <w:rPr>
                      <w:rFonts w:hint="eastAsia"/>
                      <w:bCs/>
                      <w:szCs w:val="21"/>
                      <w:u w:val="single"/>
                    </w:rPr>
                    <w:t>中粉尘经</w:t>
                  </w:r>
                  <w:r>
                    <w:rPr>
                      <w:bCs/>
                      <w:szCs w:val="21"/>
                      <w:u w:val="single"/>
                    </w:rPr>
                    <w:t>布袋除尘器处理后通过排气筒排放</w:t>
                  </w:r>
                  <w:r>
                    <w:rPr>
                      <w:rFonts w:hint="eastAsia"/>
                      <w:bCs/>
                      <w:szCs w:val="21"/>
                      <w:u w:val="single"/>
                    </w:rPr>
                    <w:t>，发泡、切割、浇注废气和喷涂废气中有机废气分别经二级活性炭吸附后通过排气筒外排，抛丸</w:t>
                  </w:r>
                  <w:r>
                    <w:rPr>
                      <w:bCs/>
                      <w:szCs w:val="21"/>
                      <w:u w:val="single"/>
                    </w:rPr>
                    <w:t>粉尘通过自带吸尘系统处理后</w:t>
                  </w:r>
                  <w:r>
                    <w:rPr>
                      <w:rFonts w:hint="eastAsia"/>
                      <w:bCs/>
                      <w:szCs w:val="21"/>
                      <w:u w:val="single"/>
                    </w:rPr>
                    <w:t>通过排气筒排放</w:t>
                  </w:r>
                  <w:r>
                    <w:rPr>
                      <w:rFonts w:hint="eastAsia"/>
                      <w:spacing w:val="-2"/>
                      <w:position w:val="-6"/>
                      <w:szCs w:val="21"/>
                      <w:u w:val="single"/>
                      <w:lang w:bidi="ar"/>
                    </w:rPr>
                    <w:t>。</w:t>
                  </w:r>
                </w:p>
                <w:p w14:paraId="3B5844FF">
                  <w:pPr>
                    <w:rPr>
                      <w:spacing w:val="-2"/>
                      <w:position w:val="-6"/>
                      <w:szCs w:val="21"/>
                      <w:u w:val="single"/>
                      <w:lang w:bidi="ar"/>
                    </w:rPr>
                  </w:pPr>
                  <w:r>
                    <w:rPr>
                      <w:rFonts w:hint="eastAsia"/>
                      <w:bCs/>
                      <w:szCs w:val="21"/>
                      <w:u w:val="single"/>
                    </w:rPr>
                    <w:t>项目无外排生产废水，</w:t>
                  </w:r>
                  <w:r>
                    <w:rPr>
                      <w:bCs/>
                      <w:szCs w:val="21"/>
                      <w:u w:val="single"/>
                    </w:rPr>
                    <w:t>生活污水依托园区化粪池处理后，经污水管网，排入湘潭县第一污水处理厂处理</w:t>
                  </w:r>
                  <w:r>
                    <w:rPr>
                      <w:rFonts w:hint="eastAsia"/>
                      <w:bCs/>
                      <w:szCs w:val="21"/>
                      <w:u w:val="single"/>
                    </w:rPr>
                    <w:t>。</w:t>
                  </w:r>
                </w:p>
              </w:tc>
              <w:tc>
                <w:tcPr>
                  <w:tcW w:w="765" w:type="dxa"/>
                  <w:vAlign w:val="center"/>
                </w:tcPr>
                <w:p w14:paraId="445BC0CE">
                  <w:pPr>
                    <w:jc w:val="center"/>
                    <w:rPr>
                      <w:spacing w:val="-2"/>
                      <w:position w:val="-6"/>
                      <w:szCs w:val="21"/>
                      <w:u w:val="single"/>
                      <w:lang w:bidi="ar"/>
                    </w:rPr>
                  </w:pPr>
                  <w:r>
                    <w:rPr>
                      <w:rFonts w:hint="eastAsia"/>
                      <w:spacing w:val="-2"/>
                      <w:position w:val="-6"/>
                      <w:szCs w:val="21"/>
                      <w:u w:val="single"/>
                      <w:lang w:bidi="ar"/>
                    </w:rPr>
                    <w:t>符合</w:t>
                  </w:r>
                </w:p>
              </w:tc>
            </w:tr>
            <w:tr w14:paraId="5F62A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vAlign w:val="center"/>
                </w:tcPr>
                <w:p w14:paraId="1F7B9E06">
                  <w:pPr>
                    <w:jc w:val="center"/>
                    <w:rPr>
                      <w:spacing w:val="-2"/>
                      <w:position w:val="-6"/>
                      <w:szCs w:val="21"/>
                      <w:u w:val="single"/>
                      <w:lang w:bidi="ar"/>
                    </w:rPr>
                  </w:pPr>
                  <w:r>
                    <w:rPr>
                      <w:rFonts w:hint="eastAsia"/>
                      <w:spacing w:val="-2"/>
                      <w:position w:val="-6"/>
                      <w:szCs w:val="21"/>
                      <w:u w:val="single"/>
                      <w:lang w:bidi="ar"/>
                    </w:rPr>
                    <w:t>环境风险防控</w:t>
                  </w:r>
                </w:p>
              </w:tc>
              <w:tc>
                <w:tcPr>
                  <w:tcW w:w="4534" w:type="dxa"/>
                  <w:vAlign w:val="center"/>
                </w:tcPr>
                <w:p w14:paraId="646A080C">
                  <w:pPr>
                    <w:rPr>
                      <w:spacing w:val="-2"/>
                      <w:position w:val="-6"/>
                      <w:szCs w:val="21"/>
                      <w:u w:val="single"/>
                      <w:lang w:bidi="ar"/>
                    </w:rPr>
                  </w:pPr>
                  <w:r>
                    <w:rPr>
                      <w:spacing w:val="-2"/>
                      <w:position w:val="-6"/>
                      <w:szCs w:val="21"/>
                      <w:u w:val="single"/>
                      <w:lang w:bidi="ar"/>
                    </w:rPr>
                    <w:t>1.协同推进长株潭大气联防联控，推进结构调整、转型升级，抓好污染减排、降尘控车，加强执法监管，构建大气污染防治立体网络。提升重污染天气预报预警能力，修订完善应急预案，对重点行业企业实行差异化的错峰生产。</w:t>
                  </w:r>
                </w:p>
                <w:p w14:paraId="52C39338">
                  <w:pPr>
                    <w:rPr>
                      <w:spacing w:val="-2"/>
                      <w:position w:val="-6"/>
                      <w:szCs w:val="21"/>
                      <w:u w:val="single"/>
                      <w:lang w:bidi="ar"/>
                    </w:rPr>
                  </w:pPr>
                  <w:r>
                    <w:rPr>
                      <w:spacing w:val="-2"/>
                      <w:position w:val="-6"/>
                      <w:szCs w:val="21"/>
                      <w:u w:val="single"/>
                      <w:lang w:bidi="ar"/>
                    </w:rPr>
                    <w:t>2.石化生产存贮销售企业和工业园区、矿山开采区、垃圾填埋场等区域应进行必要的防渗处理。加油站地下油罐全部更新为双层罐或完成防渗池设置。</w:t>
                  </w:r>
                </w:p>
                <w:p w14:paraId="33F3A389">
                  <w:pPr>
                    <w:rPr>
                      <w:spacing w:val="-2"/>
                      <w:position w:val="-6"/>
                      <w:szCs w:val="21"/>
                      <w:u w:val="single"/>
                      <w:lang w:bidi="ar"/>
                    </w:rPr>
                  </w:pPr>
                  <w:r>
                    <w:rPr>
                      <w:spacing w:val="-2"/>
                      <w:position w:val="-6"/>
                      <w:szCs w:val="21"/>
                      <w:u w:val="single"/>
                      <w:lang w:bidi="ar"/>
                    </w:rPr>
                    <w:t>3.在生产集中区和生活集中区，以及饮用水水源地、油气化学品输送管道和重要交通运输通道之间，建立风险防范隔离阻断设施。对污染场地、老旧油污管道进行风险评估，组织开展污染地块修复,严格按照国家相关法规规范，加强对加油加气站、石油库等重大危险源和危险品运输的管理。</w:t>
                  </w:r>
                </w:p>
                <w:p w14:paraId="24D59098">
                  <w:pPr>
                    <w:rPr>
                      <w:spacing w:val="-2"/>
                      <w:position w:val="-6"/>
                      <w:szCs w:val="21"/>
                      <w:u w:val="single"/>
                      <w:lang w:bidi="ar"/>
                    </w:rPr>
                  </w:pPr>
                  <w:r>
                    <w:rPr>
                      <w:spacing w:val="-2"/>
                      <w:position w:val="-6"/>
                      <w:szCs w:val="21"/>
                      <w:u w:val="single"/>
                      <w:lang w:bidi="ar"/>
                    </w:rPr>
                    <w:t>4.实施高毒农药定点经营和可追溯管理，逐步淘汰高风险农药。强化农业生物资源保护与利用。加强外来物种管理，加快灭除外来有害物种。加强动植物疫情监测预警体系建设，加大重大疫情阻截扑灭力度，最大限度阻截控制外来疫情传入。加强濒危野生动植物资源保护，严格划定濒危野生生物资源保护区域，建立完善保护管理制度。组织对珍稀濒危野生动物开展专项救护，实施禁渔制度和水生生物人工增殖放流。</w:t>
                  </w:r>
                </w:p>
                <w:p w14:paraId="3018D82F">
                  <w:pPr>
                    <w:rPr>
                      <w:spacing w:val="-2"/>
                      <w:position w:val="-6"/>
                      <w:szCs w:val="21"/>
                      <w:u w:val="single"/>
                      <w:lang w:bidi="ar"/>
                    </w:rPr>
                  </w:pPr>
                  <w:r>
                    <w:rPr>
                      <w:spacing w:val="-2"/>
                      <w:position w:val="-6"/>
                      <w:szCs w:val="21"/>
                      <w:u w:val="single"/>
                      <w:lang w:bidi="ar"/>
                    </w:rPr>
                    <w:t>5.可能发生突发环境事件的污染物排放企业，生产、储存、运输、使用危险化学品的企业，产生、收集、贮存、运输、利用、处置危险废物的企业，尾矿库企业等应当编制和实施环境应急预案。鼓励其他企业制定单独的环境应急预案，或在突发事件应急预案中制定环境应急预案专章，并备案</w:t>
                  </w:r>
                  <w:r>
                    <w:rPr>
                      <w:rFonts w:hint="eastAsia"/>
                      <w:spacing w:val="-2"/>
                      <w:position w:val="-6"/>
                      <w:szCs w:val="21"/>
                      <w:u w:val="single"/>
                      <w:lang w:bidi="ar"/>
                    </w:rPr>
                    <w:t>。</w:t>
                  </w:r>
                </w:p>
              </w:tc>
              <w:tc>
                <w:tcPr>
                  <w:tcW w:w="1227" w:type="dxa"/>
                  <w:vAlign w:val="center"/>
                </w:tcPr>
                <w:p w14:paraId="442A490F">
                  <w:pPr>
                    <w:rPr>
                      <w:spacing w:val="-2"/>
                      <w:position w:val="-6"/>
                      <w:szCs w:val="21"/>
                      <w:u w:val="single"/>
                      <w:lang w:bidi="ar"/>
                    </w:rPr>
                  </w:pPr>
                  <w:r>
                    <w:rPr>
                      <w:rFonts w:hint="eastAsia"/>
                      <w:spacing w:val="-2"/>
                      <w:position w:val="-6"/>
                      <w:szCs w:val="21"/>
                      <w:u w:val="single"/>
                      <w:lang w:bidi="ar"/>
                    </w:rPr>
                    <w:t>项目建设完成后根据要求编制应急预案并备案</w:t>
                  </w:r>
                </w:p>
              </w:tc>
              <w:tc>
                <w:tcPr>
                  <w:tcW w:w="765" w:type="dxa"/>
                  <w:vAlign w:val="center"/>
                </w:tcPr>
                <w:p w14:paraId="254190F4">
                  <w:pPr>
                    <w:jc w:val="center"/>
                    <w:rPr>
                      <w:spacing w:val="-2"/>
                      <w:position w:val="-6"/>
                      <w:szCs w:val="21"/>
                      <w:u w:val="single"/>
                      <w:lang w:bidi="ar"/>
                    </w:rPr>
                  </w:pPr>
                  <w:r>
                    <w:rPr>
                      <w:rFonts w:hint="eastAsia"/>
                      <w:spacing w:val="-2"/>
                      <w:position w:val="-6"/>
                      <w:szCs w:val="21"/>
                      <w:u w:val="single"/>
                      <w:lang w:bidi="ar"/>
                    </w:rPr>
                    <w:t>符合</w:t>
                  </w:r>
                </w:p>
              </w:tc>
            </w:tr>
          </w:tbl>
          <w:p w14:paraId="780D5EF3">
            <w:pPr>
              <w:spacing w:line="360" w:lineRule="auto"/>
              <w:ind w:firstLine="480" w:firstLineChars="200"/>
              <w:rPr>
                <w:sz w:val="24"/>
                <w:u w:val="single"/>
              </w:rPr>
            </w:pPr>
            <w:r>
              <w:rPr>
                <w:sz w:val="24"/>
                <w:u w:val="single"/>
              </w:rPr>
              <w:t>综上所述，本项目不涉及</w:t>
            </w:r>
            <w:r>
              <w:rPr>
                <w:rFonts w:hint="eastAsia"/>
                <w:sz w:val="24"/>
                <w:u w:val="single"/>
              </w:rPr>
              <w:t>省、市管控单元</w:t>
            </w:r>
            <w:r>
              <w:rPr>
                <w:sz w:val="24"/>
                <w:u w:val="single"/>
              </w:rPr>
              <w:t>生态环境准入清单中的限制条件，建设项目符合《湖南省生态环境</w:t>
            </w:r>
            <w:r>
              <w:rPr>
                <w:rFonts w:hint="eastAsia"/>
                <w:sz w:val="24"/>
                <w:u w:val="single"/>
              </w:rPr>
              <w:t>分区管控</w:t>
            </w:r>
            <w:r>
              <w:rPr>
                <w:sz w:val="24"/>
                <w:u w:val="single"/>
              </w:rPr>
              <w:t>总体管控要求暨省级以上产业园区生态环境</w:t>
            </w:r>
            <w:r>
              <w:rPr>
                <w:rFonts w:hint="default" w:ascii="Times New Roman" w:hAnsi="Times New Roman" w:cs="Times New Roman"/>
                <w:sz w:val="24"/>
                <w:u w:val="single"/>
              </w:rPr>
              <w:t>准入清单》（湘环函〔202</w:t>
            </w:r>
            <w:r>
              <w:rPr>
                <w:rFonts w:hint="default" w:ascii="Times New Roman" w:hAnsi="Times New Roman" w:cs="Times New Roman"/>
                <w:sz w:val="24"/>
                <w:u w:val="single"/>
                <w:lang w:val="en-US" w:eastAsia="zh-CN"/>
              </w:rPr>
              <w:t>4</w:t>
            </w:r>
            <w:r>
              <w:rPr>
                <w:rFonts w:hint="default" w:ascii="Times New Roman" w:hAnsi="Times New Roman" w:cs="Times New Roman"/>
                <w:sz w:val="24"/>
                <w:u w:val="single"/>
              </w:rPr>
              <w:t>〕</w:t>
            </w:r>
            <w:r>
              <w:rPr>
                <w:rFonts w:hint="default" w:ascii="Times New Roman" w:hAnsi="Times New Roman" w:cs="Times New Roman"/>
                <w:sz w:val="24"/>
                <w:u w:val="single"/>
                <w:lang w:val="en-US" w:eastAsia="zh-CN"/>
              </w:rPr>
              <w:t>26</w:t>
            </w:r>
            <w:r>
              <w:rPr>
                <w:rFonts w:hint="default" w:ascii="Times New Roman" w:hAnsi="Times New Roman" w:cs="Times New Roman"/>
                <w:sz w:val="24"/>
                <w:u w:val="single"/>
              </w:rPr>
              <w:t>号）、《湘潭市人民政府关于实施“三线一单”生态环境分区管控的意见》</w:t>
            </w:r>
            <w:r>
              <w:rPr>
                <w:rFonts w:hint="default" w:ascii="Times New Roman" w:hAnsi="Times New Roman" w:cs="Times New Roman"/>
                <w:sz w:val="24"/>
                <w:u w:val="single"/>
                <w:lang w:eastAsia="zh-CN"/>
              </w:rPr>
              <w:t>（</w:t>
            </w:r>
            <w:r>
              <w:rPr>
                <w:rFonts w:hint="default" w:ascii="Times New Roman" w:hAnsi="Times New Roman" w:eastAsia="宋体" w:cs="Times New Roman"/>
                <w:sz w:val="24"/>
                <w:szCs w:val="24"/>
                <w:u w:val="single"/>
              </w:rPr>
              <w:t>潭政发〔2020〕12 号</w:t>
            </w:r>
            <w:r>
              <w:rPr>
                <w:rFonts w:hint="default" w:ascii="Times New Roman" w:hAnsi="Times New Roman" w:cs="Times New Roman"/>
                <w:sz w:val="24"/>
                <w:szCs w:val="24"/>
                <w:u w:val="single"/>
                <w:lang w:eastAsia="zh-CN"/>
              </w:rPr>
              <w:t>）</w:t>
            </w:r>
            <w:r>
              <w:rPr>
                <w:rFonts w:hint="default" w:ascii="Times New Roman" w:hAnsi="Times New Roman" w:cs="Times New Roman"/>
                <w:sz w:val="24"/>
                <w:u w:val="single"/>
              </w:rPr>
              <w:t>的相关规定要求。</w:t>
            </w:r>
          </w:p>
          <w:p w14:paraId="34008F6F">
            <w:pPr>
              <w:spacing w:line="360" w:lineRule="auto"/>
              <w:jc w:val="left"/>
              <w:rPr>
                <w:b/>
                <w:bCs/>
                <w:sz w:val="24"/>
              </w:rPr>
            </w:pPr>
            <w:r>
              <w:rPr>
                <w:rFonts w:hint="eastAsia"/>
                <w:b/>
                <w:bCs/>
                <w:sz w:val="24"/>
              </w:rPr>
              <w:t>5</w:t>
            </w:r>
            <w:r>
              <w:rPr>
                <w:b/>
                <w:bCs/>
                <w:sz w:val="24"/>
              </w:rPr>
              <w:t>、与《</w:t>
            </w:r>
            <w:r>
              <w:rPr>
                <w:rFonts w:hint="eastAsia"/>
                <w:b/>
                <w:bCs/>
                <w:sz w:val="24"/>
              </w:rPr>
              <w:t>湖南省</w:t>
            </w:r>
            <w:r>
              <w:rPr>
                <w:b/>
                <w:bCs/>
                <w:sz w:val="24"/>
              </w:rPr>
              <w:t>湘江保护条例》</w:t>
            </w:r>
            <w:r>
              <w:rPr>
                <w:rFonts w:hint="eastAsia"/>
                <w:b/>
                <w:bCs/>
                <w:sz w:val="24"/>
              </w:rPr>
              <w:t>（2023年修正）</w:t>
            </w:r>
            <w:r>
              <w:rPr>
                <w:b/>
                <w:bCs/>
                <w:sz w:val="24"/>
              </w:rPr>
              <w:t>符合性分析</w:t>
            </w:r>
          </w:p>
          <w:p w14:paraId="148B523E">
            <w:pPr>
              <w:pStyle w:val="92"/>
              <w:spacing w:line="240" w:lineRule="auto"/>
              <w:rPr>
                <w:rFonts w:cs="Times New Roman"/>
                <w:sz w:val="21"/>
                <w:szCs w:val="21"/>
              </w:rPr>
            </w:pPr>
            <w:r>
              <w:rPr>
                <w:rFonts w:cs="Times New Roman"/>
                <w:sz w:val="21"/>
                <w:szCs w:val="21"/>
              </w:rPr>
              <w:t>表1-</w:t>
            </w:r>
            <w:r>
              <w:rPr>
                <w:rFonts w:hint="eastAsia" w:cs="Times New Roman"/>
                <w:sz w:val="21"/>
                <w:szCs w:val="21"/>
              </w:rPr>
              <w:t>7</w:t>
            </w:r>
            <w:r>
              <w:rPr>
                <w:rFonts w:cs="Times New Roman"/>
                <w:sz w:val="21"/>
                <w:szCs w:val="21"/>
              </w:rPr>
              <w:t xml:space="preserve">  本项目与《湖南省湘江保护条例》（节选）的符合性分析</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6"/>
              <w:gridCol w:w="2391"/>
              <w:gridCol w:w="655"/>
            </w:tblGrid>
            <w:tr w14:paraId="6B9F3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0" w:type="pct"/>
                  <w:vAlign w:val="center"/>
                </w:tcPr>
                <w:p w14:paraId="3FDEE1DA">
                  <w:pPr>
                    <w:pStyle w:val="94"/>
                    <w:widowControl w:val="0"/>
                  </w:pPr>
                  <w:r>
                    <w:t>与本项目有关要求</w:t>
                  </w:r>
                </w:p>
              </w:tc>
              <w:tc>
                <w:tcPr>
                  <w:tcW w:w="1576" w:type="pct"/>
                  <w:vAlign w:val="center"/>
                </w:tcPr>
                <w:p w14:paraId="648B2D0D">
                  <w:pPr>
                    <w:pStyle w:val="94"/>
                    <w:widowControl w:val="0"/>
                  </w:pPr>
                  <w:r>
                    <w:t>本项目情况</w:t>
                  </w:r>
                </w:p>
              </w:tc>
              <w:tc>
                <w:tcPr>
                  <w:tcW w:w="432" w:type="pct"/>
                </w:tcPr>
                <w:p w14:paraId="4A4C4927">
                  <w:pPr>
                    <w:pStyle w:val="94"/>
                    <w:widowControl w:val="0"/>
                  </w:pPr>
                  <w:r>
                    <w:t>符合分析</w:t>
                  </w:r>
                </w:p>
              </w:tc>
            </w:tr>
            <w:tr w14:paraId="6F183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0" w:type="pct"/>
                </w:tcPr>
                <w:p w14:paraId="566FD500">
                  <w:pPr>
                    <w:pStyle w:val="94"/>
                    <w:widowControl w:val="0"/>
                    <w:jc w:val="both"/>
                  </w:pPr>
                  <w:r>
                    <w:t>第二十五条  禁止在湘江流域饮用水水源一级保护区内设置排污口（渠），禁止新建、改建、扩建与供水设施和保护水源无关的建设项目。</w:t>
                  </w:r>
                </w:p>
                <w:p w14:paraId="1B4B47BB">
                  <w:pPr>
                    <w:pStyle w:val="94"/>
                    <w:widowControl w:val="0"/>
                    <w:jc w:val="both"/>
                  </w:pPr>
                  <w:r>
                    <w:t>禁止在湘江流域饮用水水源一级保护区内从事网箱养殖、旅游、游泳、垂钓或者其他可能污染饮用水水体的活动。</w:t>
                  </w:r>
                </w:p>
              </w:tc>
              <w:tc>
                <w:tcPr>
                  <w:tcW w:w="1576" w:type="pct"/>
                </w:tcPr>
                <w:p w14:paraId="320B8589">
                  <w:pPr>
                    <w:pStyle w:val="94"/>
                    <w:widowControl w:val="0"/>
                  </w:pPr>
                  <w:r>
                    <w:rPr>
                      <w:lang w:bidi="zh-CN"/>
                    </w:rPr>
                    <w:t>本项目不在湘江流域饮用水水源一级保护区内设置排污口（渠）。</w:t>
                  </w:r>
                </w:p>
              </w:tc>
              <w:tc>
                <w:tcPr>
                  <w:tcW w:w="432" w:type="pct"/>
                </w:tcPr>
                <w:p w14:paraId="7F0E9FDF">
                  <w:pPr>
                    <w:pStyle w:val="94"/>
                    <w:widowControl w:val="0"/>
                  </w:pPr>
                  <w:r>
                    <w:t>符合</w:t>
                  </w:r>
                </w:p>
              </w:tc>
            </w:tr>
            <w:tr w14:paraId="0592F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0" w:type="pct"/>
                </w:tcPr>
                <w:p w14:paraId="0FDC8CB2">
                  <w:pPr>
                    <w:pStyle w:val="94"/>
                    <w:widowControl w:val="0"/>
                    <w:jc w:val="both"/>
                  </w:pPr>
                  <w:r>
                    <w:t>第二十六条  禁止在湘江流域饮用水水源二级保护区内设置排污口（渠），禁止新建、改建、扩建排放污染物的建设项目。</w:t>
                  </w:r>
                </w:p>
              </w:tc>
              <w:tc>
                <w:tcPr>
                  <w:tcW w:w="1576" w:type="pct"/>
                </w:tcPr>
                <w:p w14:paraId="1B0E4608">
                  <w:pPr>
                    <w:pStyle w:val="94"/>
                    <w:widowControl w:val="0"/>
                  </w:pPr>
                  <w:r>
                    <w:rPr>
                      <w:lang w:bidi="zh-CN"/>
                    </w:rPr>
                    <w:t>本项目不在湘江流域饮用水水源二级保护区内设置排污口（渠）。</w:t>
                  </w:r>
                </w:p>
              </w:tc>
              <w:tc>
                <w:tcPr>
                  <w:tcW w:w="432" w:type="pct"/>
                </w:tcPr>
                <w:p w14:paraId="0DA171AF">
                  <w:pPr>
                    <w:pStyle w:val="94"/>
                    <w:widowControl w:val="0"/>
                  </w:pPr>
                  <w:r>
                    <w:t>符合</w:t>
                  </w:r>
                </w:p>
              </w:tc>
            </w:tr>
            <w:tr w14:paraId="4C73C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0" w:type="pct"/>
                </w:tcPr>
                <w:p w14:paraId="7175E311">
                  <w:pPr>
                    <w:pStyle w:val="94"/>
                    <w:widowControl w:val="0"/>
                    <w:jc w:val="both"/>
                  </w:pPr>
                  <w:r>
                    <w:t>第三十三条  禁止向水体排放、倾倒工业废渣、城镇垃圾和其他废弃物。禁止将含有汞、镉、砷、铬、铅、氰化物、黄磷等的可溶性剧毒废渣向水体排放、倾倒。</w:t>
                  </w:r>
                </w:p>
                <w:p w14:paraId="5294F0CC">
                  <w:pPr>
                    <w:pStyle w:val="94"/>
                    <w:widowControl w:val="0"/>
                    <w:jc w:val="both"/>
                  </w:pPr>
                  <w:r>
                    <w:t>省人民政府应当根据湘江流域水环境容量和环境保护目标，制定重点水污染物排放总量控制计划，将重点水污染物排放总量控制指标分解落实到湘江流域设区的市、县（市、区）人民政府；设区的市、县（市、区）人民政府应当将重点水污染物排放总量控制指标分解落实到排污单位，核定其重点水污染物排放总量、浓度控制指标以及年度削减计划。</w:t>
                  </w:r>
                </w:p>
                <w:p w14:paraId="36E6920F">
                  <w:pPr>
                    <w:pStyle w:val="94"/>
                    <w:widowControl w:val="0"/>
                    <w:jc w:val="both"/>
                  </w:pPr>
                  <w:r>
                    <w:t>对超过重点水污染物排放总量控制指标或者未完成水环境质量改善目标的地区，省人民政府生态环境主管部门应当会同有关部门约谈该地区人民政府的主要负责人，并暂停审批新增重点水污染物排放总量的建设项目的环境影响评价文件。约谈情况应当向社会公开。</w:t>
                  </w:r>
                </w:p>
              </w:tc>
              <w:tc>
                <w:tcPr>
                  <w:tcW w:w="1576" w:type="pct"/>
                </w:tcPr>
                <w:p w14:paraId="467E1C05">
                  <w:pPr>
                    <w:pStyle w:val="94"/>
                    <w:widowControl w:val="0"/>
                  </w:pPr>
                  <w:r>
                    <w:t>本项目外排废水为生活污水，生活污水经化粪池预处理后</w:t>
                  </w:r>
                  <w:r>
                    <w:rPr>
                      <w:lang w:bidi="zh-CN"/>
                    </w:rPr>
                    <w:t>纳管进入</w:t>
                  </w:r>
                  <w:r>
                    <w:t>湘潭县第一污水处理厂</w:t>
                  </w:r>
                  <w:r>
                    <w:rPr>
                      <w:lang w:bidi="zh-CN"/>
                    </w:rPr>
                    <w:t>。废水中总量控制因子COD、NH</w:t>
                  </w:r>
                  <w:r>
                    <w:rPr>
                      <w:vertAlign w:val="subscript"/>
                      <w:lang w:bidi="zh-CN"/>
                    </w:rPr>
                    <w:t>3</w:t>
                  </w:r>
                  <w:r>
                    <w:rPr>
                      <w:lang w:bidi="zh-CN"/>
                    </w:rPr>
                    <w:t>-N</w:t>
                  </w:r>
                  <w:r>
                    <w:rPr>
                      <w:rFonts w:hint="eastAsia"/>
                      <w:lang w:bidi="zh-CN"/>
                    </w:rPr>
                    <w:t>、总磷</w:t>
                  </w:r>
                  <w:r>
                    <w:rPr>
                      <w:lang w:bidi="zh-CN"/>
                    </w:rPr>
                    <w:t>纳入湘潭县第一污水处理厂总量中，不再申请总量。本项目生活垃圾、工业固废和危险废物均要求妥善处理，不会对湘江水体造成污染。</w:t>
                  </w:r>
                </w:p>
              </w:tc>
              <w:tc>
                <w:tcPr>
                  <w:tcW w:w="432" w:type="pct"/>
                </w:tcPr>
                <w:p w14:paraId="6F05CC19">
                  <w:pPr>
                    <w:pStyle w:val="94"/>
                    <w:widowControl w:val="0"/>
                  </w:pPr>
                  <w:r>
                    <w:rPr>
                      <w:lang w:bidi="zh-CN"/>
                    </w:rPr>
                    <w:t>符合</w:t>
                  </w:r>
                </w:p>
              </w:tc>
            </w:tr>
            <w:tr w14:paraId="5E0F0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0" w:type="pct"/>
                </w:tcPr>
                <w:p w14:paraId="10495861">
                  <w:pPr>
                    <w:pStyle w:val="94"/>
                    <w:widowControl w:val="0"/>
                    <w:jc w:val="both"/>
                  </w:pPr>
                  <w:r>
                    <w:t>第四十九条  省人民政府应当组织发展和改革、工业和信息化、生态环境、有色金属工业等部门，编制湘江流域产业发展规划。</w:t>
                  </w:r>
                </w:p>
                <w:p w14:paraId="68D04951">
                  <w:pPr>
                    <w:pStyle w:val="94"/>
                    <w:widowControl w:val="0"/>
                    <w:jc w:val="both"/>
                  </w:pPr>
                  <w:r>
                    <w:t>禁止在湘江干流岸线一公里范围内新建、扩建化工园区和化工项目。</w:t>
                  </w:r>
                </w:p>
                <w:p w14:paraId="19999E97">
                  <w:pPr>
                    <w:pStyle w:val="94"/>
                    <w:widowControl w:val="0"/>
                    <w:jc w:val="both"/>
                  </w:pPr>
                  <w:r>
                    <w:t>禁止在湘江干流岸线一公里范围内新建、改建、扩建尾矿库；但是以提升安全、生态环境保护水平为目的的改建除外。</w:t>
                  </w:r>
                </w:p>
                <w:p w14:paraId="3565CB7E">
                  <w:pPr>
                    <w:pStyle w:val="94"/>
                    <w:widowControl w:val="0"/>
                    <w:jc w:val="both"/>
                  </w:pPr>
                  <w:r>
                    <w:t>湘江流域县级以上人民政府应当严格执行湘江流域产业发展规划，逐步淘汰不符合规划的产业项目。</w:t>
                  </w:r>
                </w:p>
              </w:tc>
              <w:tc>
                <w:tcPr>
                  <w:tcW w:w="1576" w:type="pct"/>
                </w:tcPr>
                <w:p w14:paraId="1D3C62F0">
                  <w:pPr>
                    <w:pStyle w:val="94"/>
                    <w:widowControl w:val="0"/>
                  </w:pPr>
                  <w:r>
                    <w:rPr>
                      <w:lang w:bidi="zh-CN"/>
                    </w:rPr>
                    <w:t>本项目</w:t>
                  </w:r>
                  <w:r>
                    <w:rPr>
                      <w:rFonts w:hint="eastAsia"/>
                      <w:lang w:bidi="zh-CN"/>
                    </w:rPr>
                    <w:t>为金属铸造项目，</w:t>
                  </w:r>
                  <w:r>
                    <w:rPr>
                      <w:lang w:bidi="zh-CN"/>
                    </w:rPr>
                    <w:t>不在湘江干流岸线1公里范围内，</w:t>
                  </w:r>
                  <w:r>
                    <w:rPr>
                      <w:rFonts w:hint="eastAsia"/>
                      <w:lang w:bidi="zh-CN"/>
                    </w:rPr>
                    <w:t>不属于湘江流域禁止建设的项目</w:t>
                  </w:r>
                  <w:r>
                    <w:rPr>
                      <w:lang w:bidi="zh-CN"/>
                    </w:rPr>
                    <w:t>。</w:t>
                  </w:r>
                </w:p>
              </w:tc>
              <w:tc>
                <w:tcPr>
                  <w:tcW w:w="432" w:type="pct"/>
                </w:tcPr>
                <w:p w14:paraId="30AC5393">
                  <w:pPr>
                    <w:pStyle w:val="94"/>
                    <w:widowControl w:val="0"/>
                  </w:pPr>
                  <w:r>
                    <w:t>符合</w:t>
                  </w:r>
                </w:p>
              </w:tc>
            </w:tr>
          </w:tbl>
          <w:p w14:paraId="015A4899">
            <w:pPr>
              <w:spacing w:line="360" w:lineRule="auto"/>
              <w:ind w:firstLine="480" w:firstLineChars="200"/>
              <w:jc w:val="left"/>
              <w:rPr>
                <w:sz w:val="24"/>
              </w:rPr>
            </w:pPr>
            <w:r>
              <w:rPr>
                <w:sz w:val="24"/>
              </w:rPr>
              <w:t>本项目不在湘江设置排污口，无生产废水外排，不属于湘江流域禁止建设的项目</w:t>
            </w:r>
            <w:r>
              <w:rPr>
                <w:rFonts w:hint="eastAsia"/>
                <w:sz w:val="24"/>
              </w:rPr>
              <w:t>，</w:t>
            </w:r>
            <w:r>
              <w:rPr>
                <w:sz w:val="24"/>
              </w:rPr>
              <w:t>符合《湖南省湘江保护条例》（2023年修正）相关要求。</w:t>
            </w:r>
          </w:p>
          <w:p w14:paraId="7F9FBB44">
            <w:pPr>
              <w:spacing w:line="360" w:lineRule="auto"/>
              <w:rPr>
                <w:b/>
                <w:bCs/>
                <w:spacing w:val="-2"/>
                <w:position w:val="-6"/>
                <w:sz w:val="24"/>
                <w:lang w:bidi="ar"/>
              </w:rPr>
            </w:pPr>
            <w:r>
              <w:rPr>
                <w:b/>
                <w:bCs/>
                <w:spacing w:val="-2"/>
                <w:position w:val="-6"/>
                <w:sz w:val="24"/>
                <w:lang w:bidi="ar"/>
              </w:rPr>
              <w:t>6、与《湖南省“十四五”生态环境保护规划》符合性分析</w:t>
            </w:r>
          </w:p>
          <w:p w14:paraId="2DE02DEB">
            <w:pPr>
              <w:spacing w:line="360" w:lineRule="auto"/>
              <w:ind w:firstLine="472" w:firstLineChars="200"/>
              <w:rPr>
                <w:spacing w:val="-2"/>
                <w:position w:val="-6"/>
                <w:sz w:val="24"/>
                <w:lang w:bidi="ar"/>
              </w:rPr>
            </w:pPr>
            <w:r>
              <w:rPr>
                <w:spacing w:val="-2"/>
                <w:position w:val="-6"/>
                <w:sz w:val="24"/>
                <w:lang w:bidi="ar"/>
              </w:rPr>
              <w:t>根据《湖南省</w:t>
            </w:r>
            <w:r>
              <w:rPr>
                <w:rFonts w:hint="eastAsia"/>
                <w:spacing w:val="-2"/>
                <w:position w:val="-6"/>
                <w:sz w:val="24"/>
                <w:lang w:bidi="ar"/>
              </w:rPr>
              <w:t>“</w:t>
            </w:r>
            <w:r>
              <w:rPr>
                <w:spacing w:val="-2"/>
                <w:position w:val="-6"/>
                <w:sz w:val="24"/>
                <w:lang w:bidi="ar"/>
              </w:rPr>
              <w:t>十四五</w:t>
            </w:r>
            <w:r>
              <w:rPr>
                <w:rFonts w:hint="eastAsia"/>
                <w:spacing w:val="-2"/>
                <w:position w:val="-6"/>
                <w:sz w:val="24"/>
                <w:lang w:bidi="ar"/>
              </w:rPr>
              <w:t>”</w:t>
            </w:r>
            <w:r>
              <w:rPr>
                <w:spacing w:val="-2"/>
                <w:position w:val="-6"/>
                <w:sz w:val="24"/>
                <w:lang w:bidi="ar"/>
              </w:rPr>
              <w:t>生态环境保护规划》中强化重点行业VOCs 科学治理。以工业涂装、石化、化工、包装印刷、油品储运销等行业为重点，实施企业VOCs 原料替代、排放全过程控制。按照“分业施策、一行一策”的原则，加大低VOCs含量原辅材料的推广使用力度，从源头减少VOCs产生。推进使用先进生产工艺设备，减少无组织排放。实行重点排放源排放浓度与去除效率双重控制。加强汽修行业VOCs 综合治理，加大餐饮油烟污染治理力度，推进县级以上城市餐饮油烟治理全覆盖。同时，开展细颗粒物达标行动。衡阳、张家界、永州、郴州、娄底、吉首、怀化等7个已达标城市，持续降低环境空气细颗粒物水平，巩固改善大气环境质量。长沙、株洲、湘潭、岳阳、益阳、常德、邵阳等7个未达标城市要制定实施大气环境质量限期达标规划并向社会公布，明确空气质量达标路线及污染防治重点任务，按照前紧后松、持续改善的原则，加强达标进程管理，到“十四五”末，力争全省新增3个以上达标城市。</w:t>
            </w:r>
          </w:p>
          <w:p w14:paraId="0C4E6C50">
            <w:pPr>
              <w:spacing w:line="360" w:lineRule="auto"/>
              <w:ind w:firstLine="472" w:firstLineChars="200"/>
              <w:rPr>
                <w:spacing w:val="-2"/>
                <w:position w:val="-6"/>
                <w:sz w:val="24"/>
                <w:lang w:bidi="ar"/>
              </w:rPr>
            </w:pPr>
            <w:r>
              <w:rPr>
                <w:spacing w:val="-2"/>
                <w:position w:val="-6"/>
                <w:sz w:val="24"/>
                <w:lang w:bidi="ar"/>
              </w:rPr>
              <w:t>本项目不属工业涂装、石化、化工、包装印刷、油品储运销等VOCs排放重点行业，</w:t>
            </w:r>
            <w:r>
              <w:rPr>
                <w:rFonts w:hint="eastAsia"/>
                <w:spacing w:val="-2"/>
                <w:position w:val="-6"/>
                <w:sz w:val="24"/>
                <w:lang w:bidi="ar"/>
              </w:rPr>
              <w:t>项目部分产品需要进行喷漆，主要采用水性漆及少量油漆，消失模工艺使用发泡原料</w:t>
            </w:r>
            <w:r>
              <w:rPr>
                <w:spacing w:val="-2"/>
                <w:position w:val="-6"/>
                <w:sz w:val="24"/>
                <w:lang w:bidi="ar"/>
              </w:rPr>
              <w:t>，</w:t>
            </w:r>
            <w:r>
              <w:rPr>
                <w:rFonts w:hint="eastAsia"/>
                <w:spacing w:val="-2"/>
                <w:position w:val="-6"/>
                <w:sz w:val="24"/>
                <w:lang w:bidi="ar"/>
              </w:rPr>
              <w:t>会</w:t>
            </w:r>
            <w:r>
              <w:rPr>
                <w:spacing w:val="-2"/>
                <w:position w:val="-6"/>
                <w:sz w:val="24"/>
                <w:lang w:bidi="ar"/>
              </w:rPr>
              <w:t>产生少量VOCs。</w:t>
            </w:r>
            <w:r>
              <w:rPr>
                <w:rFonts w:hint="eastAsia"/>
                <w:spacing w:val="-2"/>
                <w:position w:val="-6"/>
                <w:sz w:val="24"/>
                <w:lang w:bidi="ar"/>
              </w:rPr>
              <w:t>本项目发泡产生的</w:t>
            </w:r>
            <w:r>
              <w:rPr>
                <w:spacing w:val="-2"/>
                <w:position w:val="-6"/>
                <w:sz w:val="24"/>
                <w:lang w:bidi="ar"/>
              </w:rPr>
              <w:t>VOCs</w:t>
            </w:r>
            <w:r>
              <w:rPr>
                <w:rFonts w:hint="eastAsia"/>
                <w:spacing w:val="-2"/>
                <w:position w:val="-6"/>
                <w:sz w:val="24"/>
                <w:lang w:bidi="ar"/>
              </w:rPr>
              <w:t>经二级活性炭处理达标后通过15m排气筒排放，消失模</w:t>
            </w:r>
            <w:r>
              <w:rPr>
                <w:rFonts w:hint="eastAsia"/>
                <w:spacing w:val="-2"/>
                <w:position w:val="-6"/>
                <w:sz w:val="24"/>
                <w:lang w:val="en-US" w:eastAsia="zh-CN" w:bidi="ar"/>
              </w:rPr>
              <w:t>浇注过程产生的</w:t>
            </w:r>
            <w:r>
              <w:rPr>
                <w:spacing w:val="-2"/>
                <w:position w:val="-6"/>
                <w:sz w:val="24"/>
                <w:lang w:bidi="ar"/>
              </w:rPr>
              <w:t>VOCs</w:t>
            </w:r>
            <w:r>
              <w:rPr>
                <w:rFonts w:hint="eastAsia"/>
                <w:spacing w:val="-2"/>
                <w:position w:val="-6"/>
                <w:sz w:val="24"/>
                <w:lang w:bidi="ar"/>
              </w:rPr>
              <w:t>经二级活性炭处理达标后通过15m排气筒排放，喷涂废气经过滤棉和二级活性炭吸附处理后经15m排气筒达标排放。</w:t>
            </w:r>
          </w:p>
          <w:p w14:paraId="379DE7AB">
            <w:pPr>
              <w:spacing w:line="360" w:lineRule="auto"/>
              <w:ind w:firstLine="472" w:firstLineChars="200"/>
              <w:rPr>
                <w:spacing w:val="-2"/>
                <w:position w:val="-6"/>
                <w:sz w:val="24"/>
                <w:lang w:bidi="ar"/>
              </w:rPr>
            </w:pPr>
            <w:r>
              <w:rPr>
                <w:spacing w:val="-2"/>
                <w:position w:val="-6"/>
                <w:sz w:val="24"/>
                <w:lang w:bidi="ar"/>
              </w:rPr>
              <w:t>项目熔</w:t>
            </w:r>
            <w:r>
              <w:rPr>
                <w:rFonts w:hint="eastAsia"/>
                <w:spacing w:val="-2"/>
                <w:position w:val="-6"/>
                <w:sz w:val="24"/>
                <w:lang w:bidi="ar"/>
              </w:rPr>
              <w:t>炼</w:t>
            </w:r>
            <w:r>
              <w:rPr>
                <w:spacing w:val="-2"/>
                <w:position w:val="-6"/>
                <w:sz w:val="24"/>
                <w:lang w:bidi="ar"/>
              </w:rPr>
              <w:t>、</w:t>
            </w:r>
            <w:r>
              <w:rPr>
                <w:rFonts w:hint="eastAsia"/>
                <w:spacing w:val="-2"/>
                <w:position w:val="-6"/>
                <w:sz w:val="24"/>
                <w:lang w:bidi="ar"/>
              </w:rPr>
              <w:t>浇注</w:t>
            </w:r>
            <w:r>
              <w:rPr>
                <w:spacing w:val="-2"/>
                <w:position w:val="-6"/>
                <w:sz w:val="24"/>
                <w:lang w:bidi="ar"/>
              </w:rPr>
              <w:t>、</w:t>
            </w:r>
            <w:r>
              <w:rPr>
                <w:rFonts w:hint="eastAsia"/>
                <w:spacing w:val="-2"/>
                <w:position w:val="-6"/>
                <w:sz w:val="24"/>
                <w:lang w:bidi="ar"/>
              </w:rPr>
              <w:t>砂处理、</w:t>
            </w:r>
            <w:r>
              <w:rPr>
                <w:spacing w:val="-2"/>
                <w:position w:val="-6"/>
                <w:sz w:val="24"/>
                <w:lang w:bidi="ar"/>
              </w:rPr>
              <w:t>打磨</w:t>
            </w:r>
            <w:r>
              <w:rPr>
                <w:rFonts w:hint="eastAsia"/>
                <w:spacing w:val="-2"/>
                <w:position w:val="-6"/>
                <w:sz w:val="24"/>
                <w:lang w:bidi="ar"/>
              </w:rPr>
              <w:t>、抛丸</w:t>
            </w:r>
            <w:r>
              <w:rPr>
                <w:spacing w:val="-2"/>
                <w:position w:val="-6"/>
                <w:sz w:val="24"/>
                <w:lang w:bidi="ar"/>
              </w:rPr>
              <w:t>会产生粉尘颗粒物，本项目熔</w:t>
            </w:r>
            <w:r>
              <w:rPr>
                <w:rFonts w:hint="eastAsia"/>
                <w:spacing w:val="-2"/>
                <w:position w:val="-6"/>
                <w:sz w:val="24"/>
                <w:lang w:bidi="ar"/>
              </w:rPr>
              <w:t>炼</w:t>
            </w:r>
            <w:r>
              <w:rPr>
                <w:spacing w:val="-2"/>
                <w:position w:val="-6"/>
                <w:sz w:val="24"/>
                <w:lang w:bidi="ar"/>
              </w:rPr>
              <w:t>、</w:t>
            </w:r>
            <w:r>
              <w:rPr>
                <w:rFonts w:hint="eastAsia"/>
                <w:spacing w:val="-2"/>
                <w:position w:val="-6"/>
                <w:sz w:val="24"/>
                <w:lang w:bidi="ar"/>
              </w:rPr>
              <w:t>浇注</w:t>
            </w:r>
            <w:r>
              <w:rPr>
                <w:spacing w:val="-2"/>
                <w:position w:val="-6"/>
                <w:sz w:val="24"/>
                <w:lang w:bidi="ar"/>
              </w:rPr>
              <w:t>、</w:t>
            </w:r>
            <w:r>
              <w:rPr>
                <w:rFonts w:hint="eastAsia"/>
                <w:spacing w:val="-2"/>
                <w:position w:val="-6"/>
                <w:sz w:val="24"/>
                <w:lang w:bidi="ar"/>
              </w:rPr>
              <w:t>砂处理颗粒物</w:t>
            </w:r>
            <w:r>
              <w:rPr>
                <w:spacing w:val="-2"/>
                <w:position w:val="-6"/>
                <w:sz w:val="24"/>
                <w:lang w:bidi="ar"/>
              </w:rPr>
              <w:t>采用集气罩收集+布袋除尘器+15m 排气筒高空排放，</w:t>
            </w:r>
            <w:r>
              <w:rPr>
                <w:rFonts w:hint="eastAsia"/>
                <w:spacing w:val="-2"/>
                <w:position w:val="-6"/>
                <w:sz w:val="24"/>
                <w:lang w:bidi="ar"/>
              </w:rPr>
              <w:t>抛丸</w:t>
            </w:r>
            <w:r>
              <w:rPr>
                <w:spacing w:val="-2"/>
                <w:position w:val="-6"/>
                <w:sz w:val="24"/>
                <w:lang w:bidi="ar"/>
              </w:rPr>
              <w:t>粉尘经自身携带的</w:t>
            </w:r>
            <w:r>
              <w:rPr>
                <w:rFonts w:hint="eastAsia"/>
                <w:spacing w:val="-2"/>
                <w:position w:val="-6"/>
                <w:sz w:val="24"/>
                <w:lang w:bidi="ar"/>
              </w:rPr>
              <w:t>除尘器</w:t>
            </w:r>
            <w:r>
              <w:rPr>
                <w:spacing w:val="-2"/>
                <w:position w:val="-6"/>
                <w:sz w:val="24"/>
                <w:lang w:bidi="ar"/>
              </w:rPr>
              <w:t>处理后</w:t>
            </w:r>
            <w:r>
              <w:rPr>
                <w:rFonts w:hint="eastAsia"/>
                <w:spacing w:val="-2"/>
                <w:position w:val="-6"/>
                <w:sz w:val="24"/>
                <w:lang w:bidi="ar"/>
              </w:rPr>
              <w:t>通过15m高排气筒</w:t>
            </w:r>
            <w:r>
              <w:rPr>
                <w:spacing w:val="-2"/>
                <w:position w:val="-6"/>
                <w:sz w:val="24"/>
                <w:lang w:bidi="ar"/>
              </w:rPr>
              <w:t>排放，能够满足相应排放标准。</w:t>
            </w:r>
          </w:p>
          <w:p w14:paraId="3FCD6436">
            <w:pPr>
              <w:spacing w:line="360" w:lineRule="auto"/>
              <w:ind w:firstLine="472" w:firstLineChars="200"/>
              <w:rPr>
                <w:spacing w:val="-2"/>
                <w:position w:val="-6"/>
                <w:sz w:val="24"/>
                <w:lang w:bidi="ar"/>
              </w:rPr>
            </w:pPr>
            <w:r>
              <w:rPr>
                <w:spacing w:val="-2"/>
                <w:position w:val="-6"/>
                <w:sz w:val="24"/>
                <w:lang w:bidi="ar"/>
              </w:rPr>
              <w:t>综上所述，本项目符合《湖南省“十四五”生态环境保护规划》要求。</w:t>
            </w:r>
          </w:p>
          <w:p w14:paraId="458A4455">
            <w:pPr>
              <w:autoSpaceDE w:val="0"/>
              <w:autoSpaceDN w:val="0"/>
              <w:adjustRightInd w:val="0"/>
              <w:snapToGrid w:val="0"/>
              <w:spacing w:line="360" w:lineRule="auto"/>
              <w:ind w:firstLine="482" w:firstLineChars="200"/>
              <w:rPr>
                <w:b/>
                <w:bCs/>
                <w:snapToGrid w:val="0"/>
                <w:sz w:val="24"/>
                <w:szCs w:val="32"/>
                <w:u w:val="single"/>
              </w:rPr>
            </w:pPr>
            <w:r>
              <w:rPr>
                <w:rFonts w:hint="eastAsia"/>
                <w:b/>
                <w:bCs/>
                <w:snapToGrid w:val="0"/>
                <w:sz w:val="24"/>
                <w:szCs w:val="32"/>
                <w:u w:val="single"/>
              </w:rPr>
              <w:t>7、与《挥发性有机物污染防治技术政策》（公告 2013年第 31 号）相符性分析</w:t>
            </w:r>
          </w:p>
          <w:p w14:paraId="646C4D1D">
            <w:pPr>
              <w:autoSpaceDE w:val="0"/>
              <w:autoSpaceDN w:val="0"/>
              <w:adjustRightInd w:val="0"/>
              <w:snapToGrid w:val="0"/>
              <w:spacing w:line="360" w:lineRule="auto"/>
              <w:ind w:firstLine="480" w:firstLineChars="200"/>
              <w:rPr>
                <w:snapToGrid w:val="0"/>
                <w:sz w:val="24"/>
                <w:szCs w:val="32"/>
                <w:u w:val="single"/>
              </w:rPr>
            </w:pPr>
            <w:r>
              <w:rPr>
                <w:rFonts w:hint="eastAsia"/>
                <w:snapToGrid w:val="0"/>
                <w:sz w:val="24"/>
                <w:szCs w:val="32"/>
                <w:u w:val="single"/>
              </w:rPr>
              <w:t>《挥发性有机物污染防治技术政策》（公告 2013年第 31 号）中提出，</w:t>
            </w:r>
            <w:r>
              <w:rPr>
                <w:snapToGrid w:val="0"/>
                <w:sz w:val="24"/>
                <w:szCs w:val="32"/>
                <w:u w:val="single"/>
              </w:rPr>
              <w:t>在涂装、印刷、粘合、工业清洗等含VOCs产品的使用过程中的VOCs污染防治技术措施包括：鼓励使用通过环境标志产品认证的环保型涂料；含VOCs 产品的使用过程中，应采取废气收集措施，提高废气收集效率，减少废气的无组织排放与逸散，并对收集后的废气进行回收或处理后达标排放。</w:t>
            </w:r>
          </w:p>
          <w:p w14:paraId="29D74261">
            <w:pPr>
              <w:autoSpaceDE w:val="0"/>
              <w:autoSpaceDN w:val="0"/>
              <w:adjustRightInd w:val="0"/>
              <w:snapToGrid w:val="0"/>
              <w:spacing w:line="360" w:lineRule="auto"/>
              <w:ind w:firstLine="480" w:firstLineChars="200"/>
              <w:rPr>
                <w:snapToGrid w:val="0"/>
                <w:sz w:val="24"/>
                <w:szCs w:val="32"/>
                <w:u w:val="single"/>
              </w:rPr>
            </w:pPr>
            <w:r>
              <w:rPr>
                <w:rFonts w:hint="eastAsia"/>
                <w:snapToGrid w:val="0"/>
                <w:sz w:val="24"/>
                <w:szCs w:val="32"/>
                <w:u w:val="single"/>
              </w:rPr>
              <w:t>本项目位于湘潭天易经济开发区，所使用的涂料均为具备环境标志产品认证。本项目涉及有机废气排放的工序，做到“应收尽收”。本项目涉VOCs原料为EPS珠粒和共聚料珠粒，以及涂料。共聚料珠粒常温下不产生有机废气，仅在发泡和浇铸时产生少量有机废气；本项目发泡和浇铸工序均在密闭环境中进行，同时发泡有机废气经收集后由二级活性炭吸附处理后高空达标排放；浇铸有机废气经二级活性炭吸附处理后高空达标排放。本项目设置了全密闭喷漆房，并采用负压集气系统，废气收集率不低于 95%，废气经收集后经“过滤棉+ 二级活性炭吸附”处理，经处理后有机废气经排气筒达标排放。</w:t>
            </w:r>
          </w:p>
          <w:p w14:paraId="421A4BD8">
            <w:pPr>
              <w:spacing w:line="360" w:lineRule="auto"/>
              <w:rPr>
                <w:b/>
                <w:bCs/>
                <w:spacing w:val="-2"/>
                <w:position w:val="-6"/>
                <w:sz w:val="24"/>
                <w:lang w:bidi="ar"/>
              </w:rPr>
            </w:pPr>
            <w:r>
              <w:rPr>
                <w:rFonts w:hint="eastAsia"/>
                <w:b/>
                <w:bCs/>
                <w:spacing w:val="-2"/>
                <w:position w:val="-6"/>
                <w:sz w:val="24"/>
                <w:lang w:bidi="ar"/>
              </w:rPr>
              <w:t>8、</w:t>
            </w:r>
            <w:r>
              <w:rPr>
                <w:b/>
                <w:bCs/>
                <w:spacing w:val="-2"/>
                <w:position w:val="-6"/>
                <w:sz w:val="24"/>
                <w:lang w:bidi="ar"/>
              </w:rPr>
              <w:t>与《重点行业挥发性有机物综合治理方案》（环大气〔2019〕53 号） 相符性</w:t>
            </w:r>
          </w:p>
          <w:p w14:paraId="05DC77B0">
            <w:pPr>
              <w:pStyle w:val="102"/>
              <w:ind w:firstLine="472"/>
              <w:rPr>
                <w:rFonts w:cs="Times New Roman"/>
                <w:spacing w:val="-2"/>
                <w:kern w:val="2"/>
                <w:position w:val="-6"/>
                <w:sz w:val="24"/>
                <w:szCs w:val="24"/>
                <w:lang w:bidi="ar"/>
              </w:rPr>
            </w:pPr>
            <w:r>
              <w:rPr>
                <w:rFonts w:cs="Times New Roman"/>
                <w:spacing w:val="-2"/>
                <w:kern w:val="2"/>
                <w:position w:val="-6"/>
                <w:sz w:val="24"/>
                <w:szCs w:val="24"/>
                <w:lang w:bidi="ar"/>
              </w:rPr>
              <w:t>本项目与《重点行业挥发性有机物综合治理方案》（环大气〔2019〕53 号）的相符性分析见下表所示。</w:t>
            </w:r>
          </w:p>
          <w:p w14:paraId="75E842B9">
            <w:pPr>
              <w:autoSpaceDE w:val="0"/>
              <w:autoSpaceDN w:val="0"/>
              <w:adjustRightInd w:val="0"/>
              <w:snapToGrid w:val="0"/>
              <w:jc w:val="center"/>
              <w:rPr>
                <w:b/>
                <w:bCs/>
                <w:kern w:val="0"/>
                <w:szCs w:val="21"/>
              </w:rPr>
            </w:pPr>
            <w:r>
              <w:rPr>
                <w:b/>
                <w:bCs/>
                <w:kern w:val="0"/>
                <w:szCs w:val="21"/>
              </w:rPr>
              <w:t>表1-</w:t>
            </w:r>
            <w:r>
              <w:rPr>
                <w:rFonts w:hint="eastAsia"/>
                <w:b/>
                <w:bCs/>
                <w:kern w:val="0"/>
                <w:szCs w:val="21"/>
              </w:rPr>
              <w:t>8</w:t>
            </w:r>
            <w:r>
              <w:rPr>
                <w:b/>
                <w:bCs/>
                <w:kern w:val="0"/>
                <w:szCs w:val="21"/>
              </w:rPr>
              <w:t xml:space="preserve"> 与《重点行业挥发性有机物综合治理方案》（环大气〔2019〕53 号）的相符性分析</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8"/>
              <w:gridCol w:w="2676"/>
              <w:gridCol w:w="648"/>
            </w:tblGrid>
            <w:tr w14:paraId="1F528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pct"/>
                  <w:vAlign w:val="center"/>
                </w:tcPr>
                <w:p w14:paraId="6A549E5A">
                  <w:pPr>
                    <w:spacing w:line="320" w:lineRule="exact"/>
                    <w:jc w:val="center"/>
                    <w:rPr>
                      <w:rFonts w:ascii="黑体" w:hAnsi="黑体" w:eastAsia="黑体" w:cs="黑体"/>
                      <w:bCs/>
                      <w:color w:val="000000"/>
                      <w:szCs w:val="21"/>
                    </w:rPr>
                  </w:pPr>
                  <w:r>
                    <w:rPr>
                      <w:rFonts w:hint="eastAsia" w:ascii="黑体" w:hAnsi="黑体" w:eastAsia="黑体" w:cs="黑体"/>
                      <w:bCs/>
                      <w:color w:val="000000"/>
                      <w:szCs w:val="21"/>
                    </w:rPr>
                    <w:t>政策要求</w:t>
                  </w:r>
                </w:p>
              </w:tc>
              <w:tc>
                <w:tcPr>
                  <w:tcW w:w="1764" w:type="pct"/>
                  <w:vAlign w:val="center"/>
                </w:tcPr>
                <w:p w14:paraId="4B4BD94E">
                  <w:pPr>
                    <w:spacing w:line="320" w:lineRule="exact"/>
                    <w:jc w:val="center"/>
                    <w:rPr>
                      <w:rFonts w:ascii="黑体" w:hAnsi="黑体" w:eastAsia="黑体" w:cs="黑体"/>
                      <w:bCs/>
                      <w:color w:val="000000"/>
                      <w:szCs w:val="21"/>
                    </w:rPr>
                  </w:pPr>
                  <w:r>
                    <w:rPr>
                      <w:rFonts w:hint="eastAsia" w:ascii="黑体" w:hAnsi="黑体" w:eastAsia="黑体" w:cs="黑体"/>
                      <w:bCs/>
                      <w:color w:val="000000"/>
                      <w:szCs w:val="21"/>
                    </w:rPr>
                    <w:t>本项目情况</w:t>
                  </w:r>
                </w:p>
              </w:tc>
              <w:tc>
                <w:tcPr>
                  <w:tcW w:w="427" w:type="pct"/>
                  <w:vAlign w:val="center"/>
                </w:tcPr>
                <w:p w14:paraId="37DC73C8">
                  <w:pPr>
                    <w:spacing w:line="320" w:lineRule="exact"/>
                    <w:jc w:val="center"/>
                    <w:rPr>
                      <w:rFonts w:ascii="黑体" w:hAnsi="黑体" w:eastAsia="黑体" w:cs="黑体"/>
                      <w:bCs/>
                      <w:color w:val="000000"/>
                      <w:szCs w:val="21"/>
                    </w:rPr>
                  </w:pPr>
                  <w:r>
                    <w:rPr>
                      <w:rFonts w:hint="eastAsia" w:ascii="黑体" w:hAnsi="黑体" w:eastAsia="黑体" w:cs="黑体"/>
                      <w:bCs/>
                      <w:color w:val="000000"/>
                      <w:szCs w:val="21"/>
                    </w:rPr>
                    <w:t>符合性</w:t>
                  </w:r>
                </w:p>
              </w:tc>
            </w:tr>
            <w:tr w14:paraId="4DB4F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pct"/>
                  <w:vAlign w:val="center"/>
                </w:tcPr>
                <w:p w14:paraId="3D564024">
                  <w:pPr>
                    <w:pStyle w:val="103"/>
                    <w:jc w:val="both"/>
                    <w:rPr>
                      <w:kern w:val="0"/>
                      <w:position w:val="-24"/>
                      <w:szCs w:val="21"/>
                    </w:rPr>
                  </w:pPr>
                  <w:r>
                    <w:rPr>
                      <w:kern w:val="0"/>
                      <w:position w:val="-24"/>
                      <w:szCs w:val="21"/>
                    </w:rPr>
                    <w:t>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w:t>
                  </w:r>
                </w:p>
              </w:tc>
              <w:tc>
                <w:tcPr>
                  <w:tcW w:w="1764" w:type="pct"/>
                  <w:vAlign w:val="center"/>
                </w:tcPr>
                <w:p w14:paraId="30E7673E">
                  <w:pPr>
                    <w:pStyle w:val="103"/>
                    <w:jc w:val="both"/>
                    <w:rPr>
                      <w:kern w:val="0"/>
                      <w:position w:val="-24"/>
                      <w:szCs w:val="21"/>
                    </w:rPr>
                  </w:pPr>
                  <w:r>
                    <w:rPr>
                      <w:rFonts w:hint="eastAsia"/>
                      <w:kern w:val="0"/>
                      <w:position w:val="-24"/>
                      <w:szCs w:val="21"/>
                    </w:rPr>
                    <w:t>本项目模具涂料为水性粉末涂料，根据其检测报告，不涉及VOCs成分。喷漆大部分采用水性漆，少量为油性漆，尽可能从源头减少</w:t>
                  </w:r>
                  <w:r>
                    <w:rPr>
                      <w:kern w:val="0"/>
                      <w:position w:val="-24"/>
                      <w:szCs w:val="21"/>
                    </w:rPr>
                    <w:t>VOCs产生</w:t>
                  </w:r>
                  <w:r>
                    <w:rPr>
                      <w:rFonts w:hint="eastAsia"/>
                      <w:kern w:val="0"/>
                      <w:position w:val="-24"/>
                      <w:szCs w:val="21"/>
                    </w:rPr>
                    <w:t>。</w:t>
                  </w:r>
                </w:p>
              </w:tc>
              <w:tc>
                <w:tcPr>
                  <w:tcW w:w="427" w:type="pct"/>
                  <w:vAlign w:val="center"/>
                </w:tcPr>
                <w:p w14:paraId="387077E9">
                  <w:pPr>
                    <w:pStyle w:val="103"/>
                    <w:rPr>
                      <w:kern w:val="0"/>
                      <w:position w:val="-24"/>
                      <w:szCs w:val="21"/>
                    </w:rPr>
                  </w:pPr>
                  <w:r>
                    <w:rPr>
                      <w:kern w:val="0"/>
                      <w:position w:val="-24"/>
                      <w:szCs w:val="21"/>
                    </w:rPr>
                    <w:t>符合</w:t>
                  </w:r>
                </w:p>
              </w:tc>
            </w:tr>
            <w:tr w14:paraId="50072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pct"/>
                  <w:vAlign w:val="center"/>
                </w:tcPr>
                <w:p w14:paraId="33584E1E">
                  <w:pPr>
                    <w:pStyle w:val="103"/>
                    <w:jc w:val="both"/>
                    <w:rPr>
                      <w:kern w:val="0"/>
                      <w:position w:val="-24"/>
                      <w:szCs w:val="21"/>
                    </w:rPr>
                  </w:pPr>
                  <w:r>
                    <w:rPr>
                      <w:kern w:val="0"/>
                      <w:position w:val="-24"/>
                      <w:szCs w:val="21"/>
                    </w:rPr>
                    <w:t>重点对含VOCs物料储存、转移和输送、设备与管线组件泄漏、敞开液面逸散以及工艺过程等五类排放源实施管控，通过采取设备与场所密闭、工艺改进、废气有效收集等措施，削减VOCs无组织排放。加强设备与场所密闭管理。含VOCs物料应储存于密闭容器、包装袋，高效密封储罐，封闭式储库、料仓等。含VOCs物料转移和输送，应采用密闭管道或密闭容器、罐车等。高VOCs含量废水（废水液面上方100毫米处VOCs检测浓度超过200ppm，其中，重点区域超过100ppm，以碳计）的集输、储存和处理过程，应加盖密闭。含VOCs物料生产和使用过程，应采取有效收集措施或在密闭空间中操作。推进使用先进生产工艺。通过采用全密闭、连续化、自动化等生产技术，以及高效工艺与设备等，减少工艺过程无组织排放。</w:t>
                  </w:r>
                </w:p>
              </w:tc>
              <w:tc>
                <w:tcPr>
                  <w:tcW w:w="1764" w:type="pct"/>
                  <w:vAlign w:val="center"/>
                </w:tcPr>
                <w:p w14:paraId="5DB9A0F3">
                  <w:pPr>
                    <w:pStyle w:val="103"/>
                    <w:jc w:val="both"/>
                    <w:rPr>
                      <w:kern w:val="0"/>
                      <w:position w:val="-24"/>
                      <w:szCs w:val="21"/>
                    </w:rPr>
                  </w:pPr>
                  <w:r>
                    <w:rPr>
                      <w:rFonts w:hint="eastAsia"/>
                      <w:spacing w:val="7"/>
                      <w:szCs w:val="21"/>
                    </w:rPr>
                    <w:t>本项目涉VOCs原料为</w:t>
                  </w:r>
                  <w:r>
                    <w:rPr>
                      <w:rFonts w:hint="eastAsia"/>
                      <w:szCs w:val="21"/>
                    </w:rPr>
                    <w:t>EPS珠粒和共聚料珠粒</w:t>
                  </w:r>
                  <w:r>
                    <w:rPr>
                      <w:rFonts w:hint="eastAsia"/>
                      <w:spacing w:val="7"/>
                      <w:szCs w:val="21"/>
                    </w:rPr>
                    <w:t>，以及涂料。共聚料珠粒常温下不产生有机废气，仅在发泡和浇铸时产生少量有机废气</w:t>
                  </w:r>
                  <w:r>
                    <w:rPr>
                      <w:spacing w:val="7"/>
                      <w:szCs w:val="21"/>
                    </w:rPr>
                    <w:t>；</w:t>
                  </w:r>
                  <w:r>
                    <w:rPr>
                      <w:rFonts w:hint="eastAsia"/>
                      <w:spacing w:val="7"/>
                      <w:szCs w:val="21"/>
                    </w:rPr>
                    <w:t>本项目发泡和浇铸工序均在密闭环境中进行，同时发泡有机废气经收集后由二级活性炭吸附处理后高空达标排放；浇铸有机废气经二级活性炭吸附处理后高空达标排放。喷涂所用到涂料包括油性漆和水性漆，该部分含VOCs物料储存于密闭容器，封闭式储库。喷漆房密闭，采取负压收集，喷涂废气经过滤棉和二级活性炭吸附处理后经高空达标排放。</w:t>
                  </w:r>
                </w:p>
              </w:tc>
              <w:tc>
                <w:tcPr>
                  <w:tcW w:w="427" w:type="pct"/>
                  <w:vAlign w:val="center"/>
                </w:tcPr>
                <w:p w14:paraId="35607221">
                  <w:pPr>
                    <w:pStyle w:val="103"/>
                    <w:rPr>
                      <w:kern w:val="0"/>
                      <w:position w:val="-24"/>
                      <w:szCs w:val="21"/>
                    </w:rPr>
                  </w:pPr>
                  <w:r>
                    <w:rPr>
                      <w:kern w:val="0"/>
                      <w:position w:val="-24"/>
                      <w:szCs w:val="21"/>
                    </w:rPr>
                    <w:t>符合</w:t>
                  </w:r>
                </w:p>
              </w:tc>
            </w:tr>
            <w:tr w14:paraId="1E358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pct"/>
                  <w:vAlign w:val="center"/>
                </w:tcPr>
                <w:p w14:paraId="3E3EA7FC">
                  <w:pPr>
                    <w:pStyle w:val="103"/>
                    <w:jc w:val="both"/>
                    <w:rPr>
                      <w:kern w:val="0"/>
                      <w:position w:val="-24"/>
                      <w:szCs w:val="21"/>
                    </w:rPr>
                  </w:pPr>
                  <w:r>
                    <w:rPr>
                      <w:kern w:val="0"/>
                      <w:position w:val="-24"/>
                      <w:szCs w:val="21"/>
                    </w:rPr>
                    <w:t>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有条件的工业园区和产业集群等，推广集中喷涂、溶剂集中回收、活性炭集中再生等，加强资源共享，提高VOCs治理效率。</w:t>
                  </w:r>
                </w:p>
              </w:tc>
              <w:tc>
                <w:tcPr>
                  <w:tcW w:w="1764" w:type="pct"/>
                  <w:vAlign w:val="center"/>
                </w:tcPr>
                <w:p w14:paraId="04BF361B">
                  <w:pPr>
                    <w:pStyle w:val="103"/>
                    <w:jc w:val="both"/>
                    <w:rPr>
                      <w:kern w:val="0"/>
                      <w:position w:val="-24"/>
                      <w:szCs w:val="21"/>
                    </w:rPr>
                  </w:pPr>
                  <w:r>
                    <w:rPr>
                      <w:rFonts w:hint="eastAsia"/>
                      <w:spacing w:val="7"/>
                      <w:szCs w:val="21"/>
                    </w:rPr>
                    <w:t>本项目涉VOCs原料为</w:t>
                  </w:r>
                  <w:r>
                    <w:rPr>
                      <w:rFonts w:hint="eastAsia"/>
                      <w:szCs w:val="21"/>
                    </w:rPr>
                    <w:t>EPS珠粒和共聚料珠粒以及喷涂所用到的涂料</w:t>
                  </w:r>
                  <w:r>
                    <w:rPr>
                      <w:rFonts w:hint="eastAsia"/>
                      <w:spacing w:val="7"/>
                      <w:szCs w:val="21"/>
                    </w:rPr>
                    <w:t>，</w:t>
                  </w:r>
                  <w:r>
                    <w:rPr>
                      <w:rFonts w:hint="eastAsia"/>
                      <w:szCs w:val="21"/>
                    </w:rPr>
                    <w:t>共聚料珠粒</w:t>
                  </w:r>
                  <w:r>
                    <w:rPr>
                      <w:rFonts w:hint="eastAsia"/>
                      <w:spacing w:val="7"/>
                      <w:szCs w:val="21"/>
                    </w:rPr>
                    <w:t>常温下不产生有机废气，仅在发泡和浇铸时产生少量有机废气</w:t>
                  </w:r>
                  <w:r>
                    <w:rPr>
                      <w:spacing w:val="7"/>
                      <w:szCs w:val="21"/>
                    </w:rPr>
                    <w:t>；</w:t>
                  </w:r>
                  <w:r>
                    <w:rPr>
                      <w:rFonts w:hint="eastAsia"/>
                      <w:spacing w:val="7"/>
                      <w:szCs w:val="21"/>
                    </w:rPr>
                    <w:t>本项目发泡和浇铸工序均在密闭环境中进行，同时发泡有机废气经收集后由二级活性炭吸附处理后高空达标排放；浇铸有机废气经二级活性炭吸附处理后高空达标排放。喷涂废气经过滤棉和二级活性炭吸附处理后经高空达标排放。</w:t>
                  </w:r>
                </w:p>
              </w:tc>
              <w:tc>
                <w:tcPr>
                  <w:tcW w:w="427" w:type="pct"/>
                  <w:vAlign w:val="center"/>
                </w:tcPr>
                <w:p w14:paraId="368B6F31">
                  <w:pPr>
                    <w:pStyle w:val="103"/>
                    <w:rPr>
                      <w:kern w:val="0"/>
                      <w:position w:val="-24"/>
                      <w:szCs w:val="21"/>
                      <w:highlight w:val="green"/>
                    </w:rPr>
                  </w:pPr>
                  <w:r>
                    <w:rPr>
                      <w:kern w:val="0"/>
                      <w:position w:val="-24"/>
                      <w:szCs w:val="21"/>
                    </w:rPr>
                    <w:t>符合</w:t>
                  </w:r>
                </w:p>
              </w:tc>
            </w:tr>
          </w:tbl>
          <w:p w14:paraId="07538C10">
            <w:pPr>
              <w:autoSpaceDE w:val="0"/>
              <w:autoSpaceDN w:val="0"/>
              <w:adjustRightInd w:val="0"/>
              <w:snapToGrid w:val="0"/>
              <w:spacing w:line="360" w:lineRule="auto"/>
              <w:ind w:firstLine="480" w:firstLineChars="200"/>
            </w:pPr>
            <w:r>
              <w:rPr>
                <w:snapToGrid w:val="0"/>
                <w:sz w:val="24"/>
                <w:szCs w:val="32"/>
              </w:rPr>
              <w:t>综上所述，本项目符合《重点行业挥发性有机物综合治理方案》（环大气〔2019〕53 号）的要求</w:t>
            </w:r>
            <w:r>
              <w:rPr>
                <w:rFonts w:hint="eastAsia"/>
                <w:snapToGrid w:val="0"/>
                <w:sz w:val="24"/>
                <w:szCs w:val="32"/>
              </w:rPr>
              <w:t>。</w:t>
            </w:r>
          </w:p>
          <w:p w14:paraId="2B30F67D">
            <w:pPr>
              <w:spacing w:line="360" w:lineRule="auto"/>
              <w:rPr>
                <w:b/>
                <w:bCs/>
                <w:spacing w:val="-2"/>
                <w:position w:val="-6"/>
                <w:sz w:val="24"/>
                <w:lang w:bidi="ar"/>
              </w:rPr>
            </w:pPr>
            <w:r>
              <w:rPr>
                <w:rFonts w:hint="eastAsia"/>
                <w:b/>
                <w:bCs/>
                <w:spacing w:val="-2"/>
                <w:position w:val="-6"/>
                <w:sz w:val="24"/>
                <w:lang w:bidi="ar"/>
              </w:rPr>
              <w:t>9、</w:t>
            </w:r>
            <w:r>
              <w:rPr>
                <w:b/>
                <w:bCs/>
                <w:spacing w:val="-2"/>
                <w:position w:val="-6"/>
                <w:sz w:val="24"/>
                <w:lang w:bidi="ar"/>
              </w:rPr>
              <w:t>与《湖南省长江经济带发展负面清单实施细则(试行，2022年版)》</w:t>
            </w:r>
            <w:r>
              <w:rPr>
                <w:rFonts w:hint="eastAsia"/>
                <w:b/>
                <w:bCs/>
                <w:spacing w:val="-2"/>
                <w:position w:val="-6"/>
                <w:sz w:val="24"/>
                <w:lang w:bidi="ar"/>
              </w:rPr>
              <w:t>符合性分析</w:t>
            </w:r>
          </w:p>
          <w:p w14:paraId="106CE77D">
            <w:pPr>
              <w:jc w:val="center"/>
            </w:pPr>
            <w:r>
              <w:rPr>
                <w:rFonts w:hint="eastAsia"/>
              </w:rPr>
              <w:t>表1-9  与《湖南省长江经济带发展负面清单实施细则(试行，2022年版)》符合性分析</w:t>
            </w:r>
          </w:p>
          <w:tbl>
            <w:tblPr>
              <w:tblStyle w:val="31"/>
              <w:tblW w:w="7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8"/>
              <w:gridCol w:w="5050"/>
              <w:gridCol w:w="950"/>
              <w:gridCol w:w="944"/>
            </w:tblGrid>
            <w:tr w14:paraId="43A51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68" w:type="dxa"/>
                  <w:vAlign w:val="center"/>
                </w:tcPr>
                <w:p w14:paraId="3CF9643A">
                  <w:r>
                    <w:rPr>
                      <w:rFonts w:hint="eastAsia"/>
                    </w:rPr>
                    <w:t>序号</w:t>
                  </w:r>
                </w:p>
              </w:tc>
              <w:tc>
                <w:tcPr>
                  <w:tcW w:w="5050" w:type="dxa"/>
                  <w:vAlign w:val="center"/>
                </w:tcPr>
                <w:p w14:paraId="4686D94A">
                  <w:pPr>
                    <w:jc w:val="center"/>
                  </w:pPr>
                  <w:r>
                    <w:rPr>
                      <w:rFonts w:hint="eastAsia"/>
                    </w:rPr>
                    <w:t>主要内容</w:t>
                  </w:r>
                </w:p>
              </w:tc>
              <w:tc>
                <w:tcPr>
                  <w:tcW w:w="950" w:type="dxa"/>
                  <w:vAlign w:val="center"/>
                </w:tcPr>
                <w:p w14:paraId="3E4ACC04">
                  <w:r>
                    <w:rPr>
                      <w:rFonts w:hint="eastAsia"/>
                    </w:rPr>
                    <w:t>本项目</w:t>
                  </w:r>
                </w:p>
              </w:tc>
              <w:tc>
                <w:tcPr>
                  <w:tcW w:w="944" w:type="dxa"/>
                  <w:vAlign w:val="center"/>
                </w:tcPr>
                <w:p w14:paraId="56819104">
                  <w:pPr>
                    <w:jc w:val="center"/>
                  </w:pPr>
                  <w:r>
                    <w:rPr>
                      <w:rFonts w:hint="eastAsia"/>
                    </w:rPr>
                    <w:t>符合性分析</w:t>
                  </w:r>
                </w:p>
              </w:tc>
            </w:tr>
            <w:tr w14:paraId="27BB3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14:paraId="30A0F13F">
                  <w:r>
                    <w:rPr>
                      <w:rFonts w:hint="eastAsia"/>
                    </w:rPr>
                    <w:t>1</w:t>
                  </w:r>
                </w:p>
              </w:tc>
              <w:tc>
                <w:tcPr>
                  <w:tcW w:w="5050" w:type="dxa"/>
                  <w:vAlign w:val="center"/>
                </w:tcPr>
                <w:p w14:paraId="2953D4BB">
                  <w:r>
                    <w:t>禁止建设不符合全国和省级港口布局规划以及港口总体规划的码头项目。对不符合港口总体规划的新建、改建和扩建的码头工程（含船装码头工程）及其同时建设的配套设施、防波堤、锚地、护岸等工程，投资主管部门不得审批或核准。码头工程建设项目需要使用港口岸线的，项目单位应当按照国省港口岸线使用的管理规定办理港口岸线使用手续。未取得岸线使用批准文件或者岸线使用意见的，不得开工建设。禁止建设不符合《长江千线过江通道布局规划（ 2020-2035年)》的过长江通道项目。</w:t>
                  </w:r>
                </w:p>
              </w:tc>
              <w:tc>
                <w:tcPr>
                  <w:tcW w:w="950" w:type="dxa"/>
                  <w:vAlign w:val="center"/>
                </w:tcPr>
                <w:p w14:paraId="1014D16B">
                  <w:r>
                    <w:rPr>
                      <w:rFonts w:hint="eastAsia"/>
                    </w:rPr>
                    <w:t>不涉及</w:t>
                  </w:r>
                </w:p>
              </w:tc>
              <w:tc>
                <w:tcPr>
                  <w:tcW w:w="944" w:type="dxa"/>
                  <w:vAlign w:val="center"/>
                </w:tcPr>
                <w:p w14:paraId="09B2B44A">
                  <w:r>
                    <w:rPr>
                      <w:rFonts w:hint="eastAsia"/>
                    </w:rPr>
                    <w:t>符合</w:t>
                  </w:r>
                </w:p>
              </w:tc>
            </w:tr>
            <w:tr w14:paraId="28F66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14:paraId="54B19CCA">
                  <w:r>
                    <w:rPr>
                      <w:rFonts w:hint="eastAsia"/>
                    </w:rPr>
                    <w:t>2</w:t>
                  </w:r>
                </w:p>
              </w:tc>
              <w:tc>
                <w:tcPr>
                  <w:tcW w:w="5050" w:type="dxa"/>
                  <w:vAlign w:val="center"/>
                </w:tcPr>
                <w:p w14:paraId="3CD8CFF1">
                  <w:r>
                    <w:t>禁止在自然保护区核心区、缓冲区的岸线和河段范围内投资建设以下旅游和生产经营项目:</w:t>
                  </w:r>
                </w:p>
                <w:p w14:paraId="64AE333B">
                  <w:r>
                    <w:t>(一 ）高尔夫球场开发、房地产开发、索道建设、会所建设等项目</w:t>
                  </w:r>
                  <w:r>
                    <w:rPr>
                      <w:rFonts w:hint="eastAsia"/>
                    </w:rPr>
                    <w:t>；</w:t>
                  </w:r>
                </w:p>
                <w:p w14:paraId="09F040BE">
                  <w:r>
                    <w:t>(二）光伏发电、风力发电、火力发电建设项目</w:t>
                  </w:r>
                  <w:r>
                    <w:rPr>
                      <w:rFonts w:hint="eastAsia"/>
                    </w:rPr>
                    <w:t>；</w:t>
                  </w:r>
                </w:p>
                <w:p w14:paraId="60F0787C">
                  <w:r>
                    <w:t>(三）社会资金进行商业性探矿勘查，以及不属于国家紧缺矿种资源的基础地质调查和矿产远景调查等公益性工作的设施建设</w:t>
                  </w:r>
                  <w:r>
                    <w:rPr>
                      <w:rFonts w:hint="eastAsia"/>
                    </w:rPr>
                    <w:t>；</w:t>
                  </w:r>
                </w:p>
                <w:p w14:paraId="044B277C">
                  <w:r>
                    <w:t>(四）野生动物驯养繁殖、展览基地建设项目</w:t>
                  </w:r>
                  <w:r>
                    <w:rPr>
                      <w:rFonts w:hint="eastAsia"/>
                    </w:rPr>
                    <w:t>；</w:t>
                  </w:r>
                </w:p>
                <w:p w14:paraId="52366BE1">
                  <w:r>
                    <w:t>(五）污染环境、破坏自然资源或自然景观的建设设施</w:t>
                  </w:r>
                  <w:r>
                    <w:rPr>
                      <w:rFonts w:hint="eastAsia"/>
                    </w:rPr>
                    <w:t>；</w:t>
                  </w:r>
                </w:p>
                <w:p w14:paraId="0CD57A8C">
                  <w:r>
                    <w:t>(六）对自然保护区主要保护对象产生重大影响、改变自然生态系统完整性、原真性、破坏自然景观的设施</w:t>
                  </w:r>
                  <w:r>
                    <w:rPr>
                      <w:rFonts w:hint="eastAsia"/>
                    </w:rPr>
                    <w:t>；</w:t>
                  </w:r>
                </w:p>
                <w:p w14:paraId="74CAFE3C">
                  <w:r>
                    <w:t>(七）其他不符合自然保护区主体功能定位和国家禁止的设施。</w:t>
                  </w:r>
                </w:p>
              </w:tc>
              <w:tc>
                <w:tcPr>
                  <w:tcW w:w="950" w:type="dxa"/>
                  <w:vAlign w:val="center"/>
                </w:tcPr>
                <w:p w14:paraId="2A883889">
                  <w:r>
                    <w:rPr>
                      <w:rFonts w:hint="eastAsia"/>
                    </w:rPr>
                    <w:t>不涉及</w:t>
                  </w:r>
                </w:p>
              </w:tc>
              <w:tc>
                <w:tcPr>
                  <w:tcW w:w="944" w:type="dxa"/>
                  <w:vAlign w:val="center"/>
                </w:tcPr>
                <w:p w14:paraId="46EDB99C">
                  <w:r>
                    <w:rPr>
                      <w:rFonts w:hint="eastAsia"/>
                    </w:rPr>
                    <w:t>符合</w:t>
                  </w:r>
                </w:p>
              </w:tc>
            </w:tr>
            <w:tr w14:paraId="7DE4E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14:paraId="0FE7745D">
                  <w:r>
                    <w:rPr>
                      <w:rFonts w:hint="eastAsia"/>
                    </w:rPr>
                    <w:t>3</w:t>
                  </w:r>
                </w:p>
              </w:tc>
              <w:tc>
                <w:tcPr>
                  <w:tcW w:w="5050" w:type="dxa"/>
                  <w:vAlign w:val="center"/>
                </w:tcPr>
                <w:p w14:paraId="3D67BBA6">
                  <w:r>
                    <w:t>机场、铁路、公路、水利、围堰等公益性基础设施的选址选线应多方案优化比选，尽量避让相关自然保护区域、野生动物迁徙徊游通道</w:t>
                  </w:r>
                  <w:r>
                    <w:rPr>
                      <w:rFonts w:hint="eastAsia"/>
                    </w:rPr>
                    <w:t>；</w:t>
                  </w:r>
                  <w:r>
                    <w:t>无法避让的，应当采取修建野生动物通道、过鱼设施等措施，消除或者减少对野生动物的不利影响。</w:t>
                  </w:r>
                </w:p>
              </w:tc>
              <w:tc>
                <w:tcPr>
                  <w:tcW w:w="950" w:type="dxa"/>
                  <w:vAlign w:val="center"/>
                </w:tcPr>
                <w:p w14:paraId="4F969B0E">
                  <w:r>
                    <w:rPr>
                      <w:rFonts w:hint="eastAsia"/>
                    </w:rPr>
                    <w:t>不涉及</w:t>
                  </w:r>
                </w:p>
              </w:tc>
              <w:tc>
                <w:tcPr>
                  <w:tcW w:w="944" w:type="dxa"/>
                  <w:vAlign w:val="center"/>
                </w:tcPr>
                <w:p w14:paraId="5FC75A6D">
                  <w:r>
                    <w:rPr>
                      <w:rFonts w:hint="eastAsia"/>
                    </w:rPr>
                    <w:t>符合</w:t>
                  </w:r>
                </w:p>
              </w:tc>
            </w:tr>
            <w:tr w14:paraId="3F7B7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14:paraId="51B78B34">
                  <w:r>
                    <w:rPr>
                      <w:rFonts w:hint="eastAsia"/>
                    </w:rPr>
                    <w:t>4</w:t>
                  </w:r>
                </w:p>
              </w:tc>
              <w:tc>
                <w:tcPr>
                  <w:tcW w:w="5050" w:type="dxa"/>
                  <w:vAlign w:val="center"/>
                </w:tcPr>
                <w:p w14:paraId="09641F8A">
                  <w:r>
                    <w:t>禁止违反风景名胜区规划，在风景名胜区内设立各类开发区和在核心景区内建设宾馆、招待所、培训中心、疗养院以及与风景名胜资源保护无关的其他建筑物</w:t>
                  </w:r>
                  <w:r>
                    <w:rPr>
                      <w:rFonts w:hint="eastAsia"/>
                    </w:rPr>
                    <w:t>；</w:t>
                  </w:r>
                  <w:r>
                    <w:t>已经建设的，应当按照风景名胜区规划，逐步迁出。</w:t>
                  </w:r>
                </w:p>
              </w:tc>
              <w:tc>
                <w:tcPr>
                  <w:tcW w:w="950" w:type="dxa"/>
                  <w:vAlign w:val="center"/>
                </w:tcPr>
                <w:p w14:paraId="611A95D9">
                  <w:r>
                    <w:rPr>
                      <w:rFonts w:hint="eastAsia"/>
                    </w:rPr>
                    <w:t>不涉及</w:t>
                  </w:r>
                </w:p>
              </w:tc>
              <w:tc>
                <w:tcPr>
                  <w:tcW w:w="944" w:type="dxa"/>
                  <w:vAlign w:val="center"/>
                </w:tcPr>
                <w:p w14:paraId="53F37FD2">
                  <w:r>
                    <w:rPr>
                      <w:rFonts w:hint="eastAsia"/>
                    </w:rPr>
                    <w:t>符合</w:t>
                  </w:r>
                </w:p>
              </w:tc>
            </w:tr>
            <w:tr w14:paraId="6D689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14:paraId="7F269AB3">
                  <w:r>
                    <w:rPr>
                      <w:rFonts w:hint="eastAsia"/>
                    </w:rPr>
                    <w:t>5</w:t>
                  </w:r>
                </w:p>
              </w:tc>
              <w:tc>
                <w:tcPr>
                  <w:tcW w:w="5050" w:type="dxa"/>
                  <w:vAlign w:val="center"/>
                </w:tcPr>
                <w:p w14:paraId="0709BA5E">
                  <w:r>
                    <w:t>饮用水水源一级保护区内禁止新建、改建、扩建与供水设施和保护水源无关的建设项目，以及网箱养殖、畜禽养殖、旅游等可能污染饮用水水体的投资建设项目</w:t>
                  </w:r>
                  <w:r>
                    <w:rPr>
                      <w:rFonts w:hint="eastAsia"/>
                    </w:rPr>
                    <w:t>；</w:t>
                  </w:r>
                  <w:r>
                    <w:t>禁止向水域排放污水，已设置的排污口必须拆除</w:t>
                  </w:r>
                  <w:r>
                    <w:rPr>
                      <w:rFonts w:hint="eastAsia"/>
                    </w:rPr>
                    <w:t>；</w:t>
                  </w:r>
                  <w:r>
                    <w:t>不得设置与供水需要无关的码头，禁止停靠船舶</w:t>
                  </w:r>
                  <w:r>
                    <w:rPr>
                      <w:rFonts w:hint="eastAsia"/>
                    </w:rPr>
                    <w:t>；</w:t>
                  </w:r>
                  <w:r>
                    <w:t>禁止堆置和存放工业废渣、城市垃圾、粪便和其它废弃物</w:t>
                  </w:r>
                  <w:r>
                    <w:rPr>
                      <w:rFonts w:hint="eastAsia"/>
                    </w:rPr>
                    <w:t>；</w:t>
                  </w:r>
                  <w:r>
                    <w:t>禁止设置油库</w:t>
                  </w:r>
                  <w:r>
                    <w:rPr>
                      <w:rFonts w:hint="eastAsia"/>
                    </w:rPr>
                    <w:t>；</w:t>
                  </w:r>
                  <w:r>
                    <w:t>禁止使用含磷洗涤用品。</w:t>
                  </w:r>
                </w:p>
              </w:tc>
              <w:tc>
                <w:tcPr>
                  <w:tcW w:w="950" w:type="dxa"/>
                  <w:vAlign w:val="center"/>
                </w:tcPr>
                <w:p w14:paraId="1B3F6D03">
                  <w:r>
                    <w:rPr>
                      <w:rFonts w:hint="eastAsia"/>
                    </w:rPr>
                    <w:t>不涉及</w:t>
                  </w:r>
                </w:p>
              </w:tc>
              <w:tc>
                <w:tcPr>
                  <w:tcW w:w="944" w:type="dxa"/>
                  <w:vAlign w:val="center"/>
                </w:tcPr>
                <w:p w14:paraId="6B45BCCA">
                  <w:r>
                    <w:rPr>
                      <w:rFonts w:hint="eastAsia"/>
                    </w:rPr>
                    <w:t>符合</w:t>
                  </w:r>
                </w:p>
              </w:tc>
            </w:tr>
            <w:tr w14:paraId="238AE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14:paraId="6007B4D7">
                  <w:r>
                    <w:rPr>
                      <w:rFonts w:hint="eastAsia"/>
                    </w:rPr>
                    <w:t>6</w:t>
                  </w:r>
                </w:p>
              </w:tc>
              <w:tc>
                <w:tcPr>
                  <w:tcW w:w="5050" w:type="dxa"/>
                  <w:vAlign w:val="center"/>
                </w:tcPr>
                <w:p w14:paraId="22B189E1">
                  <w:r>
                    <w:t>饮用水水源二级保护区内禁止新建、改建、扩建向水体排放污染物的投资建设项目。原有排污口依法拆除或关闭。禁止设立装卸垃圾、粪便、油类和有毒物品的码头。</w:t>
                  </w:r>
                </w:p>
              </w:tc>
              <w:tc>
                <w:tcPr>
                  <w:tcW w:w="950" w:type="dxa"/>
                  <w:vAlign w:val="center"/>
                </w:tcPr>
                <w:p w14:paraId="10033430">
                  <w:r>
                    <w:rPr>
                      <w:rFonts w:hint="eastAsia"/>
                    </w:rPr>
                    <w:t>不涉及</w:t>
                  </w:r>
                </w:p>
              </w:tc>
              <w:tc>
                <w:tcPr>
                  <w:tcW w:w="944" w:type="dxa"/>
                  <w:vAlign w:val="center"/>
                </w:tcPr>
                <w:p w14:paraId="65F5D8CC">
                  <w:r>
                    <w:rPr>
                      <w:rFonts w:hint="eastAsia"/>
                    </w:rPr>
                    <w:t>符合</w:t>
                  </w:r>
                </w:p>
              </w:tc>
            </w:tr>
            <w:tr w14:paraId="1AD2E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14:paraId="2409BF6C">
                  <w:r>
                    <w:rPr>
                      <w:rFonts w:hint="eastAsia"/>
                    </w:rPr>
                    <w:t>7</w:t>
                  </w:r>
                </w:p>
              </w:tc>
              <w:tc>
                <w:tcPr>
                  <w:tcW w:w="5050" w:type="dxa"/>
                  <w:vAlign w:val="center"/>
                </w:tcPr>
                <w:p w14:paraId="25016329">
                  <w:r>
                    <w:t>禁止在水产种质资源保护区的岸线和河段范围内新建排污口、实施非法围垦河道和围湖造田造地等投资建设项目。</w:t>
                  </w:r>
                </w:p>
              </w:tc>
              <w:tc>
                <w:tcPr>
                  <w:tcW w:w="950" w:type="dxa"/>
                  <w:vAlign w:val="center"/>
                </w:tcPr>
                <w:p w14:paraId="4145D5F7">
                  <w:r>
                    <w:rPr>
                      <w:rFonts w:hint="eastAsia"/>
                    </w:rPr>
                    <w:t>不涉及</w:t>
                  </w:r>
                </w:p>
              </w:tc>
              <w:tc>
                <w:tcPr>
                  <w:tcW w:w="944" w:type="dxa"/>
                  <w:vAlign w:val="center"/>
                </w:tcPr>
                <w:p w14:paraId="2F2E35CE">
                  <w:r>
                    <w:rPr>
                      <w:rFonts w:hint="eastAsia"/>
                    </w:rPr>
                    <w:t>符合</w:t>
                  </w:r>
                </w:p>
              </w:tc>
            </w:tr>
            <w:tr w14:paraId="377EA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14:paraId="2815124D">
                  <w:r>
                    <w:rPr>
                      <w:rFonts w:hint="eastAsia"/>
                    </w:rPr>
                    <w:t>8</w:t>
                  </w:r>
                </w:p>
              </w:tc>
              <w:tc>
                <w:tcPr>
                  <w:tcW w:w="5050" w:type="dxa"/>
                  <w:vAlign w:val="center"/>
                </w:tcPr>
                <w:p w14:paraId="4B6BDCBA">
                  <w:r>
                    <w:t>第十条除《中华人民共和国防洪法》规定的紧急防汛期采取的紧急措施外，禁止在国家湿地公园的岸线和河段范围内挖沙、采矿，以及以下不符合主体功能定位的行为和活动:</w:t>
                  </w:r>
                </w:p>
                <w:p w14:paraId="03FFB3BA">
                  <w:r>
                    <w:rPr>
                      <w:rFonts w:hint="eastAsia"/>
                    </w:rPr>
                    <w:t>（一）</w:t>
                  </w:r>
                  <w:r>
                    <w:t>开（围）垦、填埋或者排干湿地。</w:t>
                  </w:r>
                </w:p>
                <w:p w14:paraId="039E861F">
                  <w:r>
                    <w:t>(二）截断湿地水源。</w:t>
                  </w:r>
                </w:p>
                <w:p w14:paraId="738BF26E">
                  <w:r>
                    <w:t>( 三）倾倒有毒有害物质、废弃物、垃圾。</w:t>
                  </w:r>
                </w:p>
                <w:p w14:paraId="5AE05561">
                  <w:r>
                    <w:t>(四）从事房地产、度假村、高尔夫球场、风力发电、光伏发电等任何不符合主体功能定位的建设项目和开发活动。</w:t>
                  </w:r>
                </w:p>
                <w:p w14:paraId="6B3847F9">
                  <w:r>
                    <w:t>(五）破坏野生动物栖息地和迁徙通道、鱼类徊游通道，滥采滥捕野生动植物。</w:t>
                  </w:r>
                </w:p>
                <w:p w14:paraId="692DFE36">
                  <w:r>
                    <w:t>(六）引入外来物种。</w:t>
                  </w:r>
                </w:p>
                <w:p w14:paraId="247E470B">
                  <w:r>
                    <w:t>(七）擅自放牧、捕捞、取土、取水、排污、放生。</w:t>
                  </w:r>
                </w:p>
                <w:p w14:paraId="1B783A47">
                  <w:r>
                    <w:t>(八）其他破坏湿地及其生态功能的活动。</w:t>
                  </w:r>
                </w:p>
              </w:tc>
              <w:tc>
                <w:tcPr>
                  <w:tcW w:w="950" w:type="dxa"/>
                  <w:vAlign w:val="center"/>
                </w:tcPr>
                <w:p w14:paraId="6E6081FE">
                  <w:r>
                    <w:rPr>
                      <w:rFonts w:hint="eastAsia"/>
                    </w:rPr>
                    <w:t>不涉及</w:t>
                  </w:r>
                </w:p>
              </w:tc>
              <w:tc>
                <w:tcPr>
                  <w:tcW w:w="944" w:type="dxa"/>
                  <w:vAlign w:val="center"/>
                </w:tcPr>
                <w:p w14:paraId="0767E311">
                  <w:r>
                    <w:rPr>
                      <w:rFonts w:hint="eastAsia"/>
                    </w:rPr>
                    <w:t>符合</w:t>
                  </w:r>
                </w:p>
              </w:tc>
            </w:tr>
            <w:tr w14:paraId="1A0A0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14:paraId="108B94DD">
                  <w:r>
                    <w:rPr>
                      <w:rFonts w:hint="eastAsia"/>
                    </w:rPr>
                    <w:t>9</w:t>
                  </w:r>
                </w:p>
              </w:tc>
              <w:tc>
                <w:tcPr>
                  <w:tcW w:w="5050" w:type="dxa"/>
                  <w:vAlign w:val="center"/>
                </w:tcPr>
                <w:p w14:paraId="55DAA2CC">
                  <w: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填湖造地、围湖造田及非法围垦河道，禁止非法建设矮围网围、填埋湿地等侵占河湖水域或者违法利用、占用河湖岸线的行为。</w:t>
                  </w:r>
                </w:p>
              </w:tc>
              <w:tc>
                <w:tcPr>
                  <w:tcW w:w="950" w:type="dxa"/>
                  <w:vAlign w:val="center"/>
                </w:tcPr>
                <w:p w14:paraId="3FA45502">
                  <w:r>
                    <w:rPr>
                      <w:rFonts w:hint="eastAsia"/>
                    </w:rPr>
                    <w:t>不涉及</w:t>
                  </w:r>
                </w:p>
              </w:tc>
              <w:tc>
                <w:tcPr>
                  <w:tcW w:w="944" w:type="dxa"/>
                  <w:vAlign w:val="center"/>
                </w:tcPr>
                <w:p w14:paraId="1E5E12F5">
                  <w:r>
                    <w:rPr>
                      <w:rFonts w:hint="eastAsia"/>
                    </w:rPr>
                    <w:t>符合</w:t>
                  </w:r>
                </w:p>
              </w:tc>
            </w:tr>
            <w:tr w14:paraId="17CEA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14:paraId="0D3C6A1B">
                  <w:r>
                    <w:rPr>
                      <w:rFonts w:hint="eastAsia"/>
                    </w:rPr>
                    <w:t>10</w:t>
                  </w:r>
                </w:p>
              </w:tc>
              <w:tc>
                <w:tcPr>
                  <w:tcW w:w="5050" w:type="dxa"/>
                  <w:vAlign w:val="center"/>
                </w:tcPr>
                <w:p w14:paraId="61BF4840">
                  <w:r>
                    <w:t>禁止在《全国重要江河湖泊水功能区划》划定的河段及湖泊保护区、保留区内投资建设不利于水资源及自然生态保护的项目。</w:t>
                  </w:r>
                </w:p>
              </w:tc>
              <w:tc>
                <w:tcPr>
                  <w:tcW w:w="950" w:type="dxa"/>
                  <w:vAlign w:val="center"/>
                </w:tcPr>
                <w:p w14:paraId="0243B32B">
                  <w:r>
                    <w:rPr>
                      <w:rFonts w:hint="eastAsia"/>
                    </w:rPr>
                    <w:t>不涉及</w:t>
                  </w:r>
                </w:p>
              </w:tc>
              <w:tc>
                <w:tcPr>
                  <w:tcW w:w="944" w:type="dxa"/>
                  <w:vAlign w:val="center"/>
                </w:tcPr>
                <w:p w14:paraId="7A3D2C05">
                  <w:r>
                    <w:rPr>
                      <w:rFonts w:hint="eastAsia"/>
                    </w:rPr>
                    <w:t>符合</w:t>
                  </w:r>
                </w:p>
              </w:tc>
            </w:tr>
            <w:tr w14:paraId="78F80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14:paraId="6ECB4E9D">
                  <w:r>
                    <w:rPr>
                      <w:rFonts w:hint="eastAsia"/>
                    </w:rPr>
                    <w:t>11</w:t>
                  </w:r>
                </w:p>
              </w:tc>
              <w:tc>
                <w:tcPr>
                  <w:tcW w:w="5050" w:type="dxa"/>
                  <w:vAlign w:val="center"/>
                </w:tcPr>
                <w:p w14:paraId="0893C830">
                  <w:r>
                    <w:t>禁止未经许可在长江干支流及湖泊新设、改设或扩大排污口。</w:t>
                  </w:r>
                </w:p>
              </w:tc>
              <w:tc>
                <w:tcPr>
                  <w:tcW w:w="950" w:type="dxa"/>
                  <w:vAlign w:val="center"/>
                </w:tcPr>
                <w:p w14:paraId="28738353">
                  <w:r>
                    <w:rPr>
                      <w:rFonts w:hint="eastAsia"/>
                    </w:rPr>
                    <w:t>不涉及</w:t>
                  </w:r>
                </w:p>
              </w:tc>
              <w:tc>
                <w:tcPr>
                  <w:tcW w:w="944" w:type="dxa"/>
                  <w:vAlign w:val="center"/>
                </w:tcPr>
                <w:p w14:paraId="7281CF3B">
                  <w:r>
                    <w:rPr>
                      <w:rFonts w:hint="eastAsia"/>
                    </w:rPr>
                    <w:t>符合</w:t>
                  </w:r>
                </w:p>
              </w:tc>
            </w:tr>
            <w:tr w14:paraId="44FDA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14:paraId="5D3BB24A">
                  <w:r>
                    <w:rPr>
                      <w:rFonts w:hint="eastAsia"/>
                    </w:rPr>
                    <w:t>12</w:t>
                  </w:r>
                </w:p>
              </w:tc>
              <w:tc>
                <w:tcPr>
                  <w:tcW w:w="5050" w:type="dxa"/>
                  <w:vAlign w:val="center"/>
                </w:tcPr>
                <w:p w14:paraId="5633B073">
                  <w:r>
                    <w:t>禁止在洞庭湖、湘江、资江、沅江、澧水干流和45个水生生物保护区开展生产性捕捞。在相关自然保护区域和禁猎（渔）区、禁猎（渔）期内，禁止猎捕以及其他妨碍野生动物生息繁衍的活动，但法律法规另有规定的除外。</w:t>
                  </w:r>
                </w:p>
              </w:tc>
              <w:tc>
                <w:tcPr>
                  <w:tcW w:w="950" w:type="dxa"/>
                  <w:vAlign w:val="center"/>
                </w:tcPr>
                <w:p w14:paraId="18051761">
                  <w:r>
                    <w:rPr>
                      <w:rFonts w:hint="eastAsia"/>
                    </w:rPr>
                    <w:t>不涉及</w:t>
                  </w:r>
                </w:p>
              </w:tc>
              <w:tc>
                <w:tcPr>
                  <w:tcW w:w="944" w:type="dxa"/>
                  <w:vAlign w:val="center"/>
                </w:tcPr>
                <w:p w14:paraId="165E916C">
                  <w:r>
                    <w:rPr>
                      <w:rFonts w:hint="eastAsia"/>
                    </w:rPr>
                    <w:t>符合</w:t>
                  </w:r>
                </w:p>
              </w:tc>
            </w:tr>
            <w:tr w14:paraId="79987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14:paraId="518A07BE">
                  <w:r>
                    <w:rPr>
                      <w:rFonts w:hint="eastAsia"/>
                    </w:rPr>
                    <w:t>13</w:t>
                  </w:r>
                </w:p>
              </w:tc>
              <w:tc>
                <w:tcPr>
                  <w:tcW w:w="5050" w:type="dxa"/>
                  <w:vAlign w:val="center"/>
                </w:tcPr>
                <w:p w14:paraId="3757D925">
                  <w:r>
                    <w:t>禁止在长江湖南段和洞庭湖、湘江、资江、沅江、澧水干流岸线一公里范围内新建、扩建化工园区和化工项目。禁止在长江湖南段岸线三公里范围内和湘江、资江、沅江、澧水岸线一公里范围内新建、改建、扩建尾矿库、冶炼渣库和磷石膏库，以提升安全、生态环境保护水平为目的的改建除外。</w:t>
                  </w:r>
                </w:p>
              </w:tc>
              <w:tc>
                <w:tcPr>
                  <w:tcW w:w="950" w:type="dxa"/>
                  <w:vAlign w:val="center"/>
                </w:tcPr>
                <w:p w14:paraId="4032211B">
                  <w:r>
                    <w:rPr>
                      <w:rFonts w:hint="eastAsia"/>
                    </w:rPr>
                    <w:t>不涉及</w:t>
                  </w:r>
                </w:p>
              </w:tc>
              <w:tc>
                <w:tcPr>
                  <w:tcW w:w="944" w:type="dxa"/>
                  <w:vAlign w:val="center"/>
                </w:tcPr>
                <w:p w14:paraId="5E2CD948">
                  <w:r>
                    <w:rPr>
                      <w:rFonts w:hint="eastAsia"/>
                    </w:rPr>
                    <w:t>符合</w:t>
                  </w:r>
                </w:p>
              </w:tc>
            </w:tr>
            <w:tr w14:paraId="45783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14:paraId="69DF5AE0">
                  <w:r>
                    <w:rPr>
                      <w:rFonts w:hint="eastAsia"/>
                    </w:rPr>
                    <w:t>14</w:t>
                  </w:r>
                </w:p>
              </w:tc>
              <w:tc>
                <w:tcPr>
                  <w:tcW w:w="5050" w:type="dxa"/>
                  <w:vAlign w:val="center"/>
                </w:tcPr>
                <w:p w14:paraId="38AE2F7F">
                  <w:r>
                    <w:t>禁止在合规园区外新建、扩建钢铁、石化、化工、焦化、建材、有色、制浆造纸等高污染项目。高污染项目严格按照生态环境部《环境保护综合名录( 2021年版)》有关要求执行。</w:t>
                  </w:r>
                </w:p>
              </w:tc>
              <w:tc>
                <w:tcPr>
                  <w:tcW w:w="950" w:type="dxa"/>
                  <w:vAlign w:val="center"/>
                </w:tcPr>
                <w:p w14:paraId="0D60F91A">
                  <w:r>
                    <w:rPr>
                      <w:rFonts w:hint="eastAsia"/>
                    </w:rPr>
                    <w:t>本项目不属于高污染项目</w:t>
                  </w:r>
                </w:p>
              </w:tc>
              <w:tc>
                <w:tcPr>
                  <w:tcW w:w="944" w:type="dxa"/>
                  <w:vAlign w:val="center"/>
                </w:tcPr>
                <w:p w14:paraId="5C410561">
                  <w:r>
                    <w:rPr>
                      <w:rFonts w:hint="eastAsia"/>
                    </w:rPr>
                    <w:t>符合</w:t>
                  </w:r>
                </w:p>
              </w:tc>
            </w:tr>
            <w:tr w14:paraId="05DB9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14:paraId="2FE88FA3">
                  <w:r>
                    <w:rPr>
                      <w:rFonts w:hint="eastAsia"/>
                    </w:rPr>
                    <w:t>15</w:t>
                  </w:r>
                </w:p>
              </w:tc>
              <w:tc>
                <w:tcPr>
                  <w:tcW w:w="5050" w:type="dxa"/>
                  <w:vAlign w:val="center"/>
                </w:tcPr>
                <w:p w14:paraId="07DB2A19">
                  <w:r>
                    <w:t>禁止新建、扩建不符合国家石化、现代煤化工等产业布局规划的项目。未通过认定的化工园区，不得新建、改扩建化工项目（安全、环保、节能和智能化改造项目除外)。</w:t>
                  </w:r>
                </w:p>
              </w:tc>
              <w:tc>
                <w:tcPr>
                  <w:tcW w:w="950" w:type="dxa"/>
                  <w:vAlign w:val="center"/>
                </w:tcPr>
                <w:p w14:paraId="7DEAB84D">
                  <w:r>
                    <w:rPr>
                      <w:rFonts w:hint="eastAsia"/>
                    </w:rPr>
                    <w:t>不涉及</w:t>
                  </w:r>
                </w:p>
              </w:tc>
              <w:tc>
                <w:tcPr>
                  <w:tcW w:w="944" w:type="dxa"/>
                  <w:vAlign w:val="center"/>
                </w:tcPr>
                <w:p w14:paraId="30AD5D28">
                  <w:r>
                    <w:rPr>
                      <w:rFonts w:hint="eastAsia"/>
                    </w:rPr>
                    <w:t>符合</w:t>
                  </w:r>
                </w:p>
              </w:tc>
            </w:tr>
            <w:tr w14:paraId="7378E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vAlign w:val="center"/>
                </w:tcPr>
                <w:p w14:paraId="53972488">
                  <w:r>
                    <w:rPr>
                      <w:rFonts w:hint="eastAsia"/>
                    </w:rPr>
                    <w:t>16</w:t>
                  </w:r>
                </w:p>
              </w:tc>
              <w:tc>
                <w:tcPr>
                  <w:tcW w:w="5050" w:type="dxa"/>
                  <w:vAlign w:val="center"/>
                </w:tcPr>
                <w:p w14:paraId="686150E4">
                  <w:r>
                    <w:t>禁止新建、扩建法律法规和相关政策明令禁止的落后产能项目</w:t>
                  </w:r>
                  <w:r>
                    <w:rPr>
                      <w:rFonts w:hint="eastAsia"/>
                    </w:rPr>
                    <w:t>；</w:t>
                  </w:r>
                  <w:r>
                    <w:t>对不符合要求的落后产能存量项目依法依规退出。禁止新建、扩建不符合国家产能置换要求的严重过剩产能行业（钢铁、水泥、电解铝、平板玻璃、船舶等行业）的项目。对确有必要新建、扩建的，必须严格执行产能置换实施办法，实施减量或等量置换，依法依规办理有关手续。禁止新建、扩建不符合要求的高耗能高排放项目。</w:t>
                  </w:r>
                </w:p>
              </w:tc>
              <w:tc>
                <w:tcPr>
                  <w:tcW w:w="950" w:type="dxa"/>
                  <w:vAlign w:val="center"/>
                </w:tcPr>
                <w:p w14:paraId="786932B6">
                  <w:r>
                    <w:rPr>
                      <w:rFonts w:hint="eastAsia"/>
                    </w:rPr>
                    <w:t>不涉及</w:t>
                  </w:r>
                </w:p>
              </w:tc>
              <w:tc>
                <w:tcPr>
                  <w:tcW w:w="944" w:type="dxa"/>
                  <w:vAlign w:val="center"/>
                </w:tcPr>
                <w:p w14:paraId="76CB61EE">
                  <w:r>
                    <w:rPr>
                      <w:rFonts w:hint="eastAsia"/>
                    </w:rPr>
                    <w:t>符合</w:t>
                  </w:r>
                </w:p>
              </w:tc>
            </w:tr>
          </w:tbl>
          <w:p w14:paraId="7FDDBC31">
            <w:pPr>
              <w:spacing w:line="360" w:lineRule="auto"/>
              <w:ind w:firstLine="472" w:firstLineChars="200"/>
              <w:rPr>
                <w:spacing w:val="-2"/>
                <w:position w:val="-6"/>
                <w:sz w:val="24"/>
                <w:lang w:bidi="ar"/>
              </w:rPr>
            </w:pPr>
            <w:r>
              <w:rPr>
                <w:rFonts w:hint="eastAsia"/>
                <w:spacing w:val="-2"/>
                <w:position w:val="-6"/>
                <w:sz w:val="24"/>
                <w:lang w:bidi="ar"/>
              </w:rPr>
              <w:t>根据上表分析，本项目符合《湖南省长江经济带发展负面清单实施细则（试行，2022年版）》实施内容。</w:t>
            </w:r>
          </w:p>
          <w:p w14:paraId="7889A01B">
            <w:pPr>
              <w:spacing w:line="480" w:lineRule="exact"/>
              <w:rPr>
                <w:b/>
                <w:bCs/>
                <w:sz w:val="24"/>
                <w:u w:val="single"/>
              </w:rPr>
            </w:pPr>
            <w:r>
              <w:rPr>
                <w:rFonts w:hint="eastAsia"/>
                <w:b/>
                <w:bCs/>
                <w:sz w:val="24"/>
                <w:u w:val="single"/>
              </w:rPr>
              <w:t xml:space="preserve">10、与《湖南省大气污染防治“守护蓝天”攻坚行动计划（2023—2025年）》符合性分析 </w:t>
            </w:r>
          </w:p>
          <w:p w14:paraId="52D012D6">
            <w:pPr>
              <w:spacing w:line="420" w:lineRule="exact"/>
              <w:ind w:firstLine="480" w:firstLineChars="200"/>
              <w:rPr>
                <w:sz w:val="24"/>
                <w:u w:val="single"/>
              </w:rPr>
            </w:pPr>
            <w:r>
              <w:rPr>
                <w:rFonts w:hint="eastAsia"/>
                <w:sz w:val="24"/>
                <w:u w:val="single"/>
              </w:rPr>
              <w:t>根据湖南省人民政府《湖南省大气污染防治“守护蓝天”攻坚行动计划（2023—2025年）》（湘政办发〔2023〕34号），本工程与相关要求比较见下表。</w:t>
            </w:r>
          </w:p>
          <w:p w14:paraId="136F6C4B">
            <w:pPr>
              <w:pStyle w:val="28"/>
              <w:widowControl/>
              <w:adjustRightInd/>
              <w:spacing w:line="300" w:lineRule="exact"/>
              <w:ind w:right="113" w:firstLine="0" w:firstLineChars="0"/>
              <w:jc w:val="center"/>
              <w:rPr>
                <w:b/>
                <w:bCs/>
                <w:spacing w:val="-6"/>
                <w:sz w:val="21"/>
                <w:szCs w:val="21"/>
                <w:u w:val="single"/>
              </w:rPr>
            </w:pPr>
            <w:r>
              <w:rPr>
                <w:b/>
                <w:bCs/>
                <w:spacing w:val="-6"/>
                <w:sz w:val="21"/>
                <w:szCs w:val="21"/>
                <w:u w:val="single"/>
              </w:rPr>
              <w:t>表1-</w:t>
            </w:r>
            <w:r>
              <w:rPr>
                <w:rFonts w:hint="eastAsia"/>
                <w:b/>
                <w:bCs/>
                <w:spacing w:val="-6"/>
                <w:sz w:val="21"/>
                <w:szCs w:val="21"/>
                <w:u w:val="single"/>
              </w:rPr>
              <w:t xml:space="preserve">10  </w:t>
            </w:r>
            <w:r>
              <w:rPr>
                <w:rFonts w:hint="eastAsia"/>
                <w:b/>
                <w:bCs/>
                <w:spacing w:val="-6"/>
                <w:sz w:val="21"/>
                <w:u w:val="single"/>
              </w:rPr>
              <w:t>与</w:t>
            </w:r>
            <w:r>
              <w:rPr>
                <w:rFonts w:hint="eastAsia"/>
                <w:b/>
                <w:bCs/>
                <w:spacing w:val="-6"/>
                <w:sz w:val="21"/>
                <w:szCs w:val="21"/>
                <w:u w:val="single"/>
              </w:rPr>
              <w:t>《湖南省大气污染防治“守护蓝天”攻坚行动计划（2023—2025年）》 符合性分析一览表</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3"/>
              <w:gridCol w:w="3522"/>
              <w:gridCol w:w="2403"/>
              <w:gridCol w:w="761"/>
            </w:tblGrid>
            <w:tr w14:paraId="64A2D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blHeader/>
                <w:jc w:val="center"/>
              </w:trPr>
              <w:tc>
                <w:tcPr>
                  <w:tcW w:w="2912" w:type="pct"/>
                  <w:gridSpan w:val="2"/>
                  <w:vAlign w:val="center"/>
                </w:tcPr>
                <w:p w14:paraId="349A36D7">
                  <w:pPr>
                    <w:pStyle w:val="13"/>
                    <w:overflowPunct w:val="0"/>
                    <w:autoSpaceDE w:val="0"/>
                    <w:autoSpaceDN w:val="0"/>
                    <w:adjustRightInd w:val="0"/>
                    <w:spacing w:after="0" w:line="260" w:lineRule="exact"/>
                    <w:ind w:left="0" w:leftChars="0"/>
                    <w:jc w:val="center"/>
                    <w:textAlignment w:val="baseline"/>
                    <w:rPr>
                      <w:bCs/>
                      <w:sz w:val="21"/>
                      <w:szCs w:val="21"/>
                      <w:u w:val="single"/>
                    </w:rPr>
                  </w:pPr>
                  <w:r>
                    <w:rPr>
                      <w:bCs/>
                      <w:sz w:val="21"/>
                      <w:szCs w:val="21"/>
                      <w:u w:val="single"/>
                    </w:rPr>
                    <w:t>主要内容</w:t>
                  </w:r>
                </w:p>
              </w:tc>
              <w:tc>
                <w:tcPr>
                  <w:tcW w:w="1585" w:type="pct"/>
                  <w:vAlign w:val="center"/>
                </w:tcPr>
                <w:p w14:paraId="1B36956C">
                  <w:pPr>
                    <w:pStyle w:val="13"/>
                    <w:overflowPunct w:val="0"/>
                    <w:autoSpaceDE w:val="0"/>
                    <w:autoSpaceDN w:val="0"/>
                    <w:adjustRightInd w:val="0"/>
                    <w:spacing w:after="0" w:line="260" w:lineRule="exact"/>
                    <w:ind w:left="0" w:leftChars="0"/>
                    <w:jc w:val="center"/>
                    <w:textAlignment w:val="baseline"/>
                    <w:rPr>
                      <w:bCs/>
                      <w:sz w:val="21"/>
                      <w:szCs w:val="21"/>
                      <w:u w:val="single"/>
                    </w:rPr>
                  </w:pPr>
                  <w:r>
                    <w:rPr>
                      <w:bCs/>
                      <w:sz w:val="21"/>
                      <w:szCs w:val="21"/>
                      <w:u w:val="single"/>
                    </w:rPr>
                    <w:t>本工程</w:t>
                  </w:r>
                  <w:r>
                    <w:rPr>
                      <w:rFonts w:hint="eastAsia"/>
                      <w:bCs/>
                      <w:sz w:val="21"/>
                      <w:szCs w:val="21"/>
                      <w:u w:val="single"/>
                    </w:rPr>
                    <w:t>情况</w:t>
                  </w:r>
                </w:p>
              </w:tc>
              <w:tc>
                <w:tcPr>
                  <w:tcW w:w="502" w:type="pct"/>
                </w:tcPr>
                <w:p w14:paraId="180F165F">
                  <w:pPr>
                    <w:pStyle w:val="13"/>
                    <w:overflowPunct w:val="0"/>
                    <w:autoSpaceDE w:val="0"/>
                    <w:autoSpaceDN w:val="0"/>
                    <w:adjustRightInd w:val="0"/>
                    <w:spacing w:after="0" w:line="260" w:lineRule="exact"/>
                    <w:ind w:left="0" w:leftChars="0"/>
                    <w:jc w:val="center"/>
                    <w:textAlignment w:val="baseline"/>
                    <w:rPr>
                      <w:bCs/>
                      <w:sz w:val="21"/>
                      <w:szCs w:val="21"/>
                      <w:u w:val="single"/>
                    </w:rPr>
                  </w:pPr>
                  <w:r>
                    <w:rPr>
                      <w:rFonts w:hint="eastAsia"/>
                      <w:bCs/>
                      <w:sz w:val="21"/>
                      <w:szCs w:val="21"/>
                      <w:u w:val="single"/>
                    </w:rPr>
                    <w:t>是否</w:t>
                  </w:r>
                </w:p>
                <w:p w14:paraId="15D9EE97">
                  <w:pPr>
                    <w:pStyle w:val="13"/>
                    <w:overflowPunct w:val="0"/>
                    <w:autoSpaceDE w:val="0"/>
                    <w:autoSpaceDN w:val="0"/>
                    <w:adjustRightInd w:val="0"/>
                    <w:spacing w:after="0" w:line="260" w:lineRule="exact"/>
                    <w:ind w:left="0" w:leftChars="0"/>
                    <w:jc w:val="center"/>
                    <w:textAlignment w:val="baseline"/>
                    <w:rPr>
                      <w:bCs/>
                      <w:sz w:val="21"/>
                      <w:szCs w:val="21"/>
                      <w:u w:val="single"/>
                    </w:rPr>
                  </w:pPr>
                  <w:r>
                    <w:rPr>
                      <w:rFonts w:hint="eastAsia"/>
                      <w:bCs/>
                      <w:sz w:val="21"/>
                      <w:szCs w:val="21"/>
                      <w:u w:val="single"/>
                    </w:rPr>
                    <w:t>符合</w:t>
                  </w:r>
                </w:p>
              </w:tc>
            </w:tr>
            <w:tr w14:paraId="788FD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6" w:hRule="atLeast"/>
                <w:jc w:val="center"/>
              </w:trPr>
              <w:tc>
                <w:tcPr>
                  <w:tcW w:w="589" w:type="pct"/>
                  <w:vAlign w:val="center"/>
                </w:tcPr>
                <w:p w14:paraId="559A80A5">
                  <w:pPr>
                    <w:pStyle w:val="13"/>
                    <w:overflowPunct w:val="0"/>
                    <w:autoSpaceDE w:val="0"/>
                    <w:autoSpaceDN w:val="0"/>
                    <w:adjustRightInd w:val="0"/>
                    <w:spacing w:after="0" w:line="260" w:lineRule="exact"/>
                    <w:ind w:left="0" w:leftChars="0"/>
                    <w:jc w:val="center"/>
                    <w:textAlignment w:val="baseline"/>
                    <w:rPr>
                      <w:bCs/>
                      <w:sz w:val="21"/>
                      <w:szCs w:val="21"/>
                      <w:u w:val="single"/>
                    </w:rPr>
                  </w:pPr>
                  <w:r>
                    <w:rPr>
                      <w:bCs/>
                      <w:sz w:val="21"/>
                      <w:szCs w:val="21"/>
                      <w:u w:val="single"/>
                    </w:rPr>
                    <w:t>能源领域</w:t>
                  </w:r>
                </w:p>
              </w:tc>
              <w:tc>
                <w:tcPr>
                  <w:tcW w:w="2323" w:type="pct"/>
                  <w:vAlign w:val="center"/>
                </w:tcPr>
                <w:p w14:paraId="23460B2A">
                  <w:pPr>
                    <w:pStyle w:val="13"/>
                    <w:overflowPunct w:val="0"/>
                    <w:autoSpaceDE w:val="0"/>
                    <w:autoSpaceDN w:val="0"/>
                    <w:adjustRightInd w:val="0"/>
                    <w:spacing w:after="0" w:line="260" w:lineRule="exact"/>
                    <w:ind w:left="0" w:leftChars="0"/>
                    <w:jc w:val="left"/>
                    <w:textAlignment w:val="baseline"/>
                    <w:rPr>
                      <w:bCs/>
                      <w:sz w:val="21"/>
                      <w:szCs w:val="21"/>
                      <w:u w:val="single"/>
                    </w:rPr>
                  </w:pPr>
                  <w:r>
                    <w:rPr>
                      <w:bCs/>
                      <w:sz w:val="21"/>
                      <w:szCs w:val="21"/>
                      <w:u w:val="single"/>
                    </w:rPr>
                    <w:t>推动能源绿色低碳转型。严格落实煤炭等量、减量替代，提高电煤消费占比。多渠道扩展天然气气源，扩大外受电比重，持续推进“煤改气”“煤改电”工程，大力推进使用清洁能源或电厂热力、工业余热等替代锅炉、炉窑燃料用煤，加快推动玻璃、地板砖等建材行业企业以及有色冶炼行业鼓风炉、反射炉等“煤改气”，依法依规推进煤气发生炉有序退出，推动非化石能源发展。到2025年，煤炭消费占一次能源消费比重下降至51%左右，电煤消费占比达到55%以上。</w:t>
                  </w:r>
                </w:p>
              </w:tc>
              <w:tc>
                <w:tcPr>
                  <w:tcW w:w="1585" w:type="pct"/>
                  <w:vAlign w:val="center"/>
                </w:tcPr>
                <w:p w14:paraId="51272033">
                  <w:pPr>
                    <w:pStyle w:val="13"/>
                    <w:overflowPunct w:val="0"/>
                    <w:autoSpaceDE w:val="0"/>
                    <w:autoSpaceDN w:val="0"/>
                    <w:adjustRightInd w:val="0"/>
                    <w:spacing w:after="0" w:line="260" w:lineRule="exact"/>
                    <w:ind w:left="0" w:leftChars="0"/>
                    <w:jc w:val="center"/>
                    <w:textAlignment w:val="baseline"/>
                    <w:rPr>
                      <w:bCs/>
                      <w:color w:val="000000"/>
                      <w:sz w:val="21"/>
                      <w:szCs w:val="21"/>
                      <w:highlight w:val="yellow"/>
                      <w:u w:val="single"/>
                    </w:rPr>
                  </w:pPr>
                  <w:r>
                    <w:rPr>
                      <w:kern w:val="2"/>
                      <w:sz w:val="21"/>
                      <w:szCs w:val="21"/>
                      <w:u w:val="single"/>
                      <w:lang w:val="zh-CN" w:bidi="zh-CN"/>
                    </w:rPr>
                    <w:t>企业采用电</w:t>
                  </w:r>
                  <w:r>
                    <w:rPr>
                      <w:rFonts w:hint="eastAsia"/>
                      <w:kern w:val="2"/>
                      <w:sz w:val="21"/>
                      <w:szCs w:val="21"/>
                      <w:u w:val="single"/>
                      <w:lang w:val="zh-CN" w:bidi="zh-CN"/>
                    </w:rPr>
                    <w:t>、</w:t>
                  </w:r>
                  <w:r>
                    <w:rPr>
                      <w:rFonts w:hint="eastAsia"/>
                      <w:kern w:val="2"/>
                      <w:sz w:val="21"/>
                      <w:szCs w:val="21"/>
                      <w:u w:val="single"/>
                      <w:lang w:bidi="zh-CN"/>
                    </w:rPr>
                    <w:t>天然气为</w:t>
                  </w:r>
                  <w:r>
                    <w:rPr>
                      <w:kern w:val="2"/>
                      <w:sz w:val="21"/>
                      <w:szCs w:val="21"/>
                      <w:u w:val="single"/>
                      <w:lang w:val="zh-CN" w:bidi="zh-CN"/>
                    </w:rPr>
                    <w:t>能源，不涉及燃煤。</w:t>
                  </w:r>
                </w:p>
              </w:tc>
              <w:tc>
                <w:tcPr>
                  <w:tcW w:w="502" w:type="pct"/>
                  <w:vAlign w:val="center"/>
                </w:tcPr>
                <w:p w14:paraId="650B2B7A">
                  <w:pPr>
                    <w:pStyle w:val="13"/>
                    <w:overflowPunct w:val="0"/>
                    <w:autoSpaceDE w:val="0"/>
                    <w:autoSpaceDN w:val="0"/>
                    <w:adjustRightInd w:val="0"/>
                    <w:spacing w:after="0" w:line="260" w:lineRule="exact"/>
                    <w:ind w:left="0" w:leftChars="0"/>
                    <w:jc w:val="center"/>
                    <w:textAlignment w:val="baseline"/>
                    <w:rPr>
                      <w:bCs/>
                      <w:sz w:val="21"/>
                      <w:szCs w:val="21"/>
                      <w:u w:val="single"/>
                    </w:rPr>
                  </w:pPr>
                  <w:r>
                    <w:rPr>
                      <w:bCs/>
                      <w:sz w:val="21"/>
                      <w:szCs w:val="21"/>
                      <w:u w:val="single"/>
                    </w:rPr>
                    <w:t>符合</w:t>
                  </w:r>
                </w:p>
              </w:tc>
            </w:tr>
            <w:tr w14:paraId="649AB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9" w:type="pct"/>
                  <w:vMerge w:val="restart"/>
                  <w:vAlign w:val="center"/>
                </w:tcPr>
                <w:p w14:paraId="413F2D8B">
                  <w:pPr>
                    <w:pStyle w:val="13"/>
                    <w:overflowPunct w:val="0"/>
                    <w:autoSpaceDE w:val="0"/>
                    <w:autoSpaceDN w:val="0"/>
                    <w:adjustRightInd w:val="0"/>
                    <w:spacing w:after="0" w:line="260" w:lineRule="exact"/>
                    <w:ind w:left="0" w:leftChars="0"/>
                    <w:jc w:val="center"/>
                    <w:textAlignment w:val="baseline"/>
                    <w:rPr>
                      <w:bCs/>
                      <w:sz w:val="21"/>
                      <w:szCs w:val="21"/>
                      <w:highlight w:val="yellow"/>
                      <w:u w:val="single"/>
                    </w:rPr>
                  </w:pPr>
                  <w:r>
                    <w:rPr>
                      <w:bCs/>
                      <w:sz w:val="21"/>
                      <w:szCs w:val="21"/>
                      <w:u w:val="single"/>
                    </w:rPr>
                    <w:t>工业和信息化领域</w:t>
                  </w:r>
                </w:p>
              </w:tc>
              <w:tc>
                <w:tcPr>
                  <w:tcW w:w="2323" w:type="pct"/>
                  <w:vAlign w:val="center"/>
                </w:tcPr>
                <w:p w14:paraId="2FC316EC">
                  <w:pPr>
                    <w:pStyle w:val="13"/>
                    <w:overflowPunct w:val="0"/>
                    <w:autoSpaceDE w:val="0"/>
                    <w:autoSpaceDN w:val="0"/>
                    <w:adjustRightInd w:val="0"/>
                    <w:spacing w:after="0" w:line="260" w:lineRule="exact"/>
                    <w:ind w:left="0" w:leftChars="0"/>
                    <w:jc w:val="left"/>
                    <w:textAlignment w:val="baseline"/>
                    <w:rPr>
                      <w:bCs/>
                      <w:sz w:val="21"/>
                      <w:szCs w:val="21"/>
                      <w:u w:val="single"/>
                    </w:rPr>
                  </w:pPr>
                  <w:r>
                    <w:rPr>
                      <w:bCs/>
                      <w:sz w:val="21"/>
                      <w:szCs w:val="21"/>
                      <w:u w:val="single"/>
                    </w:rPr>
                    <w:t>优化产业结构和布局。严格项目准入，遏制“两高一低”项目盲目发展。落实产业规划及产业政策，严格执行重点行业产能置换办法，依法依规淘汰落后产能。优化产业链布局，开展传统产业集群排查整治，推进重点涉气企业入区入园。到2025年，按照相关政策和环保标准整合关停环境绩效水平低的砖瓦企业。</w:t>
                  </w:r>
                </w:p>
              </w:tc>
              <w:tc>
                <w:tcPr>
                  <w:tcW w:w="1585" w:type="pct"/>
                  <w:vAlign w:val="center"/>
                </w:tcPr>
                <w:p w14:paraId="6A532503">
                  <w:pPr>
                    <w:pStyle w:val="13"/>
                    <w:overflowPunct w:val="0"/>
                    <w:autoSpaceDE w:val="0"/>
                    <w:autoSpaceDN w:val="0"/>
                    <w:adjustRightInd w:val="0"/>
                    <w:spacing w:after="0" w:line="260" w:lineRule="exact"/>
                    <w:ind w:left="0" w:leftChars="0"/>
                    <w:jc w:val="center"/>
                    <w:textAlignment w:val="baseline"/>
                    <w:rPr>
                      <w:bCs/>
                      <w:color w:val="000000"/>
                      <w:sz w:val="21"/>
                      <w:szCs w:val="21"/>
                      <w:u w:val="single"/>
                    </w:rPr>
                  </w:pPr>
                  <w:r>
                    <w:rPr>
                      <w:bCs/>
                      <w:color w:val="000000"/>
                      <w:sz w:val="21"/>
                      <w:szCs w:val="21"/>
                      <w:u w:val="single"/>
                    </w:rPr>
                    <w:t>根据湖南省发展和改革委员会《关于印发＜湖南省“两高”项目管理目录＞的通知》（湘发改环资[2021]968号）中湖南省“两高”项目管理目录，本项目涉及的主要产品及工序均不在湖南省“两高”项目管理目录中。</w:t>
                  </w:r>
                </w:p>
              </w:tc>
              <w:tc>
                <w:tcPr>
                  <w:tcW w:w="502" w:type="pct"/>
                  <w:vAlign w:val="center"/>
                </w:tcPr>
                <w:p w14:paraId="12BFD6A9">
                  <w:pPr>
                    <w:pStyle w:val="13"/>
                    <w:overflowPunct w:val="0"/>
                    <w:autoSpaceDE w:val="0"/>
                    <w:autoSpaceDN w:val="0"/>
                    <w:adjustRightInd w:val="0"/>
                    <w:spacing w:after="0" w:line="260" w:lineRule="exact"/>
                    <w:ind w:left="0" w:leftChars="0"/>
                    <w:jc w:val="center"/>
                    <w:textAlignment w:val="baseline"/>
                    <w:rPr>
                      <w:bCs/>
                      <w:sz w:val="21"/>
                      <w:szCs w:val="21"/>
                      <w:u w:val="single"/>
                    </w:rPr>
                  </w:pPr>
                  <w:r>
                    <w:rPr>
                      <w:bCs/>
                      <w:sz w:val="21"/>
                      <w:szCs w:val="21"/>
                      <w:u w:val="single"/>
                    </w:rPr>
                    <w:t>符合</w:t>
                  </w:r>
                </w:p>
              </w:tc>
            </w:tr>
            <w:tr w14:paraId="48468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jc w:val="center"/>
              </w:trPr>
              <w:tc>
                <w:tcPr>
                  <w:tcW w:w="589" w:type="pct"/>
                  <w:vMerge w:val="continue"/>
                  <w:vAlign w:val="center"/>
                </w:tcPr>
                <w:p w14:paraId="1EEFE2AA">
                  <w:pPr>
                    <w:pStyle w:val="13"/>
                    <w:overflowPunct w:val="0"/>
                    <w:autoSpaceDE w:val="0"/>
                    <w:autoSpaceDN w:val="0"/>
                    <w:adjustRightInd w:val="0"/>
                    <w:spacing w:after="0" w:line="260" w:lineRule="exact"/>
                    <w:ind w:left="0" w:leftChars="0"/>
                    <w:jc w:val="center"/>
                    <w:textAlignment w:val="baseline"/>
                    <w:rPr>
                      <w:bCs/>
                      <w:sz w:val="21"/>
                      <w:szCs w:val="21"/>
                      <w:u w:val="single"/>
                    </w:rPr>
                  </w:pPr>
                </w:p>
              </w:tc>
              <w:tc>
                <w:tcPr>
                  <w:tcW w:w="2323" w:type="pct"/>
                  <w:vAlign w:val="center"/>
                </w:tcPr>
                <w:p w14:paraId="73D74429">
                  <w:pPr>
                    <w:pStyle w:val="13"/>
                    <w:overflowPunct w:val="0"/>
                    <w:autoSpaceDE w:val="0"/>
                    <w:autoSpaceDN w:val="0"/>
                    <w:adjustRightInd w:val="0"/>
                    <w:spacing w:after="0" w:line="260" w:lineRule="exact"/>
                    <w:ind w:left="0" w:leftChars="0"/>
                    <w:jc w:val="left"/>
                    <w:textAlignment w:val="baseline"/>
                    <w:rPr>
                      <w:bCs/>
                      <w:sz w:val="21"/>
                      <w:szCs w:val="21"/>
                      <w:u w:val="single"/>
                    </w:rPr>
                  </w:pPr>
                  <w:r>
                    <w:rPr>
                      <w:bCs/>
                      <w:sz w:val="21"/>
                      <w:szCs w:val="21"/>
                      <w:u w:val="single"/>
                    </w:rPr>
                    <w:t>加大低VOCs原辅材料替代力度。建立多部门联合执法机制，加大监督检查力度，确保生产、销售、使用符合VOCs含量限值标准的产品。以工业涂装、包装印刷和胶粘剂使用等为重点，在企业清洁生产审核中明确提出低VOCs原辅材料替代要求。</w:t>
                  </w:r>
                </w:p>
              </w:tc>
              <w:tc>
                <w:tcPr>
                  <w:tcW w:w="1585" w:type="pct"/>
                  <w:vAlign w:val="center"/>
                </w:tcPr>
                <w:p w14:paraId="245EBFC6">
                  <w:pPr>
                    <w:pStyle w:val="13"/>
                    <w:overflowPunct w:val="0"/>
                    <w:autoSpaceDE w:val="0"/>
                    <w:autoSpaceDN w:val="0"/>
                    <w:adjustRightInd w:val="0"/>
                    <w:spacing w:after="0" w:line="260" w:lineRule="exact"/>
                    <w:ind w:left="0" w:leftChars="0"/>
                    <w:jc w:val="center"/>
                    <w:textAlignment w:val="baseline"/>
                    <w:rPr>
                      <w:bCs/>
                      <w:color w:val="000000"/>
                      <w:sz w:val="21"/>
                      <w:szCs w:val="21"/>
                      <w:u w:val="single"/>
                    </w:rPr>
                  </w:pPr>
                  <w:r>
                    <w:rPr>
                      <w:bCs/>
                      <w:sz w:val="21"/>
                      <w:szCs w:val="21"/>
                      <w:u w:val="single"/>
                    </w:rPr>
                    <w:t>本项目</w:t>
                  </w:r>
                  <w:r>
                    <w:rPr>
                      <w:rFonts w:hint="eastAsia"/>
                      <w:bCs/>
                      <w:sz w:val="21"/>
                      <w:szCs w:val="21"/>
                      <w:u w:val="single"/>
                    </w:rPr>
                    <w:t>使用油性漆和水性漆，</w:t>
                  </w:r>
                  <w:r>
                    <w:rPr>
                      <w:bCs/>
                      <w:sz w:val="21"/>
                      <w:szCs w:val="21"/>
                      <w:u w:val="single"/>
                    </w:rPr>
                    <w:t>油漆使用量</w:t>
                  </w:r>
                  <w:r>
                    <w:rPr>
                      <w:rFonts w:hint="eastAsia"/>
                      <w:bCs/>
                      <w:sz w:val="21"/>
                      <w:szCs w:val="21"/>
                      <w:u w:val="single"/>
                    </w:rPr>
                    <w:t>相对</w:t>
                  </w:r>
                  <w:r>
                    <w:rPr>
                      <w:bCs/>
                      <w:sz w:val="21"/>
                      <w:szCs w:val="21"/>
                      <w:u w:val="single"/>
                    </w:rPr>
                    <w:t>较少。经与建设单位沟通，现阶段</w:t>
                  </w:r>
                  <w:r>
                    <w:rPr>
                      <w:rFonts w:hint="eastAsia"/>
                      <w:bCs/>
                      <w:sz w:val="21"/>
                      <w:szCs w:val="21"/>
                      <w:u w:val="single"/>
                    </w:rPr>
                    <w:t>部分下游厂家所需产品需使用</w:t>
                  </w:r>
                  <w:r>
                    <w:rPr>
                      <w:bCs/>
                      <w:sz w:val="21"/>
                      <w:szCs w:val="21"/>
                      <w:u w:val="single"/>
                    </w:rPr>
                    <w:t>油性漆</w:t>
                  </w:r>
                  <w:r>
                    <w:rPr>
                      <w:rFonts w:hint="eastAsia"/>
                      <w:bCs/>
                      <w:sz w:val="21"/>
                      <w:szCs w:val="21"/>
                      <w:u w:val="single"/>
                    </w:rPr>
                    <w:t>方</w:t>
                  </w:r>
                  <w:r>
                    <w:rPr>
                      <w:bCs/>
                      <w:sz w:val="21"/>
                      <w:szCs w:val="21"/>
                      <w:u w:val="single"/>
                    </w:rPr>
                    <w:t>可满足产品的使用要求。建设单位承诺，在水性漆能够满足项目产品工艺要求时，建设单位将及时更换水性漆。</w:t>
                  </w:r>
                </w:p>
              </w:tc>
              <w:tc>
                <w:tcPr>
                  <w:tcW w:w="502" w:type="pct"/>
                  <w:vAlign w:val="center"/>
                </w:tcPr>
                <w:p w14:paraId="61EFD18A">
                  <w:pPr>
                    <w:pStyle w:val="13"/>
                    <w:overflowPunct w:val="0"/>
                    <w:autoSpaceDE w:val="0"/>
                    <w:autoSpaceDN w:val="0"/>
                    <w:adjustRightInd w:val="0"/>
                    <w:spacing w:after="0" w:line="260" w:lineRule="exact"/>
                    <w:ind w:left="0" w:leftChars="0"/>
                    <w:jc w:val="center"/>
                    <w:textAlignment w:val="baseline"/>
                    <w:rPr>
                      <w:bCs/>
                      <w:sz w:val="21"/>
                      <w:szCs w:val="21"/>
                      <w:u w:val="single"/>
                    </w:rPr>
                  </w:pPr>
                  <w:r>
                    <w:rPr>
                      <w:rFonts w:hint="eastAsia"/>
                      <w:bCs/>
                      <w:sz w:val="21"/>
                      <w:szCs w:val="21"/>
                      <w:u w:val="single"/>
                    </w:rPr>
                    <w:t>基本符合</w:t>
                  </w:r>
                </w:p>
              </w:tc>
            </w:tr>
            <w:tr w14:paraId="08992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5" w:hRule="atLeast"/>
                <w:jc w:val="center"/>
              </w:trPr>
              <w:tc>
                <w:tcPr>
                  <w:tcW w:w="589" w:type="pct"/>
                  <w:vAlign w:val="center"/>
                </w:tcPr>
                <w:p w14:paraId="54C28671">
                  <w:pPr>
                    <w:spacing w:line="260" w:lineRule="exact"/>
                    <w:jc w:val="center"/>
                    <w:rPr>
                      <w:bCs/>
                      <w:color w:val="000000"/>
                      <w:kern w:val="0"/>
                      <w:szCs w:val="21"/>
                      <w:u w:val="single"/>
                    </w:rPr>
                  </w:pPr>
                  <w:r>
                    <w:rPr>
                      <w:bCs/>
                      <w:color w:val="000000"/>
                      <w:kern w:val="0"/>
                      <w:szCs w:val="21"/>
                      <w:u w:val="single"/>
                    </w:rPr>
                    <w:t>工业治理领域</w:t>
                  </w:r>
                </w:p>
              </w:tc>
              <w:tc>
                <w:tcPr>
                  <w:tcW w:w="2323" w:type="pct"/>
                  <w:vAlign w:val="center"/>
                </w:tcPr>
                <w:p w14:paraId="45AC9097">
                  <w:pPr>
                    <w:spacing w:line="260" w:lineRule="exact"/>
                    <w:jc w:val="left"/>
                    <w:rPr>
                      <w:bCs/>
                      <w:color w:val="000000"/>
                      <w:kern w:val="0"/>
                      <w:szCs w:val="21"/>
                      <w:u w:val="single"/>
                    </w:rPr>
                  </w:pPr>
                  <w:r>
                    <w:rPr>
                      <w:bCs/>
                      <w:color w:val="000000"/>
                      <w:kern w:val="0"/>
                      <w:szCs w:val="21"/>
                      <w:u w:val="single"/>
                    </w:rPr>
                    <w:t>开展涉VOCs重点行业全流程整治。持续开展VOCs治理突出问题排查，清理整顿简易低效、不合规定治理设施，强化无组织和非正常工况废气排放管控。规范开展泄漏检测与修复。推动各市州分别新建1</w:t>
                  </w:r>
                  <w:r>
                    <w:rPr>
                      <w:rFonts w:hint="eastAsia"/>
                      <w:bCs/>
                      <w:color w:val="000000"/>
                      <w:kern w:val="0"/>
                      <w:szCs w:val="21"/>
                      <w:u w:val="single"/>
                    </w:rPr>
                    <w:t>-</w:t>
                  </w:r>
                  <w:r>
                    <w:rPr>
                      <w:bCs/>
                      <w:color w:val="000000"/>
                      <w:kern w:val="0"/>
                      <w:szCs w:val="21"/>
                      <w:u w:val="single"/>
                    </w:rPr>
                    <w:t>3个涉VOCs“绿岛”项目。</w:t>
                  </w:r>
                </w:p>
              </w:tc>
              <w:tc>
                <w:tcPr>
                  <w:tcW w:w="1585" w:type="pct"/>
                  <w:vAlign w:val="center"/>
                </w:tcPr>
                <w:p w14:paraId="0833CE25">
                  <w:pPr>
                    <w:pStyle w:val="13"/>
                    <w:overflowPunct w:val="0"/>
                    <w:autoSpaceDE w:val="0"/>
                    <w:autoSpaceDN w:val="0"/>
                    <w:adjustRightInd w:val="0"/>
                    <w:spacing w:after="0" w:line="260" w:lineRule="exact"/>
                    <w:ind w:left="0" w:leftChars="0"/>
                    <w:jc w:val="center"/>
                    <w:textAlignment w:val="baseline"/>
                    <w:rPr>
                      <w:bCs/>
                      <w:color w:val="000000"/>
                      <w:sz w:val="21"/>
                      <w:szCs w:val="21"/>
                      <w:u w:val="single"/>
                    </w:rPr>
                  </w:pPr>
                  <w:r>
                    <w:rPr>
                      <w:bCs/>
                      <w:color w:val="000000"/>
                      <w:sz w:val="21"/>
                      <w:szCs w:val="21"/>
                      <w:u w:val="single"/>
                    </w:rPr>
                    <w:t>本项目喷漆废气拟采取</w:t>
                  </w:r>
                  <w:r>
                    <w:rPr>
                      <w:sz w:val="21"/>
                      <w:szCs w:val="21"/>
                      <w:u w:val="single"/>
                    </w:rPr>
                    <w:t>过滤</w:t>
                  </w:r>
                  <w:r>
                    <w:rPr>
                      <w:rFonts w:hint="eastAsia"/>
                      <w:sz w:val="21"/>
                      <w:szCs w:val="21"/>
                      <w:u w:val="single"/>
                    </w:rPr>
                    <w:t>棉</w:t>
                  </w:r>
                  <w:r>
                    <w:rPr>
                      <w:bCs/>
                      <w:color w:val="000000"/>
                      <w:sz w:val="21"/>
                      <w:szCs w:val="21"/>
                      <w:u w:val="single"/>
                    </w:rPr>
                    <w:t>+两级活性炭吸附装置处理，处理达标后由15m高排气筒外排。</w:t>
                  </w:r>
                </w:p>
              </w:tc>
              <w:tc>
                <w:tcPr>
                  <w:tcW w:w="502" w:type="pct"/>
                  <w:vAlign w:val="center"/>
                </w:tcPr>
                <w:p w14:paraId="46781A63">
                  <w:pPr>
                    <w:pStyle w:val="13"/>
                    <w:overflowPunct w:val="0"/>
                    <w:autoSpaceDE w:val="0"/>
                    <w:autoSpaceDN w:val="0"/>
                    <w:adjustRightInd w:val="0"/>
                    <w:spacing w:after="0" w:line="260" w:lineRule="exact"/>
                    <w:ind w:left="0" w:leftChars="0"/>
                    <w:jc w:val="center"/>
                    <w:textAlignment w:val="baseline"/>
                    <w:rPr>
                      <w:bCs/>
                      <w:sz w:val="21"/>
                      <w:szCs w:val="21"/>
                      <w:u w:val="single"/>
                    </w:rPr>
                  </w:pPr>
                  <w:r>
                    <w:rPr>
                      <w:bCs/>
                      <w:sz w:val="21"/>
                      <w:szCs w:val="21"/>
                      <w:u w:val="single"/>
                    </w:rPr>
                    <w:t>符合</w:t>
                  </w:r>
                </w:p>
              </w:tc>
            </w:tr>
          </w:tbl>
          <w:p w14:paraId="75F7AA67">
            <w:pPr>
              <w:spacing w:line="360" w:lineRule="auto"/>
              <w:ind w:firstLine="472" w:firstLineChars="200"/>
              <w:rPr>
                <w:spacing w:val="-2"/>
                <w:position w:val="-6"/>
                <w:sz w:val="24"/>
                <w:lang w:bidi="ar"/>
              </w:rPr>
            </w:pPr>
            <w:r>
              <w:rPr>
                <w:rFonts w:hint="eastAsia"/>
                <w:spacing w:val="-2"/>
                <w:position w:val="-6"/>
                <w:sz w:val="24"/>
                <w:lang w:bidi="ar"/>
              </w:rPr>
              <w:t>根据上表分析，本项目符合《湖南省大气污染防治“守护蓝天”攻坚行动计划（2023—2025年）》（湘政办发〔2023〕34号）相关要求。</w:t>
            </w:r>
          </w:p>
          <w:p w14:paraId="39511AFE">
            <w:pPr>
              <w:autoSpaceDE w:val="0"/>
              <w:autoSpaceDN w:val="0"/>
              <w:adjustRightInd w:val="0"/>
              <w:snapToGrid w:val="0"/>
              <w:spacing w:line="360" w:lineRule="auto"/>
              <w:ind w:firstLine="482" w:firstLineChars="200"/>
              <w:rPr>
                <w:b/>
                <w:bCs/>
                <w:sz w:val="24"/>
                <w:u w:val="single"/>
              </w:rPr>
            </w:pPr>
            <w:r>
              <w:rPr>
                <w:rFonts w:hint="eastAsia"/>
                <w:b/>
                <w:bCs/>
                <w:sz w:val="24"/>
                <w:u w:val="single"/>
              </w:rPr>
              <w:t>11、与《铸造工业大气污染物排放标准》（GB39726-2020）的符合性分析</w:t>
            </w:r>
          </w:p>
          <w:p w14:paraId="77855990">
            <w:pPr>
              <w:autoSpaceDE w:val="0"/>
              <w:autoSpaceDN w:val="0"/>
              <w:adjustRightInd w:val="0"/>
              <w:snapToGrid w:val="0"/>
              <w:spacing w:line="360" w:lineRule="auto"/>
              <w:ind w:firstLine="480" w:firstLineChars="200"/>
              <w:rPr>
                <w:b/>
                <w:bCs/>
                <w:sz w:val="24"/>
                <w:u w:val="single"/>
              </w:rPr>
            </w:pPr>
            <w:r>
              <w:rPr>
                <w:rFonts w:hint="eastAsia"/>
                <w:kern w:val="0"/>
                <w:sz w:val="24"/>
                <w:u w:val="single"/>
              </w:rPr>
              <w:t>项目与</w:t>
            </w:r>
            <w:r>
              <w:rPr>
                <w:rFonts w:hint="eastAsia"/>
                <w:sz w:val="24"/>
                <w:u w:val="single"/>
              </w:rPr>
              <w:t>《铸造工业大气污染物排放标准》（GB39726-2020）</w:t>
            </w:r>
            <w:r>
              <w:rPr>
                <w:rFonts w:hint="eastAsia"/>
                <w:kern w:val="0"/>
                <w:sz w:val="24"/>
                <w:u w:val="single"/>
              </w:rPr>
              <w:t>符合性分析见下表：</w:t>
            </w:r>
          </w:p>
          <w:p w14:paraId="51C9DA9A">
            <w:pPr>
              <w:autoSpaceDE w:val="0"/>
              <w:autoSpaceDN w:val="0"/>
              <w:adjustRightInd w:val="0"/>
              <w:snapToGrid w:val="0"/>
              <w:jc w:val="center"/>
              <w:rPr>
                <w:b/>
                <w:bCs/>
                <w:szCs w:val="21"/>
                <w:u w:val="single"/>
              </w:rPr>
            </w:pPr>
            <w:r>
              <w:rPr>
                <w:rFonts w:hint="eastAsia"/>
                <w:b/>
                <w:bCs/>
                <w:szCs w:val="21"/>
                <w:u w:val="single"/>
              </w:rPr>
              <w:t>表1-11 与《铸造工业大气污染物排放标准》（GB39726-2020）的符合性分析一览表</w:t>
            </w:r>
          </w:p>
          <w:tbl>
            <w:tblPr>
              <w:tblStyle w:val="3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54"/>
              <w:gridCol w:w="2726"/>
            </w:tblGrid>
            <w:tr w14:paraId="45079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47D4385C">
                  <w:pPr>
                    <w:autoSpaceDE w:val="0"/>
                    <w:autoSpaceDN w:val="0"/>
                    <w:adjustRightInd w:val="0"/>
                    <w:snapToGrid w:val="0"/>
                    <w:jc w:val="center"/>
                    <w:rPr>
                      <w:b/>
                      <w:bCs/>
                      <w:szCs w:val="21"/>
                      <w:u w:val="single"/>
                    </w:rPr>
                  </w:pPr>
                  <w:r>
                    <w:rPr>
                      <w:rFonts w:hint="eastAsia"/>
                      <w:b/>
                      <w:bCs/>
                      <w:szCs w:val="21"/>
                      <w:u w:val="single"/>
                    </w:rPr>
                    <w:t>标准要求</w:t>
                  </w:r>
                </w:p>
              </w:tc>
              <w:tc>
                <w:tcPr>
                  <w:tcW w:w="1797" w:type="pct"/>
                  <w:vAlign w:val="center"/>
                </w:tcPr>
                <w:p w14:paraId="33830946">
                  <w:pPr>
                    <w:autoSpaceDE w:val="0"/>
                    <w:autoSpaceDN w:val="0"/>
                    <w:adjustRightInd w:val="0"/>
                    <w:snapToGrid w:val="0"/>
                    <w:jc w:val="center"/>
                    <w:rPr>
                      <w:b/>
                      <w:bCs/>
                      <w:szCs w:val="21"/>
                      <w:u w:val="single"/>
                    </w:rPr>
                  </w:pPr>
                  <w:r>
                    <w:rPr>
                      <w:rFonts w:hint="eastAsia"/>
                      <w:b/>
                      <w:bCs/>
                      <w:szCs w:val="21"/>
                      <w:u w:val="single"/>
                    </w:rPr>
                    <w:t>项目情况</w:t>
                  </w:r>
                </w:p>
              </w:tc>
            </w:tr>
            <w:tr w14:paraId="51001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vAlign w:val="center"/>
                </w:tcPr>
                <w:p w14:paraId="4E98A508">
                  <w:pPr>
                    <w:autoSpaceDE w:val="0"/>
                    <w:autoSpaceDN w:val="0"/>
                    <w:adjustRightInd w:val="0"/>
                    <w:snapToGrid w:val="0"/>
                    <w:jc w:val="center"/>
                    <w:rPr>
                      <w:b/>
                      <w:bCs/>
                      <w:szCs w:val="21"/>
                      <w:u w:val="single"/>
                    </w:rPr>
                  </w:pPr>
                  <w:r>
                    <w:rPr>
                      <w:rFonts w:hint="eastAsia"/>
                      <w:b/>
                      <w:bCs/>
                      <w:szCs w:val="21"/>
                      <w:u w:val="single"/>
                    </w:rPr>
                    <w:t>有组织排放控制要求</w:t>
                  </w:r>
                </w:p>
              </w:tc>
            </w:tr>
            <w:tr w14:paraId="75BB5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0AB8B767">
                  <w:pPr>
                    <w:autoSpaceDE w:val="0"/>
                    <w:autoSpaceDN w:val="0"/>
                    <w:adjustRightInd w:val="0"/>
                    <w:snapToGrid w:val="0"/>
                    <w:jc w:val="center"/>
                    <w:rPr>
                      <w:b/>
                      <w:bCs/>
                      <w:szCs w:val="21"/>
                      <w:u w:val="single"/>
                    </w:rPr>
                  </w:pPr>
                  <w:r>
                    <w:rPr>
                      <w:rFonts w:hint="eastAsia"/>
                      <w:szCs w:val="21"/>
                      <w:u w:val="single"/>
                    </w:rPr>
                    <w:t>车间或生产设施排气中NMHC初始排放速率≥3kg/h的，VOCs处理设施的处理效率不应低于80%。对于重点地区，车间或生产设施排气中NMHC初始排放速率≥2kg/h的，VOCs处理设施的处理效率不应低于80%；采用的原辅材料符合国家有关低VOCs含量产品规定的除外；</w:t>
                  </w:r>
                </w:p>
              </w:tc>
              <w:tc>
                <w:tcPr>
                  <w:tcW w:w="1797" w:type="pct"/>
                  <w:vAlign w:val="center"/>
                </w:tcPr>
                <w:p w14:paraId="6B60A589">
                  <w:pPr>
                    <w:autoSpaceDE w:val="0"/>
                    <w:autoSpaceDN w:val="0"/>
                    <w:adjustRightInd w:val="0"/>
                    <w:snapToGrid w:val="0"/>
                    <w:jc w:val="center"/>
                    <w:rPr>
                      <w:b/>
                      <w:bCs/>
                      <w:szCs w:val="21"/>
                      <w:u w:val="single"/>
                    </w:rPr>
                  </w:pPr>
                  <w:r>
                    <w:rPr>
                      <w:rFonts w:hint="eastAsia"/>
                      <w:szCs w:val="21"/>
                      <w:u w:val="single"/>
                    </w:rPr>
                    <w:t>本项目车间或生产设施排气中NMHC初始排放速率未超过2kg/h，VOCs处理采用两级活性炭吸附处理。</w:t>
                  </w:r>
                </w:p>
              </w:tc>
            </w:tr>
            <w:tr w14:paraId="74F50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302BC786">
                  <w:pPr>
                    <w:autoSpaceDE w:val="0"/>
                    <w:autoSpaceDN w:val="0"/>
                    <w:adjustRightInd w:val="0"/>
                    <w:snapToGrid w:val="0"/>
                    <w:jc w:val="center"/>
                    <w:rPr>
                      <w:b/>
                      <w:bCs/>
                      <w:szCs w:val="21"/>
                      <w:u w:val="single"/>
                    </w:rPr>
                  </w:pPr>
                  <w:r>
                    <w:rPr>
                      <w:rFonts w:hint="eastAsia"/>
                      <w:szCs w:val="21"/>
                      <w:u w:val="single"/>
                    </w:rPr>
                    <w:t>废气收集处理系统应与生产工艺设备同步运行。废气收集处理系统发生故障或检修时，对应的生产工艺设备应停止运行，待排除故障或检修完毕后同步投入使用；生产工艺设备不能停止运行或不能及时停止运行的，应设置废气应急处理设施或采取其他替代措施；</w:t>
                  </w:r>
                </w:p>
              </w:tc>
              <w:tc>
                <w:tcPr>
                  <w:tcW w:w="1797" w:type="pct"/>
                  <w:vAlign w:val="center"/>
                </w:tcPr>
                <w:p w14:paraId="1A922DD5">
                  <w:pPr>
                    <w:autoSpaceDE w:val="0"/>
                    <w:autoSpaceDN w:val="0"/>
                    <w:adjustRightInd w:val="0"/>
                    <w:snapToGrid w:val="0"/>
                    <w:jc w:val="center"/>
                    <w:rPr>
                      <w:szCs w:val="21"/>
                      <w:u w:val="single"/>
                    </w:rPr>
                  </w:pPr>
                  <w:r>
                    <w:rPr>
                      <w:rFonts w:hint="eastAsia"/>
                      <w:szCs w:val="21"/>
                      <w:u w:val="single"/>
                    </w:rPr>
                    <w:t>本环评要求企业设置专人管理环保设施，定期维护和检修。废气收集处理系统做到同生产工艺设备同步运行。</w:t>
                  </w:r>
                </w:p>
              </w:tc>
            </w:tr>
            <w:tr w14:paraId="07F96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02" w:type="pct"/>
                  <w:vAlign w:val="center"/>
                </w:tcPr>
                <w:p w14:paraId="776D605A">
                  <w:pPr>
                    <w:autoSpaceDE w:val="0"/>
                    <w:autoSpaceDN w:val="0"/>
                    <w:adjustRightInd w:val="0"/>
                    <w:snapToGrid w:val="0"/>
                    <w:jc w:val="center"/>
                    <w:rPr>
                      <w:b/>
                      <w:bCs/>
                      <w:szCs w:val="21"/>
                      <w:u w:val="single"/>
                    </w:rPr>
                  </w:pPr>
                  <w:r>
                    <w:rPr>
                      <w:rFonts w:hint="eastAsia"/>
                      <w:szCs w:val="21"/>
                      <w:u w:val="single"/>
                    </w:rPr>
                    <w:t>除移动式除尘设备外，其他车间或生产设施排气筒高度不低于15 m，具体高度以及与周围建筑物的相对高度关系应根据环境影响评价文件确定；</w:t>
                  </w:r>
                </w:p>
              </w:tc>
              <w:tc>
                <w:tcPr>
                  <w:tcW w:w="1797" w:type="pct"/>
                  <w:vAlign w:val="center"/>
                </w:tcPr>
                <w:p w14:paraId="3A1663A4">
                  <w:pPr>
                    <w:autoSpaceDE w:val="0"/>
                    <w:autoSpaceDN w:val="0"/>
                    <w:adjustRightInd w:val="0"/>
                    <w:snapToGrid w:val="0"/>
                    <w:jc w:val="center"/>
                    <w:rPr>
                      <w:szCs w:val="21"/>
                      <w:u w:val="single"/>
                    </w:rPr>
                  </w:pPr>
                  <w:r>
                    <w:rPr>
                      <w:rFonts w:hint="eastAsia"/>
                      <w:szCs w:val="21"/>
                      <w:u w:val="single"/>
                    </w:rPr>
                    <w:t>本项目共设置4个排气筒，高度均为15m，去冒口、打磨、焊接废气均经移动式除尘器处理后无组织排放。</w:t>
                  </w:r>
                </w:p>
              </w:tc>
            </w:tr>
            <w:tr w14:paraId="61DD5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vAlign w:val="center"/>
                </w:tcPr>
                <w:p w14:paraId="0657657E">
                  <w:pPr>
                    <w:autoSpaceDE w:val="0"/>
                    <w:autoSpaceDN w:val="0"/>
                    <w:adjustRightInd w:val="0"/>
                    <w:snapToGrid w:val="0"/>
                    <w:jc w:val="center"/>
                    <w:rPr>
                      <w:b/>
                      <w:bCs/>
                      <w:szCs w:val="21"/>
                      <w:u w:val="single"/>
                    </w:rPr>
                  </w:pPr>
                  <w:r>
                    <w:rPr>
                      <w:rFonts w:hint="eastAsia"/>
                      <w:b/>
                      <w:bCs/>
                      <w:szCs w:val="21"/>
                      <w:u w:val="single"/>
                    </w:rPr>
                    <w:t>颗粒物无组织排放控制措施</w:t>
                  </w:r>
                </w:p>
              </w:tc>
            </w:tr>
            <w:tr w14:paraId="1CACC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038EB7E3">
                  <w:pPr>
                    <w:autoSpaceDE w:val="0"/>
                    <w:autoSpaceDN w:val="0"/>
                    <w:adjustRightInd w:val="0"/>
                    <w:snapToGrid w:val="0"/>
                    <w:jc w:val="center"/>
                    <w:rPr>
                      <w:b/>
                      <w:bCs/>
                      <w:szCs w:val="21"/>
                      <w:u w:val="single"/>
                    </w:rPr>
                  </w:pPr>
                  <w:r>
                    <w:rPr>
                      <w:rFonts w:hint="eastAsia"/>
                      <w:szCs w:val="21"/>
                      <w:u w:val="single"/>
                    </w:rPr>
                    <w:t>煤粉、膨润土等粉状物料和硅砂应袋装或罐装，并储存于封闭储库或半封闭料场（堆棚）中。半封闭料场（堆棚）应至少两面有围墙（围挡）及屋顶；</w:t>
                  </w:r>
                </w:p>
              </w:tc>
              <w:tc>
                <w:tcPr>
                  <w:tcW w:w="1797" w:type="pct"/>
                  <w:vAlign w:val="center"/>
                </w:tcPr>
                <w:p w14:paraId="15313AE3">
                  <w:pPr>
                    <w:autoSpaceDE w:val="0"/>
                    <w:autoSpaceDN w:val="0"/>
                    <w:adjustRightInd w:val="0"/>
                    <w:snapToGrid w:val="0"/>
                    <w:jc w:val="center"/>
                    <w:rPr>
                      <w:szCs w:val="21"/>
                      <w:u w:val="single"/>
                    </w:rPr>
                  </w:pPr>
                  <w:r>
                    <w:rPr>
                      <w:rFonts w:hint="eastAsia"/>
                      <w:szCs w:val="21"/>
                      <w:u w:val="single"/>
                    </w:rPr>
                    <w:t>项目所涉及的粉状物硅砂放置于车间内砂箱或者堆放于原料库。</w:t>
                  </w:r>
                </w:p>
              </w:tc>
            </w:tr>
            <w:tr w14:paraId="66370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2C085182">
                  <w:pPr>
                    <w:autoSpaceDE w:val="0"/>
                    <w:autoSpaceDN w:val="0"/>
                    <w:adjustRightInd w:val="0"/>
                    <w:snapToGrid w:val="0"/>
                    <w:jc w:val="center"/>
                    <w:rPr>
                      <w:b/>
                      <w:bCs/>
                      <w:szCs w:val="21"/>
                      <w:u w:val="single"/>
                    </w:rPr>
                  </w:pPr>
                  <w:r>
                    <w:rPr>
                      <w:rFonts w:hint="eastAsia"/>
                      <w:u w:val="single"/>
                    </w:rPr>
                    <w:t>生铁、废钢、焦炭和铁合金等粒状、块状散装物料应储存于封闭储库、料仓中，或储存于半封闭料场（堆棚）中。半封闭料场（堆棚）应至少两面有围墙（围挡）及屋顶，并对物料采取覆盖、喷淋（雾）等抑尘措施；</w:t>
                  </w:r>
                </w:p>
              </w:tc>
              <w:tc>
                <w:tcPr>
                  <w:tcW w:w="1797" w:type="pct"/>
                  <w:vAlign w:val="center"/>
                </w:tcPr>
                <w:p w14:paraId="562BB7CD">
                  <w:pPr>
                    <w:autoSpaceDE w:val="0"/>
                    <w:autoSpaceDN w:val="0"/>
                    <w:adjustRightInd w:val="0"/>
                    <w:snapToGrid w:val="0"/>
                    <w:jc w:val="center"/>
                    <w:rPr>
                      <w:szCs w:val="21"/>
                      <w:u w:val="single"/>
                    </w:rPr>
                  </w:pPr>
                  <w:r>
                    <w:rPr>
                      <w:rFonts w:hint="eastAsia"/>
                      <w:szCs w:val="21"/>
                      <w:u w:val="single"/>
                    </w:rPr>
                    <w:t>项目所使用的的废钢堆放于车间内原料区。</w:t>
                  </w:r>
                </w:p>
              </w:tc>
            </w:tr>
            <w:tr w14:paraId="6BAF5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6876CE33">
                  <w:pPr>
                    <w:autoSpaceDE w:val="0"/>
                    <w:autoSpaceDN w:val="0"/>
                    <w:adjustRightInd w:val="0"/>
                    <w:snapToGrid w:val="0"/>
                    <w:jc w:val="center"/>
                    <w:rPr>
                      <w:szCs w:val="21"/>
                      <w:u w:val="single"/>
                    </w:rPr>
                  </w:pPr>
                  <w:r>
                    <w:rPr>
                      <w:rFonts w:hint="eastAsia"/>
                      <w:szCs w:val="21"/>
                      <w:u w:val="single"/>
                    </w:rPr>
                    <w:t>粉状、粒状等易散发粉尘的物料厂内转移、输送过程，应封闭；转移、输送、装卸过程中产尘点应采取集气除尘措施，或喷淋（雾）等抑尘措施；</w:t>
                  </w:r>
                </w:p>
              </w:tc>
              <w:tc>
                <w:tcPr>
                  <w:tcW w:w="1797" w:type="pct"/>
                  <w:vAlign w:val="center"/>
                </w:tcPr>
                <w:p w14:paraId="30D16228">
                  <w:pPr>
                    <w:autoSpaceDE w:val="0"/>
                    <w:autoSpaceDN w:val="0"/>
                    <w:adjustRightInd w:val="0"/>
                    <w:snapToGrid w:val="0"/>
                    <w:jc w:val="center"/>
                    <w:rPr>
                      <w:szCs w:val="21"/>
                      <w:u w:val="single"/>
                    </w:rPr>
                  </w:pPr>
                  <w:r>
                    <w:rPr>
                      <w:rFonts w:hint="eastAsia"/>
                      <w:szCs w:val="21"/>
                      <w:u w:val="single"/>
                    </w:rPr>
                    <w:t>粉料物料厂区内运输均在车间。</w:t>
                  </w:r>
                </w:p>
              </w:tc>
            </w:tr>
            <w:tr w14:paraId="0289A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40374C90">
                  <w:pPr>
                    <w:autoSpaceDE w:val="0"/>
                    <w:autoSpaceDN w:val="0"/>
                    <w:adjustRightInd w:val="0"/>
                    <w:snapToGrid w:val="0"/>
                    <w:jc w:val="center"/>
                    <w:rPr>
                      <w:szCs w:val="21"/>
                      <w:u w:val="single"/>
                    </w:rPr>
                  </w:pPr>
                  <w:r>
                    <w:rPr>
                      <w:rFonts w:hint="eastAsia"/>
                      <w:szCs w:val="21"/>
                      <w:u w:val="single"/>
                    </w:rPr>
                    <w:t>除尘器卸灰口应采取遮挡等抑尘措施，除尘灰不得直接卸落到地面。除尘灰采取袋装、罐装等密闭措施收集、存放和运输；</w:t>
                  </w:r>
                </w:p>
              </w:tc>
              <w:tc>
                <w:tcPr>
                  <w:tcW w:w="1797" w:type="pct"/>
                  <w:vAlign w:val="center"/>
                </w:tcPr>
                <w:p w14:paraId="2480F6D2">
                  <w:pPr>
                    <w:autoSpaceDE w:val="0"/>
                    <w:autoSpaceDN w:val="0"/>
                    <w:adjustRightInd w:val="0"/>
                    <w:snapToGrid w:val="0"/>
                    <w:jc w:val="center"/>
                    <w:rPr>
                      <w:szCs w:val="21"/>
                      <w:u w:val="single"/>
                    </w:rPr>
                  </w:pPr>
                  <w:r>
                    <w:rPr>
                      <w:rFonts w:hint="eastAsia"/>
                      <w:szCs w:val="21"/>
                      <w:u w:val="single"/>
                    </w:rPr>
                    <w:t>除尘器卸灰口遮挡。除尘灰采取袋装收集存放于一般固废间。</w:t>
                  </w:r>
                </w:p>
              </w:tc>
            </w:tr>
            <w:tr w14:paraId="2B0A5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76C698B3">
                  <w:pPr>
                    <w:autoSpaceDE w:val="0"/>
                    <w:autoSpaceDN w:val="0"/>
                    <w:adjustRightInd w:val="0"/>
                    <w:snapToGrid w:val="0"/>
                    <w:jc w:val="center"/>
                    <w:rPr>
                      <w:szCs w:val="21"/>
                      <w:u w:val="single"/>
                    </w:rPr>
                  </w:pPr>
                  <w:r>
                    <w:rPr>
                      <w:rFonts w:hint="eastAsia"/>
                      <w:szCs w:val="21"/>
                      <w:u w:val="single"/>
                    </w:rPr>
                    <w:t>厂区道路应硬化，并采取定期清扫、洒水等措施，保持清洁；</w:t>
                  </w:r>
                </w:p>
              </w:tc>
              <w:tc>
                <w:tcPr>
                  <w:tcW w:w="1797" w:type="pct"/>
                  <w:vAlign w:val="center"/>
                </w:tcPr>
                <w:p w14:paraId="3BDD120D">
                  <w:pPr>
                    <w:autoSpaceDE w:val="0"/>
                    <w:autoSpaceDN w:val="0"/>
                    <w:adjustRightInd w:val="0"/>
                    <w:snapToGrid w:val="0"/>
                    <w:jc w:val="center"/>
                    <w:rPr>
                      <w:szCs w:val="21"/>
                      <w:u w:val="single"/>
                    </w:rPr>
                  </w:pPr>
                  <w:r>
                    <w:rPr>
                      <w:rFonts w:hint="eastAsia"/>
                      <w:szCs w:val="21"/>
                      <w:u w:val="single"/>
                    </w:rPr>
                    <w:t>厂区地面已做硬化，道路定期洒水抑尘</w:t>
                  </w:r>
                </w:p>
              </w:tc>
            </w:tr>
            <w:tr w14:paraId="4F2C4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462EE96A">
                  <w:pPr>
                    <w:autoSpaceDE w:val="0"/>
                    <w:autoSpaceDN w:val="0"/>
                    <w:adjustRightInd w:val="0"/>
                    <w:snapToGrid w:val="0"/>
                    <w:jc w:val="center"/>
                    <w:rPr>
                      <w:szCs w:val="21"/>
                      <w:u w:val="single"/>
                    </w:rPr>
                  </w:pPr>
                  <w:r>
                    <w:rPr>
                      <w:rFonts w:hint="eastAsia"/>
                      <w:szCs w:val="21"/>
                      <w:u w:val="single"/>
                    </w:rPr>
                    <w:t>造型、制芯、浇注工序产尘点应安装集气罩并配备除尘设施，或采取喷淋（雾）等抑尘措施。</w:t>
                  </w:r>
                </w:p>
              </w:tc>
              <w:tc>
                <w:tcPr>
                  <w:tcW w:w="1797" w:type="pct"/>
                  <w:vAlign w:val="center"/>
                </w:tcPr>
                <w:p w14:paraId="10BD7488">
                  <w:pPr>
                    <w:autoSpaceDE w:val="0"/>
                    <w:autoSpaceDN w:val="0"/>
                    <w:adjustRightInd w:val="0"/>
                    <w:snapToGrid w:val="0"/>
                    <w:jc w:val="center"/>
                    <w:rPr>
                      <w:szCs w:val="21"/>
                      <w:u w:val="single"/>
                    </w:rPr>
                  </w:pPr>
                  <w:r>
                    <w:rPr>
                      <w:rFonts w:hint="eastAsia"/>
                      <w:szCs w:val="21"/>
                      <w:u w:val="single"/>
                    </w:rPr>
                    <w:t>项目造型、浇注工序设置集气罩并配备</w:t>
                  </w:r>
                  <w:r>
                    <w:rPr>
                      <w:rFonts w:hint="eastAsia"/>
                      <w:szCs w:val="21"/>
                      <w:u w:val="single"/>
                      <w:lang w:val="en-US" w:eastAsia="zh-CN"/>
                    </w:rPr>
                    <w:t>布袋</w:t>
                  </w:r>
                  <w:r>
                    <w:rPr>
                      <w:rFonts w:hint="eastAsia"/>
                      <w:szCs w:val="21"/>
                      <w:u w:val="single"/>
                    </w:rPr>
                    <w:t>除尘器收集废气</w:t>
                  </w:r>
                </w:p>
              </w:tc>
            </w:tr>
            <w:tr w14:paraId="4D92F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703594C3">
                  <w:pPr>
                    <w:autoSpaceDE w:val="0"/>
                    <w:autoSpaceDN w:val="0"/>
                    <w:adjustRightInd w:val="0"/>
                    <w:snapToGrid w:val="0"/>
                    <w:jc w:val="center"/>
                    <w:rPr>
                      <w:szCs w:val="21"/>
                      <w:u w:val="single"/>
                    </w:rPr>
                  </w:pPr>
                  <w:r>
                    <w:rPr>
                      <w:rFonts w:hint="eastAsia"/>
                      <w:szCs w:val="21"/>
                      <w:u w:val="single"/>
                    </w:rPr>
                    <w:t>落砂、抛丸清理、砂处理工序应在封闭空间内操作，废气收集至除尘设施；未在封闭空间内操作的，应采用固定式、移动式集气设备，并配备除尘设施</w:t>
                  </w:r>
                </w:p>
              </w:tc>
              <w:tc>
                <w:tcPr>
                  <w:tcW w:w="1797" w:type="pct"/>
                  <w:vAlign w:val="center"/>
                </w:tcPr>
                <w:p w14:paraId="5298DE3F">
                  <w:pPr>
                    <w:autoSpaceDE w:val="0"/>
                    <w:autoSpaceDN w:val="0"/>
                    <w:adjustRightInd w:val="0"/>
                    <w:snapToGrid w:val="0"/>
                    <w:jc w:val="center"/>
                    <w:rPr>
                      <w:szCs w:val="21"/>
                      <w:u w:val="single"/>
                    </w:rPr>
                  </w:pPr>
                  <w:r>
                    <w:rPr>
                      <w:rFonts w:hint="eastAsia"/>
                      <w:szCs w:val="21"/>
                      <w:u w:val="single"/>
                    </w:rPr>
                    <w:t>落砂、抛丸清理、砂处理工序在封闭空间内操作，配备</w:t>
                  </w:r>
                  <w:r>
                    <w:rPr>
                      <w:rFonts w:hint="eastAsia"/>
                      <w:szCs w:val="21"/>
                      <w:u w:val="single"/>
                      <w:lang w:val="en-US" w:eastAsia="zh-CN"/>
                    </w:rPr>
                    <w:t>布袋</w:t>
                  </w:r>
                  <w:r>
                    <w:rPr>
                      <w:rFonts w:hint="eastAsia"/>
                      <w:szCs w:val="21"/>
                      <w:u w:val="single"/>
                    </w:rPr>
                    <w:t>除尘器处理</w:t>
                  </w:r>
                </w:p>
              </w:tc>
            </w:tr>
            <w:tr w14:paraId="27B08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19ED5873">
                  <w:pPr>
                    <w:autoSpaceDE w:val="0"/>
                    <w:autoSpaceDN w:val="0"/>
                    <w:adjustRightInd w:val="0"/>
                    <w:snapToGrid w:val="0"/>
                    <w:jc w:val="center"/>
                    <w:rPr>
                      <w:szCs w:val="21"/>
                      <w:u w:val="single"/>
                    </w:rPr>
                  </w:pPr>
                  <w:r>
                    <w:rPr>
                      <w:rFonts w:hint="eastAsia"/>
                      <w:szCs w:val="21"/>
                      <w:u w:val="single"/>
                    </w:rPr>
                    <w:t>清理（去除浇冒口、铲飞边毛刺等）和浇包、渣包的维修工序在封闭空间内操作，废气收集至除尘设施；未在封闭空间内操作的，应采用固定式、移动式集气设备并配备除尘设施</w:t>
                  </w:r>
                </w:p>
              </w:tc>
              <w:tc>
                <w:tcPr>
                  <w:tcW w:w="1797" w:type="pct"/>
                  <w:vAlign w:val="center"/>
                </w:tcPr>
                <w:p w14:paraId="4167017A">
                  <w:pPr>
                    <w:autoSpaceDE w:val="0"/>
                    <w:autoSpaceDN w:val="0"/>
                    <w:adjustRightInd w:val="0"/>
                    <w:snapToGrid w:val="0"/>
                    <w:jc w:val="center"/>
                    <w:rPr>
                      <w:szCs w:val="21"/>
                      <w:u w:val="single"/>
                    </w:rPr>
                  </w:pPr>
                  <w:r>
                    <w:rPr>
                      <w:rFonts w:hint="eastAsia"/>
                      <w:szCs w:val="21"/>
                      <w:u w:val="single"/>
                    </w:rPr>
                    <w:t>清理（去除冒口、铲飞边毛刺等）工序在密闭车间内操作，清理废气采用移动式除尘器处理</w:t>
                  </w:r>
                </w:p>
              </w:tc>
            </w:tr>
            <w:tr w14:paraId="1CE8B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3B1EE1A4">
                  <w:pPr>
                    <w:autoSpaceDE w:val="0"/>
                    <w:autoSpaceDN w:val="0"/>
                    <w:adjustRightInd w:val="0"/>
                    <w:snapToGrid w:val="0"/>
                    <w:jc w:val="center"/>
                    <w:rPr>
                      <w:szCs w:val="21"/>
                      <w:u w:val="single"/>
                    </w:rPr>
                  </w:pPr>
                  <w:r>
                    <w:rPr>
                      <w:rFonts w:hint="eastAsia"/>
                      <w:szCs w:val="21"/>
                      <w:u w:val="single"/>
                    </w:rPr>
                    <w:t>车间外不得有可见烟粉尘外逸</w:t>
                  </w:r>
                </w:p>
              </w:tc>
              <w:tc>
                <w:tcPr>
                  <w:tcW w:w="1797" w:type="pct"/>
                  <w:vAlign w:val="center"/>
                </w:tcPr>
                <w:p w14:paraId="2AC32ED7">
                  <w:pPr>
                    <w:autoSpaceDE w:val="0"/>
                    <w:autoSpaceDN w:val="0"/>
                    <w:adjustRightInd w:val="0"/>
                    <w:snapToGrid w:val="0"/>
                    <w:jc w:val="center"/>
                    <w:rPr>
                      <w:szCs w:val="21"/>
                      <w:u w:val="single"/>
                    </w:rPr>
                  </w:pPr>
                  <w:r>
                    <w:rPr>
                      <w:rFonts w:hint="eastAsia"/>
                      <w:szCs w:val="21"/>
                      <w:u w:val="single"/>
                    </w:rPr>
                    <w:t>项目在落实本环评要求的废气处理设施后，车间外基本无可见烟粉尘</w:t>
                  </w:r>
                </w:p>
              </w:tc>
            </w:tr>
            <w:tr w14:paraId="61E82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vAlign w:val="center"/>
                </w:tcPr>
                <w:p w14:paraId="26714170">
                  <w:pPr>
                    <w:autoSpaceDE w:val="0"/>
                    <w:autoSpaceDN w:val="0"/>
                    <w:adjustRightInd w:val="0"/>
                    <w:snapToGrid w:val="0"/>
                    <w:jc w:val="center"/>
                    <w:rPr>
                      <w:b/>
                      <w:bCs/>
                      <w:szCs w:val="21"/>
                      <w:u w:val="single"/>
                    </w:rPr>
                  </w:pPr>
                  <w:r>
                    <w:rPr>
                      <w:rFonts w:hint="eastAsia"/>
                      <w:b/>
                      <w:bCs/>
                      <w:szCs w:val="21"/>
                      <w:u w:val="single"/>
                    </w:rPr>
                    <w:t>VOCs无组织排放控制措施</w:t>
                  </w:r>
                </w:p>
              </w:tc>
            </w:tr>
            <w:tr w14:paraId="16B86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21AC9FD4">
                  <w:pPr>
                    <w:autoSpaceDE w:val="0"/>
                    <w:autoSpaceDN w:val="0"/>
                    <w:adjustRightInd w:val="0"/>
                    <w:snapToGrid w:val="0"/>
                    <w:jc w:val="center"/>
                    <w:rPr>
                      <w:szCs w:val="21"/>
                      <w:u w:val="single"/>
                    </w:rPr>
                  </w:pPr>
                  <w:r>
                    <w:rPr>
                      <w:rFonts w:hint="eastAsia"/>
                      <w:szCs w:val="21"/>
                      <w:u w:val="single"/>
                    </w:rPr>
                    <w:t>涂料、树脂、固化剂、稀释剂、清洗剂等VOCs物料应储存于密闭的容器、包装袋、储库中</w:t>
                  </w:r>
                </w:p>
              </w:tc>
              <w:tc>
                <w:tcPr>
                  <w:tcW w:w="1797" w:type="pct"/>
                  <w:vAlign w:val="center"/>
                </w:tcPr>
                <w:p w14:paraId="767C398A">
                  <w:pPr>
                    <w:autoSpaceDE w:val="0"/>
                    <w:autoSpaceDN w:val="0"/>
                    <w:adjustRightInd w:val="0"/>
                    <w:snapToGrid w:val="0"/>
                    <w:jc w:val="center"/>
                    <w:rPr>
                      <w:szCs w:val="21"/>
                      <w:u w:val="single"/>
                    </w:rPr>
                  </w:pPr>
                  <w:r>
                    <w:rPr>
                      <w:rFonts w:hint="eastAsia"/>
                      <w:szCs w:val="21"/>
                      <w:u w:val="single"/>
                    </w:rPr>
                    <w:t>涂料、树脂、固化剂等VOCs物料储存于桶内存放于车间的原料库中</w:t>
                  </w:r>
                </w:p>
              </w:tc>
            </w:tr>
            <w:tr w14:paraId="2A1AB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3B2687A6">
                  <w:pPr>
                    <w:autoSpaceDE w:val="0"/>
                    <w:autoSpaceDN w:val="0"/>
                    <w:adjustRightInd w:val="0"/>
                    <w:snapToGrid w:val="0"/>
                    <w:jc w:val="center"/>
                    <w:rPr>
                      <w:szCs w:val="21"/>
                      <w:u w:val="single"/>
                    </w:rPr>
                  </w:pPr>
                  <w:r>
                    <w:rPr>
                      <w:rFonts w:hint="eastAsia"/>
                      <w:szCs w:val="21"/>
                      <w:u w:val="single"/>
                    </w:rPr>
                    <w:t>盛装VOCs物料的容器或包装袋应存放于室内，或存放于设置有雨棚、遮阳和防渗设施的专用场地。盛装VOCs物料的容器或包装袋在非取用状态时应加盖、封口，保持密闭。转移VOCs物料时，应采用密闭容器</w:t>
                  </w:r>
                </w:p>
              </w:tc>
              <w:tc>
                <w:tcPr>
                  <w:tcW w:w="1797" w:type="pct"/>
                  <w:vAlign w:val="center"/>
                </w:tcPr>
                <w:p w14:paraId="502EAFCA">
                  <w:pPr>
                    <w:autoSpaceDE w:val="0"/>
                    <w:autoSpaceDN w:val="0"/>
                    <w:adjustRightInd w:val="0"/>
                    <w:snapToGrid w:val="0"/>
                    <w:jc w:val="center"/>
                    <w:rPr>
                      <w:szCs w:val="21"/>
                      <w:u w:val="single"/>
                    </w:rPr>
                  </w:pPr>
                  <w:r>
                    <w:rPr>
                      <w:rFonts w:hint="eastAsia"/>
                      <w:szCs w:val="21"/>
                      <w:u w:val="single"/>
                    </w:rPr>
                    <w:t>盛装VOCs物料的桶存放于车间的原料库内，转移过程保持密闭。</w:t>
                  </w:r>
                </w:p>
              </w:tc>
            </w:tr>
            <w:tr w14:paraId="35E56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5D50C516">
                  <w:pPr>
                    <w:autoSpaceDE w:val="0"/>
                    <w:autoSpaceDN w:val="0"/>
                    <w:adjustRightInd w:val="0"/>
                    <w:snapToGrid w:val="0"/>
                    <w:jc w:val="center"/>
                    <w:rPr>
                      <w:szCs w:val="21"/>
                      <w:u w:val="single"/>
                    </w:rPr>
                  </w:pPr>
                  <w:r>
                    <w:rPr>
                      <w:rFonts w:hint="eastAsia"/>
                      <w:szCs w:val="21"/>
                      <w:u w:val="single"/>
                    </w:rPr>
                    <w:t>表面涂装的配料、涂装和清洗作业应在密闭空间内进行，废气应排至废气收集处理系统；无法密闭的，应采取局部气体收集处理措施</w:t>
                  </w:r>
                </w:p>
              </w:tc>
              <w:tc>
                <w:tcPr>
                  <w:tcW w:w="1797" w:type="pct"/>
                  <w:vAlign w:val="center"/>
                </w:tcPr>
                <w:p w14:paraId="7EA5B388">
                  <w:pPr>
                    <w:autoSpaceDE w:val="0"/>
                    <w:autoSpaceDN w:val="0"/>
                    <w:adjustRightInd w:val="0"/>
                    <w:snapToGrid w:val="0"/>
                    <w:jc w:val="center"/>
                    <w:rPr>
                      <w:szCs w:val="21"/>
                      <w:u w:val="single"/>
                    </w:rPr>
                  </w:pPr>
                  <w:r>
                    <w:rPr>
                      <w:rFonts w:hint="eastAsia"/>
                      <w:szCs w:val="21"/>
                      <w:u w:val="single"/>
                    </w:rPr>
                    <w:t>车间内设置密闭喷漆房，采用负压式收集废气。</w:t>
                  </w:r>
                </w:p>
              </w:tc>
            </w:tr>
            <w:tr w14:paraId="28361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3BBD2813">
                  <w:pPr>
                    <w:autoSpaceDE w:val="0"/>
                    <w:autoSpaceDN w:val="0"/>
                    <w:adjustRightInd w:val="0"/>
                    <w:snapToGrid w:val="0"/>
                    <w:jc w:val="center"/>
                    <w:rPr>
                      <w:szCs w:val="21"/>
                      <w:u w:val="single"/>
                    </w:rPr>
                  </w:pPr>
                  <w:r>
                    <w:rPr>
                      <w:rFonts w:hint="eastAsia"/>
                      <w:szCs w:val="21"/>
                      <w:u w:val="single"/>
                    </w:rPr>
                    <w:t>设备与管线组件VOCs泄漏控制要求、敞开液面VOCs无组织排放控制要求，应符合GB 37822的规定</w:t>
                  </w:r>
                </w:p>
              </w:tc>
              <w:tc>
                <w:tcPr>
                  <w:tcW w:w="1797" w:type="pct"/>
                  <w:vAlign w:val="center"/>
                </w:tcPr>
                <w:p w14:paraId="62B72C94">
                  <w:pPr>
                    <w:autoSpaceDE w:val="0"/>
                    <w:autoSpaceDN w:val="0"/>
                    <w:adjustRightInd w:val="0"/>
                    <w:snapToGrid w:val="0"/>
                    <w:jc w:val="center"/>
                    <w:rPr>
                      <w:szCs w:val="21"/>
                      <w:u w:val="single"/>
                    </w:rPr>
                  </w:pPr>
                  <w:r>
                    <w:rPr>
                      <w:rFonts w:hint="eastAsia"/>
                      <w:szCs w:val="21"/>
                      <w:u w:val="single"/>
                    </w:rPr>
                    <w:t>设备与管线组件VOCs泄漏控制要求、敞开液面VOCs无组织排放控制要求，应符合GB 37822的规定</w:t>
                  </w:r>
                </w:p>
              </w:tc>
            </w:tr>
            <w:tr w14:paraId="128EB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3DD5C4B8">
                  <w:pPr>
                    <w:autoSpaceDE w:val="0"/>
                    <w:autoSpaceDN w:val="0"/>
                    <w:adjustRightInd w:val="0"/>
                    <w:snapToGrid w:val="0"/>
                    <w:jc w:val="center"/>
                    <w:rPr>
                      <w:szCs w:val="21"/>
                      <w:u w:val="single"/>
                    </w:rPr>
                  </w:pPr>
                  <w:r>
                    <w:rPr>
                      <w:rFonts w:hint="eastAsia"/>
                      <w:szCs w:val="21"/>
                      <w:u w:val="single"/>
                    </w:rPr>
                    <w:t>VOCs无组织排放废气收集系统排风罩（集气罩）的设置应符合GB/T 16758的规定。采用外部排风罩的，应按GB/T 16758、WS/T 757—2016规定的方法测量控制风速，测量点应选取在距排风罩开口面最远处的 VOCs无组织排放位置，控制风速不应低于 0.3m/s</w:t>
                  </w:r>
                </w:p>
              </w:tc>
              <w:tc>
                <w:tcPr>
                  <w:tcW w:w="1797" w:type="pct"/>
                  <w:vAlign w:val="center"/>
                </w:tcPr>
                <w:p w14:paraId="4CE89AFD">
                  <w:pPr>
                    <w:autoSpaceDE w:val="0"/>
                    <w:autoSpaceDN w:val="0"/>
                    <w:adjustRightInd w:val="0"/>
                    <w:snapToGrid w:val="0"/>
                    <w:jc w:val="center"/>
                    <w:rPr>
                      <w:szCs w:val="21"/>
                      <w:u w:val="single"/>
                    </w:rPr>
                  </w:pPr>
                  <w:r>
                    <w:rPr>
                      <w:rFonts w:hint="eastAsia"/>
                      <w:szCs w:val="21"/>
                      <w:u w:val="single"/>
                    </w:rPr>
                    <w:t>VOCs无组织排放位置，控制风速不低于0.3m/s</w:t>
                  </w:r>
                </w:p>
              </w:tc>
            </w:tr>
            <w:tr w14:paraId="6085F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2" w:type="pct"/>
                  <w:vAlign w:val="center"/>
                </w:tcPr>
                <w:p w14:paraId="07C57997">
                  <w:pPr>
                    <w:autoSpaceDE w:val="0"/>
                    <w:autoSpaceDN w:val="0"/>
                    <w:adjustRightInd w:val="0"/>
                    <w:snapToGrid w:val="0"/>
                    <w:jc w:val="center"/>
                    <w:rPr>
                      <w:szCs w:val="21"/>
                      <w:u w:val="single"/>
                    </w:rPr>
                  </w:pPr>
                  <w:r>
                    <w:rPr>
                      <w:rFonts w:hint="eastAsia"/>
                      <w:szCs w:val="21"/>
                      <w:u w:val="single"/>
                    </w:rPr>
                    <w:t>企业应按照HJ 944要求建立台账，记录无组织排放废气收集系统、污染治理设施及其他无组织排放控制措施的主要运行信息，如运行时间、废气收集量和处理量、VOCs处理设施关键运行参数（操作温度、停留时间、吸附剂再生/更换周期和更换量、吸收液用量等）、喷淋/喷雾（水或其他化学稳定剂）作业周期和用量等。台账保存期限不少于3年</w:t>
                  </w:r>
                </w:p>
              </w:tc>
              <w:tc>
                <w:tcPr>
                  <w:tcW w:w="1797" w:type="pct"/>
                  <w:vAlign w:val="center"/>
                </w:tcPr>
                <w:p w14:paraId="3DD6479C">
                  <w:pPr>
                    <w:autoSpaceDE w:val="0"/>
                    <w:autoSpaceDN w:val="0"/>
                    <w:adjustRightInd w:val="0"/>
                    <w:snapToGrid w:val="0"/>
                    <w:jc w:val="center"/>
                    <w:rPr>
                      <w:szCs w:val="21"/>
                      <w:u w:val="single"/>
                    </w:rPr>
                  </w:pPr>
                  <w:r>
                    <w:rPr>
                      <w:rFonts w:hint="eastAsia"/>
                      <w:kern w:val="0"/>
                      <w:szCs w:val="21"/>
                      <w:u w:val="single"/>
                    </w:rPr>
                    <w:t>已要求企业建立相关台账。建议进一步细化完善台账管理工作</w:t>
                  </w:r>
                </w:p>
              </w:tc>
            </w:tr>
          </w:tbl>
          <w:p w14:paraId="0E4F5E21">
            <w:pPr>
              <w:spacing w:line="360" w:lineRule="auto"/>
              <w:ind w:firstLine="480" w:firstLineChars="200"/>
              <w:rPr>
                <w:b/>
                <w:bCs/>
                <w:spacing w:val="-2"/>
                <w:position w:val="-6"/>
                <w:sz w:val="24"/>
                <w:u w:val="single"/>
                <w:lang w:bidi="ar"/>
              </w:rPr>
            </w:pPr>
            <w:r>
              <w:rPr>
                <w:rFonts w:hint="eastAsia"/>
                <w:kern w:val="0"/>
                <w:sz w:val="24"/>
                <w:u w:val="single"/>
              </w:rPr>
              <w:t>综上所述，项目符合</w:t>
            </w:r>
            <w:r>
              <w:rPr>
                <w:rFonts w:hint="eastAsia"/>
                <w:sz w:val="24"/>
                <w:u w:val="single"/>
              </w:rPr>
              <w:t>《铸造工业大气污染物排放标准》（GB39726-2020）</w:t>
            </w:r>
            <w:r>
              <w:rPr>
                <w:rFonts w:hint="eastAsia"/>
                <w:kern w:val="0"/>
                <w:sz w:val="24"/>
                <w:u w:val="single"/>
              </w:rPr>
              <w:t>中相关要求。</w:t>
            </w:r>
          </w:p>
          <w:p w14:paraId="15DADD99">
            <w:pPr>
              <w:pStyle w:val="76"/>
              <w:spacing w:before="2" w:line="364" w:lineRule="auto"/>
              <w:ind w:left="113" w:right="87" w:firstLine="480"/>
              <w:rPr>
                <w:rFonts w:ascii="Times New Roman" w:hAnsi="Times New Roman"/>
                <w:b/>
                <w:bCs/>
                <w:sz w:val="24"/>
                <w:u w:val="single"/>
              </w:rPr>
            </w:pPr>
            <w:r>
              <w:rPr>
                <w:rFonts w:ascii="Times New Roman" w:hAnsi="Times New Roman"/>
                <w:b/>
                <w:bCs/>
                <w:spacing w:val="-9"/>
                <w:sz w:val="24"/>
                <w:u w:val="single"/>
              </w:rPr>
              <w:t>12、与《挥发性有机物无组织排放控制标准》</w:t>
            </w:r>
            <w:r>
              <w:rPr>
                <w:rFonts w:ascii="Times New Roman" w:hAnsi="Times New Roman"/>
                <w:b/>
                <w:bCs/>
                <w:sz w:val="24"/>
                <w:u w:val="single"/>
              </w:rPr>
              <w:t>（</w:t>
            </w:r>
            <w:r>
              <w:rPr>
                <w:rFonts w:ascii="Times New Roman" w:hAnsi="Times New Roman" w:eastAsia="Times New Roman"/>
                <w:b/>
                <w:bCs/>
                <w:sz w:val="24"/>
                <w:u w:val="single"/>
              </w:rPr>
              <w:t>GB37822-2019</w:t>
            </w:r>
            <w:r>
              <w:rPr>
                <w:rFonts w:ascii="Times New Roman" w:hAnsi="Times New Roman"/>
                <w:b/>
                <w:bCs/>
                <w:sz w:val="24"/>
                <w:u w:val="single"/>
              </w:rPr>
              <w:t>）</w:t>
            </w:r>
            <w:r>
              <w:rPr>
                <w:rFonts w:ascii="Times New Roman" w:hAnsi="Times New Roman"/>
                <w:b/>
                <w:bCs/>
                <w:spacing w:val="-15"/>
                <w:sz w:val="24"/>
                <w:u w:val="single"/>
              </w:rPr>
              <w:t xml:space="preserve"> 符合</w:t>
            </w:r>
            <w:r>
              <w:rPr>
                <w:rFonts w:ascii="Times New Roman" w:hAnsi="Times New Roman"/>
                <w:b/>
                <w:bCs/>
                <w:sz w:val="24"/>
                <w:u w:val="single"/>
              </w:rPr>
              <w:t>性分析</w:t>
            </w:r>
          </w:p>
          <w:p w14:paraId="0874069C">
            <w:pPr>
              <w:pStyle w:val="76"/>
              <w:spacing w:line="364" w:lineRule="auto"/>
              <w:ind w:left="113" w:right="209" w:firstLine="480"/>
              <w:rPr>
                <w:sz w:val="24"/>
                <w:u w:val="single"/>
              </w:rPr>
            </w:pPr>
            <w:r>
              <w:rPr>
                <w:sz w:val="24"/>
                <w:u w:val="single"/>
              </w:rPr>
              <w:t>根据《挥发性有机物无组织排放控制标准》（</w:t>
            </w:r>
            <w:r>
              <w:rPr>
                <w:rFonts w:ascii="Times New Roman" w:eastAsia="Times New Roman"/>
                <w:sz w:val="24"/>
                <w:u w:val="single"/>
              </w:rPr>
              <w:t>GB37822-2019</w:t>
            </w:r>
            <w:r>
              <w:rPr>
                <w:sz w:val="24"/>
                <w:u w:val="single"/>
              </w:rPr>
              <w:t>）， 本项目与其符合性分析见下表。</w:t>
            </w:r>
          </w:p>
          <w:p w14:paraId="662E41D9">
            <w:pPr>
              <w:spacing w:line="360" w:lineRule="auto"/>
              <w:ind w:firstLine="402" w:firstLineChars="200"/>
              <w:jc w:val="center"/>
              <w:rPr>
                <w:b/>
                <w:bCs/>
                <w:spacing w:val="-2"/>
                <w:position w:val="-6"/>
                <w:sz w:val="24"/>
                <w:u w:val="single"/>
                <w:lang w:bidi="ar"/>
              </w:rPr>
            </w:pPr>
            <w:r>
              <w:rPr>
                <w:b/>
                <w:sz w:val="20"/>
                <w:u w:val="single"/>
              </w:rPr>
              <w:t xml:space="preserve">表 </w:t>
            </w:r>
            <w:r>
              <w:rPr>
                <w:rFonts w:eastAsia="Times New Roman"/>
                <w:b/>
                <w:sz w:val="20"/>
                <w:u w:val="single"/>
              </w:rPr>
              <w:t>1-</w:t>
            </w:r>
            <w:r>
              <w:rPr>
                <w:rFonts w:hint="eastAsia"/>
                <w:b/>
                <w:sz w:val="20"/>
                <w:u w:val="single"/>
              </w:rPr>
              <w:t>12</w:t>
            </w:r>
            <w:r>
              <w:rPr>
                <w:rFonts w:eastAsia="Times New Roman"/>
                <w:b/>
                <w:sz w:val="20"/>
                <w:u w:val="single"/>
              </w:rPr>
              <w:t xml:space="preserve"> </w:t>
            </w:r>
            <w:r>
              <w:rPr>
                <w:b/>
                <w:sz w:val="20"/>
                <w:u w:val="single"/>
              </w:rPr>
              <w:t>本项目与《挥发性有机物无组织排放控制标准》符合性</w:t>
            </w:r>
          </w:p>
          <w:tbl>
            <w:tblPr>
              <w:tblStyle w:val="30"/>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426"/>
              <w:gridCol w:w="2596"/>
              <w:gridCol w:w="3478"/>
              <w:gridCol w:w="846"/>
            </w:tblGrid>
            <w:tr w14:paraId="68FE0E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82" w:hRule="atLeast"/>
                <w:jc w:val="center"/>
              </w:trPr>
              <w:tc>
                <w:tcPr>
                  <w:tcW w:w="426" w:type="dxa"/>
                  <w:tcBorders>
                    <w:top w:val="single" w:color="000000" w:sz="12" w:space="0"/>
                    <w:left w:val="single" w:color="000000" w:sz="12" w:space="0"/>
                    <w:bottom w:val="single" w:color="000000" w:sz="4" w:space="0"/>
                    <w:right w:val="single" w:color="000000" w:sz="4" w:space="0"/>
                  </w:tcBorders>
                  <w:vAlign w:val="center"/>
                </w:tcPr>
                <w:p w14:paraId="17A0FDFF">
                  <w:pPr>
                    <w:autoSpaceDE w:val="0"/>
                    <w:autoSpaceDN w:val="0"/>
                    <w:jc w:val="center"/>
                    <w:rPr>
                      <w:u w:val="single"/>
                    </w:rPr>
                  </w:pPr>
                  <w:r>
                    <w:rPr>
                      <w:u w:val="single"/>
                    </w:rPr>
                    <w:t>序号</w:t>
                  </w:r>
                </w:p>
              </w:tc>
              <w:tc>
                <w:tcPr>
                  <w:tcW w:w="2596" w:type="dxa"/>
                  <w:tcBorders>
                    <w:top w:val="single" w:color="000000" w:sz="12" w:space="0"/>
                    <w:left w:val="single" w:color="000000" w:sz="4" w:space="0"/>
                    <w:bottom w:val="single" w:color="000000" w:sz="4" w:space="0"/>
                    <w:right w:val="single" w:color="000000" w:sz="4" w:space="0"/>
                  </w:tcBorders>
                  <w:vAlign w:val="center"/>
                </w:tcPr>
                <w:p w14:paraId="163CE326">
                  <w:pPr>
                    <w:autoSpaceDE w:val="0"/>
                    <w:autoSpaceDN w:val="0"/>
                    <w:jc w:val="center"/>
                    <w:rPr>
                      <w:u w:val="single"/>
                    </w:rPr>
                  </w:pPr>
                  <w:r>
                    <w:rPr>
                      <w:u w:val="single"/>
                    </w:rPr>
                    <w:t>《挥发性有机物无组织排放控制标准》</w:t>
                  </w:r>
                </w:p>
              </w:tc>
              <w:tc>
                <w:tcPr>
                  <w:tcW w:w="3478" w:type="dxa"/>
                  <w:tcBorders>
                    <w:top w:val="single" w:color="000000" w:sz="12" w:space="0"/>
                    <w:left w:val="single" w:color="000000" w:sz="4" w:space="0"/>
                    <w:bottom w:val="single" w:color="000000" w:sz="4" w:space="0"/>
                    <w:right w:val="single" w:color="000000" w:sz="4" w:space="0"/>
                  </w:tcBorders>
                  <w:vAlign w:val="center"/>
                </w:tcPr>
                <w:p w14:paraId="38E2F588">
                  <w:pPr>
                    <w:autoSpaceDE w:val="0"/>
                    <w:autoSpaceDN w:val="0"/>
                    <w:jc w:val="center"/>
                    <w:rPr>
                      <w:u w:val="single"/>
                    </w:rPr>
                  </w:pPr>
                  <w:r>
                    <w:rPr>
                      <w:u w:val="single"/>
                    </w:rPr>
                    <w:t>本项目</w:t>
                  </w:r>
                </w:p>
              </w:tc>
              <w:tc>
                <w:tcPr>
                  <w:tcW w:w="846" w:type="dxa"/>
                  <w:tcBorders>
                    <w:top w:val="single" w:color="000000" w:sz="12" w:space="0"/>
                    <w:left w:val="single" w:color="000000" w:sz="4" w:space="0"/>
                    <w:bottom w:val="single" w:color="000000" w:sz="4" w:space="0"/>
                    <w:right w:val="single" w:color="000000" w:sz="12" w:space="0"/>
                  </w:tcBorders>
                  <w:vAlign w:val="center"/>
                </w:tcPr>
                <w:p w14:paraId="75F23C3E">
                  <w:pPr>
                    <w:autoSpaceDE w:val="0"/>
                    <w:autoSpaceDN w:val="0"/>
                    <w:jc w:val="center"/>
                    <w:rPr>
                      <w:u w:val="single"/>
                    </w:rPr>
                  </w:pPr>
                  <w:r>
                    <w:rPr>
                      <w:u w:val="single"/>
                    </w:rPr>
                    <w:t>符合性</w:t>
                  </w:r>
                </w:p>
              </w:tc>
            </w:tr>
            <w:tr w14:paraId="6BFA7C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63" w:hRule="atLeast"/>
                <w:jc w:val="center"/>
              </w:trPr>
              <w:tc>
                <w:tcPr>
                  <w:tcW w:w="426" w:type="dxa"/>
                  <w:tcBorders>
                    <w:top w:val="single" w:color="000000" w:sz="4" w:space="0"/>
                    <w:left w:val="single" w:color="000000" w:sz="12" w:space="0"/>
                    <w:bottom w:val="single" w:color="000000" w:sz="4" w:space="0"/>
                    <w:right w:val="single" w:color="000000" w:sz="4" w:space="0"/>
                  </w:tcBorders>
                  <w:vAlign w:val="center"/>
                </w:tcPr>
                <w:p w14:paraId="75815D7C">
                  <w:pPr>
                    <w:autoSpaceDE w:val="0"/>
                    <w:autoSpaceDN w:val="0"/>
                    <w:jc w:val="center"/>
                    <w:rPr>
                      <w:u w:val="single"/>
                    </w:rPr>
                  </w:pPr>
                  <w:r>
                    <w:rPr>
                      <w:u w:val="single"/>
                    </w:rPr>
                    <w:t>1</w:t>
                  </w:r>
                </w:p>
              </w:tc>
              <w:tc>
                <w:tcPr>
                  <w:tcW w:w="2596" w:type="dxa"/>
                  <w:tcBorders>
                    <w:top w:val="single" w:color="000000" w:sz="4" w:space="0"/>
                    <w:left w:val="single" w:color="000000" w:sz="4" w:space="0"/>
                    <w:bottom w:val="single" w:color="000000" w:sz="4" w:space="0"/>
                    <w:right w:val="single" w:color="000000" w:sz="4" w:space="0"/>
                  </w:tcBorders>
                  <w:vAlign w:val="center"/>
                </w:tcPr>
                <w:p w14:paraId="7EEC6092">
                  <w:pPr>
                    <w:autoSpaceDE w:val="0"/>
                    <w:autoSpaceDN w:val="0"/>
                    <w:jc w:val="center"/>
                    <w:rPr>
                      <w:u w:val="single"/>
                    </w:rPr>
                  </w:pPr>
                  <w:r>
                    <w:rPr>
                      <w:u w:val="single"/>
                    </w:rPr>
                    <w:t>VOCs 质量占比大于 10% 的含 VOCs 的产品，其使用过程应采用密闭设备或在密闭空间内操作，废气应排至 VOCs 废气收集处理系统；无法密闭的，应采取局部气体收集措施，废气应排至VOCs 废气收集处理系统。</w:t>
                  </w:r>
                </w:p>
              </w:tc>
              <w:tc>
                <w:tcPr>
                  <w:tcW w:w="3478" w:type="dxa"/>
                  <w:tcBorders>
                    <w:top w:val="single" w:color="000000" w:sz="4" w:space="0"/>
                    <w:left w:val="single" w:color="000000" w:sz="4" w:space="0"/>
                    <w:bottom w:val="single" w:color="000000" w:sz="4" w:space="0"/>
                    <w:right w:val="single" w:color="000000" w:sz="4" w:space="0"/>
                  </w:tcBorders>
                  <w:vAlign w:val="center"/>
                </w:tcPr>
                <w:p w14:paraId="4D41AB10">
                  <w:pPr>
                    <w:autoSpaceDE w:val="0"/>
                    <w:autoSpaceDN w:val="0"/>
                    <w:jc w:val="center"/>
                    <w:rPr>
                      <w:u w:val="single"/>
                    </w:rPr>
                  </w:pPr>
                  <w:r>
                    <w:rPr>
                      <w:u w:val="single"/>
                    </w:rPr>
                    <w:t>本项目油漆、稀释剂等 VOCs 质量占比大于10%，喷漆、干燥在封闭的车间内进行，废气经集气装置收集后，通过 1 套“</w:t>
                  </w:r>
                  <w:r>
                    <w:rPr>
                      <w:rFonts w:hint="eastAsia"/>
                      <w:u w:val="single"/>
                    </w:rPr>
                    <w:t>过滤棉</w:t>
                  </w:r>
                  <w:r>
                    <w:rPr>
                      <w:u w:val="single"/>
                    </w:rPr>
                    <w:t>+</w:t>
                  </w:r>
                  <w:r>
                    <w:rPr>
                      <w:rFonts w:hint="eastAsia"/>
                      <w:u w:val="single"/>
                    </w:rPr>
                    <w:t>二</w:t>
                  </w:r>
                  <w:r>
                    <w:rPr>
                      <w:u w:val="single"/>
                    </w:rPr>
                    <w:t>级活性炭”处理达标后，由 15m 高排气筒排放。</w:t>
                  </w:r>
                </w:p>
              </w:tc>
              <w:tc>
                <w:tcPr>
                  <w:tcW w:w="846" w:type="dxa"/>
                  <w:tcBorders>
                    <w:top w:val="single" w:color="000000" w:sz="4" w:space="0"/>
                    <w:left w:val="single" w:color="000000" w:sz="4" w:space="0"/>
                    <w:bottom w:val="single" w:color="000000" w:sz="4" w:space="0"/>
                    <w:right w:val="single" w:color="000000" w:sz="12" w:space="0"/>
                  </w:tcBorders>
                  <w:vAlign w:val="center"/>
                </w:tcPr>
                <w:p w14:paraId="6B4C5F8C">
                  <w:pPr>
                    <w:autoSpaceDE w:val="0"/>
                    <w:autoSpaceDN w:val="0"/>
                    <w:jc w:val="center"/>
                    <w:rPr>
                      <w:u w:val="single"/>
                    </w:rPr>
                  </w:pPr>
                  <w:r>
                    <w:rPr>
                      <w:u w:val="single"/>
                    </w:rPr>
                    <w:t>符合</w:t>
                  </w:r>
                </w:p>
              </w:tc>
            </w:tr>
            <w:tr w14:paraId="4B2F26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07" w:hRule="atLeast"/>
                <w:jc w:val="center"/>
              </w:trPr>
              <w:tc>
                <w:tcPr>
                  <w:tcW w:w="426" w:type="dxa"/>
                  <w:tcBorders>
                    <w:top w:val="single" w:color="000000" w:sz="4" w:space="0"/>
                    <w:left w:val="single" w:color="000000" w:sz="12" w:space="0"/>
                    <w:bottom w:val="single" w:color="000000" w:sz="4" w:space="0"/>
                    <w:right w:val="single" w:color="000000" w:sz="4" w:space="0"/>
                  </w:tcBorders>
                  <w:vAlign w:val="center"/>
                </w:tcPr>
                <w:p w14:paraId="03921FD6">
                  <w:pPr>
                    <w:autoSpaceDE w:val="0"/>
                    <w:autoSpaceDN w:val="0"/>
                    <w:jc w:val="center"/>
                    <w:rPr>
                      <w:u w:val="single"/>
                    </w:rPr>
                  </w:pPr>
                  <w:r>
                    <w:rPr>
                      <w:u w:val="single"/>
                    </w:rPr>
                    <w:t>2</w:t>
                  </w:r>
                </w:p>
              </w:tc>
              <w:tc>
                <w:tcPr>
                  <w:tcW w:w="2596" w:type="dxa"/>
                  <w:tcBorders>
                    <w:top w:val="single" w:color="000000" w:sz="4" w:space="0"/>
                    <w:left w:val="single" w:color="000000" w:sz="4" w:space="0"/>
                    <w:bottom w:val="single" w:color="000000" w:sz="4" w:space="0"/>
                    <w:right w:val="single" w:color="000000" w:sz="4" w:space="0"/>
                  </w:tcBorders>
                  <w:vAlign w:val="center"/>
                </w:tcPr>
                <w:p w14:paraId="17DC0F1D">
                  <w:pPr>
                    <w:autoSpaceDE w:val="0"/>
                    <w:autoSpaceDN w:val="0"/>
                    <w:jc w:val="center"/>
                    <w:rPr>
                      <w:u w:val="single"/>
                    </w:rPr>
                  </w:pPr>
                  <w:r>
                    <w:rPr>
                      <w:u w:val="single"/>
                    </w:rPr>
                    <w:t>企业应建立台账</w:t>
                  </w:r>
                </w:p>
              </w:tc>
              <w:tc>
                <w:tcPr>
                  <w:tcW w:w="3478" w:type="dxa"/>
                  <w:tcBorders>
                    <w:top w:val="single" w:color="000000" w:sz="4" w:space="0"/>
                    <w:left w:val="single" w:color="000000" w:sz="4" w:space="0"/>
                    <w:bottom w:val="single" w:color="000000" w:sz="4" w:space="0"/>
                    <w:right w:val="single" w:color="000000" w:sz="4" w:space="0"/>
                  </w:tcBorders>
                  <w:vAlign w:val="center"/>
                </w:tcPr>
                <w:p w14:paraId="703C921D">
                  <w:pPr>
                    <w:autoSpaceDE w:val="0"/>
                    <w:autoSpaceDN w:val="0"/>
                    <w:jc w:val="center"/>
                    <w:rPr>
                      <w:u w:val="single"/>
                    </w:rPr>
                  </w:pPr>
                  <w:r>
                    <w:rPr>
                      <w:u w:val="single"/>
                    </w:rPr>
                    <w:t>企业在运营期间，建立台账，记录含</w:t>
                  </w:r>
                </w:p>
                <w:p w14:paraId="5EBE66C8">
                  <w:pPr>
                    <w:autoSpaceDE w:val="0"/>
                    <w:autoSpaceDN w:val="0"/>
                    <w:jc w:val="center"/>
                    <w:rPr>
                      <w:u w:val="single"/>
                    </w:rPr>
                  </w:pPr>
                  <w:r>
                    <w:rPr>
                      <w:u w:val="single"/>
                    </w:rPr>
                    <w:t>VOCs 的原辅材料、产品的名称、使</w:t>
                  </w:r>
                </w:p>
                <w:p w14:paraId="4979F76C">
                  <w:pPr>
                    <w:autoSpaceDE w:val="0"/>
                    <w:autoSpaceDN w:val="0"/>
                    <w:jc w:val="center"/>
                    <w:rPr>
                      <w:u w:val="single"/>
                    </w:rPr>
                  </w:pPr>
                  <w:r>
                    <w:rPr>
                      <w:u w:val="single"/>
                    </w:rPr>
                    <w:t>用量、回收量、废弃量、去向等信息</w:t>
                  </w:r>
                </w:p>
              </w:tc>
              <w:tc>
                <w:tcPr>
                  <w:tcW w:w="846" w:type="dxa"/>
                  <w:tcBorders>
                    <w:top w:val="single" w:color="000000" w:sz="4" w:space="0"/>
                    <w:left w:val="single" w:color="000000" w:sz="4" w:space="0"/>
                    <w:bottom w:val="single" w:color="000000" w:sz="4" w:space="0"/>
                    <w:right w:val="single" w:color="000000" w:sz="12" w:space="0"/>
                  </w:tcBorders>
                  <w:vAlign w:val="center"/>
                </w:tcPr>
                <w:p w14:paraId="6715D23C">
                  <w:pPr>
                    <w:autoSpaceDE w:val="0"/>
                    <w:autoSpaceDN w:val="0"/>
                    <w:jc w:val="center"/>
                    <w:rPr>
                      <w:u w:val="single"/>
                    </w:rPr>
                  </w:pPr>
                  <w:r>
                    <w:rPr>
                      <w:u w:val="single"/>
                    </w:rPr>
                    <w:t>符合</w:t>
                  </w:r>
                </w:p>
              </w:tc>
            </w:tr>
            <w:tr w14:paraId="089A1A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4" w:hRule="atLeast"/>
                <w:jc w:val="center"/>
              </w:trPr>
              <w:tc>
                <w:tcPr>
                  <w:tcW w:w="426" w:type="dxa"/>
                  <w:tcBorders>
                    <w:top w:val="single" w:color="000000" w:sz="4" w:space="0"/>
                    <w:left w:val="single" w:color="000000" w:sz="12" w:space="0"/>
                    <w:bottom w:val="single" w:color="000000" w:sz="4" w:space="0"/>
                    <w:right w:val="single" w:color="000000" w:sz="4" w:space="0"/>
                  </w:tcBorders>
                  <w:vAlign w:val="center"/>
                </w:tcPr>
                <w:p w14:paraId="6AD6B420">
                  <w:pPr>
                    <w:autoSpaceDE w:val="0"/>
                    <w:autoSpaceDN w:val="0"/>
                    <w:jc w:val="center"/>
                    <w:rPr>
                      <w:u w:val="single"/>
                    </w:rPr>
                  </w:pPr>
                  <w:r>
                    <w:rPr>
                      <w:u w:val="single"/>
                    </w:rPr>
                    <w:t>3</w:t>
                  </w:r>
                </w:p>
              </w:tc>
              <w:tc>
                <w:tcPr>
                  <w:tcW w:w="2596" w:type="dxa"/>
                  <w:tcBorders>
                    <w:top w:val="single" w:color="000000" w:sz="4" w:space="0"/>
                    <w:left w:val="single" w:color="000000" w:sz="4" w:space="0"/>
                    <w:bottom w:val="single" w:color="000000" w:sz="4" w:space="0"/>
                    <w:right w:val="single" w:color="000000" w:sz="4" w:space="0"/>
                  </w:tcBorders>
                  <w:vAlign w:val="center"/>
                </w:tcPr>
                <w:p w14:paraId="49C91E4B">
                  <w:pPr>
                    <w:autoSpaceDE w:val="0"/>
                    <w:autoSpaceDN w:val="0"/>
                    <w:jc w:val="center"/>
                    <w:rPr>
                      <w:u w:val="single"/>
                    </w:rPr>
                  </w:pPr>
                  <w:r>
                    <w:rPr>
                      <w:u w:val="single"/>
                    </w:rPr>
                    <w:t>车间通风，采用合理的通</w:t>
                  </w:r>
                </w:p>
                <w:p w14:paraId="439C0806">
                  <w:pPr>
                    <w:autoSpaceDE w:val="0"/>
                    <w:autoSpaceDN w:val="0"/>
                    <w:jc w:val="center"/>
                    <w:rPr>
                      <w:u w:val="single"/>
                    </w:rPr>
                  </w:pPr>
                  <w:r>
                    <w:rPr>
                      <w:u w:val="single"/>
                    </w:rPr>
                    <w:t>风量</w:t>
                  </w:r>
                </w:p>
              </w:tc>
              <w:tc>
                <w:tcPr>
                  <w:tcW w:w="3478" w:type="dxa"/>
                  <w:tcBorders>
                    <w:top w:val="single" w:color="000000" w:sz="4" w:space="0"/>
                    <w:left w:val="single" w:color="000000" w:sz="4" w:space="0"/>
                    <w:bottom w:val="single" w:color="000000" w:sz="4" w:space="0"/>
                    <w:right w:val="single" w:color="000000" w:sz="4" w:space="0"/>
                  </w:tcBorders>
                  <w:vAlign w:val="center"/>
                </w:tcPr>
                <w:p w14:paraId="53ECB3C8">
                  <w:pPr>
                    <w:autoSpaceDE w:val="0"/>
                    <w:autoSpaceDN w:val="0"/>
                    <w:jc w:val="center"/>
                    <w:rPr>
                      <w:u w:val="single"/>
                    </w:rPr>
                  </w:pPr>
                  <w:r>
                    <w:rPr>
                      <w:u w:val="single"/>
                    </w:rPr>
                    <w:t>项目厂房通风量设置合理</w:t>
                  </w:r>
                </w:p>
              </w:tc>
              <w:tc>
                <w:tcPr>
                  <w:tcW w:w="846" w:type="dxa"/>
                  <w:tcBorders>
                    <w:top w:val="single" w:color="000000" w:sz="4" w:space="0"/>
                    <w:left w:val="single" w:color="000000" w:sz="4" w:space="0"/>
                    <w:bottom w:val="single" w:color="000000" w:sz="4" w:space="0"/>
                    <w:right w:val="single" w:color="000000" w:sz="12" w:space="0"/>
                  </w:tcBorders>
                  <w:vAlign w:val="center"/>
                </w:tcPr>
                <w:p w14:paraId="3AB9E52F">
                  <w:pPr>
                    <w:autoSpaceDE w:val="0"/>
                    <w:autoSpaceDN w:val="0"/>
                    <w:jc w:val="center"/>
                    <w:rPr>
                      <w:u w:val="single"/>
                    </w:rPr>
                  </w:pPr>
                  <w:r>
                    <w:rPr>
                      <w:u w:val="single"/>
                    </w:rPr>
                    <w:t>符合</w:t>
                  </w:r>
                </w:p>
              </w:tc>
            </w:tr>
            <w:tr w14:paraId="595A95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80" w:hRule="atLeast"/>
                <w:jc w:val="center"/>
              </w:trPr>
              <w:tc>
                <w:tcPr>
                  <w:tcW w:w="426" w:type="dxa"/>
                  <w:tcBorders>
                    <w:top w:val="single" w:color="000000" w:sz="4" w:space="0"/>
                    <w:left w:val="single" w:color="000000" w:sz="12" w:space="0"/>
                    <w:bottom w:val="single" w:color="000000" w:sz="4" w:space="0"/>
                    <w:right w:val="single" w:color="000000" w:sz="4" w:space="0"/>
                  </w:tcBorders>
                  <w:vAlign w:val="center"/>
                </w:tcPr>
                <w:p w14:paraId="1AFC9B89">
                  <w:pPr>
                    <w:autoSpaceDE w:val="0"/>
                    <w:autoSpaceDN w:val="0"/>
                    <w:jc w:val="center"/>
                    <w:rPr>
                      <w:u w:val="single"/>
                    </w:rPr>
                  </w:pPr>
                </w:p>
                <w:p w14:paraId="67E792B6">
                  <w:pPr>
                    <w:autoSpaceDE w:val="0"/>
                    <w:autoSpaceDN w:val="0"/>
                    <w:jc w:val="center"/>
                    <w:rPr>
                      <w:u w:val="single"/>
                    </w:rPr>
                  </w:pPr>
                  <w:r>
                    <w:rPr>
                      <w:u w:val="single"/>
                    </w:rPr>
                    <w:t>4</w:t>
                  </w:r>
                </w:p>
              </w:tc>
              <w:tc>
                <w:tcPr>
                  <w:tcW w:w="2596" w:type="dxa"/>
                  <w:tcBorders>
                    <w:top w:val="single" w:color="000000" w:sz="4" w:space="0"/>
                    <w:left w:val="single" w:color="000000" w:sz="4" w:space="0"/>
                    <w:bottom w:val="single" w:color="000000" w:sz="4" w:space="0"/>
                    <w:right w:val="single" w:color="000000" w:sz="4" w:space="0"/>
                  </w:tcBorders>
                  <w:vAlign w:val="center"/>
                </w:tcPr>
                <w:p w14:paraId="39F435F2">
                  <w:pPr>
                    <w:autoSpaceDE w:val="0"/>
                    <w:autoSpaceDN w:val="0"/>
                    <w:jc w:val="center"/>
                    <w:rPr>
                      <w:u w:val="single"/>
                    </w:rPr>
                  </w:pPr>
                  <w:r>
                    <w:rPr>
                      <w:u w:val="single"/>
                    </w:rPr>
                    <w:t>含 VOCs 物料应储存于密闭容器、包装袋，高效密封储罐，封闭式储库、料仓等。</w:t>
                  </w:r>
                </w:p>
              </w:tc>
              <w:tc>
                <w:tcPr>
                  <w:tcW w:w="3478" w:type="dxa"/>
                  <w:tcBorders>
                    <w:top w:val="single" w:color="000000" w:sz="4" w:space="0"/>
                    <w:left w:val="single" w:color="000000" w:sz="4" w:space="0"/>
                    <w:bottom w:val="single" w:color="000000" w:sz="4" w:space="0"/>
                    <w:right w:val="single" w:color="000000" w:sz="4" w:space="0"/>
                  </w:tcBorders>
                  <w:vAlign w:val="center"/>
                </w:tcPr>
                <w:p w14:paraId="68C658FB">
                  <w:pPr>
                    <w:autoSpaceDE w:val="0"/>
                    <w:autoSpaceDN w:val="0"/>
                    <w:jc w:val="center"/>
                    <w:rPr>
                      <w:u w:val="single"/>
                    </w:rPr>
                  </w:pPr>
                  <w:r>
                    <w:rPr>
                      <w:u w:val="single"/>
                    </w:rPr>
                    <w:t>本项目使用的油漆、稀释剂等储存于密封桶内</w:t>
                  </w:r>
                </w:p>
              </w:tc>
              <w:tc>
                <w:tcPr>
                  <w:tcW w:w="846" w:type="dxa"/>
                  <w:tcBorders>
                    <w:top w:val="single" w:color="000000" w:sz="4" w:space="0"/>
                    <w:left w:val="single" w:color="000000" w:sz="4" w:space="0"/>
                    <w:bottom w:val="single" w:color="000000" w:sz="4" w:space="0"/>
                    <w:right w:val="single" w:color="000000" w:sz="12" w:space="0"/>
                  </w:tcBorders>
                  <w:vAlign w:val="center"/>
                </w:tcPr>
                <w:p w14:paraId="1C508DBF">
                  <w:pPr>
                    <w:autoSpaceDE w:val="0"/>
                    <w:autoSpaceDN w:val="0"/>
                    <w:jc w:val="center"/>
                    <w:rPr>
                      <w:u w:val="single"/>
                    </w:rPr>
                  </w:pPr>
                  <w:r>
                    <w:rPr>
                      <w:u w:val="single"/>
                    </w:rPr>
                    <w:t>符合</w:t>
                  </w:r>
                </w:p>
              </w:tc>
            </w:tr>
            <w:tr w14:paraId="66AFDE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50" w:hRule="atLeast"/>
                <w:jc w:val="center"/>
              </w:trPr>
              <w:tc>
                <w:tcPr>
                  <w:tcW w:w="426" w:type="dxa"/>
                  <w:tcBorders>
                    <w:top w:val="single" w:color="000000" w:sz="4" w:space="0"/>
                    <w:left w:val="single" w:color="000000" w:sz="12" w:space="0"/>
                    <w:bottom w:val="single" w:color="000000" w:sz="4" w:space="0"/>
                    <w:right w:val="single" w:color="000000" w:sz="4" w:space="0"/>
                  </w:tcBorders>
                  <w:vAlign w:val="center"/>
                </w:tcPr>
                <w:p w14:paraId="0332BDC3">
                  <w:pPr>
                    <w:autoSpaceDE w:val="0"/>
                    <w:autoSpaceDN w:val="0"/>
                    <w:jc w:val="center"/>
                    <w:rPr>
                      <w:u w:val="single"/>
                    </w:rPr>
                  </w:pPr>
                </w:p>
                <w:p w14:paraId="4CA689DA">
                  <w:pPr>
                    <w:autoSpaceDE w:val="0"/>
                    <w:autoSpaceDN w:val="0"/>
                    <w:jc w:val="center"/>
                    <w:rPr>
                      <w:u w:val="single"/>
                    </w:rPr>
                  </w:pPr>
                </w:p>
                <w:p w14:paraId="2C0349E3">
                  <w:pPr>
                    <w:autoSpaceDE w:val="0"/>
                    <w:autoSpaceDN w:val="0"/>
                    <w:jc w:val="center"/>
                    <w:rPr>
                      <w:u w:val="single"/>
                    </w:rPr>
                  </w:pPr>
                  <w:r>
                    <w:rPr>
                      <w:u w:val="single"/>
                    </w:rPr>
                    <w:t>5</w:t>
                  </w:r>
                </w:p>
              </w:tc>
              <w:tc>
                <w:tcPr>
                  <w:tcW w:w="2596" w:type="dxa"/>
                  <w:tcBorders>
                    <w:top w:val="single" w:color="000000" w:sz="4" w:space="0"/>
                    <w:left w:val="single" w:color="000000" w:sz="4" w:space="0"/>
                    <w:bottom w:val="single" w:color="000000" w:sz="4" w:space="0"/>
                    <w:right w:val="single" w:color="000000" w:sz="4" w:space="0"/>
                  </w:tcBorders>
                  <w:vAlign w:val="center"/>
                </w:tcPr>
                <w:p w14:paraId="15366435">
                  <w:pPr>
                    <w:autoSpaceDE w:val="0"/>
                    <w:autoSpaceDN w:val="0"/>
                    <w:jc w:val="center"/>
                    <w:rPr>
                      <w:u w:val="single"/>
                    </w:rPr>
                  </w:pPr>
                  <w:r>
                    <w:rPr>
                      <w:u w:val="single"/>
                    </w:rPr>
                    <w:t>废气收集系统集气罩的设置应符合 GB/T16758 的规定。废气收集系统的输送管道应密闭，排气筒高度不低于 15m。</w:t>
                  </w:r>
                </w:p>
              </w:tc>
              <w:tc>
                <w:tcPr>
                  <w:tcW w:w="3478" w:type="dxa"/>
                  <w:tcBorders>
                    <w:top w:val="single" w:color="000000" w:sz="4" w:space="0"/>
                    <w:left w:val="single" w:color="000000" w:sz="4" w:space="0"/>
                    <w:bottom w:val="single" w:color="000000" w:sz="4" w:space="0"/>
                    <w:right w:val="single" w:color="000000" w:sz="4" w:space="0"/>
                  </w:tcBorders>
                  <w:vAlign w:val="center"/>
                </w:tcPr>
                <w:p w14:paraId="62AEF774">
                  <w:pPr>
                    <w:autoSpaceDE w:val="0"/>
                    <w:autoSpaceDN w:val="0"/>
                    <w:jc w:val="center"/>
                    <w:rPr>
                      <w:u w:val="single"/>
                    </w:rPr>
                  </w:pPr>
                  <w:r>
                    <w:rPr>
                      <w:u w:val="single"/>
                    </w:rPr>
                    <w:t>本项目废气收集系统严格按照GB/T16758 的规定的设置。废气收集管道密闭，排气筒15m高。</w:t>
                  </w:r>
                </w:p>
              </w:tc>
              <w:tc>
                <w:tcPr>
                  <w:tcW w:w="846" w:type="dxa"/>
                  <w:tcBorders>
                    <w:top w:val="single" w:color="000000" w:sz="4" w:space="0"/>
                    <w:left w:val="single" w:color="000000" w:sz="4" w:space="0"/>
                    <w:bottom w:val="single" w:color="000000" w:sz="4" w:space="0"/>
                    <w:right w:val="single" w:color="000000" w:sz="12" w:space="0"/>
                  </w:tcBorders>
                  <w:vAlign w:val="center"/>
                </w:tcPr>
                <w:p w14:paraId="6D5811CD">
                  <w:pPr>
                    <w:autoSpaceDE w:val="0"/>
                    <w:autoSpaceDN w:val="0"/>
                    <w:jc w:val="center"/>
                    <w:rPr>
                      <w:u w:val="single"/>
                    </w:rPr>
                  </w:pPr>
                  <w:r>
                    <w:rPr>
                      <w:u w:val="single"/>
                    </w:rPr>
                    <w:t>符合</w:t>
                  </w:r>
                </w:p>
              </w:tc>
            </w:tr>
            <w:tr w14:paraId="6F75AE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29" w:hRule="atLeast"/>
                <w:jc w:val="center"/>
              </w:trPr>
              <w:tc>
                <w:tcPr>
                  <w:tcW w:w="426"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03F9DBCF">
                  <w:pPr>
                    <w:autoSpaceDE w:val="0"/>
                    <w:autoSpaceDN w:val="0"/>
                    <w:jc w:val="center"/>
                    <w:rPr>
                      <w:u w:val="single"/>
                      <w:lang w:val="zh-CN"/>
                    </w:rPr>
                  </w:pPr>
                  <w:r>
                    <w:rPr>
                      <w:u w:val="single"/>
                    </w:rPr>
                    <w:t>6</w:t>
                  </w:r>
                </w:p>
              </w:tc>
              <w:tc>
                <w:tcPr>
                  <w:tcW w:w="2596" w:type="dxa"/>
                  <w:tcBorders>
                    <w:top w:val="single" w:color="000000" w:sz="4" w:space="0"/>
                    <w:left w:val="single" w:color="000000" w:sz="4" w:space="0"/>
                    <w:right w:val="single" w:color="000000" w:sz="4" w:space="0"/>
                  </w:tcBorders>
                  <w:shd w:val="clear" w:color="auto" w:fill="auto"/>
                  <w:vAlign w:val="center"/>
                </w:tcPr>
                <w:p w14:paraId="23724F18">
                  <w:pPr>
                    <w:autoSpaceDE w:val="0"/>
                    <w:autoSpaceDN w:val="0"/>
                    <w:jc w:val="center"/>
                    <w:rPr>
                      <w:u w:val="single"/>
                    </w:rPr>
                  </w:pPr>
                  <w:r>
                    <w:rPr>
                      <w:u w:val="single"/>
                    </w:rPr>
                    <w:t>对于非重点地区，NMHC</w:t>
                  </w:r>
                </w:p>
                <w:p w14:paraId="73511CB7">
                  <w:pPr>
                    <w:autoSpaceDE w:val="0"/>
                    <w:autoSpaceDN w:val="0"/>
                    <w:jc w:val="center"/>
                    <w:rPr>
                      <w:u w:val="single"/>
                    </w:rPr>
                  </w:pPr>
                  <w:r>
                    <w:rPr>
                      <w:u w:val="single"/>
                    </w:rPr>
                    <w:t>初始排放速率≥3kg/h 时，</w:t>
                  </w:r>
                </w:p>
                <w:p w14:paraId="09C77FE3">
                  <w:pPr>
                    <w:autoSpaceDE w:val="0"/>
                    <w:autoSpaceDN w:val="0"/>
                    <w:jc w:val="center"/>
                    <w:rPr>
                      <w:u w:val="single"/>
                    </w:rPr>
                  </w:pPr>
                  <w:r>
                    <w:rPr>
                      <w:u w:val="single"/>
                    </w:rPr>
                    <w:t>应配置 VOCs 处理设施， 处理效率不应低于 80%。</w:t>
                  </w:r>
                </w:p>
              </w:tc>
              <w:tc>
                <w:tcPr>
                  <w:tcW w:w="3478" w:type="dxa"/>
                  <w:tcBorders>
                    <w:top w:val="single" w:color="000000" w:sz="4" w:space="0"/>
                    <w:left w:val="single" w:color="000000" w:sz="4" w:space="0"/>
                    <w:right w:val="single" w:color="000000" w:sz="4" w:space="0"/>
                  </w:tcBorders>
                  <w:shd w:val="clear" w:color="auto" w:fill="auto"/>
                  <w:vAlign w:val="center"/>
                </w:tcPr>
                <w:p w14:paraId="4581CE0E">
                  <w:pPr>
                    <w:autoSpaceDE w:val="0"/>
                    <w:autoSpaceDN w:val="0"/>
                    <w:jc w:val="center"/>
                    <w:rPr>
                      <w:u w:val="single"/>
                    </w:rPr>
                  </w:pPr>
                  <w:r>
                    <w:rPr>
                      <w:u w:val="single"/>
                    </w:rPr>
                    <w:t>本项目位于湘潭市，湘潭市不属于</w:t>
                  </w:r>
                </w:p>
                <w:p w14:paraId="1FCAB778">
                  <w:pPr>
                    <w:autoSpaceDE w:val="0"/>
                    <w:autoSpaceDN w:val="0"/>
                    <w:jc w:val="center"/>
                    <w:rPr>
                      <w:u w:val="single"/>
                    </w:rPr>
                  </w:pPr>
                  <w:r>
                    <w:rPr>
                      <w:u w:val="single"/>
                    </w:rPr>
                    <w:t>《重点行业挥发性有机物综合治理</w:t>
                  </w:r>
                </w:p>
                <w:p w14:paraId="3EED3BE7">
                  <w:pPr>
                    <w:autoSpaceDE w:val="0"/>
                    <w:autoSpaceDN w:val="0"/>
                    <w:jc w:val="center"/>
                    <w:rPr>
                      <w:u w:val="single"/>
                    </w:rPr>
                  </w:pPr>
                  <w:r>
                    <w:rPr>
                      <w:u w:val="single"/>
                    </w:rPr>
                    <w:t>方案》（环大气[2019]53号）重点区域范围，且本项目 NMHC 初始排放</w:t>
                  </w:r>
                </w:p>
                <w:p w14:paraId="2E1FE76F">
                  <w:pPr>
                    <w:autoSpaceDE w:val="0"/>
                    <w:autoSpaceDN w:val="0"/>
                    <w:jc w:val="center"/>
                    <w:rPr>
                      <w:u w:val="single"/>
                    </w:rPr>
                  </w:pPr>
                  <w:r>
                    <w:rPr>
                      <w:u w:val="single"/>
                    </w:rPr>
                    <w:t>速率小于 3kg/h</w:t>
                  </w:r>
                </w:p>
              </w:tc>
              <w:tc>
                <w:tcPr>
                  <w:tcW w:w="846" w:type="dxa"/>
                  <w:tcBorders>
                    <w:top w:val="single" w:color="000000" w:sz="4" w:space="0"/>
                    <w:left w:val="single" w:color="000000" w:sz="4" w:space="0"/>
                    <w:right w:val="single" w:color="000000" w:sz="12" w:space="0"/>
                  </w:tcBorders>
                  <w:shd w:val="clear" w:color="auto" w:fill="auto"/>
                  <w:vAlign w:val="center"/>
                </w:tcPr>
                <w:p w14:paraId="18FE50FD">
                  <w:pPr>
                    <w:autoSpaceDE w:val="0"/>
                    <w:autoSpaceDN w:val="0"/>
                    <w:jc w:val="center"/>
                    <w:rPr>
                      <w:u w:val="single"/>
                      <w:lang w:val="zh-CN"/>
                    </w:rPr>
                  </w:pPr>
                  <w:r>
                    <w:rPr>
                      <w:u w:val="single"/>
                    </w:rPr>
                    <w:t>符合</w:t>
                  </w:r>
                </w:p>
              </w:tc>
            </w:tr>
            <w:tr w14:paraId="5DABA4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11" w:hRule="atLeast"/>
                <w:jc w:val="center"/>
              </w:trPr>
              <w:tc>
                <w:tcPr>
                  <w:tcW w:w="426" w:type="dxa"/>
                  <w:tcBorders>
                    <w:top w:val="single" w:color="000000" w:sz="4" w:space="0"/>
                    <w:left w:val="single" w:color="000000" w:sz="12" w:space="0"/>
                    <w:bottom w:val="single" w:color="000000" w:sz="12" w:space="0"/>
                    <w:right w:val="single" w:color="000000" w:sz="4" w:space="0"/>
                  </w:tcBorders>
                  <w:vAlign w:val="center"/>
                </w:tcPr>
                <w:p w14:paraId="10A91F38">
                  <w:pPr>
                    <w:autoSpaceDE w:val="0"/>
                    <w:autoSpaceDN w:val="0"/>
                    <w:jc w:val="center"/>
                    <w:rPr>
                      <w:u w:val="single"/>
                    </w:rPr>
                  </w:pPr>
                  <w:r>
                    <w:rPr>
                      <w:u w:val="single"/>
                    </w:rPr>
                    <w:t>7</w:t>
                  </w:r>
                </w:p>
              </w:tc>
              <w:tc>
                <w:tcPr>
                  <w:tcW w:w="2596" w:type="dxa"/>
                  <w:tcBorders>
                    <w:top w:val="single" w:color="000000" w:sz="4" w:space="0"/>
                    <w:left w:val="single" w:color="000000" w:sz="4" w:space="0"/>
                    <w:bottom w:val="single" w:color="000000" w:sz="12" w:space="0"/>
                    <w:right w:val="single" w:color="000000" w:sz="4" w:space="0"/>
                  </w:tcBorders>
                  <w:vAlign w:val="center"/>
                </w:tcPr>
                <w:p w14:paraId="431F537A">
                  <w:pPr>
                    <w:autoSpaceDE w:val="0"/>
                    <w:autoSpaceDN w:val="0"/>
                    <w:jc w:val="center"/>
                    <w:rPr>
                      <w:u w:val="single"/>
                    </w:rPr>
                  </w:pPr>
                  <w:r>
                    <w:rPr>
                      <w:u w:val="single"/>
                    </w:rPr>
                    <w:t>企业边界及周边 VOCs 监</w:t>
                  </w:r>
                </w:p>
                <w:p w14:paraId="23D248A3">
                  <w:pPr>
                    <w:autoSpaceDE w:val="0"/>
                    <w:autoSpaceDN w:val="0"/>
                    <w:jc w:val="center"/>
                    <w:rPr>
                      <w:u w:val="single"/>
                    </w:rPr>
                  </w:pPr>
                  <w:r>
                    <w:rPr>
                      <w:u w:val="single"/>
                    </w:rPr>
                    <w:t>控要求执行GB16297 或相关行业排放标准的规定。</w:t>
                  </w:r>
                </w:p>
              </w:tc>
              <w:tc>
                <w:tcPr>
                  <w:tcW w:w="3478" w:type="dxa"/>
                  <w:tcBorders>
                    <w:top w:val="single" w:color="000000" w:sz="4" w:space="0"/>
                    <w:left w:val="single" w:color="000000" w:sz="4" w:space="0"/>
                    <w:bottom w:val="single" w:color="000000" w:sz="12" w:space="0"/>
                    <w:right w:val="single" w:color="000000" w:sz="4" w:space="0"/>
                  </w:tcBorders>
                  <w:vAlign w:val="center"/>
                </w:tcPr>
                <w:p w14:paraId="55395C78">
                  <w:pPr>
                    <w:autoSpaceDE w:val="0"/>
                    <w:autoSpaceDN w:val="0"/>
                    <w:jc w:val="center"/>
                    <w:rPr>
                      <w:u w:val="single"/>
                    </w:rPr>
                  </w:pPr>
                  <w:r>
                    <w:rPr>
                      <w:u w:val="single"/>
                    </w:rPr>
                    <w:t>本项目制定有监测计划，严格执行</w:t>
                  </w:r>
                </w:p>
                <w:p w14:paraId="149D5DD5">
                  <w:pPr>
                    <w:autoSpaceDE w:val="0"/>
                    <w:autoSpaceDN w:val="0"/>
                    <w:jc w:val="center"/>
                    <w:rPr>
                      <w:u w:val="single"/>
                    </w:rPr>
                  </w:pPr>
                  <w:r>
                    <w:rPr>
                      <w:u w:val="single"/>
                    </w:rPr>
                    <w:t>GB16297 或相关行业排放标准的规定。</w:t>
                  </w:r>
                </w:p>
              </w:tc>
              <w:tc>
                <w:tcPr>
                  <w:tcW w:w="846" w:type="dxa"/>
                  <w:tcBorders>
                    <w:top w:val="single" w:color="000000" w:sz="4" w:space="0"/>
                    <w:left w:val="single" w:color="000000" w:sz="4" w:space="0"/>
                    <w:bottom w:val="single" w:color="000000" w:sz="12" w:space="0"/>
                    <w:right w:val="single" w:color="000000" w:sz="12" w:space="0"/>
                  </w:tcBorders>
                  <w:vAlign w:val="center"/>
                </w:tcPr>
                <w:p w14:paraId="74257FFB">
                  <w:pPr>
                    <w:autoSpaceDE w:val="0"/>
                    <w:autoSpaceDN w:val="0"/>
                    <w:jc w:val="center"/>
                    <w:rPr>
                      <w:u w:val="single"/>
                    </w:rPr>
                  </w:pPr>
                  <w:r>
                    <w:rPr>
                      <w:u w:val="single"/>
                    </w:rPr>
                    <w:t>符合</w:t>
                  </w:r>
                </w:p>
              </w:tc>
            </w:tr>
          </w:tbl>
          <w:p w14:paraId="1CD5F79E">
            <w:pPr>
              <w:spacing w:line="360" w:lineRule="auto"/>
              <w:ind w:firstLine="480" w:firstLineChars="200"/>
              <w:rPr>
                <w:b/>
                <w:bCs/>
                <w:spacing w:val="-2"/>
                <w:position w:val="-6"/>
                <w:sz w:val="24"/>
                <w:u w:val="single"/>
                <w:lang w:bidi="ar"/>
              </w:rPr>
            </w:pPr>
            <w:r>
              <w:rPr>
                <w:rFonts w:hint="eastAsia"/>
                <w:kern w:val="0"/>
                <w:sz w:val="24"/>
                <w:u w:val="single"/>
              </w:rPr>
              <w:t>综上所述，项目符合</w:t>
            </w:r>
            <w:r>
              <w:rPr>
                <w:sz w:val="24"/>
                <w:u w:val="single"/>
              </w:rPr>
              <w:t>《挥发性有机物无组织排放控制标准》（</w:t>
            </w:r>
            <w:r>
              <w:rPr>
                <w:rFonts w:eastAsia="Times New Roman"/>
                <w:sz w:val="24"/>
                <w:u w:val="single"/>
              </w:rPr>
              <w:t>GB37822-2019</w:t>
            </w:r>
            <w:r>
              <w:rPr>
                <w:sz w:val="24"/>
                <w:u w:val="single"/>
              </w:rPr>
              <w:t>）</w:t>
            </w:r>
            <w:r>
              <w:rPr>
                <w:rFonts w:hint="eastAsia"/>
                <w:kern w:val="0"/>
                <w:sz w:val="24"/>
                <w:u w:val="single"/>
              </w:rPr>
              <w:t>中相关要求。</w:t>
            </w:r>
          </w:p>
          <w:p w14:paraId="57893C2B">
            <w:pPr>
              <w:spacing w:line="360" w:lineRule="auto"/>
              <w:ind w:firstLine="474" w:firstLineChars="200"/>
              <w:rPr>
                <w:spacing w:val="-2"/>
                <w:position w:val="-6"/>
                <w:sz w:val="24"/>
                <w:lang w:bidi="ar"/>
              </w:rPr>
            </w:pPr>
            <w:r>
              <w:rPr>
                <w:rFonts w:hint="eastAsia"/>
                <w:b/>
                <w:bCs/>
                <w:spacing w:val="-2"/>
                <w:position w:val="-6"/>
                <w:sz w:val="24"/>
                <w:lang w:bidi="ar"/>
              </w:rPr>
              <w:t>13、</w:t>
            </w:r>
            <w:r>
              <w:rPr>
                <w:b/>
                <w:bCs/>
                <w:spacing w:val="-2"/>
                <w:position w:val="-6"/>
                <w:sz w:val="24"/>
                <w:lang w:bidi="ar"/>
              </w:rPr>
              <w:t>与《湖南省“两高”项目管理目录》符合性分析</w:t>
            </w:r>
          </w:p>
          <w:p w14:paraId="46D61A4F">
            <w:pPr>
              <w:spacing w:line="360" w:lineRule="auto"/>
              <w:ind w:firstLine="472" w:firstLineChars="200"/>
              <w:rPr>
                <w:spacing w:val="-2"/>
                <w:position w:val="-6"/>
                <w:sz w:val="24"/>
                <w:lang w:bidi="ar"/>
              </w:rPr>
            </w:pPr>
            <w:r>
              <w:rPr>
                <w:rFonts w:hint="eastAsia"/>
                <w:spacing w:val="-2"/>
                <w:position w:val="-6"/>
                <w:sz w:val="24"/>
                <w:lang w:bidi="ar"/>
              </w:rPr>
              <w:t>根据《湖南省生态环境厅关于进一步加强高耗能、高排放建设项目生态环境源头防控工作的通知》（湘环发〔 2022〕 23 号），所指“两高”行业和项目，主要包括《湖南省“两高”项目管理目录》（湘发改环资[2021]968号，2021.12.24）中明确的石化、化工、煤化工、焦化、钢铁、建材、有色、煤电等 8 个行业和涉煤及煤制品、石油焦、渣油、重油等高污染燃料使用工业窑炉、锅炉项目。</w:t>
            </w:r>
          </w:p>
          <w:p w14:paraId="1EBC16A1">
            <w:pPr>
              <w:spacing w:line="360" w:lineRule="auto"/>
              <w:ind w:firstLine="480" w:firstLineChars="200"/>
              <w:rPr>
                <w:sz w:val="24"/>
                <w:szCs w:val="32"/>
              </w:rPr>
            </w:pPr>
            <w:r>
              <w:rPr>
                <w:rFonts w:hint="eastAsia"/>
                <w:sz w:val="24"/>
                <w:szCs w:val="32"/>
              </w:rPr>
              <w:t xml:space="preserve">本项目属于金属铸造项目，项目锅炉使用燃料为天然气，因此，项目不属于“两高”行业和项目。 </w:t>
            </w:r>
          </w:p>
          <w:p w14:paraId="30BCCE5E">
            <w:pPr>
              <w:spacing w:line="360" w:lineRule="auto"/>
              <w:ind w:firstLine="474" w:firstLineChars="200"/>
              <w:rPr>
                <w:b/>
                <w:bCs/>
                <w:spacing w:val="-2"/>
                <w:position w:val="-6"/>
                <w:sz w:val="24"/>
                <w:lang w:bidi="ar"/>
              </w:rPr>
            </w:pPr>
            <w:r>
              <w:rPr>
                <w:rFonts w:hint="eastAsia"/>
                <w:b/>
                <w:bCs/>
                <w:spacing w:val="-2"/>
                <w:position w:val="-6"/>
                <w:sz w:val="24"/>
                <w:lang w:bidi="ar"/>
              </w:rPr>
              <w:t>14、平面布置合理性</w:t>
            </w:r>
          </w:p>
          <w:p w14:paraId="5645C89C">
            <w:pPr>
              <w:spacing w:line="360" w:lineRule="auto"/>
              <w:ind w:firstLine="472" w:firstLineChars="200"/>
              <w:rPr>
                <w:sz w:val="24"/>
              </w:rPr>
            </w:pPr>
            <w:r>
              <w:rPr>
                <w:spacing w:val="-2"/>
                <w:position w:val="-6"/>
                <w:sz w:val="24"/>
                <w:lang w:bidi="ar"/>
              </w:rPr>
              <w:t>本项目厂区泡沫模生产车间（包括发泡工序、成型工序、模具组装工序、模具烘干工序）设置在厂房</w:t>
            </w:r>
            <w:r>
              <w:rPr>
                <w:rFonts w:hint="eastAsia"/>
                <w:spacing w:val="-2"/>
                <w:position w:val="-6"/>
                <w:sz w:val="24"/>
                <w:lang w:bidi="ar"/>
              </w:rPr>
              <w:t>东侧和东北</w:t>
            </w:r>
            <w:r>
              <w:rPr>
                <w:spacing w:val="-2"/>
                <w:position w:val="-6"/>
                <w:sz w:val="24"/>
                <w:lang w:bidi="ar"/>
              </w:rPr>
              <w:t>侧，</w:t>
            </w:r>
            <w:r>
              <w:rPr>
                <w:rFonts w:hint="eastAsia"/>
                <w:spacing w:val="-2"/>
                <w:position w:val="-6"/>
                <w:sz w:val="24"/>
                <w:lang w:bidi="ar"/>
              </w:rPr>
              <w:t>水玻璃工艺造型浇铸区和</w:t>
            </w:r>
            <w:r>
              <w:rPr>
                <w:spacing w:val="-2"/>
                <w:position w:val="-6"/>
                <w:sz w:val="24"/>
                <w:lang w:bidi="ar"/>
              </w:rPr>
              <w:t>消失模砂处理造型浇铸车间（包括涂料刷涂工序、涂料烘干工序、砂造型工序、浇铸工序、砂处理工序）位于厂房中部，机加工车间位于厂房</w:t>
            </w:r>
            <w:r>
              <w:rPr>
                <w:rFonts w:hint="eastAsia"/>
                <w:spacing w:val="-2"/>
                <w:position w:val="-6"/>
                <w:sz w:val="24"/>
                <w:lang w:bidi="ar"/>
              </w:rPr>
              <w:t>西</w:t>
            </w:r>
            <w:r>
              <w:rPr>
                <w:spacing w:val="-2"/>
                <w:position w:val="-6"/>
                <w:sz w:val="24"/>
                <w:lang w:bidi="ar"/>
              </w:rPr>
              <w:t>侧。厂房</w:t>
            </w:r>
            <w:r>
              <w:rPr>
                <w:rFonts w:hint="eastAsia"/>
                <w:spacing w:val="-2"/>
                <w:position w:val="-6"/>
                <w:sz w:val="24"/>
                <w:lang w:bidi="ar"/>
              </w:rPr>
              <w:t>东</w:t>
            </w:r>
            <w:r>
              <w:rPr>
                <w:spacing w:val="-2"/>
                <w:position w:val="-6"/>
                <w:sz w:val="24"/>
                <w:lang w:bidi="ar"/>
              </w:rPr>
              <w:t>侧设置锅炉房、储气罐等公用辅助设施，往</w:t>
            </w:r>
            <w:r>
              <w:rPr>
                <w:rFonts w:hint="eastAsia"/>
                <w:spacing w:val="-2"/>
                <w:position w:val="-6"/>
                <w:sz w:val="24"/>
                <w:lang w:bidi="ar"/>
              </w:rPr>
              <w:t>西</w:t>
            </w:r>
            <w:r>
              <w:rPr>
                <w:spacing w:val="-2"/>
                <w:position w:val="-6"/>
                <w:sz w:val="24"/>
                <w:lang w:bidi="ar"/>
              </w:rPr>
              <w:t>为原料存放区。泡沫膜生产车间中预发泡区、蒸压成型区、白模粘接区主要分布在</w:t>
            </w:r>
            <w:r>
              <w:rPr>
                <w:rFonts w:hint="eastAsia"/>
                <w:spacing w:val="-2"/>
                <w:position w:val="-6"/>
                <w:sz w:val="24"/>
                <w:lang w:bidi="ar"/>
              </w:rPr>
              <w:t>东北</w:t>
            </w:r>
            <w:r>
              <w:rPr>
                <w:spacing w:val="-2"/>
                <w:position w:val="-6"/>
                <w:sz w:val="24"/>
                <w:lang w:bidi="ar"/>
              </w:rPr>
              <w:t>侧，烘干区在其</w:t>
            </w:r>
            <w:r>
              <w:rPr>
                <w:rFonts w:hint="eastAsia"/>
                <w:spacing w:val="-2"/>
                <w:position w:val="-6"/>
                <w:sz w:val="24"/>
                <w:lang w:bidi="ar"/>
              </w:rPr>
              <w:t>南</w:t>
            </w:r>
            <w:r>
              <w:rPr>
                <w:spacing w:val="-2"/>
                <w:position w:val="-6"/>
                <w:sz w:val="24"/>
                <w:lang w:bidi="ar"/>
              </w:rPr>
              <w:t>侧；</w:t>
            </w:r>
            <w:r>
              <w:rPr>
                <w:rFonts w:hint="eastAsia"/>
                <w:spacing w:val="-2"/>
                <w:position w:val="-6"/>
                <w:sz w:val="24"/>
                <w:lang w:bidi="ar"/>
              </w:rPr>
              <w:t>中部设置水玻璃工艺造型</w:t>
            </w:r>
            <w:r>
              <w:rPr>
                <w:spacing w:val="-2"/>
                <w:position w:val="-6"/>
                <w:sz w:val="24"/>
                <w:lang w:bidi="ar"/>
              </w:rPr>
              <w:t>浇铸</w:t>
            </w:r>
            <w:r>
              <w:rPr>
                <w:rFonts w:hint="eastAsia"/>
                <w:spacing w:val="-2"/>
                <w:position w:val="-6"/>
                <w:sz w:val="24"/>
                <w:lang w:bidi="ar"/>
              </w:rPr>
              <w:t>区，</w:t>
            </w:r>
            <w:r>
              <w:rPr>
                <w:spacing w:val="-2"/>
                <w:position w:val="-6"/>
                <w:sz w:val="24"/>
                <w:lang w:bidi="ar"/>
              </w:rPr>
              <w:t>消失模砂处理造型浇铸车间由</w:t>
            </w:r>
            <w:r>
              <w:rPr>
                <w:rFonts w:hint="eastAsia"/>
                <w:spacing w:val="-2"/>
                <w:position w:val="-6"/>
                <w:sz w:val="24"/>
                <w:lang w:bidi="ar"/>
              </w:rPr>
              <w:t>东</w:t>
            </w:r>
            <w:r>
              <w:rPr>
                <w:spacing w:val="-2"/>
                <w:position w:val="-6"/>
                <w:sz w:val="24"/>
                <w:lang w:bidi="ar"/>
              </w:rPr>
              <w:t>至</w:t>
            </w:r>
            <w:r>
              <w:rPr>
                <w:rFonts w:hint="eastAsia"/>
                <w:spacing w:val="-2"/>
                <w:position w:val="-6"/>
                <w:sz w:val="24"/>
                <w:lang w:bidi="ar"/>
              </w:rPr>
              <w:t>西</w:t>
            </w:r>
            <w:r>
              <w:rPr>
                <w:spacing w:val="-2"/>
                <w:position w:val="-6"/>
                <w:sz w:val="24"/>
                <w:lang w:bidi="ar"/>
              </w:rPr>
              <w:t>分别为</w:t>
            </w:r>
            <w:r>
              <w:rPr>
                <w:rFonts w:hint="eastAsia"/>
                <w:spacing w:val="-2"/>
                <w:position w:val="-6"/>
                <w:sz w:val="24"/>
                <w:lang w:bidi="ar"/>
              </w:rPr>
              <w:t>粉</w:t>
            </w:r>
            <w:r>
              <w:rPr>
                <w:spacing w:val="-2"/>
                <w:position w:val="-6"/>
                <w:sz w:val="24"/>
                <w:lang w:bidi="ar"/>
              </w:rPr>
              <w:t>料刷涂及烘干区-消失模砂处理造型浇铸区，往</w:t>
            </w:r>
            <w:r>
              <w:rPr>
                <w:rFonts w:hint="eastAsia"/>
                <w:spacing w:val="-2"/>
                <w:position w:val="-6"/>
                <w:sz w:val="24"/>
                <w:lang w:bidi="ar"/>
              </w:rPr>
              <w:t>西</w:t>
            </w:r>
            <w:r>
              <w:rPr>
                <w:spacing w:val="-2"/>
                <w:position w:val="-6"/>
                <w:sz w:val="24"/>
                <w:lang w:bidi="ar"/>
              </w:rPr>
              <w:t>设置抛丸打磨区</w:t>
            </w:r>
            <w:r>
              <w:rPr>
                <w:rFonts w:hint="eastAsia"/>
                <w:spacing w:val="-2"/>
                <w:position w:val="-6"/>
                <w:sz w:val="24"/>
                <w:lang w:bidi="ar"/>
              </w:rPr>
              <w:t>和喷漆房</w:t>
            </w:r>
            <w:r>
              <w:rPr>
                <w:spacing w:val="-2"/>
                <w:position w:val="-6"/>
                <w:sz w:val="24"/>
                <w:lang w:bidi="ar"/>
              </w:rPr>
              <w:t>，打磨区</w:t>
            </w:r>
            <w:r>
              <w:rPr>
                <w:rFonts w:hint="eastAsia"/>
                <w:spacing w:val="-2"/>
                <w:position w:val="-6"/>
                <w:sz w:val="24"/>
                <w:lang w:bidi="ar"/>
              </w:rPr>
              <w:t>北</w:t>
            </w:r>
            <w:r>
              <w:rPr>
                <w:spacing w:val="-2"/>
                <w:position w:val="-6"/>
                <w:sz w:val="24"/>
                <w:lang w:bidi="ar"/>
              </w:rPr>
              <w:t>侧为铸件存放区；厂房最西侧为仓库区和机加工区。</w:t>
            </w:r>
          </w:p>
          <w:p w14:paraId="4E2DE80E">
            <w:pPr>
              <w:spacing w:line="360" w:lineRule="auto"/>
              <w:ind w:firstLine="472" w:firstLineChars="200"/>
              <w:rPr>
                <w:spacing w:val="-2"/>
                <w:position w:val="-6"/>
                <w:sz w:val="24"/>
                <w:lang w:bidi="ar"/>
              </w:rPr>
            </w:pPr>
            <w:r>
              <w:rPr>
                <w:spacing w:val="-2"/>
                <w:position w:val="-6"/>
                <w:sz w:val="24"/>
                <w:lang w:bidi="ar"/>
              </w:rPr>
              <w:t>本项目生产设备总体上按工艺顺序进行布置，物料运输距离小，布局紧凑，工艺流程顺畅，功能分区明确，能够满足生产和加强环境管理要求。平面布置在满足工艺流程顺畅的基础上，可最大限度减小项目污染物对外环境的影响。因此</w:t>
            </w:r>
            <w:r>
              <w:rPr>
                <w:rFonts w:hint="eastAsia"/>
                <w:spacing w:val="-2"/>
                <w:position w:val="-6"/>
                <w:sz w:val="24"/>
                <w:lang w:bidi="ar"/>
              </w:rPr>
              <w:t>，</w:t>
            </w:r>
            <w:r>
              <w:rPr>
                <w:spacing w:val="-2"/>
                <w:position w:val="-6"/>
                <w:sz w:val="24"/>
                <w:lang w:bidi="ar"/>
              </w:rPr>
              <w:t>本项目厂区平面布置较为合理</w:t>
            </w:r>
            <w:r>
              <w:rPr>
                <w:rFonts w:hint="eastAsia"/>
                <w:spacing w:val="-2"/>
                <w:position w:val="-6"/>
                <w:sz w:val="24"/>
                <w:lang w:bidi="ar"/>
              </w:rPr>
              <w:t>。</w:t>
            </w:r>
          </w:p>
          <w:p w14:paraId="522C43B1">
            <w:pPr>
              <w:spacing w:line="360" w:lineRule="auto"/>
              <w:ind w:firstLine="474" w:firstLineChars="200"/>
              <w:rPr>
                <w:b/>
                <w:bCs/>
                <w:spacing w:val="-2"/>
                <w:position w:val="-6"/>
                <w:sz w:val="24"/>
                <w:lang w:bidi="ar"/>
              </w:rPr>
            </w:pPr>
            <w:r>
              <w:rPr>
                <w:rFonts w:hint="eastAsia"/>
                <w:b/>
                <w:bCs/>
                <w:spacing w:val="-2"/>
                <w:position w:val="-6"/>
                <w:sz w:val="24"/>
                <w:lang w:bidi="ar"/>
              </w:rPr>
              <w:t>15、</w:t>
            </w:r>
            <w:r>
              <w:rPr>
                <w:b/>
                <w:bCs/>
                <w:spacing w:val="-2"/>
                <w:position w:val="-6"/>
                <w:sz w:val="24"/>
                <w:lang w:bidi="ar"/>
              </w:rPr>
              <w:t>选址符合性分析</w:t>
            </w:r>
          </w:p>
          <w:p w14:paraId="072DB8A4">
            <w:pPr>
              <w:spacing w:line="360" w:lineRule="auto"/>
              <w:ind w:firstLine="472" w:firstLineChars="200"/>
              <w:rPr>
                <w:spacing w:val="-2"/>
                <w:position w:val="-6"/>
                <w:sz w:val="24"/>
                <w:lang w:bidi="ar"/>
              </w:rPr>
            </w:pPr>
            <w:r>
              <w:rPr>
                <w:spacing w:val="-2"/>
                <w:position w:val="-6"/>
                <w:sz w:val="24"/>
                <w:lang w:bidi="ar"/>
              </w:rPr>
              <w:t>项目选址湘潭天易经济开发区，所在地交通条件较好，项目给排水、电力、能源、交通、通讯等供应和使用条件良好，可以保证项目的顺利进行。</w:t>
            </w:r>
          </w:p>
          <w:p w14:paraId="00112F2B">
            <w:pPr>
              <w:spacing w:line="360" w:lineRule="auto"/>
              <w:ind w:firstLine="472" w:firstLineChars="200"/>
              <w:rPr>
                <w:kern w:val="0"/>
                <w:szCs w:val="21"/>
              </w:rPr>
            </w:pPr>
            <w:r>
              <w:rPr>
                <w:spacing w:val="-2"/>
                <w:position w:val="-6"/>
                <w:sz w:val="24"/>
                <w:lang w:bidi="ar"/>
              </w:rPr>
              <w:t>本项目位于湘潭天易经济开发区工业用地，不属于园区限制、禁止发展的项目</w:t>
            </w:r>
            <w:r>
              <w:rPr>
                <w:rFonts w:hint="eastAsia"/>
                <w:spacing w:val="-2"/>
                <w:position w:val="-6"/>
                <w:sz w:val="24"/>
                <w:lang w:bidi="ar"/>
              </w:rPr>
              <w:t>，符合园区环境准入要求</w:t>
            </w:r>
            <w:r>
              <w:rPr>
                <w:spacing w:val="-2"/>
                <w:position w:val="-6"/>
                <w:sz w:val="24"/>
                <w:lang w:bidi="ar"/>
              </w:rPr>
              <w:t>。评价范围内无自然保护区、风景名胜区、文化遗产保护区、世界文化自然遗产和森林公园、地质公园、湿地公园等保护地，评价范围内无明显环境制约因素，</w:t>
            </w:r>
            <w:r>
              <w:rPr>
                <w:rFonts w:hint="eastAsia"/>
                <w:spacing w:val="-2"/>
                <w:position w:val="-6"/>
                <w:sz w:val="24"/>
                <w:lang w:bidi="ar"/>
              </w:rPr>
              <w:t>项目四周均为工业企业，</w:t>
            </w:r>
            <w:r>
              <w:rPr>
                <w:spacing w:val="-2"/>
                <w:position w:val="-6"/>
                <w:sz w:val="24"/>
                <w:lang w:bidi="ar"/>
              </w:rPr>
              <w:t>本项目在认真落实本报告提出的各项污染防治措施和要求、保证环保设施正常运转的前提下，</w:t>
            </w:r>
            <w:r>
              <w:rPr>
                <w:rFonts w:hint="eastAsia"/>
                <w:spacing w:val="-2"/>
                <w:position w:val="-6"/>
                <w:sz w:val="24"/>
                <w:lang w:bidi="ar"/>
              </w:rPr>
              <w:t>各污染物</w:t>
            </w:r>
            <w:r>
              <w:rPr>
                <w:spacing w:val="-2"/>
                <w:position w:val="-6"/>
                <w:sz w:val="24"/>
                <w:lang w:bidi="ar"/>
              </w:rPr>
              <w:t>能够得到有效的处理</w:t>
            </w:r>
            <w:r>
              <w:rPr>
                <w:rFonts w:hint="eastAsia"/>
                <w:spacing w:val="-2"/>
                <w:position w:val="-6"/>
                <w:sz w:val="24"/>
                <w:lang w:bidi="ar"/>
              </w:rPr>
              <w:t>实现</w:t>
            </w:r>
            <w:r>
              <w:rPr>
                <w:spacing w:val="-2"/>
                <w:position w:val="-6"/>
                <w:sz w:val="24"/>
                <w:lang w:bidi="ar"/>
              </w:rPr>
              <w:t>达标排放</w:t>
            </w:r>
            <w:r>
              <w:rPr>
                <w:rFonts w:hint="eastAsia"/>
                <w:spacing w:val="-2"/>
                <w:position w:val="-6"/>
                <w:sz w:val="24"/>
                <w:lang w:bidi="ar"/>
              </w:rPr>
              <w:t>。</w:t>
            </w:r>
            <w:r>
              <w:rPr>
                <w:spacing w:val="-2"/>
                <w:position w:val="-6"/>
                <w:sz w:val="24"/>
                <w:lang w:bidi="ar"/>
              </w:rPr>
              <w:t>本项目选址不与环境功能区相冲突，对周边环境影响不大。因此，本项目选址较为合理。</w:t>
            </w:r>
          </w:p>
        </w:tc>
      </w:tr>
    </w:tbl>
    <w:p w14:paraId="60898912">
      <w:pPr>
        <w:spacing w:line="360" w:lineRule="auto"/>
        <w:outlineLvl w:val="0"/>
        <w:rPr>
          <w:rFonts w:eastAsia="黑体"/>
          <w:sz w:val="30"/>
        </w:rPr>
        <w:sectPr>
          <w:footerReference r:id="rId3" w:type="default"/>
          <w:pgSz w:w="11906" w:h="16838"/>
          <w:pgMar w:top="1701" w:right="1304" w:bottom="1701" w:left="1304" w:header="851" w:footer="1077" w:gutter="0"/>
          <w:pgNumType w:start="1"/>
          <w:cols w:space="720" w:num="1"/>
          <w:docGrid w:linePitch="312" w:charSpace="0"/>
        </w:sectPr>
      </w:pPr>
    </w:p>
    <w:p w14:paraId="3C67301B">
      <w:pPr>
        <w:pStyle w:val="26"/>
        <w:spacing w:after="0" w:afterAutospacing="0"/>
        <w:jc w:val="center"/>
        <w:outlineLvl w:val="0"/>
        <w:rPr>
          <w:rFonts w:ascii="黑体" w:hAnsi="黑体" w:eastAsia="黑体"/>
          <w:b/>
          <w:bCs/>
          <w:snapToGrid w:val="0"/>
          <w:sz w:val="30"/>
          <w:szCs w:val="30"/>
        </w:rPr>
      </w:pPr>
      <w:bookmarkStart w:id="1" w:name="_Toc21526"/>
      <w:r>
        <w:rPr>
          <w:rFonts w:hint="eastAsia" w:ascii="黑体" w:hAnsi="黑体" w:eastAsia="黑体"/>
          <w:b/>
          <w:bCs/>
          <w:snapToGrid w:val="0"/>
          <w:sz w:val="30"/>
          <w:szCs w:val="30"/>
        </w:rPr>
        <w:t>二、建设项目工程分析</w:t>
      </w:r>
      <w:bookmarkEnd w:id="1"/>
    </w:p>
    <w:tbl>
      <w:tblPr>
        <w:tblStyle w:val="3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4"/>
      </w:tblGrid>
      <w:tr w14:paraId="4A64BF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37" w:hRule="atLeast"/>
          <w:jc w:val="center"/>
        </w:trPr>
        <w:tc>
          <w:tcPr>
            <w:tcW w:w="823" w:type="dxa"/>
            <w:vAlign w:val="center"/>
          </w:tcPr>
          <w:p w14:paraId="5DAD53EC">
            <w:pPr>
              <w:pStyle w:val="26"/>
              <w:adjustRightInd w:val="0"/>
              <w:snapToGrid w:val="0"/>
              <w:spacing w:before="0" w:beforeAutospacing="0" w:after="0" w:afterAutospacing="0"/>
              <w:jc w:val="center"/>
              <w:rPr>
                <w:rFonts w:cs="宋体"/>
                <w:color w:val="auto"/>
                <w:sz w:val="21"/>
                <w:szCs w:val="21"/>
              </w:rPr>
            </w:pPr>
            <w:r>
              <w:rPr>
                <w:rFonts w:hint="eastAsia" w:cs="宋体"/>
                <w:color w:val="auto"/>
                <w:szCs w:val="24"/>
              </w:rPr>
              <w:t>建设内容</w:t>
            </w:r>
          </w:p>
        </w:tc>
        <w:tc>
          <w:tcPr>
            <w:tcW w:w="8161" w:type="dxa"/>
          </w:tcPr>
          <w:p w14:paraId="5D7975F3">
            <w:pPr>
              <w:adjustRightInd w:val="0"/>
              <w:snapToGrid w:val="0"/>
              <w:spacing w:line="460" w:lineRule="exact"/>
              <w:rPr>
                <w:b/>
                <w:bCs/>
                <w:color w:val="auto"/>
                <w:sz w:val="24"/>
                <w:szCs w:val="32"/>
              </w:rPr>
            </w:pPr>
            <w:r>
              <w:rPr>
                <w:rFonts w:hint="eastAsia"/>
                <w:b/>
                <w:bCs/>
                <w:color w:val="auto"/>
                <w:sz w:val="24"/>
                <w:szCs w:val="32"/>
              </w:rPr>
              <w:t>2.1、项目建设背景</w:t>
            </w:r>
          </w:p>
          <w:p w14:paraId="17AED6BA">
            <w:pPr>
              <w:adjustRightInd w:val="0"/>
              <w:snapToGrid w:val="0"/>
              <w:spacing w:line="460" w:lineRule="exact"/>
              <w:ind w:firstLine="480" w:firstLineChars="200"/>
              <w:rPr>
                <w:color w:val="auto"/>
                <w:sz w:val="24"/>
                <w:szCs w:val="32"/>
              </w:rPr>
            </w:pPr>
            <w:r>
              <w:rPr>
                <w:rFonts w:hint="eastAsia"/>
                <w:color w:val="auto"/>
                <w:sz w:val="24"/>
                <w:szCs w:val="32"/>
              </w:rPr>
              <w:t>湖南佳特泵业制造有限公司，是一家以从事专用设备制造业为主的企业，主要经营范围</w:t>
            </w:r>
            <w:r>
              <w:rPr>
                <w:rFonts w:hint="eastAsia"/>
                <w:color w:val="auto"/>
                <w:sz w:val="24"/>
                <w:szCs w:val="32"/>
                <w:lang w:val="en-US" w:eastAsia="zh-CN"/>
              </w:rPr>
              <w:t>包括</w:t>
            </w:r>
            <w:r>
              <w:rPr>
                <w:rFonts w:hint="eastAsia"/>
                <w:color w:val="auto"/>
                <w:sz w:val="24"/>
                <w:szCs w:val="32"/>
              </w:rPr>
              <w:t>：泵及真空设备制造、泵及真空设备销售、机械设备销售、电机及其控制系统研发</w:t>
            </w:r>
            <w:r>
              <w:rPr>
                <w:rFonts w:hint="eastAsia"/>
                <w:color w:val="auto"/>
                <w:sz w:val="24"/>
                <w:szCs w:val="32"/>
                <w:lang w:eastAsia="zh-CN"/>
              </w:rPr>
              <w:t>、</w:t>
            </w:r>
            <w:r>
              <w:rPr>
                <w:rFonts w:hint="eastAsia"/>
                <w:color w:val="auto"/>
                <w:sz w:val="24"/>
                <w:szCs w:val="32"/>
              </w:rPr>
              <w:t>电机制造、有色金属铸造、有色金属压延加工等。</w:t>
            </w:r>
          </w:p>
          <w:p w14:paraId="2970632E">
            <w:pPr>
              <w:adjustRightInd w:val="0"/>
              <w:snapToGrid w:val="0"/>
              <w:spacing w:line="460" w:lineRule="exact"/>
              <w:ind w:firstLine="480" w:firstLineChars="200"/>
              <w:rPr>
                <w:color w:val="auto"/>
                <w:sz w:val="24"/>
                <w:szCs w:val="32"/>
              </w:rPr>
            </w:pPr>
            <w:r>
              <w:rPr>
                <w:rFonts w:hint="default" w:ascii="Times New Roman" w:hAnsi="Times New Roman" w:cs="Times New Roman"/>
                <w:color w:val="auto"/>
                <w:sz w:val="24"/>
                <w:szCs w:val="24"/>
                <w:u w:val="none" w:color="auto"/>
                <w:lang w:val="en-US" w:eastAsia="zh-CN"/>
              </w:rPr>
              <w:t>为满足市场需求，促进企业发展，</w:t>
            </w:r>
            <w:r>
              <w:rPr>
                <w:rFonts w:hint="eastAsia"/>
                <w:color w:val="auto"/>
                <w:sz w:val="24"/>
                <w:szCs w:val="32"/>
              </w:rPr>
              <w:t>湖南佳特泵业制造有限公司</w:t>
            </w:r>
            <w:r>
              <w:rPr>
                <w:rFonts w:hint="eastAsia"/>
                <w:color w:val="auto"/>
                <w:sz w:val="24"/>
                <w:szCs w:val="32"/>
                <w:lang w:val="en-US" w:eastAsia="zh-CN"/>
              </w:rPr>
              <w:t>拟</w:t>
            </w:r>
            <w:r>
              <w:rPr>
                <w:rFonts w:hint="eastAsia"/>
                <w:color w:val="auto"/>
                <w:sz w:val="24"/>
                <w:szCs w:val="32"/>
              </w:rPr>
              <w:t>租用湘潭天易经开区海鸥东路370号湘潭国发重工有限公司空置厂房生产压铸水泵及电机，</w:t>
            </w:r>
            <w:r>
              <w:rPr>
                <w:rFonts w:hint="eastAsia"/>
                <w:color w:val="auto"/>
                <w:sz w:val="24"/>
                <w:szCs w:val="32"/>
                <w:lang w:val="en-US" w:eastAsia="zh-CN"/>
              </w:rPr>
              <w:t>建设</w:t>
            </w:r>
            <w:r>
              <w:rPr>
                <w:rFonts w:hint="eastAsia"/>
                <w:color w:val="auto"/>
                <w:sz w:val="24"/>
                <w:szCs w:val="32"/>
              </w:rPr>
              <w:t>年产4000台水泵、电机生产项目</w:t>
            </w:r>
            <w:r>
              <w:rPr>
                <w:rFonts w:hint="eastAsia"/>
                <w:color w:val="auto"/>
                <w:sz w:val="24"/>
                <w:szCs w:val="32"/>
                <w:lang w:eastAsia="zh-CN"/>
              </w:rPr>
              <w:t>。</w:t>
            </w:r>
            <w:r>
              <w:rPr>
                <w:rFonts w:hint="eastAsia"/>
                <w:color w:val="auto"/>
                <w:sz w:val="24"/>
                <w:szCs w:val="32"/>
              </w:rPr>
              <w:t>根据《建设项目环境影响评价分类管理名录》（2021版），</w:t>
            </w:r>
            <w:r>
              <w:rPr>
                <w:rFonts w:hint="eastAsia"/>
                <w:color w:val="auto"/>
                <w:sz w:val="24"/>
                <w:szCs w:val="32"/>
                <w:lang w:val="en-US" w:eastAsia="zh-CN"/>
              </w:rPr>
              <w:t>本项目</w:t>
            </w:r>
            <w:r>
              <w:rPr>
                <w:rFonts w:hint="eastAsia"/>
                <w:color w:val="auto"/>
                <w:sz w:val="24"/>
                <w:szCs w:val="32"/>
              </w:rPr>
              <w:t>压铸制品年产量小于10万吨，属于“三十、金属制品业68 铸造及其他金属制品制造”中的“其他（仅分割、焊接、组装的除外）”，需编制建设项目环境影响报告表。</w:t>
            </w:r>
          </w:p>
          <w:p w14:paraId="5799ABBC">
            <w:pPr>
              <w:adjustRightInd w:val="0"/>
              <w:snapToGrid w:val="0"/>
              <w:spacing w:line="460" w:lineRule="exact"/>
              <w:ind w:firstLine="480" w:firstLineChars="200"/>
              <w:rPr>
                <w:color w:val="auto"/>
                <w:sz w:val="24"/>
                <w:szCs w:val="32"/>
              </w:rPr>
            </w:pPr>
            <w:r>
              <w:rPr>
                <w:rFonts w:hint="eastAsia"/>
                <w:color w:val="auto"/>
                <w:sz w:val="24"/>
                <w:szCs w:val="32"/>
              </w:rPr>
              <w:t>本项目基本情况如下：</w:t>
            </w:r>
          </w:p>
          <w:p w14:paraId="3D5E24D6">
            <w:pPr>
              <w:adjustRightInd w:val="0"/>
              <w:snapToGrid w:val="0"/>
              <w:spacing w:line="460" w:lineRule="exact"/>
              <w:ind w:firstLine="480" w:firstLineChars="200"/>
              <w:rPr>
                <w:color w:val="auto"/>
                <w:sz w:val="24"/>
                <w:szCs w:val="32"/>
              </w:rPr>
            </w:pPr>
            <w:r>
              <w:rPr>
                <w:rFonts w:hint="eastAsia"/>
                <w:color w:val="auto"/>
                <w:sz w:val="24"/>
                <w:szCs w:val="32"/>
              </w:rPr>
              <w:t>项目名称：年产4000台水泵、电机生产项目</w:t>
            </w:r>
          </w:p>
          <w:p w14:paraId="5FB801E7">
            <w:pPr>
              <w:adjustRightInd w:val="0"/>
              <w:snapToGrid w:val="0"/>
              <w:spacing w:line="460" w:lineRule="exact"/>
              <w:ind w:firstLine="480" w:firstLineChars="200"/>
              <w:rPr>
                <w:color w:val="auto"/>
                <w:sz w:val="24"/>
                <w:szCs w:val="32"/>
              </w:rPr>
            </w:pPr>
            <w:r>
              <w:rPr>
                <w:rFonts w:hint="eastAsia"/>
                <w:color w:val="auto"/>
                <w:sz w:val="24"/>
                <w:szCs w:val="32"/>
              </w:rPr>
              <w:t>建设单位：湖南佳特泵业制造有限公司</w:t>
            </w:r>
          </w:p>
          <w:p w14:paraId="312DE4CB">
            <w:pPr>
              <w:adjustRightInd w:val="0"/>
              <w:snapToGrid w:val="0"/>
              <w:spacing w:line="460" w:lineRule="exact"/>
              <w:ind w:firstLine="480" w:firstLineChars="200"/>
              <w:rPr>
                <w:color w:val="auto"/>
                <w:sz w:val="24"/>
                <w:szCs w:val="32"/>
              </w:rPr>
            </w:pPr>
            <w:r>
              <w:rPr>
                <w:rFonts w:hint="eastAsia"/>
                <w:color w:val="auto"/>
                <w:sz w:val="24"/>
                <w:szCs w:val="32"/>
              </w:rPr>
              <w:t>建设地点：湘潭天易经开区海鸥东路370号（湘潭国发重工有限公司厂区内）</w:t>
            </w:r>
          </w:p>
          <w:p w14:paraId="48AF0C79">
            <w:pPr>
              <w:adjustRightInd w:val="0"/>
              <w:snapToGrid w:val="0"/>
              <w:spacing w:line="460" w:lineRule="exact"/>
              <w:ind w:firstLine="480" w:firstLineChars="200"/>
              <w:rPr>
                <w:color w:val="auto"/>
                <w:sz w:val="24"/>
                <w:szCs w:val="32"/>
              </w:rPr>
            </w:pPr>
            <w:r>
              <w:rPr>
                <w:rFonts w:hint="eastAsia"/>
                <w:color w:val="auto"/>
                <w:sz w:val="24"/>
                <w:szCs w:val="32"/>
              </w:rPr>
              <w:t>建设性质：新建</w:t>
            </w:r>
          </w:p>
          <w:p w14:paraId="7E7E57CB">
            <w:pPr>
              <w:adjustRightInd w:val="0"/>
              <w:snapToGrid w:val="0"/>
              <w:spacing w:line="460" w:lineRule="exact"/>
              <w:ind w:firstLine="480" w:firstLineChars="200"/>
              <w:rPr>
                <w:color w:val="auto"/>
                <w:sz w:val="24"/>
                <w:szCs w:val="32"/>
              </w:rPr>
            </w:pPr>
            <w:r>
              <w:rPr>
                <w:rFonts w:hint="eastAsia"/>
                <w:color w:val="auto"/>
                <w:sz w:val="24"/>
                <w:szCs w:val="32"/>
              </w:rPr>
              <w:t>总投资：1500万元</w:t>
            </w:r>
          </w:p>
          <w:p w14:paraId="4FFAFEC8">
            <w:pPr>
              <w:adjustRightInd w:val="0"/>
              <w:snapToGrid w:val="0"/>
              <w:spacing w:line="460" w:lineRule="exact"/>
              <w:ind w:firstLine="480" w:firstLineChars="200"/>
              <w:rPr>
                <w:color w:val="auto"/>
                <w:sz w:val="24"/>
                <w:szCs w:val="32"/>
              </w:rPr>
            </w:pPr>
            <w:r>
              <w:rPr>
                <w:rFonts w:hint="eastAsia"/>
                <w:color w:val="auto"/>
                <w:sz w:val="24"/>
                <w:szCs w:val="32"/>
              </w:rPr>
              <w:t>劳动定员：25人</w:t>
            </w:r>
          </w:p>
          <w:p w14:paraId="6B0D1831">
            <w:pPr>
              <w:adjustRightInd w:val="0"/>
              <w:snapToGrid w:val="0"/>
              <w:spacing w:line="460" w:lineRule="exact"/>
              <w:ind w:firstLine="480" w:firstLineChars="200"/>
              <w:rPr>
                <w:color w:val="auto"/>
                <w:sz w:val="24"/>
                <w:szCs w:val="32"/>
              </w:rPr>
            </w:pPr>
            <w:r>
              <w:rPr>
                <w:rFonts w:hint="eastAsia"/>
                <w:color w:val="auto"/>
                <w:sz w:val="24"/>
                <w:szCs w:val="32"/>
              </w:rPr>
              <w:t>工作制度：生产班制为每天二班制，每班工作8小时，全年工作300天。</w:t>
            </w:r>
          </w:p>
          <w:p w14:paraId="70661253">
            <w:pPr>
              <w:pStyle w:val="13"/>
              <w:tabs>
                <w:tab w:val="left" w:pos="2940"/>
              </w:tabs>
              <w:adjustRightInd w:val="0"/>
              <w:snapToGrid w:val="0"/>
              <w:spacing w:before="120" w:beforeLines="50" w:after="0" w:line="360" w:lineRule="auto"/>
              <w:ind w:left="0" w:leftChars="0"/>
              <w:jc w:val="left"/>
              <w:rPr>
                <w:b/>
                <w:bCs/>
                <w:color w:val="auto"/>
              </w:rPr>
            </w:pPr>
            <w:r>
              <w:rPr>
                <w:b/>
                <w:bCs/>
                <w:color w:val="auto"/>
              </w:rPr>
              <w:t>2.</w:t>
            </w:r>
            <w:r>
              <w:rPr>
                <w:rFonts w:hint="eastAsia"/>
                <w:b/>
                <w:bCs/>
                <w:color w:val="auto"/>
              </w:rPr>
              <w:t>2、</w:t>
            </w:r>
            <w:r>
              <w:rPr>
                <w:b/>
                <w:bCs/>
                <w:color w:val="auto"/>
              </w:rPr>
              <w:t>建设内容及规模</w:t>
            </w:r>
          </w:p>
          <w:p w14:paraId="16D9E42E">
            <w:pPr>
              <w:adjustRightInd w:val="0"/>
              <w:snapToGrid w:val="0"/>
              <w:spacing w:line="360" w:lineRule="auto"/>
              <w:ind w:firstLine="480" w:firstLineChars="200"/>
              <w:rPr>
                <w:color w:val="auto"/>
                <w:sz w:val="24"/>
                <w:szCs w:val="32"/>
              </w:rPr>
            </w:pPr>
            <w:r>
              <w:rPr>
                <w:rFonts w:hint="eastAsia"/>
                <w:color w:val="auto"/>
                <w:sz w:val="24"/>
                <w:szCs w:val="32"/>
                <w:lang w:val="en-US" w:eastAsia="zh-CN"/>
              </w:rPr>
              <w:t>项目租用一栋生产车间，</w:t>
            </w:r>
            <w:r>
              <w:rPr>
                <w:rFonts w:hint="eastAsia"/>
                <w:color w:val="auto"/>
                <w:sz w:val="24"/>
                <w:szCs w:val="32"/>
              </w:rPr>
              <w:t>总占地面积约4200m</w:t>
            </w:r>
            <w:r>
              <w:rPr>
                <w:rFonts w:hint="eastAsia"/>
                <w:color w:val="auto"/>
                <w:sz w:val="24"/>
                <w:szCs w:val="32"/>
                <w:vertAlign w:val="superscript"/>
              </w:rPr>
              <w:t>2</w:t>
            </w:r>
            <w:r>
              <w:rPr>
                <w:rFonts w:hint="eastAsia"/>
                <w:color w:val="auto"/>
                <w:sz w:val="24"/>
                <w:szCs w:val="32"/>
                <w:lang w:val="en-US" w:eastAsia="zh-CN"/>
              </w:rPr>
              <w:t>，主要建设内容包括生产加工区、原料及成品堆放区、办公区及配套设施等，建成后年产水泵3000台、电机1000台。</w:t>
            </w:r>
            <w:r>
              <w:rPr>
                <w:rFonts w:hint="eastAsia"/>
                <w:color w:val="auto"/>
                <w:sz w:val="24"/>
                <w:szCs w:val="32"/>
              </w:rPr>
              <w:t>具体建设内容详见下表。</w:t>
            </w:r>
          </w:p>
          <w:p w14:paraId="40136D16">
            <w:pPr>
              <w:ind w:firstLine="415" w:firstLineChars="197"/>
              <w:jc w:val="center"/>
              <w:rPr>
                <w:b/>
                <w:bCs/>
                <w:color w:val="auto"/>
              </w:rPr>
            </w:pPr>
            <w:r>
              <w:rPr>
                <w:b/>
                <w:bCs/>
                <w:color w:val="auto"/>
              </w:rPr>
              <w:t>表</w:t>
            </w:r>
            <w:r>
              <w:rPr>
                <w:rFonts w:hint="eastAsia"/>
                <w:b/>
                <w:bCs/>
                <w:color w:val="auto"/>
              </w:rPr>
              <w:t>2-1</w:t>
            </w:r>
            <w:r>
              <w:rPr>
                <w:b/>
                <w:bCs/>
                <w:color w:val="auto"/>
              </w:rPr>
              <w:t xml:space="preserve">  建设项目组成一览表</w:t>
            </w:r>
          </w:p>
          <w:tbl>
            <w:tblPr>
              <w:tblStyle w:val="30"/>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539"/>
              <w:gridCol w:w="717"/>
              <w:gridCol w:w="680"/>
              <w:gridCol w:w="1474"/>
              <w:gridCol w:w="4017"/>
              <w:gridCol w:w="943"/>
            </w:tblGrid>
            <w:tr w14:paraId="6F889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Align w:val="center"/>
                </w:tcPr>
                <w:p w14:paraId="444CBD8F">
                  <w:pPr>
                    <w:pStyle w:val="37"/>
                    <w:overflowPunct w:val="0"/>
                    <w:autoSpaceDE w:val="0"/>
                    <w:autoSpaceDN w:val="0"/>
                    <w:spacing w:before="24" w:after="24"/>
                    <w:rPr>
                      <w:rFonts w:ascii="Times New Roman"/>
                      <w:b/>
                      <w:bCs/>
                      <w:color w:val="auto"/>
                      <w:szCs w:val="21"/>
                    </w:rPr>
                  </w:pPr>
                  <w:r>
                    <w:rPr>
                      <w:rFonts w:ascii="Times New Roman"/>
                      <w:b/>
                      <w:bCs/>
                      <w:color w:val="auto"/>
                      <w:szCs w:val="21"/>
                    </w:rPr>
                    <w:t>序号</w:t>
                  </w:r>
                </w:p>
              </w:tc>
              <w:tc>
                <w:tcPr>
                  <w:tcW w:w="428" w:type="pct"/>
                  <w:vAlign w:val="center"/>
                </w:tcPr>
                <w:p w14:paraId="4F10E540">
                  <w:pPr>
                    <w:pStyle w:val="37"/>
                    <w:overflowPunct w:val="0"/>
                    <w:autoSpaceDE w:val="0"/>
                    <w:autoSpaceDN w:val="0"/>
                    <w:spacing w:before="24" w:after="24"/>
                    <w:rPr>
                      <w:rFonts w:ascii="Times New Roman"/>
                      <w:b/>
                      <w:bCs/>
                      <w:color w:val="auto"/>
                      <w:szCs w:val="21"/>
                    </w:rPr>
                  </w:pPr>
                  <w:r>
                    <w:rPr>
                      <w:rFonts w:ascii="Times New Roman"/>
                      <w:b/>
                      <w:bCs/>
                      <w:color w:val="auto"/>
                      <w:szCs w:val="21"/>
                    </w:rPr>
                    <w:t>类别</w:t>
                  </w:r>
                </w:p>
              </w:tc>
              <w:tc>
                <w:tcPr>
                  <w:tcW w:w="1286" w:type="pct"/>
                  <w:gridSpan w:val="2"/>
                  <w:vAlign w:val="center"/>
                </w:tcPr>
                <w:p w14:paraId="56379AF8">
                  <w:pPr>
                    <w:pStyle w:val="37"/>
                    <w:overflowPunct w:val="0"/>
                    <w:autoSpaceDE w:val="0"/>
                    <w:autoSpaceDN w:val="0"/>
                    <w:spacing w:before="24" w:after="24"/>
                    <w:rPr>
                      <w:rFonts w:ascii="Times New Roman"/>
                      <w:b/>
                      <w:bCs/>
                      <w:color w:val="auto"/>
                      <w:szCs w:val="21"/>
                    </w:rPr>
                  </w:pPr>
                  <w:r>
                    <w:rPr>
                      <w:rFonts w:ascii="Times New Roman"/>
                      <w:b/>
                      <w:bCs/>
                      <w:color w:val="auto"/>
                      <w:szCs w:val="21"/>
                    </w:rPr>
                    <w:t>名称</w:t>
                  </w:r>
                </w:p>
              </w:tc>
              <w:tc>
                <w:tcPr>
                  <w:tcW w:w="2399" w:type="pct"/>
                  <w:vAlign w:val="center"/>
                </w:tcPr>
                <w:p w14:paraId="2E410A51">
                  <w:pPr>
                    <w:pStyle w:val="37"/>
                    <w:overflowPunct w:val="0"/>
                    <w:autoSpaceDE w:val="0"/>
                    <w:autoSpaceDN w:val="0"/>
                    <w:spacing w:before="24" w:after="24"/>
                    <w:rPr>
                      <w:rFonts w:ascii="Times New Roman"/>
                      <w:b/>
                      <w:bCs/>
                      <w:color w:val="auto"/>
                      <w:szCs w:val="21"/>
                    </w:rPr>
                  </w:pPr>
                  <w:r>
                    <w:rPr>
                      <w:rFonts w:ascii="Times New Roman"/>
                      <w:b/>
                      <w:bCs/>
                      <w:color w:val="auto"/>
                      <w:szCs w:val="21"/>
                    </w:rPr>
                    <w:t>建设内容及功能规模</w:t>
                  </w:r>
                </w:p>
              </w:tc>
              <w:tc>
                <w:tcPr>
                  <w:tcW w:w="563" w:type="pct"/>
                  <w:vAlign w:val="center"/>
                </w:tcPr>
                <w:p w14:paraId="10358053">
                  <w:pPr>
                    <w:pStyle w:val="37"/>
                    <w:overflowPunct w:val="0"/>
                    <w:autoSpaceDE w:val="0"/>
                    <w:autoSpaceDN w:val="0"/>
                    <w:spacing w:before="24" w:after="24"/>
                    <w:rPr>
                      <w:rFonts w:ascii="Times New Roman"/>
                      <w:b/>
                      <w:bCs/>
                      <w:color w:val="auto"/>
                      <w:szCs w:val="21"/>
                    </w:rPr>
                  </w:pPr>
                  <w:r>
                    <w:rPr>
                      <w:rFonts w:ascii="Times New Roman"/>
                      <w:b/>
                      <w:bCs/>
                      <w:color w:val="auto"/>
                      <w:szCs w:val="21"/>
                    </w:rPr>
                    <w:t>备注</w:t>
                  </w:r>
                </w:p>
              </w:tc>
            </w:tr>
            <w:tr w14:paraId="2AEA9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trPr>
              <w:tc>
                <w:tcPr>
                  <w:tcW w:w="322" w:type="pct"/>
                  <w:vMerge w:val="restart"/>
                  <w:vAlign w:val="center"/>
                </w:tcPr>
                <w:p w14:paraId="66A6F86B">
                  <w:pPr>
                    <w:pStyle w:val="37"/>
                    <w:overflowPunct w:val="0"/>
                    <w:autoSpaceDE w:val="0"/>
                    <w:autoSpaceDN w:val="0"/>
                    <w:spacing w:before="24" w:after="24"/>
                    <w:rPr>
                      <w:rFonts w:ascii="Times New Roman"/>
                      <w:color w:val="auto"/>
                      <w:szCs w:val="21"/>
                    </w:rPr>
                  </w:pPr>
                  <w:r>
                    <w:rPr>
                      <w:rFonts w:ascii="Times New Roman"/>
                      <w:color w:val="auto"/>
                      <w:szCs w:val="21"/>
                    </w:rPr>
                    <w:t>1</w:t>
                  </w:r>
                </w:p>
              </w:tc>
              <w:tc>
                <w:tcPr>
                  <w:tcW w:w="428" w:type="pct"/>
                  <w:vMerge w:val="restart"/>
                  <w:vAlign w:val="center"/>
                </w:tcPr>
                <w:p w14:paraId="2E951430">
                  <w:pPr>
                    <w:pStyle w:val="37"/>
                    <w:overflowPunct w:val="0"/>
                    <w:autoSpaceDE w:val="0"/>
                    <w:autoSpaceDN w:val="0"/>
                    <w:spacing w:before="24" w:after="24"/>
                    <w:rPr>
                      <w:rFonts w:ascii="Times New Roman"/>
                      <w:color w:val="auto"/>
                      <w:szCs w:val="21"/>
                    </w:rPr>
                  </w:pPr>
                  <w:r>
                    <w:rPr>
                      <w:rFonts w:ascii="Times New Roman"/>
                      <w:color w:val="auto"/>
                      <w:szCs w:val="21"/>
                    </w:rPr>
                    <w:t>主体工程</w:t>
                  </w:r>
                </w:p>
              </w:tc>
              <w:tc>
                <w:tcPr>
                  <w:tcW w:w="406" w:type="pct"/>
                  <w:vMerge w:val="restart"/>
                  <w:vAlign w:val="center"/>
                </w:tcPr>
                <w:p w14:paraId="28343DD2">
                  <w:pPr>
                    <w:pStyle w:val="37"/>
                    <w:overflowPunct w:val="0"/>
                    <w:autoSpaceDE w:val="0"/>
                    <w:autoSpaceDN w:val="0"/>
                    <w:spacing w:before="24" w:after="24"/>
                    <w:rPr>
                      <w:rFonts w:hint="eastAsia" w:ascii="Times New Roman" w:eastAsia="宋体"/>
                      <w:color w:val="auto"/>
                      <w:szCs w:val="21"/>
                      <w:lang w:eastAsia="zh-CN"/>
                    </w:rPr>
                  </w:pPr>
                  <w:r>
                    <w:rPr>
                      <w:rFonts w:ascii="Times New Roman"/>
                      <w:color w:val="auto"/>
                      <w:szCs w:val="21"/>
                    </w:rPr>
                    <w:t>生产车间</w:t>
                  </w:r>
                </w:p>
              </w:tc>
              <w:tc>
                <w:tcPr>
                  <w:tcW w:w="880" w:type="pct"/>
                  <w:vAlign w:val="center"/>
                </w:tcPr>
                <w:p w14:paraId="77346698">
                  <w:pPr>
                    <w:pStyle w:val="37"/>
                    <w:overflowPunct w:val="0"/>
                    <w:autoSpaceDE w:val="0"/>
                    <w:autoSpaceDN w:val="0"/>
                    <w:spacing w:before="24" w:after="24"/>
                    <w:rPr>
                      <w:rFonts w:ascii="Times New Roman"/>
                      <w:color w:val="auto"/>
                      <w:szCs w:val="21"/>
                    </w:rPr>
                  </w:pPr>
                  <w:r>
                    <w:rPr>
                      <w:rFonts w:ascii="Times New Roman"/>
                      <w:color w:val="auto"/>
                      <w:szCs w:val="21"/>
                    </w:rPr>
                    <w:t>泡沫模生产区</w:t>
                  </w:r>
                </w:p>
              </w:tc>
              <w:tc>
                <w:tcPr>
                  <w:tcW w:w="2399" w:type="pct"/>
                  <w:vAlign w:val="center"/>
                </w:tcPr>
                <w:p w14:paraId="3050D619">
                  <w:pPr>
                    <w:pStyle w:val="37"/>
                    <w:overflowPunct w:val="0"/>
                    <w:autoSpaceDE w:val="0"/>
                    <w:autoSpaceDN w:val="0"/>
                    <w:spacing w:before="24" w:after="24"/>
                    <w:rPr>
                      <w:rFonts w:ascii="Times New Roman"/>
                      <w:color w:val="auto"/>
                      <w:szCs w:val="21"/>
                    </w:rPr>
                  </w:pPr>
                  <w:r>
                    <w:rPr>
                      <w:rFonts w:ascii="Times New Roman"/>
                      <w:color w:val="auto"/>
                      <w:szCs w:val="21"/>
                    </w:rPr>
                    <w:t>占地</w:t>
                  </w:r>
                  <w:r>
                    <w:rPr>
                      <w:rFonts w:hint="eastAsia" w:ascii="Times New Roman"/>
                      <w:color w:val="auto"/>
                      <w:szCs w:val="21"/>
                      <w:lang w:val="en-US" w:eastAsia="zh-CN"/>
                    </w:rPr>
                    <w:t>约</w:t>
                  </w:r>
                  <w:r>
                    <w:rPr>
                      <w:rFonts w:hint="eastAsia" w:ascii="Times New Roman"/>
                      <w:color w:val="auto"/>
                      <w:szCs w:val="21"/>
                    </w:rPr>
                    <w:t>384</w:t>
                  </w:r>
                  <w:r>
                    <w:rPr>
                      <w:rFonts w:ascii="Times New Roman"/>
                      <w:color w:val="auto"/>
                      <w:szCs w:val="21"/>
                    </w:rPr>
                    <w:t>m</w:t>
                  </w:r>
                  <w:r>
                    <w:rPr>
                      <w:rFonts w:ascii="Times New Roman"/>
                      <w:color w:val="auto"/>
                      <w:szCs w:val="21"/>
                      <w:vertAlign w:val="superscript"/>
                    </w:rPr>
                    <w:t>2</w:t>
                  </w:r>
                  <w:r>
                    <w:rPr>
                      <w:rFonts w:ascii="Times New Roman"/>
                      <w:color w:val="auto"/>
                      <w:szCs w:val="21"/>
                    </w:rPr>
                    <w:t xml:space="preserve">，主要布置发泡机、成型机等  </w:t>
                  </w:r>
                </w:p>
              </w:tc>
              <w:tc>
                <w:tcPr>
                  <w:tcW w:w="563" w:type="pct"/>
                  <w:vMerge w:val="restart"/>
                  <w:vAlign w:val="center"/>
                </w:tcPr>
                <w:p w14:paraId="283240BE">
                  <w:pPr>
                    <w:overflowPunct w:val="0"/>
                    <w:autoSpaceDE w:val="0"/>
                    <w:autoSpaceDN w:val="0"/>
                    <w:jc w:val="center"/>
                    <w:rPr>
                      <w:rFonts w:hint="default" w:eastAsia="宋体"/>
                      <w:color w:val="auto"/>
                      <w:szCs w:val="21"/>
                      <w:lang w:val="en-US" w:eastAsia="zh-CN"/>
                    </w:rPr>
                  </w:pPr>
                  <w:r>
                    <w:rPr>
                      <w:rFonts w:hint="eastAsia"/>
                      <w:color w:val="auto"/>
                      <w:szCs w:val="21"/>
                      <w:lang w:val="en-US" w:eastAsia="zh-CN"/>
                    </w:rPr>
                    <w:t>车间结构为钢结构，层高12m</w:t>
                  </w:r>
                </w:p>
                <w:p w14:paraId="58129E38">
                  <w:pPr>
                    <w:overflowPunct w:val="0"/>
                    <w:autoSpaceDE w:val="0"/>
                    <w:autoSpaceDN w:val="0"/>
                    <w:jc w:val="center"/>
                    <w:rPr>
                      <w:color w:val="auto"/>
                      <w:szCs w:val="21"/>
                    </w:rPr>
                  </w:pPr>
                </w:p>
              </w:tc>
            </w:tr>
            <w:tr w14:paraId="2C39A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0430988A">
                  <w:pPr>
                    <w:pStyle w:val="37"/>
                    <w:overflowPunct w:val="0"/>
                    <w:autoSpaceDE w:val="0"/>
                    <w:autoSpaceDN w:val="0"/>
                    <w:spacing w:before="24" w:after="24"/>
                    <w:rPr>
                      <w:rFonts w:ascii="Times New Roman"/>
                      <w:color w:val="auto"/>
                      <w:szCs w:val="21"/>
                    </w:rPr>
                  </w:pPr>
                </w:p>
              </w:tc>
              <w:tc>
                <w:tcPr>
                  <w:tcW w:w="428" w:type="pct"/>
                  <w:vMerge w:val="continue"/>
                  <w:vAlign w:val="center"/>
                </w:tcPr>
                <w:p w14:paraId="57589231">
                  <w:pPr>
                    <w:pStyle w:val="37"/>
                    <w:overflowPunct w:val="0"/>
                    <w:autoSpaceDE w:val="0"/>
                    <w:autoSpaceDN w:val="0"/>
                    <w:spacing w:before="24" w:after="24"/>
                    <w:rPr>
                      <w:rFonts w:ascii="Times New Roman"/>
                      <w:color w:val="auto"/>
                      <w:szCs w:val="21"/>
                    </w:rPr>
                  </w:pPr>
                </w:p>
              </w:tc>
              <w:tc>
                <w:tcPr>
                  <w:tcW w:w="406" w:type="pct"/>
                  <w:vMerge w:val="continue"/>
                  <w:vAlign w:val="center"/>
                </w:tcPr>
                <w:p w14:paraId="7BED3425">
                  <w:pPr>
                    <w:pStyle w:val="37"/>
                    <w:overflowPunct w:val="0"/>
                    <w:autoSpaceDE w:val="0"/>
                    <w:autoSpaceDN w:val="0"/>
                    <w:spacing w:before="24" w:after="24"/>
                    <w:rPr>
                      <w:rFonts w:ascii="Times New Roman"/>
                      <w:color w:val="auto"/>
                      <w:szCs w:val="21"/>
                    </w:rPr>
                  </w:pPr>
                </w:p>
              </w:tc>
              <w:tc>
                <w:tcPr>
                  <w:tcW w:w="880" w:type="pct"/>
                  <w:vAlign w:val="center"/>
                </w:tcPr>
                <w:p w14:paraId="55F6612E">
                  <w:pPr>
                    <w:pStyle w:val="37"/>
                    <w:overflowPunct w:val="0"/>
                    <w:autoSpaceDE w:val="0"/>
                    <w:autoSpaceDN w:val="0"/>
                    <w:spacing w:before="24" w:after="24"/>
                    <w:rPr>
                      <w:rFonts w:ascii="Times New Roman"/>
                      <w:color w:val="auto"/>
                      <w:szCs w:val="21"/>
                    </w:rPr>
                  </w:pPr>
                  <w:r>
                    <w:rPr>
                      <w:rFonts w:ascii="Times New Roman"/>
                      <w:color w:val="auto"/>
                      <w:szCs w:val="21"/>
                    </w:rPr>
                    <w:t>烘干区</w:t>
                  </w:r>
                </w:p>
              </w:tc>
              <w:tc>
                <w:tcPr>
                  <w:tcW w:w="2399" w:type="pct"/>
                  <w:vAlign w:val="center"/>
                </w:tcPr>
                <w:p w14:paraId="67FB17B9">
                  <w:pPr>
                    <w:pStyle w:val="37"/>
                    <w:overflowPunct w:val="0"/>
                    <w:autoSpaceDE w:val="0"/>
                    <w:autoSpaceDN w:val="0"/>
                    <w:spacing w:before="24" w:after="24"/>
                    <w:rPr>
                      <w:rFonts w:ascii="Times New Roman"/>
                      <w:color w:val="auto"/>
                      <w:szCs w:val="21"/>
                    </w:rPr>
                  </w:pPr>
                  <w:r>
                    <w:rPr>
                      <w:rFonts w:hint="eastAsia" w:ascii="Times New Roman"/>
                      <w:color w:val="auto"/>
                      <w:szCs w:val="21"/>
                      <w:lang w:val="en-US" w:eastAsia="zh-CN"/>
                    </w:rPr>
                    <w:t>占地约</w:t>
                  </w:r>
                  <w:r>
                    <w:rPr>
                      <w:rFonts w:ascii="Times New Roman"/>
                      <w:color w:val="auto"/>
                      <w:szCs w:val="21"/>
                    </w:rPr>
                    <w:t>400m</w:t>
                  </w:r>
                  <w:r>
                    <w:rPr>
                      <w:rFonts w:ascii="Times New Roman"/>
                      <w:color w:val="auto"/>
                      <w:szCs w:val="21"/>
                      <w:vertAlign w:val="superscript"/>
                    </w:rPr>
                    <w:t>2</w:t>
                  </w:r>
                  <w:r>
                    <w:rPr>
                      <w:rFonts w:ascii="Times New Roman"/>
                      <w:color w:val="auto"/>
                      <w:szCs w:val="21"/>
                    </w:rPr>
                    <w:t>，主要布置</w:t>
                  </w:r>
                  <w:r>
                    <w:rPr>
                      <w:rFonts w:hint="eastAsia" w:ascii="Times New Roman"/>
                      <w:color w:val="auto"/>
                      <w:szCs w:val="21"/>
                    </w:rPr>
                    <w:t>干燥设备</w:t>
                  </w:r>
                </w:p>
              </w:tc>
              <w:tc>
                <w:tcPr>
                  <w:tcW w:w="563" w:type="pct"/>
                  <w:vMerge w:val="continue"/>
                  <w:vAlign w:val="center"/>
                </w:tcPr>
                <w:p w14:paraId="26C9F145">
                  <w:pPr>
                    <w:overflowPunct w:val="0"/>
                    <w:autoSpaceDE w:val="0"/>
                    <w:autoSpaceDN w:val="0"/>
                    <w:jc w:val="center"/>
                    <w:rPr>
                      <w:color w:val="auto"/>
                      <w:szCs w:val="21"/>
                    </w:rPr>
                  </w:pPr>
                </w:p>
              </w:tc>
            </w:tr>
            <w:tr w14:paraId="01AA3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3BE71998">
                  <w:pPr>
                    <w:pStyle w:val="37"/>
                    <w:overflowPunct w:val="0"/>
                    <w:autoSpaceDE w:val="0"/>
                    <w:autoSpaceDN w:val="0"/>
                    <w:spacing w:before="24" w:after="24"/>
                    <w:rPr>
                      <w:rFonts w:ascii="Times New Roman"/>
                      <w:color w:val="auto"/>
                      <w:szCs w:val="21"/>
                    </w:rPr>
                  </w:pPr>
                </w:p>
              </w:tc>
              <w:tc>
                <w:tcPr>
                  <w:tcW w:w="428" w:type="pct"/>
                  <w:vMerge w:val="continue"/>
                  <w:vAlign w:val="center"/>
                </w:tcPr>
                <w:p w14:paraId="2BCDBA8E">
                  <w:pPr>
                    <w:pStyle w:val="37"/>
                    <w:overflowPunct w:val="0"/>
                    <w:autoSpaceDE w:val="0"/>
                    <w:autoSpaceDN w:val="0"/>
                    <w:spacing w:before="24" w:after="24"/>
                    <w:rPr>
                      <w:rFonts w:ascii="Times New Roman"/>
                      <w:color w:val="auto"/>
                      <w:szCs w:val="21"/>
                    </w:rPr>
                  </w:pPr>
                </w:p>
              </w:tc>
              <w:tc>
                <w:tcPr>
                  <w:tcW w:w="406" w:type="pct"/>
                  <w:vMerge w:val="continue"/>
                  <w:vAlign w:val="center"/>
                </w:tcPr>
                <w:p w14:paraId="0E7AA75D">
                  <w:pPr>
                    <w:pStyle w:val="37"/>
                    <w:overflowPunct w:val="0"/>
                    <w:autoSpaceDE w:val="0"/>
                    <w:autoSpaceDN w:val="0"/>
                    <w:spacing w:before="24" w:after="24"/>
                    <w:rPr>
                      <w:rFonts w:ascii="Times New Roman"/>
                      <w:color w:val="auto"/>
                      <w:szCs w:val="21"/>
                    </w:rPr>
                  </w:pPr>
                </w:p>
              </w:tc>
              <w:tc>
                <w:tcPr>
                  <w:tcW w:w="880" w:type="pct"/>
                  <w:vAlign w:val="center"/>
                </w:tcPr>
                <w:p w14:paraId="12736318">
                  <w:pPr>
                    <w:pStyle w:val="37"/>
                    <w:overflowPunct w:val="0"/>
                    <w:autoSpaceDE w:val="0"/>
                    <w:autoSpaceDN w:val="0"/>
                    <w:spacing w:before="24" w:after="24"/>
                    <w:rPr>
                      <w:rFonts w:ascii="Times New Roman"/>
                      <w:color w:val="auto"/>
                      <w:szCs w:val="21"/>
                    </w:rPr>
                  </w:pPr>
                  <w:r>
                    <w:rPr>
                      <w:rFonts w:ascii="Times New Roman"/>
                      <w:color w:val="auto"/>
                      <w:szCs w:val="21"/>
                    </w:rPr>
                    <w:t>水玻璃工艺造型区</w:t>
                  </w:r>
                </w:p>
              </w:tc>
              <w:tc>
                <w:tcPr>
                  <w:tcW w:w="2399" w:type="pct"/>
                  <w:vAlign w:val="center"/>
                </w:tcPr>
                <w:p w14:paraId="6FAD4E0E">
                  <w:pPr>
                    <w:pStyle w:val="37"/>
                    <w:overflowPunct w:val="0"/>
                    <w:autoSpaceDE w:val="0"/>
                    <w:autoSpaceDN w:val="0"/>
                    <w:spacing w:before="24" w:after="24"/>
                    <w:rPr>
                      <w:rFonts w:ascii="Times New Roman"/>
                      <w:color w:val="auto"/>
                      <w:szCs w:val="21"/>
                    </w:rPr>
                  </w:pPr>
                  <w:r>
                    <w:rPr>
                      <w:rFonts w:hint="eastAsia" w:ascii="Times New Roman"/>
                      <w:color w:val="auto"/>
                      <w:szCs w:val="21"/>
                      <w:lang w:val="en-US" w:eastAsia="zh-CN"/>
                    </w:rPr>
                    <w:t>占地约</w:t>
                  </w:r>
                  <w:r>
                    <w:rPr>
                      <w:rFonts w:ascii="Times New Roman"/>
                      <w:color w:val="auto"/>
                      <w:szCs w:val="21"/>
                    </w:rPr>
                    <w:t>300m</w:t>
                  </w:r>
                  <w:r>
                    <w:rPr>
                      <w:rFonts w:ascii="Times New Roman"/>
                      <w:color w:val="auto"/>
                      <w:szCs w:val="21"/>
                      <w:vertAlign w:val="superscript"/>
                    </w:rPr>
                    <w:t>2</w:t>
                  </w:r>
                  <w:r>
                    <w:rPr>
                      <w:rFonts w:ascii="Times New Roman"/>
                      <w:color w:val="auto"/>
                      <w:szCs w:val="21"/>
                    </w:rPr>
                    <w:t>，</w:t>
                  </w:r>
                  <w:r>
                    <w:rPr>
                      <w:rFonts w:hint="eastAsia" w:ascii="Times New Roman"/>
                      <w:color w:val="auto"/>
                      <w:szCs w:val="21"/>
                    </w:rPr>
                    <w:t>水玻璃工艺造型</w:t>
                  </w:r>
                </w:p>
              </w:tc>
              <w:tc>
                <w:tcPr>
                  <w:tcW w:w="563" w:type="pct"/>
                  <w:vMerge w:val="continue"/>
                  <w:vAlign w:val="center"/>
                </w:tcPr>
                <w:p w14:paraId="66987415">
                  <w:pPr>
                    <w:overflowPunct w:val="0"/>
                    <w:autoSpaceDE w:val="0"/>
                    <w:autoSpaceDN w:val="0"/>
                    <w:jc w:val="center"/>
                    <w:rPr>
                      <w:color w:val="auto"/>
                      <w:szCs w:val="21"/>
                    </w:rPr>
                  </w:pPr>
                </w:p>
              </w:tc>
            </w:tr>
            <w:tr w14:paraId="1E34B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7980E8D8">
                  <w:pPr>
                    <w:pStyle w:val="37"/>
                    <w:overflowPunct w:val="0"/>
                    <w:autoSpaceDE w:val="0"/>
                    <w:autoSpaceDN w:val="0"/>
                    <w:spacing w:before="24" w:after="24"/>
                    <w:rPr>
                      <w:rFonts w:ascii="Times New Roman"/>
                      <w:color w:val="auto"/>
                      <w:szCs w:val="21"/>
                    </w:rPr>
                  </w:pPr>
                </w:p>
              </w:tc>
              <w:tc>
                <w:tcPr>
                  <w:tcW w:w="428" w:type="pct"/>
                  <w:vMerge w:val="continue"/>
                  <w:vAlign w:val="center"/>
                </w:tcPr>
                <w:p w14:paraId="6171AEEA">
                  <w:pPr>
                    <w:pStyle w:val="37"/>
                    <w:overflowPunct w:val="0"/>
                    <w:autoSpaceDE w:val="0"/>
                    <w:autoSpaceDN w:val="0"/>
                    <w:spacing w:before="24" w:after="24"/>
                    <w:rPr>
                      <w:rFonts w:ascii="Times New Roman"/>
                      <w:color w:val="auto"/>
                      <w:szCs w:val="21"/>
                    </w:rPr>
                  </w:pPr>
                </w:p>
              </w:tc>
              <w:tc>
                <w:tcPr>
                  <w:tcW w:w="406" w:type="pct"/>
                  <w:vMerge w:val="continue"/>
                  <w:vAlign w:val="center"/>
                </w:tcPr>
                <w:p w14:paraId="6150238B">
                  <w:pPr>
                    <w:pStyle w:val="37"/>
                    <w:overflowPunct w:val="0"/>
                    <w:autoSpaceDE w:val="0"/>
                    <w:autoSpaceDN w:val="0"/>
                    <w:spacing w:before="24" w:after="24"/>
                    <w:rPr>
                      <w:rFonts w:ascii="Times New Roman"/>
                      <w:color w:val="auto"/>
                      <w:szCs w:val="21"/>
                    </w:rPr>
                  </w:pPr>
                </w:p>
              </w:tc>
              <w:tc>
                <w:tcPr>
                  <w:tcW w:w="880" w:type="pct"/>
                  <w:vAlign w:val="center"/>
                </w:tcPr>
                <w:p w14:paraId="5A7071D9">
                  <w:pPr>
                    <w:pStyle w:val="37"/>
                    <w:overflowPunct w:val="0"/>
                    <w:autoSpaceDE w:val="0"/>
                    <w:autoSpaceDN w:val="0"/>
                    <w:spacing w:before="24" w:after="24"/>
                    <w:rPr>
                      <w:rFonts w:ascii="Times New Roman"/>
                      <w:color w:val="auto"/>
                      <w:szCs w:val="21"/>
                    </w:rPr>
                  </w:pPr>
                  <w:r>
                    <w:rPr>
                      <w:rFonts w:ascii="Times New Roman"/>
                      <w:color w:val="auto"/>
                      <w:szCs w:val="21"/>
                    </w:rPr>
                    <w:t>熔炼区</w:t>
                  </w:r>
                </w:p>
              </w:tc>
              <w:tc>
                <w:tcPr>
                  <w:tcW w:w="2399" w:type="pct"/>
                  <w:vAlign w:val="center"/>
                </w:tcPr>
                <w:p w14:paraId="26CC7052">
                  <w:pPr>
                    <w:pStyle w:val="37"/>
                    <w:overflowPunct w:val="0"/>
                    <w:autoSpaceDE w:val="0"/>
                    <w:autoSpaceDN w:val="0"/>
                    <w:spacing w:before="24" w:after="24"/>
                    <w:rPr>
                      <w:rFonts w:ascii="Times New Roman"/>
                      <w:color w:val="auto"/>
                      <w:szCs w:val="21"/>
                    </w:rPr>
                  </w:pPr>
                  <w:r>
                    <w:rPr>
                      <w:rFonts w:ascii="Times New Roman"/>
                      <w:color w:val="auto"/>
                      <w:szCs w:val="21"/>
                    </w:rPr>
                    <w:t>占地</w:t>
                  </w:r>
                  <w:r>
                    <w:rPr>
                      <w:rFonts w:hint="eastAsia" w:ascii="Times New Roman"/>
                      <w:color w:val="auto"/>
                      <w:szCs w:val="21"/>
                      <w:lang w:val="en-US" w:eastAsia="zh-CN"/>
                    </w:rPr>
                    <w:t>约</w:t>
                  </w:r>
                  <w:r>
                    <w:rPr>
                      <w:rFonts w:ascii="Times New Roman"/>
                      <w:color w:val="auto"/>
                      <w:szCs w:val="21"/>
                    </w:rPr>
                    <w:t>140 m</w:t>
                  </w:r>
                  <w:r>
                    <w:rPr>
                      <w:rFonts w:ascii="Times New Roman"/>
                      <w:color w:val="auto"/>
                      <w:szCs w:val="21"/>
                      <w:vertAlign w:val="superscript"/>
                    </w:rPr>
                    <w:t>2</w:t>
                  </w:r>
                  <w:r>
                    <w:rPr>
                      <w:rFonts w:ascii="Times New Roman"/>
                      <w:color w:val="auto"/>
                      <w:szCs w:val="21"/>
                    </w:rPr>
                    <w:t xml:space="preserve">，主要布置6台电炉 </w:t>
                  </w:r>
                </w:p>
              </w:tc>
              <w:tc>
                <w:tcPr>
                  <w:tcW w:w="563" w:type="pct"/>
                  <w:vMerge w:val="continue"/>
                  <w:vAlign w:val="center"/>
                </w:tcPr>
                <w:p w14:paraId="0BFDAF24">
                  <w:pPr>
                    <w:overflowPunct w:val="0"/>
                    <w:autoSpaceDE w:val="0"/>
                    <w:autoSpaceDN w:val="0"/>
                    <w:jc w:val="center"/>
                    <w:rPr>
                      <w:color w:val="auto"/>
                      <w:szCs w:val="21"/>
                    </w:rPr>
                  </w:pPr>
                </w:p>
              </w:tc>
            </w:tr>
            <w:tr w14:paraId="5C7C8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34" w:hRule="atLeast"/>
              </w:trPr>
              <w:tc>
                <w:tcPr>
                  <w:tcW w:w="322" w:type="pct"/>
                  <w:vMerge w:val="continue"/>
                  <w:vAlign w:val="center"/>
                </w:tcPr>
                <w:p w14:paraId="67892287">
                  <w:pPr>
                    <w:pStyle w:val="37"/>
                    <w:overflowPunct w:val="0"/>
                    <w:autoSpaceDE w:val="0"/>
                    <w:autoSpaceDN w:val="0"/>
                    <w:spacing w:before="24" w:after="24"/>
                    <w:rPr>
                      <w:rFonts w:ascii="Times New Roman"/>
                      <w:color w:val="auto"/>
                      <w:szCs w:val="21"/>
                    </w:rPr>
                  </w:pPr>
                </w:p>
              </w:tc>
              <w:tc>
                <w:tcPr>
                  <w:tcW w:w="428" w:type="pct"/>
                  <w:vMerge w:val="continue"/>
                  <w:vAlign w:val="center"/>
                </w:tcPr>
                <w:p w14:paraId="12FE9300">
                  <w:pPr>
                    <w:pStyle w:val="37"/>
                    <w:overflowPunct w:val="0"/>
                    <w:autoSpaceDE w:val="0"/>
                    <w:autoSpaceDN w:val="0"/>
                    <w:spacing w:before="24" w:after="24"/>
                    <w:rPr>
                      <w:rFonts w:ascii="Times New Roman"/>
                      <w:color w:val="auto"/>
                      <w:szCs w:val="21"/>
                    </w:rPr>
                  </w:pPr>
                </w:p>
              </w:tc>
              <w:tc>
                <w:tcPr>
                  <w:tcW w:w="406" w:type="pct"/>
                  <w:vMerge w:val="continue"/>
                  <w:vAlign w:val="center"/>
                </w:tcPr>
                <w:p w14:paraId="4B5A2770">
                  <w:pPr>
                    <w:pStyle w:val="37"/>
                    <w:overflowPunct w:val="0"/>
                    <w:autoSpaceDE w:val="0"/>
                    <w:autoSpaceDN w:val="0"/>
                    <w:spacing w:before="24" w:after="24"/>
                    <w:rPr>
                      <w:rFonts w:ascii="Times New Roman"/>
                      <w:color w:val="auto"/>
                      <w:szCs w:val="21"/>
                    </w:rPr>
                  </w:pPr>
                </w:p>
              </w:tc>
              <w:tc>
                <w:tcPr>
                  <w:tcW w:w="880" w:type="pct"/>
                  <w:vAlign w:val="center"/>
                </w:tcPr>
                <w:p w14:paraId="5CA7D59E">
                  <w:pPr>
                    <w:pStyle w:val="37"/>
                    <w:overflowPunct w:val="0"/>
                    <w:autoSpaceDE w:val="0"/>
                    <w:autoSpaceDN w:val="0"/>
                    <w:spacing w:before="24" w:after="24"/>
                    <w:rPr>
                      <w:rFonts w:ascii="Times New Roman"/>
                      <w:color w:val="auto"/>
                      <w:szCs w:val="21"/>
                    </w:rPr>
                  </w:pPr>
                  <w:r>
                    <w:rPr>
                      <w:rFonts w:hint="eastAsia" w:ascii="Times New Roman"/>
                      <w:color w:val="auto"/>
                      <w:szCs w:val="21"/>
                    </w:rPr>
                    <w:t>消失模</w:t>
                  </w:r>
                  <w:r>
                    <w:rPr>
                      <w:rFonts w:ascii="Times New Roman"/>
                      <w:color w:val="auto"/>
                      <w:szCs w:val="21"/>
                    </w:rPr>
                    <w:t>浇注造型区</w:t>
                  </w:r>
                </w:p>
              </w:tc>
              <w:tc>
                <w:tcPr>
                  <w:tcW w:w="2399" w:type="pct"/>
                  <w:vAlign w:val="center"/>
                </w:tcPr>
                <w:p w14:paraId="2DBAF7C0">
                  <w:pPr>
                    <w:overflowPunct w:val="0"/>
                    <w:autoSpaceDE w:val="0"/>
                    <w:autoSpaceDN w:val="0"/>
                    <w:jc w:val="center"/>
                    <w:rPr>
                      <w:color w:val="auto"/>
                      <w:szCs w:val="21"/>
                    </w:rPr>
                  </w:pPr>
                  <w:r>
                    <w:rPr>
                      <w:color w:val="auto"/>
                      <w:szCs w:val="21"/>
                    </w:rPr>
                    <w:t>占地</w:t>
                  </w:r>
                  <w:r>
                    <w:rPr>
                      <w:rFonts w:hint="eastAsia"/>
                      <w:color w:val="auto"/>
                      <w:szCs w:val="21"/>
                      <w:lang w:val="en-US" w:eastAsia="zh-CN"/>
                    </w:rPr>
                    <w:t>约</w:t>
                  </w:r>
                  <w:r>
                    <w:rPr>
                      <w:color w:val="auto"/>
                      <w:szCs w:val="21"/>
                    </w:rPr>
                    <w:t>800 m</w:t>
                  </w:r>
                  <w:r>
                    <w:rPr>
                      <w:color w:val="auto"/>
                      <w:szCs w:val="21"/>
                      <w:vertAlign w:val="superscript"/>
                    </w:rPr>
                    <w:t>2</w:t>
                  </w:r>
                  <w:r>
                    <w:rPr>
                      <w:color w:val="auto"/>
                      <w:szCs w:val="21"/>
                    </w:rPr>
                    <w:t>，主要为</w:t>
                  </w:r>
                  <w:r>
                    <w:rPr>
                      <w:rFonts w:hint="eastAsia"/>
                      <w:color w:val="auto"/>
                      <w:szCs w:val="21"/>
                    </w:rPr>
                    <w:t>消失模工艺</w:t>
                  </w:r>
                  <w:r>
                    <w:rPr>
                      <w:color w:val="auto"/>
                      <w:szCs w:val="21"/>
                    </w:rPr>
                    <w:t xml:space="preserve">浇注造型 </w:t>
                  </w:r>
                </w:p>
              </w:tc>
              <w:tc>
                <w:tcPr>
                  <w:tcW w:w="563" w:type="pct"/>
                  <w:vMerge w:val="continue"/>
                  <w:vAlign w:val="center"/>
                </w:tcPr>
                <w:p w14:paraId="78BF430F">
                  <w:pPr>
                    <w:overflowPunct w:val="0"/>
                    <w:autoSpaceDE w:val="0"/>
                    <w:autoSpaceDN w:val="0"/>
                    <w:jc w:val="center"/>
                    <w:rPr>
                      <w:color w:val="auto"/>
                      <w:szCs w:val="21"/>
                    </w:rPr>
                  </w:pPr>
                </w:p>
              </w:tc>
            </w:tr>
            <w:tr w14:paraId="385F4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313F46C4">
                  <w:pPr>
                    <w:pStyle w:val="37"/>
                    <w:overflowPunct w:val="0"/>
                    <w:autoSpaceDE w:val="0"/>
                    <w:autoSpaceDN w:val="0"/>
                    <w:spacing w:before="24" w:after="24"/>
                    <w:rPr>
                      <w:rFonts w:ascii="Times New Roman"/>
                      <w:color w:val="auto"/>
                      <w:szCs w:val="21"/>
                    </w:rPr>
                  </w:pPr>
                </w:p>
              </w:tc>
              <w:tc>
                <w:tcPr>
                  <w:tcW w:w="428" w:type="pct"/>
                  <w:vMerge w:val="continue"/>
                  <w:vAlign w:val="center"/>
                </w:tcPr>
                <w:p w14:paraId="638A98E1">
                  <w:pPr>
                    <w:pStyle w:val="37"/>
                    <w:overflowPunct w:val="0"/>
                    <w:autoSpaceDE w:val="0"/>
                    <w:autoSpaceDN w:val="0"/>
                    <w:spacing w:before="24" w:after="24"/>
                    <w:rPr>
                      <w:rFonts w:ascii="Times New Roman"/>
                      <w:color w:val="auto"/>
                      <w:szCs w:val="21"/>
                    </w:rPr>
                  </w:pPr>
                </w:p>
              </w:tc>
              <w:tc>
                <w:tcPr>
                  <w:tcW w:w="406" w:type="pct"/>
                  <w:vMerge w:val="continue"/>
                  <w:vAlign w:val="center"/>
                </w:tcPr>
                <w:p w14:paraId="5717DB1C">
                  <w:pPr>
                    <w:pStyle w:val="37"/>
                    <w:overflowPunct w:val="0"/>
                    <w:autoSpaceDE w:val="0"/>
                    <w:autoSpaceDN w:val="0"/>
                    <w:spacing w:before="24" w:after="24"/>
                    <w:rPr>
                      <w:rFonts w:ascii="Times New Roman"/>
                      <w:color w:val="auto"/>
                      <w:szCs w:val="21"/>
                    </w:rPr>
                  </w:pPr>
                </w:p>
              </w:tc>
              <w:tc>
                <w:tcPr>
                  <w:tcW w:w="880" w:type="pct"/>
                  <w:vAlign w:val="center"/>
                </w:tcPr>
                <w:p w14:paraId="493DA62D">
                  <w:pPr>
                    <w:pStyle w:val="37"/>
                    <w:overflowPunct w:val="0"/>
                    <w:autoSpaceDE w:val="0"/>
                    <w:autoSpaceDN w:val="0"/>
                    <w:spacing w:before="24" w:after="24"/>
                    <w:rPr>
                      <w:rFonts w:ascii="Times New Roman"/>
                      <w:color w:val="auto"/>
                      <w:szCs w:val="21"/>
                    </w:rPr>
                  </w:pPr>
                  <w:r>
                    <w:rPr>
                      <w:rFonts w:ascii="Times New Roman"/>
                      <w:color w:val="auto"/>
                      <w:szCs w:val="21"/>
                    </w:rPr>
                    <w:t>抛丸打磨区</w:t>
                  </w:r>
                </w:p>
              </w:tc>
              <w:tc>
                <w:tcPr>
                  <w:tcW w:w="2399" w:type="pct"/>
                  <w:vAlign w:val="center"/>
                </w:tcPr>
                <w:p w14:paraId="5D1CE07E">
                  <w:pPr>
                    <w:overflowPunct w:val="0"/>
                    <w:autoSpaceDE w:val="0"/>
                    <w:autoSpaceDN w:val="0"/>
                    <w:jc w:val="center"/>
                    <w:rPr>
                      <w:color w:val="auto"/>
                      <w:szCs w:val="21"/>
                    </w:rPr>
                  </w:pPr>
                  <w:r>
                    <w:rPr>
                      <w:color w:val="auto"/>
                      <w:szCs w:val="21"/>
                    </w:rPr>
                    <w:t>占地</w:t>
                  </w:r>
                  <w:r>
                    <w:rPr>
                      <w:rFonts w:hint="eastAsia"/>
                      <w:color w:val="auto"/>
                      <w:szCs w:val="21"/>
                      <w:lang w:val="en-US" w:eastAsia="zh-CN"/>
                    </w:rPr>
                    <w:t>约</w:t>
                  </w:r>
                  <w:r>
                    <w:rPr>
                      <w:rFonts w:hint="eastAsia"/>
                      <w:color w:val="auto"/>
                      <w:szCs w:val="21"/>
                    </w:rPr>
                    <w:t>2</w:t>
                  </w:r>
                  <w:r>
                    <w:rPr>
                      <w:color w:val="auto"/>
                      <w:szCs w:val="21"/>
                    </w:rPr>
                    <w:t>00m</w:t>
                  </w:r>
                  <w:r>
                    <w:rPr>
                      <w:color w:val="auto"/>
                      <w:szCs w:val="21"/>
                      <w:vertAlign w:val="superscript"/>
                    </w:rPr>
                    <w:t>2</w:t>
                  </w:r>
                  <w:r>
                    <w:rPr>
                      <w:color w:val="auto"/>
                      <w:szCs w:val="21"/>
                    </w:rPr>
                    <w:t xml:space="preserve">，设置抛丸机、砂轮等 </w:t>
                  </w:r>
                </w:p>
              </w:tc>
              <w:tc>
                <w:tcPr>
                  <w:tcW w:w="563" w:type="pct"/>
                  <w:vMerge w:val="continue"/>
                  <w:vAlign w:val="center"/>
                </w:tcPr>
                <w:p w14:paraId="37DD1AF0">
                  <w:pPr>
                    <w:overflowPunct w:val="0"/>
                    <w:autoSpaceDE w:val="0"/>
                    <w:autoSpaceDN w:val="0"/>
                    <w:jc w:val="center"/>
                    <w:rPr>
                      <w:color w:val="auto"/>
                      <w:szCs w:val="21"/>
                    </w:rPr>
                  </w:pPr>
                </w:p>
              </w:tc>
            </w:tr>
            <w:tr w14:paraId="4EFCE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3A7B6B21">
                  <w:pPr>
                    <w:pStyle w:val="37"/>
                    <w:overflowPunct w:val="0"/>
                    <w:autoSpaceDE w:val="0"/>
                    <w:autoSpaceDN w:val="0"/>
                    <w:spacing w:before="24" w:after="24"/>
                    <w:rPr>
                      <w:rFonts w:ascii="Times New Roman"/>
                      <w:color w:val="auto"/>
                      <w:szCs w:val="21"/>
                    </w:rPr>
                  </w:pPr>
                </w:p>
              </w:tc>
              <w:tc>
                <w:tcPr>
                  <w:tcW w:w="428" w:type="pct"/>
                  <w:vMerge w:val="continue"/>
                  <w:vAlign w:val="center"/>
                </w:tcPr>
                <w:p w14:paraId="2BC99BD8">
                  <w:pPr>
                    <w:pStyle w:val="37"/>
                    <w:overflowPunct w:val="0"/>
                    <w:autoSpaceDE w:val="0"/>
                    <w:autoSpaceDN w:val="0"/>
                    <w:spacing w:before="24" w:after="24"/>
                    <w:rPr>
                      <w:rFonts w:ascii="Times New Roman"/>
                      <w:color w:val="auto"/>
                      <w:szCs w:val="21"/>
                    </w:rPr>
                  </w:pPr>
                </w:p>
              </w:tc>
              <w:tc>
                <w:tcPr>
                  <w:tcW w:w="406" w:type="pct"/>
                  <w:vMerge w:val="continue"/>
                  <w:vAlign w:val="center"/>
                </w:tcPr>
                <w:p w14:paraId="706C728D">
                  <w:pPr>
                    <w:pStyle w:val="37"/>
                    <w:overflowPunct w:val="0"/>
                    <w:autoSpaceDE w:val="0"/>
                    <w:autoSpaceDN w:val="0"/>
                    <w:spacing w:before="24" w:after="24"/>
                    <w:rPr>
                      <w:rFonts w:ascii="Times New Roman"/>
                      <w:color w:val="auto"/>
                      <w:szCs w:val="21"/>
                    </w:rPr>
                  </w:pPr>
                </w:p>
              </w:tc>
              <w:tc>
                <w:tcPr>
                  <w:tcW w:w="880" w:type="pct"/>
                  <w:vAlign w:val="center"/>
                </w:tcPr>
                <w:p w14:paraId="0B737733">
                  <w:pPr>
                    <w:pStyle w:val="37"/>
                    <w:overflowPunct w:val="0"/>
                    <w:autoSpaceDE w:val="0"/>
                    <w:autoSpaceDN w:val="0"/>
                    <w:spacing w:before="24" w:after="24"/>
                    <w:rPr>
                      <w:rFonts w:ascii="Times New Roman"/>
                      <w:color w:val="auto"/>
                      <w:szCs w:val="21"/>
                    </w:rPr>
                  </w:pPr>
                  <w:r>
                    <w:rPr>
                      <w:rFonts w:hint="eastAsia" w:ascii="Times New Roman"/>
                      <w:color w:val="auto"/>
                      <w:szCs w:val="21"/>
                    </w:rPr>
                    <w:t>喷漆房</w:t>
                  </w:r>
                </w:p>
              </w:tc>
              <w:tc>
                <w:tcPr>
                  <w:tcW w:w="2399" w:type="pct"/>
                  <w:vAlign w:val="center"/>
                </w:tcPr>
                <w:p w14:paraId="67B08943">
                  <w:pPr>
                    <w:overflowPunct w:val="0"/>
                    <w:autoSpaceDE w:val="0"/>
                    <w:autoSpaceDN w:val="0"/>
                    <w:jc w:val="center"/>
                    <w:rPr>
                      <w:color w:val="auto"/>
                      <w:szCs w:val="21"/>
                    </w:rPr>
                  </w:pPr>
                  <w:r>
                    <w:rPr>
                      <w:color w:val="auto"/>
                      <w:szCs w:val="21"/>
                    </w:rPr>
                    <w:t>占地</w:t>
                  </w:r>
                  <w:r>
                    <w:rPr>
                      <w:rFonts w:hint="eastAsia"/>
                      <w:color w:val="auto"/>
                      <w:szCs w:val="21"/>
                      <w:lang w:val="en-US" w:eastAsia="zh-CN"/>
                    </w:rPr>
                    <w:t>约</w:t>
                  </w:r>
                  <w:r>
                    <w:rPr>
                      <w:rFonts w:hint="eastAsia"/>
                      <w:color w:val="auto"/>
                      <w:szCs w:val="21"/>
                    </w:rPr>
                    <w:t>36m</w:t>
                  </w:r>
                  <w:r>
                    <w:rPr>
                      <w:rFonts w:hint="eastAsia"/>
                      <w:color w:val="auto"/>
                      <w:szCs w:val="21"/>
                      <w:vertAlign w:val="superscript"/>
                    </w:rPr>
                    <w:t>2</w:t>
                  </w:r>
                </w:p>
              </w:tc>
              <w:tc>
                <w:tcPr>
                  <w:tcW w:w="563" w:type="pct"/>
                  <w:vMerge w:val="continue"/>
                  <w:vAlign w:val="center"/>
                </w:tcPr>
                <w:p w14:paraId="7A8EAFD8">
                  <w:pPr>
                    <w:overflowPunct w:val="0"/>
                    <w:autoSpaceDE w:val="0"/>
                    <w:autoSpaceDN w:val="0"/>
                    <w:jc w:val="center"/>
                    <w:rPr>
                      <w:color w:val="auto"/>
                      <w:szCs w:val="21"/>
                    </w:rPr>
                  </w:pPr>
                </w:p>
              </w:tc>
            </w:tr>
            <w:tr w14:paraId="3A2CE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588B2855">
                  <w:pPr>
                    <w:pStyle w:val="37"/>
                    <w:overflowPunct w:val="0"/>
                    <w:autoSpaceDE w:val="0"/>
                    <w:autoSpaceDN w:val="0"/>
                    <w:spacing w:before="24" w:after="24"/>
                    <w:rPr>
                      <w:rFonts w:ascii="Times New Roman"/>
                      <w:color w:val="auto"/>
                      <w:szCs w:val="21"/>
                    </w:rPr>
                  </w:pPr>
                </w:p>
              </w:tc>
              <w:tc>
                <w:tcPr>
                  <w:tcW w:w="428" w:type="pct"/>
                  <w:vMerge w:val="continue"/>
                  <w:vAlign w:val="center"/>
                </w:tcPr>
                <w:p w14:paraId="6D973B6A">
                  <w:pPr>
                    <w:pStyle w:val="37"/>
                    <w:overflowPunct w:val="0"/>
                    <w:autoSpaceDE w:val="0"/>
                    <w:autoSpaceDN w:val="0"/>
                    <w:spacing w:before="24" w:after="24"/>
                    <w:rPr>
                      <w:rFonts w:ascii="Times New Roman"/>
                      <w:color w:val="auto"/>
                      <w:szCs w:val="21"/>
                    </w:rPr>
                  </w:pPr>
                </w:p>
              </w:tc>
              <w:tc>
                <w:tcPr>
                  <w:tcW w:w="406" w:type="pct"/>
                  <w:vMerge w:val="continue"/>
                  <w:vAlign w:val="center"/>
                </w:tcPr>
                <w:p w14:paraId="5DCF38FB">
                  <w:pPr>
                    <w:pStyle w:val="37"/>
                    <w:overflowPunct w:val="0"/>
                    <w:autoSpaceDE w:val="0"/>
                    <w:autoSpaceDN w:val="0"/>
                    <w:spacing w:before="24" w:after="24"/>
                    <w:rPr>
                      <w:rFonts w:ascii="Times New Roman"/>
                      <w:color w:val="auto"/>
                      <w:szCs w:val="21"/>
                    </w:rPr>
                  </w:pPr>
                </w:p>
              </w:tc>
              <w:tc>
                <w:tcPr>
                  <w:tcW w:w="880" w:type="pct"/>
                  <w:vAlign w:val="center"/>
                </w:tcPr>
                <w:p w14:paraId="71C9EF8A">
                  <w:pPr>
                    <w:pStyle w:val="37"/>
                    <w:overflowPunct w:val="0"/>
                    <w:autoSpaceDE w:val="0"/>
                    <w:autoSpaceDN w:val="0"/>
                    <w:spacing w:before="24" w:after="24"/>
                    <w:rPr>
                      <w:rFonts w:ascii="Times New Roman"/>
                      <w:color w:val="auto"/>
                      <w:szCs w:val="21"/>
                    </w:rPr>
                  </w:pPr>
                  <w:r>
                    <w:rPr>
                      <w:rFonts w:ascii="Times New Roman"/>
                      <w:color w:val="auto"/>
                      <w:szCs w:val="21"/>
                    </w:rPr>
                    <w:t>机加工区</w:t>
                  </w:r>
                </w:p>
              </w:tc>
              <w:tc>
                <w:tcPr>
                  <w:tcW w:w="2399" w:type="pct"/>
                  <w:vAlign w:val="center"/>
                </w:tcPr>
                <w:p w14:paraId="6AF772B9">
                  <w:pPr>
                    <w:overflowPunct w:val="0"/>
                    <w:autoSpaceDE w:val="0"/>
                    <w:autoSpaceDN w:val="0"/>
                    <w:jc w:val="center"/>
                    <w:rPr>
                      <w:color w:val="auto"/>
                      <w:szCs w:val="21"/>
                    </w:rPr>
                  </w:pPr>
                  <w:r>
                    <w:rPr>
                      <w:color w:val="auto"/>
                      <w:szCs w:val="21"/>
                    </w:rPr>
                    <w:t>占地</w:t>
                  </w:r>
                  <w:r>
                    <w:rPr>
                      <w:rFonts w:hint="eastAsia"/>
                      <w:color w:val="auto"/>
                      <w:szCs w:val="21"/>
                      <w:lang w:val="en-US" w:eastAsia="zh-CN"/>
                    </w:rPr>
                    <w:t>约</w:t>
                  </w:r>
                  <w:r>
                    <w:rPr>
                      <w:color w:val="auto"/>
                      <w:szCs w:val="21"/>
                    </w:rPr>
                    <w:t xml:space="preserve"> </w:t>
                  </w:r>
                  <w:r>
                    <w:rPr>
                      <w:rFonts w:hint="eastAsia"/>
                      <w:color w:val="auto"/>
                      <w:szCs w:val="21"/>
                    </w:rPr>
                    <w:t>800</w:t>
                  </w:r>
                  <w:r>
                    <w:rPr>
                      <w:color w:val="auto"/>
                      <w:szCs w:val="21"/>
                    </w:rPr>
                    <w:t xml:space="preserve"> m</w:t>
                  </w:r>
                  <w:r>
                    <w:rPr>
                      <w:color w:val="auto"/>
                      <w:szCs w:val="21"/>
                      <w:vertAlign w:val="superscript"/>
                    </w:rPr>
                    <w:t>2</w:t>
                  </w:r>
                  <w:r>
                    <w:rPr>
                      <w:color w:val="auto"/>
                      <w:szCs w:val="21"/>
                    </w:rPr>
                    <w:t>，设置车床</w:t>
                  </w:r>
                  <w:r>
                    <w:rPr>
                      <w:rFonts w:hint="eastAsia"/>
                      <w:color w:val="auto"/>
                      <w:szCs w:val="21"/>
                    </w:rPr>
                    <w:t>、铣床</w:t>
                  </w:r>
                  <w:r>
                    <w:rPr>
                      <w:color w:val="auto"/>
                      <w:szCs w:val="21"/>
                    </w:rPr>
                    <w:t xml:space="preserve">等 </w:t>
                  </w:r>
                </w:p>
              </w:tc>
              <w:tc>
                <w:tcPr>
                  <w:tcW w:w="563" w:type="pct"/>
                  <w:vMerge w:val="continue"/>
                  <w:vAlign w:val="center"/>
                </w:tcPr>
                <w:p w14:paraId="31F90B22">
                  <w:pPr>
                    <w:overflowPunct w:val="0"/>
                    <w:autoSpaceDE w:val="0"/>
                    <w:autoSpaceDN w:val="0"/>
                    <w:jc w:val="center"/>
                    <w:rPr>
                      <w:color w:val="auto"/>
                      <w:szCs w:val="21"/>
                    </w:rPr>
                  </w:pPr>
                </w:p>
              </w:tc>
            </w:tr>
            <w:tr w14:paraId="2D3C1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trPr>
              <w:tc>
                <w:tcPr>
                  <w:tcW w:w="322" w:type="pct"/>
                  <w:vMerge w:val="restart"/>
                  <w:vAlign w:val="center"/>
                </w:tcPr>
                <w:p w14:paraId="68D1BA9C">
                  <w:pPr>
                    <w:pStyle w:val="37"/>
                    <w:overflowPunct w:val="0"/>
                    <w:autoSpaceDE w:val="0"/>
                    <w:autoSpaceDN w:val="0"/>
                    <w:spacing w:before="24" w:after="24"/>
                    <w:rPr>
                      <w:rFonts w:ascii="Times New Roman"/>
                      <w:color w:val="auto"/>
                      <w:szCs w:val="21"/>
                    </w:rPr>
                  </w:pPr>
                  <w:r>
                    <w:rPr>
                      <w:rFonts w:ascii="Times New Roman"/>
                      <w:color w:val="auto"/>
                      <w:szCs w:val="21"/>
                    </w:rPr>
                    <w:t>2</w:t>
                  </w:r>
                </w:p>
                <w:p w14:paraId="50F0DCD8">
                  <w:pPr>
                    <w:pStyle w:val="37"/>
                    <w:overflowPunct w:val="0"/>
                    <w:autoSpaceDE w:val="0"/>
                    <w:autoSpaceDN w:val="0"/>
                    <w:spacing w:before="24" w:after="24"/>
                    <w:rPr>
                      <w:rFonts w:ascii="Times New Roman"/>
                      <w:color w:val="auto"/>
                      <w:szCs w:val="21"/>
                    </w:rPr>
                  </w:pPr>
                </w:p>
              </w:tc>
              <w:tc>
                <w:tcPr>
                  <w:tcW w:w="428" w:type="pct"/>
                  <w:vMerge w:val="restart"/>
                  <w:vAlign w:val="center"/>
                </w:tcPr>
                <w:p w14:paraId="43553312">
                  <w:pPr>
                    <w:pStyle w:val="37"/>
                    <w:overflowPunct w:val="0"/>
                    <w:autoSpaceDE w:val="0"/>
                    <w:autoSpaceDN w:val="0"/>
                    <w:spacing w:before="24" w:after="24"/>
                    <w:rPr>
                      <w:rFonts w:ascii="Times New Roman"/>
                      <w:color w:val="auto"/>
                      <w:szCs w:val="21"/>
                    </w:rPr>
                  </w:pPr>
                  <w:r>
                    <w:rPr>
                      <w:rFonts w:ascii="Times New Roman"/>
                      <w:bCs/>
                      <w:color w:val="auto"/>
                      <w:szCs w:val="21"/>
                    </w:rPr>
                    <w:t>储运工程</w:t>
                  </w:r>
                </w:p>
              </w:tc>
              <w:tc>
                <w:tcPr>
                  <w:tcW w:w="406" w:type="pct"/>
                  <w:vMerge w:val="restart"/>
                  <w:vAlign w:val="center"/>
                </w:tcPr>
                <w:p w14:paraId="369502E5">
                  <w:pPr>
                    <w:pStyle w:val="37"/>
                    <w:overflowPunct w:val="0"/>
                    <w:autoSpaceDE w:val="0"/>
                    <w:autoSpaceDN w:val="0"/>
                    <w:spacing w:before="24" w:after="24"/>
                    <w:rPr>
                      <w:rFonts w:ascii="Times New Roman"/>
                      <w:color w:val="auto"/>
                      <w:szCs w:val="21"/>
                    </w:rPr>
                  </w:pPr>
                  <w:r>
                    <w:rPr>
                      <w:rFonts w:ascii="Times New Roman"/>
                      <w:color w:val="auto"/>
                      <w:szCs w:val="21"/>
                    </w:rPr>
                    <w:t>仓储</w:t>
                  </w:r>
                </w:p>
              </w:tc>
              <w:tc>
                <w:tcPr>
                  <w:tcW w:w="880" w:type="pct"/>
                  <w:vAlign w:val="center"/>
                </w:tcPr>
                <w:p w14:paraId="0D9CDE5D">
                  <w:pPr>
                    <w:pStyle w:val="37"/>
                    <w:overflowPunct w:val="0"/>
                    <w:autoSpaceDE w:val="0"/>
                    <w:autoSpaceDN w:val="0"/>
                    <w:spacing w:before="24" w:after="24"/>
                    <w:rPr>
                      <w:rFonts w:ascii="Times New Roman"/>
                      <w:color w:val="auto"/>
                      <w:szCs w:val="21"/>
                    </w:rPr>
                  </w:pPr>
                  <w:r>
                    <w:rPr>
                      <w:rFonts w:ascii="Times New Roman"/>
                      <w:color w:val="auto"/>
                      <w:szCs w:val="21"/>
                    </w:rPr>
                    <w:t>原辅料仓库</w:t>
                  </w:r>
                </w:p>
              </w:tc>
              <w:tc>
                <w:tcPr>
                  <w:tcW w:w="2399" w:type="pct"/>
                  <w:vAlign w:val="center"/>
                </w:tcPr>
                <w:p w14:paraId="560B6116">
                  <w:pPr>
                    <w:overflowPunct w:val="0"/>
                    <w:autoSpaceDE w:val="0"/>
                    <w:autoSpaceDN w:val="0"/>
                    <w:jc w:val="center"/>
                    <w:rPr>
                      <w:color w:val="auto"/>
                      <w:szCs w:val="21"/>
                    </w:rPr>
                  </w:pPr>
                  <w:r>
                    <w:rPr>
                      <w:rFonts w:hint="eastAsia"/>
                      <w:color w:val="auto"/>
                      <w:szCs w:val="21"/>
                      <w:lang w:val="en-US" w:eastAsia="zh-CN"/>
                    </w:rPr>
                    <w:t>位于车间东侧，</w:t>
                  </w:r>
                  <w:r>
                    <w:rPr>
                      <w:color w:val="auto"/>
                      <w:szCs w:val="21"/>
                    </w:rPr>
                    <w:t>占地</w:t>
                  </w:r>
                  <w:r>
                    <w:rPr>
                      <w:rFonts w:hint="eastAsia"/>
                      <w:color w:val="auto"/>
                      <w:szCs w:val="21"/>
                      <w:lang w:val="en-US" w:eastAsia="zh-CN"/>
                    </w:rPr>
                    <w:t>约</w:t>
                  </w:r>
                  <w:r>
                    <w:rPr>
                      <w:color w:val="auto"/>
                      <w:szCs w:val="21"/>
                    </w:rPr>
                    <w:t xml:space="preserve"> 400 m</w:t>
                  </w:r>
                  <w:r>
                    <w:rPr>
                      <w:color w:val="auto"/>
                      <w:szCs w:val="21"/>
                      <w:vertAlign w:val="superscript"/>
                    </w:rPr>
                    <w:t>2</w:t>
                  </w:r>
                </w:p>
              </w:tc>
              <w:tc>
                <w:tcPr>
                  <w:tcW w:w="563" w:type="pct"/>
                  <w:vAlign w:val="center"/>
                </w:tcPr>
                <w:p w14:paraId="0D9877E4">
                  <w:pPr>
                    <w:overflowPunct w:val="0"/>
                    <w:autoSpaceDE w:val="0"/>
                    <w:autoSpaceDN w:val="0"/>
                    <w:jc w:val="center"/>
                    <w:rPr>
                      <w:color w:val="auto"/>
                      <w:szCs w:val="21"/>
                    </w:rPr>
                  </w:pPr>
                  <w:r>
                    <w:rPr>
                      <w:color w:val="auto"/>
                      <w:szCs w:val="21"/>
                    </w:rPr>
                    <w:t>新建</w:t>
                  </w:r>
                </w:p>
              </w:tc>
            </w:tr>
            <w:tr w14:paraId="79EAB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95" w:hRule="atLeast"/>
              </w:trPr>
              <w:tc>
                <w:tcPr>
                  <w:tcW w:w="322" w:type="pct"/>
                  <w:vMerge w:val="continue"/>
                  <w:vAlign w:val="center"/>
                </w:tcPr>
                <w:p w14:paraId="74A6A263">
                  <w:pPr>
                    <w:overflowPunct w:val="0"/>
                    <w:autoSpaceDE w:val="0"/>
                    <w:autoSpaceDN w:val="0"/>
                    <w:jc w:val="center"/>
                    <w:rPr>
                      <w:color w:val="auto"/>
                    </w:rPr>
                  </w:pPr>
                </w:p>
              </w:tc>
              <w:tc>
                <w:tcPr>
                  <w:tcW w:w="428" w:type="pct"/>
                  <w:vMerge w:val="continue"/>
                  <w:vAlign w:val="center"/>
                </w:tcPr>
                <w:p w14:paraId="37B09ABD">
                  <w:pPr>
                    <w:overflowPunct w:val="0"/>
                    <w:autoSpaceDE w:val="0"/>
                    <w:autoSpaceDN w:val="0"/>
                    <w:jc w:val="center"/>
                    <w:rPr>
                      <w:color w:val="auto"/>
                    </w:rPr>
                  </w:pPr>
                </w:p>
              </w:tc>
              <w:tc>
                <w:tcPr>
                  <w:tcW w:w="406" w:type="pct"/>
                  <w:vMerge w:val="continue"/>
                  <w:vAlign w:val="center"/>
                </w:tcPr>
                <w:p w14:paraId="0D2D185C">
                  <w:pPr>
                    <w:overflowPunct w:val="0"/>
                    <w:autoSpaceDE w:val="0"/>
                    <w:autoSpaceDN w:val="0"/>
                    <w:jc w:val="center"/>
                    <w:rPr>
                      <w:color w:val="auto"/>
                      <w:szCs w:val="21"/>
                    </w:rPr>
                  </w:pPr>
                </w:p>
              </w:tc>
              <w:tc>
                <w:tcPr>
                  <w:tcW w:w="880" w:type="pct"/>
                  <w:vAlign w:val="center"/>
                </w:tcPr>
                <w:p w14:paraId="160C30C8">
                  <w:pPr>
                    <w:overflowPunct w:val="0"/>
                    <w:autoSpaceDE w:val="0"/>
                    <w:autoSpaceDN w:val="0"/>
                    <w:jc w:val="center"/>
                    <w:rPr>
                      <w:color w:val="auto"/>
                      <w:szCs w:val="21"/>
                    </w:rPr>
                  </w:pPr>
                  <w:r>
                    <w:rPr>
                      <w:color w:val="auto"/>
                      <w:szCs w:val="21"/>
                    </w:rPr>
                    <w:t>成品仓库</w:t>
                  </w:r>
                </w:p>
              </w:tc>
              <w:tc>
                <w:tcPr>
                  <w:tcW w:w="2399" w:type="pct"/>
                  <w:vAlign w:val="center"/>
                </w:tcPr>
                <w:p w14:paraId="6CB81456">
                  <w:pPr>
                    <w:overflowPunct w:val="0"/>
                    <w:autoSpaceDE w:val="0"/>
                    <w:autoSpaceDN w:val="0"/>
                    <w:jc w:val="center"/>
                    <w:rPr>
                      <w:color w:val="auto"/>
                      <w:szCs w:val="21"/>
                    </w:rPr>
                  </w:pPr>
                  <w:r>
                    <w:rPr>
                      <w:rFonts w:hint="eastAsia"/>
                      <w:color w:val="auto"/>
                      <w:szCs w:val="21"/>
                      <w:lang w:val="en-US" w:eastAsia="zh-CN"/>
                    </w:rPr>
                    <w:t>位于车间西侧，</w:t>
                  </w:r>
                  <w:r>
                    <w:rPr>
                      <w:color w:val="auto"/>
                      <w:szCs w:val="21"/>
                    </w:rPr>
                    <w:t>占地</w:t>
                  </w:r>
                  <w:r>
                    <w:rPr>
                      <w:rFonts w:hint="eastAsia"/>
                      <w:color w:val="auto"/>
                      <w:szCs w:val="21"/>
                      <w:lang w:val="en-US" w:eastAsia="zh-CN"/>
                    </w:rPr>
                    <w:t>约</w:t>
                  </w:r>
                  <w:r>
                    <w:rPr>
                      <w:rFonts w:hint="eastAsia"/>
                      <w:color w:val="auto"/>
                      <w:szCs w:val="21"/>
                    </w:rPr>
                    <w:t xml:space="preserve"> 3</w:t>
                  </w:r>
                  <w:r>
                    <w:rPr>
                      <w:color w:val="auto"/>
                      <w:szCs w:val="21"/>
                    </w:rPr>
                    <w:t>00m</w:t>
                  </w:r>
                  <w:r>
                    <w:rPr>
                      <w:color w:val="auto"/>
                      <w:szCs w:val="21"/>
                      <w:vertAlign w:val="superscript"/>
                    </w:rPr>
                    <w:t>2</w:t>
                  </w:r>
                </w:p>
              </w:tc>
              <w:tc>
                <w:tcPr>
                  <w:tcW w:w="563" w:type="pct"/>
                  <w:vAlign w:val="center"/>
                </w:tcPr>
                <w:p w14:paraId="6CF12379">
                  <w:pPr>
                    <w:overflowPunct w:val="0"/>
                    <w:autoSpaceDE w:val="0"/>
                    <w:autoSpaceDN w:val="0"/>
                    <w:jc w:val="center"/>
                    <w:rPr>
                      <w:color w:val="auto"/>
                      <w:szCs w:val="21"/>
                    </w:rPr>
                  </w:pPr>
                  <w:r>
                    <w:rPr>
                      <w:color w:val="auto"/>
                      <w:szCs w:val="21"/>
                    </w:rPr>
                    <w:t>新建</w:t>
                  </w:r>
                </w:p>
              </w:tc>
            </w:tr>
            <w:tr w14:paraId="6AD66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3CCB82FE">
                  <w:pPr>
                    <w:pStyle w:val="37"/>
                    <w:overflowPunct w:val="0"/>
                    <w:autoSpaceDE w:val="0"/>
                    <w:autoSpaceDN w:val="0"/>
                    <w:spacing w:before="24" w:after="24"/>
                    <w:rPr>
                      <w:rFonts w:ascii="Times New Roman"/>
                      <w:color w:val="auto"/>
                      <w:szCs w:val="21"/>
                    </w:rPr>
                  </w:pPr>
                </w:p>
              </w:tc>
              <w:tc>
                <w:tcPr>
                  <w:tcW w:w="428" w:type="pct"/>
                  <w:vMerge w:val="continue"/>
                  <w:vAlign w:val="center"/>
                </w:tcPr>
                <w:p w14:paraId="666D29CE">
                  <w:pPr>
                    <w:pStyle w:val="37"/>
                    <w:overflowPunct w:val="0"/>
                    <w:autoSpaceDE w:val="0"/>
                    <w:autoSpaceDN w:val="0"/>
                    <w:spacing w:before="24" w:after="24"/>
                    <w:rPr>
                      <w:rFonts w:ascii="Times New Roman"/>
                      <w:color w:val="auto"/>
                      <w:szCs w:val="21"/>
                    </w:rPr>
                  </w:pPr>
                </w:p>
              </w:tc>
              <w:tc>
                <w:tcPr>
                  <w:tcW w:w="1286" w:type="pct"/>
                  <w:gridSpan w:val="2"/>
                  <w:vAlign w:val="center"/>
                </w:tcPr>
                <w:p w14:paraId="04E9B462">
                  <w:pPr>
                    <w:pStyle w:val="37"/>
                    <w:overflowPunct w:val="0"/>
                    <w:autoSpaceDE w:val="0"/>
                    <w:autoSpaceDN w:val="0"/>
                    <w:spacing w:before="24" w:after="24"/>
                    <w:rPr>
                      <w:rFonts w:ascii="Times New Roman"/>
                      <w:color w:val="auto"/>
                      <w:szCs w:val="21"/>
                    </w:rPr>
                  </w:pPr>
                  <w:r>
                    <w:rPr>
                      <w:rFonts w:ascii="Times New Roman"/>
                      <w:color w:val="auto"/>
                      <w:szCs w:val="21"/>
                    </w:rPr>
                    <w:t>运输</w:t>
                  </w:r>
                </w:p>
              </w:tc>
              <w:tc>
                <w:tcPr>
                  <w:tcW w:w="2399" w:type="pct"/>
                  <w:vAlign w:val="center"/>
                </w:tcPr>
                <w:p w14:paraId="14B9C056">
                  <w:pPr>
                    <w:overflowPunct w:val="0"/>
                    <w:autoSpaceDE w:val="0"/>
                    <w:autoSpaceDN w:val="0"/>
                    <w:jc w:val="center"/>
                    <w:rPr>
                      <w:color w:val="auto"/>
                      <w:szCs w:val="21"/>
                    </w:rPr>
                  </w:pPr>
                  <w:r>
                    <w:rPr>
                      <w:color w:val="auto"/>
                      <w:szCs w:val="21"/>
                    </w:rPr>
                    <w:t>汽车运输、车间内叉车运输</w:t>
                  </w:r>
                </w:p>
              </w:tc>
              <w:tc>
                <w:tcPr>
                  <w:tcW w:w="563" w:type="pct"/>
                  <w:vAlign w:val="center"/>
                </w:tcPr>
                <w:p w14:paraId="35146794">
                  <w:pPr>
                    <w:overflowPunct w:val="0"/>
                    <w:autoSpaceDE w:val="0"/>
                    <w:autoSpaceDN w:val="0"/>
                    <w:jc w:val="center"/>
                    <w:rPr>
                      <w:color w:val="auto"/>
                      <w:szCs w:val="21"/>
                    </w:rPr>
                  </w:pPr>
                </w:p>
              </w:tc>
            </w:tr>
            <w:tr w14:paraId="55699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Align w:val="center"/>
                </w:tcPr>
                <w:p w14:paraId="3DFD8CBE">
                  <w:pPr>
                    <w:pStyle w:val="37"/>
                    <w:overflowPunct w:val="0"/>
                    <w:autoSpaceDE w:val="0"/>
                    <w:autoSpaceDN w:val="0"/>
                    <w:spacing w:before="24" w:after="24"/>
                    <w:rPr>
                      <w:rFonts w:ascii="Times New Roman"/>
                      <w:color w:val="auto"/>
                      <w:szCs w:val="21"/>
                    </w:rPr>
                  </w:pPr>
                  <w:r>
                    <w:rPr>
                      <w:rFonts w:ascii="Times New Roman"/>
                      <w:color w:val="auto"/>
                      <w:szCs w:val="21"/>
                    </w:rPr>
                    <w:t>3</w:t>
                  </w:r>
                </w:p>
              </w:tc>
              <w:tc>
                <w:tcPr>
                  <w:tcW w:w="428" w:type="pct"/>
                  <w:vAlign w:val="center"/>
                </w:tcPr>
                <w:p w14:paraId="430D2AF7">
                  <w:pPr>
                    <w:pStyle w:val="37"/>
                    <w:overflowPunct w:val="0"/>
                    <w:autoSpaceDE w:val="0"/>
                    <w:autoSpaceDN w:val="0"/>
                    <w:spacing w:before="24" w:after="24"/>
                    <w:rPr>
                      <w:rFonts w:ascii="Times New Roman"/>
                      <w:color w:val="auto"/>
                      <w:szCs w:val="21"/>
                    </w:rPr>
                  </w:pPr>
                  <w:r>
                    <w:rPr>
                      <w:rFonts w:ascii="Times New Roman"/>
                      <w:color w:val="auto"/>
                      <w:szCs w:val="21"/>
                    </w:rPr>
                    <w:t>辅助工程</w:t>
                  </w:r>
                </w:p>
              </w:tc>
              <w:tc>
                <w:tcPr>
                  <w:tcW w:w="1286" w:type="pct"/>
                  <w:gridSpan w:val="2"/>
                  <w:vAlign w:val="center"/>
                </w:tcPr>
                <w:p w14:paraId="6B362CAE">
                  <w:pPr>
                    <w:pStyle w:val="37"/>
                    <w:overflowPunct w:val="0"/>
                    <w:autoSpaceDE w:val="0"/>
                    <w:autoSpaceDN w:val="0"/>
                    <w:spacing w:before="24" w:after="24"/>
                    <w:rPr>
                      <w:rFonts w:ascii="Times New Roman"/>
                      <w:color w:val="auto"/>
                      <w:szCs w:val="21"/>
                    </w:rPr>
                  </w:pPr>
                  <w:r>
                    <w:rPr>
                      <w:rFonts w:ascii="Times New Roman"/>
                      <w:color w:val="auto"/>
                      <w:szCs w:val="21"/>
                    </w:rPr>
                    <w:t>办公</w:t>
                  </w:r>
                  <w:r>
                    <w:rPr>
                      <w:rFonts w:hint="eastAsia" w:ascii="Times New Roman"/>
                      <w:color w:val="auto"/>
                      <w:szCs w:val="21"/>
                    </w:rPr>
                    <w:t>区</w:t>
                  </w:r>
                </w:p>
              </w:tc>
              <w:tc>
                <w:tcPr>
                  <w:tcW w:w="2399" w:type="pct"/>
                  <w:vAlign w:val="center"/>
                </w:tcPr>
                <w:p w14:paraId="185CFF15">
                  <w:pPr>
                    <w:pStyle w:val="37"/>
                    <w:overflowPunct w:val="0"/>
                    <w:autoSpaceDE w:val="0"/>
                    <w:autoSpaceDN w:val="0"/>
                    <w:spacing w:before="24" w:after="24"/>
                    <w:rPr>
                      <w:rFonts w:ascii="Times New Roman"/>
                      <w:color w:val="auto"/>
                      <w:szCs w:val="21"/>
                    </w:rPr>
                  </w:pPr>
                  <w:r>
                    <w:rPr>
                      <w:rFonts w:hint="eastAsia" w:ascii="Times New Roman"/>
                      <w:color w:val="auto"/>
                      <w:szCs w:val="21"/>
                    </w:rPr>
                    <w:t>车间东侧，</w:t>
                  </w:r>
                  <w:r>
                    <w:rPr>
                      <w:rFonts w:ascii="Times New Roman"/>
                      <w:color w:val="auto"/>
                      <w:szCs w:val="21"/>
                    </w:rPr>
                    <w:t>占地150m</w:t>
                  </w:r>
                  <w:r>
                    <w:rPr>
                      <w:rFonts w:ascii="Times New Roman"/>
                      <w:color w:val="auto"/>
                      <w:szCs w:val="21"/>
                      <w:vertAlign w:val="superscript"/>
                    </w:rPr>
                    <w:t>2</w:t>
                  </w:r>
                  <w:r>
                    <w:rPr>
                      <w:rFonts w:ascii="Times New Roman"/>
                      <w:color w:val="auto"/>
                      <w:szCs w:val="21"/>
                    </w:rPr>
                    <w:t>，主要用于办公</w:t>
                  </w:r>
                </w:p>
              </w:tc>
              <w:tc>
                <w:tcPr>
                  <w:tcW w:w="563" w:type="pct"/>
                  <w:vAlign w:val="center"/>
                </w:tcPr>
                <w:p w14:paraId="42B28373">
                  <w:pPr>
                    <w:overflowPunct w:val="0"/>
                    <w:autoSpaceDE w:val="0"/>
                    <w:autoSpaceDN w:val="0"/>
                    <w:jc w:val="center"/>
                    <w:rPr>
                      <w:color w:val="auto"/>
                      <w:szCs w:val="21"/>
                    </w:rPr>
                  </w:pPr>
                  <w:r>
                    <w:rPr>
                      <w:color w:val="auto"/>
                      <w:szCs w:val="21"/>
                    </w:rPr>
                    <w:t>新建</w:t>
                  </w:r>
                </w:p>
              </w:tc>
            </w:tr>
            <w:tr w14:paraId="36F49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restart"/>
                  <w:vAlign w:val="center"/>
                </w:tcPr>
                <w:p w14:paraId="4FB1765B">
                  <w:pPr>
                    <w:pStyle w:val="37"/>
                    <w:overflowPunct w:val="0"/>
                    <w:autoSpaceDE w:val="0"/>
                    <w:autoSpaceDN w:val="0"/>
                    <w:spacing w:before="24" w:after="24"/>
                    <w:rPr>
                      <w:rFonts w:ascii="Times New Roman"/>
                      <w:color w:val="auto"/>
                      <w:szCs w:val="21"/>
                    </w:rPr>
                  </w:pPr>
                  <w:r>
                    <w:rPr>
                      <w:rFonts w:ascii="Times New Roman"/>
                      <w:color w:val="auto"/>
                      <w:szCs w:val="21"/>
                    </w:rPr>
                    <w:t>4</w:t>
                  </w:r>
                </w:p>
              </w:tc>
              <w:tc>
                <w:tcPr>
                  <w:tcW w:w="428" w:type="pct"/>
                  <w:vMerge w:val="restart"/>
                  <w:vAlign w:val="center"/>
                </w:tcPr>
                <w:p w14:paraId="661673FF">
                  <w:pPr>
                    <w:pStyle w:val="37"/>
                    <w:overflowPunct w:val="0"/>
                    <w:autoSpaceDE w:val="0"/>
                    <w:autoSpaceDN w:val="0"/>
                    <w:spacing w:before="24" w:after="24"/>
                    <w:rPr>
                      <w:rFonts w:ascii="Times New Roman"/>
                      <w:color w:val="auto"/>
                      <w:szCs w:val="21"/>
                    </w:rPr>
                  </w:pPr>
                  <w:r>
                    <w:rPr>
                      <w:rFonts w:ascii="Times New Roman"/>
                      <w:color w:val="auto"/>
                      <w:szCs w:val="21"/>
                    </w:rPr>
                    <w:t>公用</w:t>
                  </w:r>
                </w:p>
                <w:p w14:paraId="066CEFE8">
                  <w:pPr>
                    <w:pStyle w:val="37"/>
                    <w:overflowPunct w:val="0"/>
                    <w:autoSpaceDE w:val="0"/>
                    <w:autoSpaceDN w:val="0"/>
                    <w:spacing w:before="24" w:after="24"/>
                    <w:rPr>
                      <w:rFonts w:ascii="Times New Roman"/>
                      <w:color w:val="auto"/>
                      <w:szCs w:val="21"/>
                    </w:rPr>
                  </w:pPr>
                  <w:r>
                    <w:rPr>
                      <w:rFonts w:ascii="Times New Roman"/>
                      <w:color w:val="auto"/>
                      <w:szCs w:val="21"/>
                    </w:rPr>
                    <w:t>工程</w:t>
                  </w:r>
                </w:p>
              </w:tc>
              <w:tc>
                <w:tcPr>
                  <w:tcW w:w="1286" w:type="pct"/>
                  <w:gridSpan w:val="2"/>
                  <w:vAlign w:val="center"/>
                </w:tcPr>
                <w:p w14:paraId="1C3C4AD6">
                  <w:pPr>
                    <w:pStyle w:val="37"/>
                    <w:overflowPunct w:val="0"/>
                    <w:autoSpaceDE w:val="0"/>
                    <w:autoSpaceDN w:val="0"/>
                    <w:spacing w:before="24" w:after="24"/>
                    <w:rPr>
                      <w:rFonts w:ascii="Times New Roman"/>
                      <w:color w:val="auto"/>
                      <w:szCs w:val="21"/>
                    </w:rPr>
                  </w:pPr>
                  <w:r>
                    <w:rPr>
                      <w:rFonts w:ascii="Times New Roman"/>
                      <w:color w:val="auto"/>
                      <w:szCs w:val="21"/>
                    </w:rPr>
                    <w:t>供电系统</w:t>
                  </w:r>
                </w:p>
              </w:tc>
              <w:tc>
                <w:tcPr>
                  <w:tcW w:w="2399" w:type="pct"/>
                  <w:vAlign w:val="center"/>
                </w:tcPr>
                <w:p w14:paraId="500FA605">
                  <w:pPr>
                    <w:pStyle w:val="37"/>
                    <w:overflowPunct w:val="0"/>
                    <w:autoSpaceDE w:val="0"/>
                    <w:autoSpaceDN w:val="0"/>
                    <w:spacing w:before="24" w:after="24"/>
                    <w:rPr>
                      <w:rFonts w:ascii="Times New Roman"/>
                      <w:color w:val="auto"/>
                      <w:szCs w:val="21"/>
                    </w:rPr>
                  </w:pPr>
                  <w:r>
                    <w:rPr>
                      <w:rFonts w:ascii="Times New Roman"/>
                      <w:color w:val="auto"/>
                      <w:szCs w:val="21"/>
                    </w:rPr>
                    <w:t>电网供电</w:t>
                  </w:r>
                </w:p>
              </w:tc>
              <w:tc>
                <w:tcPr>
                  <w:tcW w:w="563" w:type="pct"/>
                  <w:vAlign w:val="center"/>
                </w:tcPr>
                <w:p w14:paraId="0360E317">
                  <w:pPr>
                    <w:pStyle w:val="37"/>
                    <w:overflowPunct w:val="0"/>
                    <w:autoSpaceDE w:val="0"/>
                    <w:autoSpaceDN w:val="0"/>
                    <w:spacing w:before="24" w:after="24"/>
                    <w:rPr>
                      <w:rFonts w:ascii="Times New Roman"/>
                      <w:color w:val="auto"/>
                      <w:szCs w:val="21"/>
                    </w:rPr>
                  </w:pPr>
                  <w:r>
                    <w:rPr>
                      <w:rFonts w:hint="eastAsia" w:ascii="Times New Roman"/>
                      <w:color w:val="auto"/>
                      <w:szCs w:val="21"/>
                    </w:rPr>
                    <w:t>依托园区</w:t>
                  </w:r>
                </w:p>
              </w:tc>
            </w:tr>
            <w:tr w14:paraId="61A3D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5F823C73">
                  <w:pPr>
                    <w:pStyle w:val="37"/>
                    <w:overflowPunct w:val="0"/>
                    <w:autoSpaceDE w:val="0"/>
                    <w:autoSpaceDN w:val="0"/>
                    <w:spacing w:before="24" w:after="24"/>
                    <w:rPr>
                      <w:rFonts w:ascii="Times New Roman"/>
                      <w:color w:val="auto"/>
                      <w:szCs w:val="21"/>
                    </w:rPr>
                  </w:pPr>
                </w:p>
              </w:tc>
              <w:tc>
                <w:tcPr>
                  <w:tcW w:w="428" w:type="pct"/>
                  <w:vMerge w:val="continue"/>
                  <w:vAlign w:val="center"/>
                </w:tcPr>
                <w:p w14:paraId="2255E584">
                  <w:pPr>
                    <w:pStyle w:val="37"/>
                    <w:overflowPunct w:val="0"/>
                    <w:autoSpaceDE w:val="0"/>
                    <w:autoSpaceDN w:val="0"/>
                    <w:spacing w:before="24" w:after="24"/>
                    <w:rPr>
                      <w:rFonts w:ascii="Times New Roman"/>
                      <w:color w:val="auto"/>
                      <w:szCs w:val="21"/>
                    </w:rPr>
                  </w:pPr>
                </w:p>
              </w:tc>
              <w:tc>
                <w:tcPr>
                  <w:tcW w:w="1286" w:type="pct"/>
                  <w:gridSpan w:val="2"/>
                  <w:vAlign w:val="center"/>
                </w:tcPr>
                <w:p w14:paraId="5452B558">
                  <w:pPr>
                    <w:pStyle w:val="37"/>
                    <w:overflowPunct w:val="0"/>
                    <w:autoSpaceDE w:val="0"/>
                    <w:autoSpaceDN w:val="0"/>
                    <w:spacing w:before="24" w:after="24"/>
                    <w:rPr>
                      <w:rFonts w:ascii="Times New Roman"/>
                      <w:color w:val="auto"/>
                      <w:szCs w:val="21"/>
                    </w:rPr>
                  </w:pPr>
                  <w:r>
                    <w:rPr>
                      <w:rFonts w:ascii="Times New Roman"/>
                      <w:color w:val="auto"/>
                      <w:szCs w:val="21"/>
                    </w:rPr>
                    <w:t>供热系统</w:t>
                  </w:r>
                </w:p>
              </w:tc>
              <w:tc>
                <w:tcPr>
                  <w:tcW w:w="2399" w:type="pct"/>
                  <w:vAlign w:val="center"/>
                </w:tcPr>
                <w:p w14:paraId="0403DA3F">
                  <w:pPr>
                    <w:pStyle w:val="37"/>
                    <w:overflowPunct w:val="0"/>
                    <w:autoSpaceDE w:val="0"/>
                    <w:autoSpaceDN w:val="0"/>
                    <w:spacing w:before="24" w:after="24"/>
                    <w:rPr>
                      <w:rFonts w:ascii="Times New Roman"/>
                      <w:color w:val="auto"/>
                      <w:szCs w:val="21"/>
                    </w:rPr>
                  </w:pPr>
                  <w:r>
                    <w:rPr>
                      <w:rFonts w:ascii="Times New Roman"/>
                      <w:color w:val="auto"/>
                      <w:szCs w:val="21"/>
                    </w:rPr>
                    <w:t>设置一台1t/h天然气锅炉供气</w:t>
                  </w:r>
                </w:p>
              </w:tc>
              <w:tc>
                <w:tcPr>
                  <w:tcW w:w="563" w:type="pct"/>
                  <w:vAlign w:val="center"/>
                </w:tcPr>
                <w:p w14:paraId="22D85E3B">
                  <w:pPr>
                    <w:pStyle w:val="37"/>
                    <w:overflowPunct w:val="0"/>
                    <w:autoSpaceDE w:val="0"/>
                    <w:autoSpaceDN w:val="0"/>
                    <w:spacing w:before="24" w:after="24"/>
                    <w:rPr>
                      <w:rFonts w:ascii="Times New Roman"/>
                      <w:color w:val="auto"/>
                      <w:szCs w:val="21"/>
                    </w:rPr>
                  </w:pPr>
                  <w:r>
                    <w:rPr>
                      <w:rFonts w:hint="eastAsia" w:ascii="Times New Roman"/>
                      <w:color w:val="auto"/>
                      <w:szCs w:val="21"/>
                    </w:rPr>
                    <w:t>新建</w:t>
                  </w:r>
                </w:p>
              </w:tc>
            </w:tr>
            <w:tr w14:paraId="5543E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64B77369">
                  <w:pPr>
                    <w:pStyle w:val="37"/>
                    <w:overflowPunct w:val="0"/>
                    <w:autoSpaceDE w:val="0"/>
                    <w:autoSpaceDN w:val="0"/>
                    <w:spacing w:before="24" w:after="24"/>
                    <w:rPr>
                      <w:rFonts w:ascii="Times New Roman"/>
                      <w:color w:val="auto"/>
                      <w:szCs w:val="21"/>
                    </w:rPr>
                  </w:pPr>
                </w:p>
              </w:tc>
              <w:tc>
                <w:tcPr>
                  <w:tcW w:w="428" w:type="pct"/>
                  <w:vMerge w:val="continue"/>
                  <w:vAlign w:val="center"/>
                </w:tcPr>
                <w:p w14:paraId="6CD378B4">
                  <w:pPr>
                    <w:pStyle w:val="37"/>
                    <w:overflowPunct w:val="0"/>
                    <w:autoSpaceDE w:val="0"/>
                    <w:autoSpaceDN w:val="0"/>
                    <w:spacing w:before="24" w:after="24"/>
                    <w:rPr>
                      <w:rFonts w:ascii="Times New Roman"/>
                      <w:color w:val="auto"/>
                      <w:szCs w:val="21"/>
                    </w:rPr>
                  </w:pPr>
                </w:p>
              </w:tc>
              <w:tc>
                <w:tcPr>
                  <w:tcW w:w="1286" w:type="pct"/>
                  <w:gridSpan w:val="2"/>
                  <w:vAlign w:val="center"/>
                </w:tcPr>
                <w:p w14:paraId="07CA915F">
                  <w:pPr>
                    <w:pStyle w:val="37"/>
                    <w:overflowPunct w:val="0"/>
                    <w:autoSpaceDE w:val="0"/>
                    <w:autoSpaceDN w:val="0"/>
                    <w:spacing w:before="24" w:after="24"/>
                    <w:rPr>
                      <w:rFonts w:ascii="Times New Roman"/>
                      <w:color w:val="auto"/>
                      <w:szCs w:val="21"/>
                    </w:rPr>
                  </w:pPr>
                  <w:r>
                    <w:rPr>
                      <w:rFonts w:ascii="Times New Roman"/>
                      <w:color w:val="auto"/>
                      <w:szCs w:val="21"/>
                    </w:rPr>
                    <w:t>供水系统</w:t>
                  </w:r>
                </w:p>
              </w:tc>
              <w:tc>
                <w:tcPr>
                  <w:tcW w:w="2399" w:type="pct"/>
                  <w:vAlign w:val="center"/>
                </w:tcPr>
                <w:p w14:paraId="0137A648">
                  <w:pPr>
                    <w:pStyle w:val="37"/>
                    <w:overflowPunct w:val="0"/>
                    <w:autoSpaceDE w:val="0"/>
                    <w:autoSpaceDN w:val="0"/>
                    <w:spacing w:before="24" w:after="24"/>
                    <w:rPr>
                      <w:rFonts w:ascii="Times New Roman"/>
                      <w:color w:val="auto"/>
                      <w:szCs w:val="21"/>
                    </w:rPr>
                  </w:pPr>
                  <w:r>
                    <w:rPr>
                      <w:rFonts w:ascii="Times New Roman"/>
                      <w:color w:val="auto"/>
                      <w:szCs w:val="21"/>
                    </w:rPr>
                    <w:t>供水管网供水</w:t>
                  </w:r>
                </w:p>
              </w:tc>
              <w:tc>
                <w:tcPr>
                  <w:tcW w:w="563" w:type="pct"/>
                  <w:vAlign w:val="center"/>
                </w:tcPr>
                <w:p w14:paraId="4EF2D78C">
                  <w:pPr>
                    <w:pStyle w:val="37"/>
                    <w:overflowPunct w:val="0"/>
                    <w:autoSpaceDE w:val="0"/>
                    <w:autoSpaceDN w:val="0"/>
                    <w:spacing w:before="24" w:after="24"/>
                    <w:rPr>
                      <w:rFonts w:ascii="Times New Roman"/>
                      <w:color w:val="auto"/>
                      <w:szCs w:val="21"/>
                    </w:rPr>
                  </w:pPr>
                  <w:r>
                    <w:rPr>
                      <w:rFonts w:hint="eastAsia" w:ascii="Times New Roman"/>
                      <w:color w:val="auto"/>
                      <w:szCs w:val="21"/>
                    </w:rPr>
                    <w:t>依托园区</w:t>
                  </w:r>
                </w:p>
              </w:tc>
            </w:tr>
            <w:tr w14:paraId="678C4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2866D926">
                  <w:pPr>
                    <w:pStyle w:val="37"/>
                    <w:overflowPunct w:val="0"/>
                    <w:autoSpaceDE w:val="0"/>
                    <w:autoSpaceDN w:val="0"/>
                    <w:spacing w:before="24" w:after="24"/>
                    <w:rPr>
                      <w:rFonts w:ascii="Times New Roman"/>
                      <w:color w:val="auto"/>
                      <w:szCs w:val="21"/>
                    </w:rPr>
                  </w:pPr>
                </w:p>
              </w:tc>
              <w:tc>
                <w:tcPr>
                  <w:tcW w:w="428" w:type="pct"/>
                  <w:vMerge w:val="continue"/>
                  <w:vAlign w:val="center"/>
                </w:tcPr>
                <w:p w14:paraId="0CA56238">
                  <w:pPr>
                    <w:pStyle w:val="37"/>
                    <w:overflowPunct w:val="0"/>
                    <w:autoSpaceDE w:val="0"/>
                    <w:autoSpaceDN w:val="0"/>
                    <w:spacing w:before="24" w:after="24"/>
                    <w:rPr>
                      <w:rFonts w:ascii="Times New Roman"/>
                      <w:color w:val="auto"/>
                      <w:szCs w:val="21"/>
                    </w:rPr>
                  </w:pPr>
                </w:p>
              </w:tc>
              <w:tc>
                <w:tcPr>
                  <w:tcW w:w="1286" w:type="pct"/>
                  <w:gridSpan w:val="2"/>
                  <w:vAlign w:val="center"/>
                </w:tcPr>
                <w:p w14:paraId="3FB5C8E6">
                  <w:pPr>
                    <w:pStyle w:val="37"/>
                    <w:overflowPunct w:val="0"/>
                    <w:autoSpaceDE w:val="0"/>
                    <w:autoSpaceDN w:val="0"/>
                    <w:spacing w:before="24" w:after="24"/>
                    <w:rPr>
                      <w:rFonts w:ascii="Times New Roman"/>
                      <w:color w:val="auto"/>
                      <w:szCs w:val="21"/>
                      <w:u w:val="single"/>
                    </w:rPr>
                  </w:pPr>
                  <w:r>
                    <w:rPr>
                      <w:rFonts w:ascii="Times New Roman"/>
                      <w:color w:val="auto"/>
                      <w:szCs w:val="21"/>
                    </w:rPr>
                    <w:t>排水系统</w:t>
                  </w:r>
                </w:p>
              </w:tc>
              <w:tc>
                <w:tcPr>
                  <w:tcW w:w="2399" w:type="pct"/>
                  <w:vAlign w:val="center"/>
                </w:tcPr>
                <w:p w14:paraId="3BE8EF21">
                  <w:pPr>
                    <w:pStyle w:val="37"/>
                    <w:overflowPunct w:val="0"/>
                    <w:autoSpaceDE w:val="0"/>
                    <w:autoSpaceDN w:val="0"/>
                    <w:spacing w:before="24" w:after="24"/>
                    <w:rPr>
                      <w:rFonts w:ascii="Times New Roman"/>
                      <w:color w:val="auto"/>
                      <w:szCs w:val="21"/>
                    </w:rPr>
                  </w:pPr>
                  <w:r>
                    <w:rPr>
                      <w:rFonts w:ascii="Times New Roman"/>
                      <w:color w:val="auto"/>
                      <w:szCs w:val="21"/>
                    </w:rPr>
                    <w:t>雨污分流，生活污水依托园区污水处理设施处理后外排</w:t>
                  </w:r>
                </w:p>
              </w:tc>
              <w:tc>
                <w:tcPr>
                  <w:tcW w:w="563" w:type="pct"/>
                  <w:vAlign w:val="center"/>
                </w:tcPr>
                <w:p w14:paraId="722A9B14">
                  <w:pPr>
                    <w:pStyle w:val="37"/>
                    <w:overflowPunct w:val="0"/>
                    <w:autoSpaceDE w:val="0"/>
                    <w:autoSpaceDN w:val="0"/>
                    <w:spacing w:before="24" w:after="24"/>
                    <w:rPr>
                      <w:rFonts w:ascii="Times New Roman"/>
                      <w:color w:val="auto"/>
                      <w:szCs w:val="21"/>
                    </w:rPr>
                  </w:pPr>
                  <w:r>
                    <w:rPr>
                      <w:rFonts w:hint="eastAsia" w:ascii="Times New Roman"/>
                      <w:color w:val="auto"/>
                      <w:szCs w:val="21"/>
                    </w:rPr>
                    <w:t>依托园区</w:t>
                  </w:r>
                </w:p>
              </w:tc>
            </w:tr>
            <w:tr w14:paraId="526D8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restart"/>
                  <w:vAlign w:val="center"/>
                </w:tcPr>
                <w:p w14:paraId="0AF916CC">
                  <w:pPr>
                    <w:pStyle w:val="37"/>
                    <w:overflowPunct w:val="0"/>
                    <w:autoSpaceDE w:val="0"/>
                    <w:autoSpaceDN w:val="0"/>
                    <w:spacing w:before="24" w:after="24"/>
                    <w:rPr>
                      <w:rFonts w:ascii="Times New Roman"/>
                      <w:color w:val="auto"/>
                      <w:szCs w:val="21"/>
                    </w:rPr>
                  </w:pPr>
                  <w:r>
                    <w:rPr>
                      <w:rFonts w:ascii="Times New Roman"/>
                      <w:color w:val="auto"/>
                      <w:szCs w:val="21"/>
                    </w:rPr>
                    <w:t>5</w:t>
                  </w:r>
                </w:p>
              </w:tc>
              <w:tc>
                <w:tcPr>
                  <w:tcW w:w="428" w:type="pct"/>
                  <w:vMerge w:val="restart"/>
                  <w:vAlign w:val="center"/>
                </w:tcPr>
                <w:p w14:paraId="10EC4B9B">
                  <w:pPr>
                    <w:pStyle w:val="37"/>
                    <w:overflowPunct w:val="0"/>
                    <w:autoSpaceDE w:val="0"/>
                    <w:autoSpaceDN w:val="0"/>
                    <w:spacing w:before="24" w:after="24"/>
                    <w:rPr>
                      <w:rFonts w:ascii="Times New Roman"/>
                      <w:color w:val="auto"/>
                      <w:szCs w:val="21"/>
                    </w:rPr>
                  </w:pPr>
                  <w:r>
                    <w:rPr>
                      <w:rFonts w:ascii="Times New Roman"/>
                      <w:color w:val="auto"/>
                      <w:szCs w:val="21"/>
                    </w:rPr>
                    <w:t>环保</w:t>
                  </w:r>
                </w:p>
                <w:p w14:paraId="541D3553">
                  <w:pPr>
                    <w:pStyle w:val="37"/>
                    <w:overflowPunct w:val="0"/>
                    <w:autoSpaceDE w:val="0"/>
                    <w:autoSpaceDN w:val="0"/>
                    <w:spacing w:before="24" w:after="24"/>
                    <w:rPr>
                      <w:rFonts w:ascii="Times New Roman"/>
                      <w:color w:val="auto"/>
                      <w:szCs w:val="21"/>
                    </w:rPr>
                  </w:pPr>
                  <w:r>
                    <w:rPr>
                      <w:rFonts w:ascii="Times New Roman"/>
                      <w:color w:val="auto"/>
                      <w:szCs w:val="21"/>
                    </w:rPr>
                    <w:t>工程</w:t>
                  </w:r>
                </w:p>
              </w:tc>
              <w:tc>
                <w:tcPr>
                  <w:tcW w:w="1286" w:type="pct"/>
                  <w:gridSpan w:val="2"/>
                  <w:vAlign w:val="center"/>
                </w:tcPr>
                <w:p w14:paraId="7F939DF2">
                  <w:pPr>
                    <w:pStyle w:val="37"/>
                    <w:overflowPunct w:val="0"/>
                    <w:autoSpaceDE w:val="0"/>
                    <w:autoSpaceDN w:val="0"/>
                    <w:spacing w:before="24" w:after="24"/>
                    <w:rPr>
                      <w:rFonts w:ascii="Times New Roman"/>
                      <w:color w:val="auto"/>
                      <w:szCs w:val="21"/>
                    </w:rPr>
                  </w:pPr>
                  <w:r>
                    <w:rPr>
                      <w:rFonts w:ascii="Times New Roman"/>
                      <w:color w:val="auto"/>
                      <w:szCs w:val="21"/>
                    </w:rPr>
                    <w:t>废水</w:t>
                  </w:r>
                </w:p>
              </w:tc>
              <w:tc>
                <w:tcPr>
                  <w:tcW w:w="2399" w:type="pct"/>
                  <w:vAlign w:val="center"/>
                </w:tcPr>
                <w:p w14:paraId="5D1F4339">
                  <w:pPr>
                    <w:pStyle w:val="37"/>
                    <w:overflowPunct w:val="0"/>
                    <w:autoSpaceDE w:val="0"/>
                    <w:autoSpaceDN w:val="0"/>
                    <w:spacing w:before="24" w:after="24"/>
                    <w:rPr>
                      <w:rFonts w:ascii="Times New Roman"/>
                      <w:color w:val="auto"/>
                      <w:szCs w:val="21"/>
                    </w:rPr>
                  </w:pPr>
                  <w:r>
                    <w:rPr>
                      <w:rFonts w:ascii="Times New Roman"/>
                      <w:color w:val="auto"/>
                      <w:szCs w:val="21"/>
                    </w:rPr>
                    <w:t>项目冷却水循环使用，不外排。</w:t>
                  </w:r>
                  <w:r>
                    <w:rPr>
                      <w:rFonts w:ascii="Times New Roman"/>
                      <w:color w:val="auto"/>
                    </w:rPr>
                    <w:t>项目生活污水依托园区化粪池处理后，通过市政污水管网接入湘潭县第一污水处理厂处理达标后排放。</w:t>
                  </w:r>
                </w:p>
              </w:tc>
              <w:tc>
                <w:tcPr>
                  <w:tcW w:w="563" w:type="pct"/>
                  <w:vAlign w:val="center"/>
                </w:tcPr>
                <w:p w14:paraId="1362DAB8">
                  <w:pPr>
                    <w:pStyle w:val="37"/>
                    <w:overflowPunct w:val="0"/>
                    <w:autoSpaceDE w:val="0"/>
                    <w:autoSpaceDN w:val="0"/>
                    <w:spacing w:before="24" w:after="24"/>
                    <w:rPr>
                      <w:rFonts w:ascii="Times New Roman"/>
                      <w:color w:val="auto"/>
                      <w:szCs w:val="21"/>
                    </w:rPr>
                  </w:pPr>
                  <w:r>
                    <w:rPr>
                      <w:rFonts w:ascii="Times New Roman"/>
                      <w:color w:val="auto"/>
                      <w:szCs w:val="21"/>
                    </w:rPr>
                    <w:t>依托园区</w:t>
                  </w:r>
                </w:p>
              </w:tc>
            </w:tr>
            <w:tr w14:paraId="2C052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4EB03C50">
                  <w:pPr>
                    <w:pStyle w:val="37"/>
                    <w:overflowPunct w:val="0"/>
                    <w:autoSpaceDE w:val="0"/>
                    <w:autoSpaceDN w:val="0"/>
                    <w:spacing w:before="24" w:after="24"/>
                    <w:rPr>
                      <w:rFonts w:ascii="Times New Roman"/>
                      <w:color w:val="auto"/>
                      <w:szCs w:val="21"/>
                    </w:rPr>
                  </w:pPr>
                </w:p>
              </w:tc>
              <w:tc>
                <w:tcPr>
                  <w:tcW w:w="428" w:type="pct"/>
                  <w:vMerge w:val="continue"/>
                  <w:vAlign w:val="center"/>
                </w:tcPr>
                <w:p w14:paraId="5A0699AF">
                  <w:pPr>
                    <w:pStyle w:val="37"/>
                    <w:overflowPunct w:val="0"/>
                    <w:autoSpaceDE w:val="0"/>
                    <w:autoSpaceDN w:val="0"/>
                    <w:spacing w:before="24" w:after="24"/>
                    <w:rPr>
                      <w:rFonts w:ascii="Times New Roman"/>
                      <w:color w:val="auto"/>
                      <w:szCs w:val="21"/>
                    </w:rPr>
                  </w:pPr>
                </w:p>
              </w:tc>
              <w:tc>
                <w:tcPr>
                  <w:tcW w:w="406" w:type="pct"/>
                  <w:vMerge w:val="restart"/>
                  <w:vAlign w:val="center"/>
                </w:tcPr>
                <w:p w14:paraId="4A42B97F">
                  <w:pPr>
                    <w:jc w:val="center"/>
                    <w:rPr>
                      <w:color w:val="auto"/>
                      <w:szCs w:val="21"/>
                    </w:rPr>
                  </w:pPr>
                  <w:r>
                    <w:rPr>
                      <w:color w:val="auto"/>
                      <w:szCs w:val="21"/>
                    </w:rPr>
                    <w:t>废气</w:t>
                  </w:r>
                </w:p>
              </w:tc>
              <w:tc>
                <w:tcPr>
                  <w:tcW w:w="880" w:type="pct"/>
                  <w:vAlign w:val="center"/>
                </w:tcPr>
                <w:p w14:paraId="7CD31EB1">
                  <w:pPr>
                    <w:jc w:val="center"/>
                    <w:rPr>
                      <w:color w:val="auto"/>
                      <w:szCs w:val="21"/>
                    </w:rPr>
                  </w:pPr>
                  <w:r>
                    <w:rPr>
                      <w:color w:val="auto"/>
                      <w:szCs w:val="21"/>
                    </w:rPr>
                    <w:t>锅炉废气</w:t>
                  </w:r>
                </w:p>
              </w:tc>
              <w:tc>
                <w:tcPr>
                  <w:tcW w:w="2399" w:type="pct"/>
                  <w:vAlign w:val="center"/>
                </w:tcPr>
                <w:p w14:paraId="4A4D592C">
                  <w:pPr>
                    <w:pStyle w:val="37"/>
                    <w:overflowPunct w:val="0"/>
                    <w:autoSpaceDE w:val="0"/>
                    <w:autoSpaceDN w:val="0"/>
                    <w:spacing w:before="24" w:after="24"/>
                    <w:rPr>
                      <w:rFonts w:ascii="Times New Roman"/>
                      <w:color w:val="auto"/>
                    </w:rPr>
                  </w:pPr>
                  <w:r>
                    <w:rPr>
                      <w:rFonts w:hint="eastAsia" w:ascii="Times New Roman"/>
                      <w:color w:val="auto"/>
                      <w:szCs w:val="21"/>
                    </w:rPr>
                    <w:t>低氮燃烧、</w:t>
                  </w:r>
                  <w:r>
                    <w:rPr>
                      <w:rFonts w:ascii="Times New Roman"/>
                      <w:color w:val="auto"/>
                      <w:szCs w:val="21"/>
                    </w:rPr>
                    <w:t>15米排气筒</w:t>
                  </w:r>
                  <w:r>
                    <w:rPr>
                      <w:rFonts w:hint="eastAsia" w:ascii="Times New Roman"/>
                      <w:color w:val="auto"/>
                      <w:szCs w:val="21"/>
                    </w:rPr>
                    <w:t>（DA001）</w:t>
                  </w:r>
                </w:p>
              </w:tc>
              <w:tc>
                <w:tcPr>
                  <w:tcW w:w="563" w:type="pct"/>
                  <w:vAlign w:val="center"/>
                </w:tcPr>
                <w:p w14:paraId="1462C3FB">
                  <w:pPr>
                    <w:pStyle w:val="37"/>
                    <w:overflowPunct w:val="0"/>
                    <w:autoSpaceDE w:val="0"/>
                    <w:autoSpaceDN w:val="0"/>
                    <w:spacing w:before="24" w:after="24"/>
                    <w:rPr>
                      <w:rFonts w:ascii="Times New Roman"/>
                      <w:color w:val="auto"/>
                      <w:szCs w:val="21"/>
                    </w:rPr>
                  </w:pPr>
                  <w:r>
                    <w:rPr>
                      <w:rFonts w:ascii="Times New Roman"/>
                      <w:color w:val="auto"/>
                      <w:szCs w:val="21"/>
                    </w:rPr>
                    <w:t>新建</w:t>
                  </w:r>
                </w:p>
              </w:tc>
            </w:tr>
            <w:tr w14:paraId="267CB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5C25B7B2">
                  <w:pPr>
                    <w:pStyle w:val="37"/>
                    <w:overflowPunct w:val="0"/>
                    <w:autoSpaceDE w:val="0"/>
                    <w:autoSpaceDN w:val="0"/>
                    <w:spacing w:before="24" w:after="24"/>
                    <w:rPr>
                      <w:rFonts w:ascii="Times New Roman"/>
                      <w:color w:val="auto"/>
                      <w:szCs w:val="21"/>
                    </w:rPr>
                  </w:pPr>
                </w:p>
              </w:tc>
              <w:tc>
                <w:tcPr>
                  <w:tcW w:w="428" w:type="pct"/>
                  <w:vMerge w:val="continue"/>
                  <w:vAlign w:val="center"/>
                </w:tcPr>
                <w:p w14:paraId="2E050E04">
                  <w:pPr>
                    <w:pStyle w:val="37"/>
                    <w:overflowPunct w:val="0"/>
                    <w:autoSpaceDE w:val="0"/>
                    <w:autoSpaceDN w:val="0"/>
                    <w:spacing w:before="24" w:after="24"/>
                    <w:rPr>
                      <w:rFonts w:ascii="Times New Roman"/>
                      <w:color w:val="auto"/>
                      <w:szCs w:val="21"/>
                    </w:rPr>
                  </w:pPr>
                </w:p>
              </w:tc>
              <w:tc>
                <w:tcPr>
                  <w:tcW w:w="406" w:type="pct"/>
                  <w:vMerge w:val="continue"/>
                  <w:vAlign w:val="center"/>
                </w:tcPr>
                <w:p w14:paraId="12F78DF1">
                  <w:pPr>
                    <w:jc w:val="center"/>
                    <w:rPr>
                      <w:color w:val="auto"/>
                      <w:szCs w:val="21"/>
                    </w:rPr>
                  </w:pPr>
                </w:p>
              </w:tc>
              <w:tc>
                <w:tcPr>
                  <w:tcW w:w="880" w:type="pct"/>
                  <w:vAlign w:val="center"/>
                </w:tcPr>
                <w:p w14:paraId="3E0D0BE6">
                  <w:pPr>
                    <w:jc w:val="center"/>
                    <w:rPr>
                      <w:color w:val="auto"/>
                      <w:szCs w:val="21"/>
                    </w:rPr>
                  </w:pPr>
                  <w:r>
                    <w:rPr>
                      <w:color w:val="auto"/>
                      <w:szCs w:val="21"/>
                    </w:rPr>
                    <w:t>发泡废气</w:t>
                  </w:r>
                </w:p>
              </w:tc>
              <w:tc>
                <w:tcPr>
                  <w:tcW w:w="2399" w:type="pct"/>
                  <w:vMerge w:val="restart"/>
                  <w:vAlign w:val="center"/>
                </w:tcPr>
                <w:p w14:paraId="158E5CFC">
                  <w:pPr>
                    <w:pStyle w:val="37"/>
                    <w:overflowPunct w:val="0"/>
                    <w:autoSpaceDE w:val="0"/>
                    <w:autoSpaceDN w:val="0"/>
                    <w:spacing w:before="24" w:after="24"/>
                    <w:rPr>
                      <w:rFonts w:ascii="Times New Roman"/>
                      <w:color w:val="auto"/>
                      <w:szCs w:val="21"/>
                    </w:rPr>
                  </w:pPr>
                  <w:r>
                    <w:rPr>
                      <w:rFonts w:ascii="Times New Roman"/>
                      <w:color w:val="auto"/>
                      <w:szCs w:val="21"/>
                    </w:rPr>
                    <w:t>集气罩+二级活性炭吸附+15米排气筒（DA002）</w:t>
                  </w:r>
                </w:p>
              </w:tc>
              <w:tc>
                <w:tcPr>
                  <w:tcW w:w="563" w:type="pct"/>
                  <w:vMerge w:val="restart"/>
                  <w:vAlign w:val="center"/>
                </w:tcPr>
                <w:p w14:paraId="1191EEA4">
                  <w:pPr>
                    <w:pStyle w:val="37"/>
                    <w:overflowPunct w:val="0"/>
                    <w:autoSpaceDE w:val="0"/>
                    <w:autoSpaceDN w:val="0"/>
                    <w:spacing w:before="24" w:after="24"/>
                    <w:rPr>
                      <w:rFonts w:ascii="Times New Roman"/>
                      <w:color w:val="auto"/>
                      <w:szCs w:val="21"/>
                    </w:rPr>
                  </w:pPr>
                  <w:r>
                    <w:rPr>
                      <w:rFonts w:ascii="Times New Roman"/>
                      <w:color w:val="auto"/>
                      <w:szCs w:val="21"/>
                    </w:rPr>
                    <w:t>新建</w:t>
                  </w:r>
                </w:p>
              </w:tc>
            </w:tr>
            <w:tr w14:paraId="79ACB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1A1757A4">
                  <w:pPr>
                    <w:pStyle w:val="37"/>
                    <w:overflowPunct w:val="0"/>
                    <w:autoSpaceDE w:val="0"/>
                    <w:autoSpaceDN w:val="0"/>
                    <w:spacing w:before="24" w:after="24"/>
                    <w:rPr>
                      <w:rFonts w:ascii="Times New Roman"/>
                      <w:color w:val="auto"/>
                      <w:szCs w:val="21"/>
                    </w:rPr>
                  </w:pPr>
                </w:p>
              </w:tc>
              <w:tc>
                <w:tcPr>
                  <w:tcW w:w="428" w:type="pct"/>
                  <w:vMerge w:val="continue"/>
                  <w:vAlign w:val="center"/>
                </w:tcPr>
                <w:p w14:paraId="0C89EA26">
                  <w:pPr>
                    <w:pStyle w:val="37"/>
                    <w:overflowPunct w:val="0"/>
                    <w:autoSpaceDE w:val="0"/>
                    <w:autoSpaceDN w:val="0"/>
                    <w:spacing w:before="24" w:after="24"/>
                    <w:rPr>
                      <w:rFonts w:ascii="Times New Roman"/>
                      <w:color w:val="auto"/>
                      <w:szCs w:val="21"/>
                    </w:rPr>
                  </w:pPr>
                </w:p>
              </w:tc>
              <w:tc>
                <w:tcPr>
                  <w:tcW w:w="406" w:type="pct"/>
                  <w:vMerge w:val="continue"/>
                  <w:vAlign w:val="center"/>
                </w:tcPr>
                <w:p w14:paraId="21E876CB">
                  <w:pPr>
                    <w:jc w:val="center"/>
                    <w:rPr>
                      <w:color w:val="auto"/>
                      <w:szCs w:val="21"/>
                    </w:rPr>
                  </w:pPr>
                </w:p>
              </w:tc>
              <w:tc>
                <w:tcPr>
                  <w:tcW w:w="880" w:type="pct"/>
                  <w:vAlign w:val="center"/>
                </w:tcPr>
                <w:p w14:paraId="6E220C0E">
                  <w:pPr>
                    <w:jc w:val="center"/>
                    <w:rPr>
                      <w:color w:val="auto"/>
                      <w:szCs w:val="21"/>
                    </w:rPr>
                  </w:pPr>
                  <w:r>
                    <w:rPr>
                      <w:rFonts w:hint="eastAsia"/>
                      <w:color w:val="auto"/>
                      <w:szCs w:val="21"/>
                    </w:rPr>
                    <w:t>切割废气</w:t>
                  </w:r>
                </w:p>
              </w:tc>
              <w:tc>
                <w:tcPr>
                  <w:tcW w:w="2399" w:type="pct"/>
                  <w:vMerge w:val="continue"/>
                  <w:vAlign w:val="center"/>
                </w:tcPr>
                <w:p w14:paraId="2B356BC6">
                  <w:pPr>
                    <w:pStyle w:val="37"/>
                    <w:overflowPunct w:val="0"/>
                    <w:autoSpaceDE w:val="0"/>
                    <w:autoSpaceDN w:val="0"/>
                    <w:spacing w:before="24" w:after="24"/>
                    <w:rPr>
                      <w:rFonts w:ascii="Times New Roman"/>
                      <w:color w:val="auto"/>
                      <w:szCs w:val="21"/>
                    </w:rPr>
                  </w:pPr>
                </w:p>
              </w:tc>
              <w:tc>
                <w:tcPr>
                  <w:tcW w:w="563" w:type="pct"/>
                  <w:vMerge w:val="continue"/>
                  <w:vAlign w:val="center"/>
                </w:tcPr>
                <w:p w14:paraId="3B7459FB">
                  <w:pPr>
                    <w:pStyle w:val="37"/>
                    <w:overflowPunct w:val="0"/>
                    <w:autoSpaceDE w:val="0"/>
                    <w:autoSpaceDN w:val="0"/>
                    <w:spacing w:before="24" w:after="24"/>
                    <w:rPr>
                      <w:rFonts w:ascii="Times New Roman"/>
                      <w:color w:val="auto"/>
                      <w:szCs w:val="21"/>
                    </w:rPr>
                  </w:pPr>
                </w:p>
              </w:tc>
            </w:tr>
            <w:tr w14:paraId="05873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72FC8C4B">
                  <w:pPr>
                    <w:pStyle w:val="37"/>
                    <w:overflowPunct w:val="0"/>
                    <w:autoSpaceDE w:val="0"/>
                    <w:autoSpaceDN w:val="0"/>
                    <w:spacing w:before="24" w:after="24"/>
                    <w:rPr>
                      <w:rFonts w:ascii="Times New Roman"/>
                      <w:color w:val="auto"/>
                      <w:szCs w:val="21"/>
                    </w:rPr>
                  </w:pPr>
                </w:p>
              </w:tc>
              <w:tc>
                <w:tcPr>
                  <w:tcW w:w="428" w:type="pct"/>
                  <w:vMerge w:val="continue"/>
                  <w:vAlign w:val="center"/>
                </w:tcPr>
                <w:p w14:paraId="5D9EFE53">
                  <w:pPr>
                    <w:pStyle w:val="37"/>
                    <w:overflowPunct w:val="0"/>
                    <w:autoSpaceDE w:val="0"/>
                    <w:autoSpaceDN w:val="0"/>
                    <w:spacing w:before="24" w:after="24"/>
                    <w:rPr>
                      <w:rFonts w:ascii="Times New Roman"/>
                      <w:color w:val="auto"/>
                      <w:szCs w:val="21"/>
                    </w:rPr>
                  </w:pPr>
                </w:p>
              </w:tc>
              <w:tc>
                <w:tcPr>
                  <w:tcW w:w="406" w:type="pct"/>
                  <w:vMerge w:val="continue"/>
                  <w:vAlign w:val="center"/>
                </w:tcPr>
                <w:p w14:paraId="378F9157">
                  <w:pPr>
                    <w:jc w:val="center"/>
                    <w:rPr>
                      <w:color w:val="auto"/>
                      <w:szCs w:val="21"/>
                    </w:rPr>
                  </w:pPr>
                </w:p>
              </w:tc>
              <w:tc>
                <w:tcPr>
                  <w:tcW w:w="880" w:type="pct"/>
                  <w:vAlign w:val="center"/>
                </w:tcPr>
                <w:p w14:paraId="19C7929F">
                  <w:pPr>
                    <w:jc w:val="center"/>
                    <w:rPr>
                      <w:color w:val="auto"/>
                      <w:szCs w:val="21"/>
                    </w:rPr>
                  </w:pPr>
                  <w:r>
                    <w:rPr>
                      <w:color w:val="auto"/>
                      <w:szCs w:val="21"/>
                    </w:rPr>
                    <w:t>胶粘废气</w:t>
                  </w:r>
                </w:p>
              </w:tc>
              <w:tc>
                <w:tcPr>
                  <w:tcW w:w="2399" w:type="pct"/>
                  <w:vAlign w:val="center"/>
                </w:tcPr>
                <w:p w14:paraId="18509357">
                  <w:pPr>
                    <w:pStyle w:val="37"/>
                    <w:overflowPunct w:val="0"/>
                    <w:autoSpaceDE w:val="0"/>
                    <w:autoSpaceDN w:val="0"/>
                    <w:spacing w:before="24" w:after="24"/>
                    <w:rPr>
                      <w:rFonts w:ascii="Times New Roman"/>
                      <w:color w:val="auto"/>
                      <w:szCs w:val="21"/>
                    </w:rPr>
                  </w:pPr>
                  <w:r>
                    <w:rPr>
                      <w:rFonts w:ascii="Times New Roman"/>
                      <w:color w:val="auto"/>
                      <w:szCs w:val="21"/>
                    </w:rPr>
                    <w:t>车间无组织排放</w:t>
                  </w:r>
                </w:p>
              </w:tc>
              <w:tc>
                <w:tcPr>
                  <w:tcW w:w="563" w:type="pct"/>
                  <w:vAlign w:val="center"/>
                </w:tcPr>
                <w:p w14:paraId="66311F35">
                  <w:pPr>
                    <w:pStyle w:val="37"/>
                    <w:overflowPunct w:val="0"/>
                    <w:autoSpaceDE w:val="0"/>
                    <w:autoSpaceDN w:val="0"/>
                    <w:spacing w:before="24" w:after="24"/>
                    <w:rPr>
                      <w:rFonts w:ascii="Times New Roman"/>
                      <w:color w:val="auto"/>
                      <w:szCs w:val="21"/>
                    </w:rPr>
                  </w:pPr>
                  <w:r>
                    <w:rPr>
                      <w:rFonts w:ascii="Times New Roman"/>
                      <w:color w:val="auto"/>
                      <w:szCs w:val="21"/>
                    </w:rPr>
                    <w:t>新建</w:t>
                  </w:r>
                </w:p>
              </w:tc>
            </w:tr>
            <w:tr w14:paraId="101AD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2ED77F78">
                  <w:pPr>
                    <w:pStyle w:val="37"/>
                    <w:overflowPunct w:val="0"/>
                    <w:autoSpaceDE w:val="0"/>
                    <w:autoSpaceDN w:val="0"/>
                    <w:spacing w:before="24" w:after="24"/>
                    <w:rPr>
                      <w:rFonts w:ascii="Times New Roman"/>
                      <w:color w:val="auto"/>
                      <w:szCs w:val="21"/>
                    </w:rPr>
                  </w:pPr>
                </w:p>
              </w:tc>
              <w:tc>
                <w:tcPr>
                  <w:tcW w:w="428" w:type="pct"/>
                  <w:vMerge w:val="continue"/>
                  <w:vAlign w:val="center"/>
                </w:tcPr>
                <w:p w14:paraId="1C41FAD5">
                  <w:pPr>
                    <w:pStyle w:val="37"/>
                    <w:overflowPunct w:val="0"/>
                    <w:autoSpaceDE w:val="0"/>
                    <w:autoSpaceDN w:val="0"/>
                    <w:spacing w:before="24" w:after="24"/>
                    <w:rPr>
                      <w:rFonts w:ascii="Times New Roman"/>
                      <w:color w:val="auto"/>
                      <w:szCs w:val="21"/>
                    </w:rPr>
                  </w:pPr>
                </w:p>
              </w:tc>
              <w:tc>
                <w:tcPr>
                  <w:tcW w:w="406" w:type="pct"/>
                  <w:vMerge w:val="continue"/>
                  <w:vAlign w:val="center"/>
                </w:tcPr>
                <w:p w14:paraId="2A4087DC">
                  <w:pPr>
                    <w:jc w:val="center"/>
                    <w:rPr>
                      <w:color w:val="auto"/>
                      <w:szCs w:val="21"/>
                    </w:rPr>
                  </w:pPr>
                </w:p>
              </w:tc>
              <w:tc>
                <w:tcPr>
                  <w:tcW w:w="880" w:type="pct"/>
                  <w:vAlign w:val="center"/>
                </w:tcPr>
                <w:p w14:paraId="08A8CB88">
                  <w:pPr>
                    <w:jc w:val="center"/>
                    <w:rPr>
                      <w:color w:val="auto"/>
                      <w:szCs w:val="21"/>
                    </w:rPr>
                  </w:pPr>
                  <w:r>
                    <w:rPr>
                      <w:color w:val="auto"/>
                      <w:szCs w:val="21"/>
                    </w:rPr>
                    <w:t>熔炼废气</w:t>
                  </w:r>
                </w:p>
              </w:tc>
              <w:tc>
                <w:tcPr>
                  <w:tcW w:w="2399" w:type="pct"/>
                  <w:vMerge w:val="restart"/>
                  <w:vAlign w:val="center"/>
                </w:tcPr>
                <w:p w14:paraId="4E94D442">
                  <w:pPr>
                    <w:pStyle w:val="37"/>
                    <w:overflowPunct w:val="0"/>
                    <w:autoSpaceDE w:val="0"/>
                    <w:autoSpaceDN w:val="0"/>
                    <w:spacing w:before="24" w:after="24"/>
                    <w:rPr>
                      <w:rFonts w:ascii="Times New Roman"/>
                      <w:color w:val="auto"/>
                      <w:szCs w:val="21"/>
                    </w:rPr>
                  </w:pPr>
                  <w:r>
                    <w:rPr>
                      <w:rFonts w:ascii="Times New Roman"/>
                      <w:color w:val="auto"/>
                      <w:szCs w:val="21"/>
                    </w:rPr>
                    <w:t>集气罩+</w:t>
                  </w:r>
                  <w:r>
                    <w:rPr>
                      <w:rFonts w:hint="eastAsia" w:ascii="Times New Roman"/>
                      <w:color w:val="auto"/>
                      <w:szCs w:val="21"/>
                    </w:rPr>
                    <w:t>高温</w:t>
                  </w:r>
                  <w:r>
                    <w:rPr>
                      <w:rFonts w:ascii="Times New Roman"/>
                      <w:color w:val="auto"/>
                      <w:szCs w:val="21"/>
                    </w:rPr>
                    <w:t>布袋除尘器+二级活性炭吸附+15米高排气筒（DA003）</w:t>
                  </w:r>
                </w:p>
              </w:tc>
              <w:tc>
                <w:tcPr>
                  <w:tcW w:w="563" w:type="pct"/>
                  <w:vMerge w:val="restart"/>
                  <w:vAlign w:val="center"/>
                </w:tcPr>
                <w:p w14:paraId="3E9FB621">
                  <w:pPr>
                    <w:pStyle w:val="37"/>
                    <w:overflowPunct w:val="0"/>
                    <w:autoSpaceDE w:val="0"/>
                    <w:autoSpaceDN w:val="0"/>
                    <w:spacing w:before="24" w:after="24"/>
                    <w:rPr>
                      <w:rFonts w:ascii="Times New Roman"/>
                      <w:color w:val="auto"/>
                      <w:szCs w:val="21"/>
                    </w:rPr>
                  </w:pPr>
                  <w:r>
                    <w:rPr>
                      <w:rFonts w:ascii="Times New Roman"/>
                      <w:color w:val="auto"/>
                      <w:szCs w:val="21"/>
                    </w:rPr>
                    <w:t>新建</w:t>
                  </w:r>
                </w:p>
              </w:tc>
            </w:tr>
            <w:tr w14:paraId="7418F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70618007">
                  <w:pPr>
                    <w:pStyle w:val="37"/>
                    <w:overflowPunct w:val="0"/>
                    <w:autoSpaceDE w:val="0"/>
                    <w:autoSpaceDN w:val="0"/>
                    <w:spacing w:before="24" w:after="24"/>
                    <w:rPr>
                      <w:rFonts w:ascii="Times New Roman"/>
                      <w:color w:val="auto"/>
                      <w:szCs w:val="21"/>
                    </w:rPr>
                  </w:pPr>
                </w:p>
              </w:tc>
              <w:tc>
                <w:tcPr>
                  <w:tcW w:w="428" w:type="pct"/>
                  <w:vMerge w:val="continue"/>
                  <w:vAlign w:val="center"/>
                </w:tcPr>
                <w:p w14:paraId="67796D0C">
                  <w:pPr>
                    <w:pStyle w:val="37"/>
                    <w:overflowPunct w:val="0"/>
                    <w:autoSpaceDE w:val="0"/>
                    <w:autoSpaceDN w:val="0"/>
                    <w:spacing w:before="24" w:after="24"/>
                    <w:rPr>
                      <w:rFonts w:ascii="Times New Roman"/>
                      <w:color w:val="auto"/>
                      <w:szCs w:val="21"/>
                    </w:rPr>
                  </w:pPr>
                </w:p>
              </w:tc>
              <w:tc>
                <w:tcPr>
                  <w:tcW w:w="406" w:type="pct"/>
                  <w:vMerge w:val="continue"/>
                  <w:vAlign w:val="center"/>
                </w:tcPr>
                <w:p w14:paraId="385963C4">
                  <w:pPr>
                    <w:jc w:val="center"/>
                    <w:rPr>
                      <w:color w:val="auto"/>
                      <w:szCs w:val="21"/>
                    </w:rPr>
                  </w:pPr>
                </w:p>
              </w:tc>
              <w:tc>
                <w:tcPr>
                  <w:tcW w:w="880" w:type="pct"/>
                  <w:vAlign w:val="center"/>
                </w:tcPr>
                <w:p w14:paraId="58551A16">
                  <w:pPr>
                    <w:jc w:val="center"/>
                    <w:rPr>
                      <w:color w:val="auto"/>
                      <w:szCs w:val="21"/>
                    </w:rPr>
                  </w:pPr>
                  <w:r>
                    <w:rPr>
                      <w:color w:val="auto"/>
                      <w:szCs w:val="21"/>
                    </w:rPr>
                    <w:t>浇注废气</w:t>
                  </w:r>
                </w:p>
              </w:tc>
              <w:tc>
                <w:tcPr>
                  <w:tcW w:w="2399" w:type="pct"/>
                  <w:vMerge w:val="continue"/>
                  <w:vAlign w:val="center"/>
                </w:tcPr>
                <w:p w14:paraId="53D6AD8F">
                  <w:pPr>
                    <w:pStyle w:val="37"/>
                    <w:overflowPunct w:val="0"/>
                    <w:autoSpaceDE w:val="0"/>
                    <w:autoSpaceDN w:val="0"/>
                    <w:spacing w:before="24" w:after="24"/>
                    <w:rPr>
                      <w:rFonts w:ascii="Times New Roman"/>
                      <w:color w:val="auto"/>
                      <w:szCs w:val="21"/>
                    </w:rPr>
                  </w:pPr>
                </w:p>
              </w:tc>
              <w:tc>
                <w:tcPr>
                  <w:tcW w:w="563" w:type="pct"/>
                  <w:vMerge w:val="continue"/>
                  <w:vAlign w:val="center"/>
                </w:tcPr>
                <w:p w14:paraId="6DCD328B">
                  <w:pPr>
                    <w:pStyle w:val="37"/>
                    <w:overflowPunct w:val="0"/>
                    <w:autoSpaceDE w:val="0"/>
                    <w:autoSpaceDN w:val="0"/>
                    <w:spacing w:before="24" w:after="24"/>
                    <w:rPr>
                      <w:rFonts w:ascii="Times New Roman"/>
                      <w:color w:val="auto"/>
                      <w:szCs w:val="21"/>
                    </w:rPr>
                  </w:pPr>
                </w:p>
              </w:tc>
            </w:tr>
            <w:tr w14:paraId="440D6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7CFE75A2">
                  <w:pPr>
                    <w:pStyle w:val="37"/>
                    <w:overflowPunct w:val="0"/>
                    <w:autoSpaceDE w:val="0"/>
                    <w:autoSpaceDN w:val="0"/>
                    <w:spacing w:before="24" w:after="24"/>
                    <w:rPr>
                      <w:rFonts w:ascii="Times New Roman"/>
                      <w:color w:val="auto"/>
                      <w:szCs w:val="21"/>
                    </w:rPr>
                  </w:pPr>
                </w:p>
              </w:tc>
              <w:tc>
                <w:tcPr>
                  <w:tcW w:w="428" w:type="pct"/>
                  <w:vMerge w:val="continue"/>
                  <w:vAlign w:val="center"/>
                </w:tcPr>
                <w:p w14:paraId="48F3CF8C">
                  <w:pPr>
                    <w:pStyle w:val="37"/>
                    <w:overflowPunct w:val="0"/>
                    <w:autoSpaceDE w:val="0"/>
                    <w:autoSpaceDN w:val="0"/>
                    <w:spacing w:before="24" w:after="24"/>
                    <w:rPr>
                      <w:rFonts w:ascii="Times New Roman"/>
                      <w:color w:val="auto"/>
                      <w:szCs w:val="21"/>
                    </w:rPr>
                  </w:pPr>
                </w:p>
              </w:tc>
              <w:tc>
                <w:tcPr>
                  <w:tcW w:w="406" w:type="pct"/>
                  <w:vMerge w:val="continue"/>
                  <w:vAlign w:val="center"/>
                </w:tcPr>
                <w:p w14:paraId="4C6E05E6">
                  <w:pPr>
                    <w:jc w:val="center"/>
                    <w:rPr>
                      <w:color w:val="auto"/>
                      <w:szCs w:val="21"/>
                    </w:rPr>
                  </w:pPr>
                </w:p>
              </w:tc>
              <w:tc>
                <w:tcPr>
                  <w:tcW w:w="880" w:type="pct"/>
                  <w:vAlign w:val="center"/>
                </w:tcPr>
                <w:p w14:paraId="33E532CE">
                  <w:pPr>
                    <w:jc w:val="center"/>
                    <w:rPr>
                      <w:color w:val="auto"/>
                      <w:szCs w:val="21"/>
                    </w:rPr>
                  </w:pPr>
                  <w:r>
                    <w:rPr>
                      <w:rFonts w:hint="eastAsia"/>
                      <w:color w:val="auto"/>
                      <w:szCs w:val="21"/>
                    </w:rPr>
                    <w:t>落砂废气</w:t>
                  </w:r>
                </w:p>
              </w:tc>
              <w:tc>
                <w:tcPr>
                  <w:tcW w:w="2399" w:type="pct"/>
                  <w:vAlign w:val="center"/>
                </w:tcPr>
                <w:p w14:paraId="7ADAD20A">
                  <w:pPr>
                    <w:pStyle w:val="37"/>
                    <w:overflowPunct w:val="0"/>
                    <w:autoSpaceDE w:val="0"/>
                    <w:autoSpaceDN w:val="0"/>
                    <w:spacing w:before="24" w:after="24"/>
                    <w:rPr>
                      <w:rFonts w:ascii="Times New Roman"/>
                      <w:color w:val="auto"/>
                    </w:rPr>
                  </w:pPr>
                  <w:r>
                    <w:rPr>
                      <w:rFonts w:ascii="Times New Roman"/>
                      <w:color w:val="auto"/>
                      <w:szCs w:val="21"/>
                    </w:rPr>
                    <w:t>集气罩+布袋除尘器+15米排气筒（DA003）</w:t>
                  </w:r>
                </w:p>
              </w:tc>
              <w:tc>
                <w:tcPr>
                  <w:tcW w:w="563" w:type="pct"/>
                  <w:vAlign w:val="center"/>
                </w:tcPr>
                <w:p w14:paraId="37B8B53B">
                  <w:pPr>
                    <w:pStyle w:val="37"/>
                    <w:overflowPunct w:val="0"/>
                    <w:autoSpaceDE w:val="0"/>
                    <w:autoSpaceDN w:val="0"/>
                    <w:spacing w:before="24" w:after="24"/>
                    <w:rPr>
                      <w:rFonts w:ascii="Times New Roman"/>
                      <w:color w:val="auto"/>
                      <w:szCs w:val="21"/>
                    </w:rPr>
                  </w:pPr>
                  <w:r>
                    <w:rPr>
                      <w:rFonts w:ascii="Times New Roman"/>
                      <w:color w:val="auto"/>
                      <w:szCs w:val="21"/>
                    </w:rPr>
                    <w:t>新建</w:t>
                  </w:r>
                </w:p>
              </w:tc>
            </w:tr>
            <w:tr w14:paraId="4D296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51F443F7">
                  <w:pPr>
                    <w:pStyle w:val="37"/>
                    <w:overflowPunct w:val="0"/>
                    <w:autoSpaceDE w:val="0"/>
                    <w:autoSpaceDN w:val="0"/>
                    <w:spacing w:before="24" w:after="24"/>
                    <w:rPr>
                      <w:rFonts w:ascii="Times New Roman"/>
                      <w:color w:val="auto"/>
                      <w:szCs w:val="21"/>
                    </w:rPr>
                  </w:pPr>
                </w:p>
              </w:tc>
              <w:tc>
                <w:tcPr>
                  <w:tcW w:w="428" w:type="pct"/>
                  <w:vMerge w:val="continue"/>
                  <w:vAlign w:val="center"/>
                </w:tcPr>
                <w:p w14:paraId="22E03505">
                  <w:pPr>
                    <w:pStyle w:val="37"/>
                    <w:overflowPunct w:val="0"/>
                    <w:autoSpaceDE w:val="0"/>
                    <w:autoSpaceDN w:val="0"/>
                    <w:spacing w:before="24" w:after="24"/>
                    <w:rPr>
                      <w:rFonts w:ascii="Times New Roman"/>
                      <w:color w:val="auto"/>
                      <w:szCs w:val="21"/>
                    </w:rPr>
                  </w:pPr>
                </w:p>
              </w:tc>
              <w:tc>
                <w:tcPr>
                  <w:tcW w:w="406" w:type="pct"/>
                  <w:vMerge w:val="continue"/>
                  <w:vAlign w:val="center"/>
                </w:tcPr>
                <w:p w14:paraId="0E5ED5F0">
                  <w:pPr>
                    <w:jc w:val="center"/>
                    <w:rPr>
                      <w:color w:val="auto"/>
                      <w:szCs w:val="21"/>
                    </w:rPr>
                  </w:pPr>
                </w:p>
              </w:tc>
              <w:tc>
                <w:tcPr>
                  <w:tcW w:w="880" w:type="pct"/>
                  <w:vAlign w:val="center"/>
                </w:tcPr>
                <w:p w14:paraId="674218D9">
                  <w:pPr>
                    <w:jc w:val="center"/>
                    <w:rPr>
                      <w:color w:val="auto"/>
                      <w:szCs w:val="21"/>
                    </w:rPr>
                  </w:pPr>
                  <w:r>
                    <w:rPr>
                      <w:color w:val="auto"/>
                      <w:szCs w:val="21"/>
                    </w:rPr>
                    <w:t>砂处理废气</w:t>
                  </w:r>
                </w:p>
              </w:tc>
              <w:tc>
                <w:tcPr>
                  <w:tcW w:w="2399" w:type="pct"/>
                  <w:vAlign w:val="center"/>
                </w:tcPr>
                <w:p w14:paraId="6DC033AA">
                  <w:pPr>
                    <w:pStyle w:val="37"/>
                    <w:overflowPunct w:val="0"/>
                    <w:autoSpaceDE w:val="0"/>
                    <w:autoSpaceDN w:val="0"/>
                    <w:spacing w:before="24" w:after="24"/>
                    <w:rPr>
                      <w:rFonts w:ascii="Times New Roman"/>
                      <w:color w:val="auto"/>
                    </w:rPr>
                  </w:pPr>
                  <w:r>
                    <w:rPr>
                      <w:rFonts w:ascii="Times New Roman"/>
                      <w:color w:val="auto"/>
                      <w:szCs w:val="21"/>
                    </w:rPr>
                    <w:t>集气罩+布袋除尘器+15米排气筒（DA003）</w:t>
                  </w:r>
                </w:p>
              </w:tc>
              <w:tc>
                <w:tcPr>
                  <w:tcW w:w="563" w:type="pct"/>
                  <w:vAlign w:val="center"/>
                </w:tcPr>
                <w:p w14:paraId="018B041C">
                  <w:pPr>
                    <w:pStyle w:val="37"/>
                    <w:overflowPunct w:val="0"/>
                    <w:autoSpaceDE w:val="0"/>
                    <w:autoSpaceDN w:val="0"/>
                    <w:spacing w:before="24" w:after="24"/>
                    <w:rPr>
                      <w:rFonts w:ascii="Times New Roman"/>
                      <w:color w:val="auto"/>
                      <w:szCs w:val="21"/>
                    </w:rPr>
                  </w:pPr>
                  <w:r>
                    <w:rPr>
                      <w:rFonts w:ascii="Times New Roman"/>
                      <w:color w:val="auto"/>
                      <w:szCs w:val="21"/>
                    </w:rPr>
                    <w:t>新建</w:t>
                  </w:r>
                </w:p>
              </w:tc>
            </w:tr>
            <w:tr w14:paraId="5E374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trPr>
              <w:tc>
                <w:tcPr>
                  <w:tcW w:w="322" w:type="pct"/>
                  <w:vMerge w:val="continue"/>
                  <w:vAlign w:val="center"/>
                </w:tcPr>
                <w:p w14:paraId="48C82B4D">
                  <w:pPr>
                    <w:pStyle w:val="37"/>
                    <w:overflowPunct w:val="0"/>
                    <w:autoSpaceDE w:val="0"/>
                    <w:autoSpaceDN w:val="0"/>
                    <w:spacing w:before="24" w:after="24"/>
                    <w:rPr>
                      <w:rFonts w:ascii="Times New Roman"/>
                      <w:color w:val="auto"/>
                      <w:szCs w:val="21"/>
                    </w:rPr>
                  </w:pPr>
                </w:p>
              </w:tc>
              <w:tc>
                <w:tcPr>
                  <w:tcW w:w="428" w:type="pct"/>
                  <w:vMerge w:val="continue"/>
                  <w:vAlign w:val="center"/>
                </w:tcPr>
                <w:p w14:paraId="42320E47">
                  <w:pPr>
                    <w:pStyle w:val="37"/>
                    <w:overflowPunct w:val="0"/>
                    <w:autoSpaceDE w:val="0"/>
                    <w:autoSpaceDN w:val="0"/>
                    <w:spacing w:before="24" w:after="24"/>
                    <w:rPr>
                      <w:rFonts w:ascii="Times New Roman"/>
                      <w:color w:val="auto"/>
                      <w:szCs w:val="21"/>
                    </w:rPr>
                  </w:pPr>
                </w:p>
              </w:tc>
              <w:tc>
                <w:tcPr>
                  <w:tcW w:w="406" w:type="pct"/>
                  <w:vMerge w:val="continue"/>
                  <w:vAlign w:val="center"/>
                </w:tcPr>
                <w:p w14:paraId="155A8373">
                  <w:pPr>
                    <w:jc w:val="center"/>
                    <w:rPr>
                      <w:color w:val="auto"/>
                      <w:szCs w:val="21"/>
                    </w:rPr>
                  </w:pPr>
                </w:p>
              </w:tc>
              <w:tc>
                <w:tcPr>
                  <w:tcW w:w="880" w:type="pct"/>
                  <w:vAlign w:val="center"/>
                </w:tcPr>
                <w:p w14:paraId="4C719B75">
                  <w:pPr>
                    <w:jc w:val="center"/>
                    <w:rPr>
                      <w:color w:val="auto"/>
                      <w:szCs w:val="21"/>
                    </w:rPr>
                  </w:pPr>
                  <w:r>
                    <w:rPr>
                      <w:rFonts w:hint="eastAsia"/>
                      <w:color w:val="auto"/>
                      <w:szCs w:val="21"/>
                    </w:rPr>
                    <w:t>去冒口粉尘</w:t>
                  </w:r>
                </w:p>
              </w:tc>
              <w:tc>
                <w:tcPr>
                  <w:tcW w:w="2399" w:type="pct"/>
                  <w:vAlign w:val="center"/>
                </w:tcPr>
                <w:p w14:paraId="3D65B8B0">
                  <w:pPr>
                    <w:pStyle w:val="37"/>
                    <w:overflowPunct w:val="0"/>
                    <w:autoSpaceDE w:val="0"/>
                    <w:autoSpaceDN w:val="0"/>
                    <w:spacing w:before="24" w:after="24"/>
                    <w:rPr>
                      <w:rFonts w:ascii="Times New Roman"/>
                      <w:color w:val="auto"/>
                      <w:szCs w:val="21"/>
                    </w:rPr>
                  </w:pPr>
                  <w:r>
                    <w:rPr>
                      <w:rFonts w:ascii="Times New Roman"/>
                      <w:color w:val="auto"/>
                      <w:szCs w:val="21"/>
                    </w:rPr>
                    <w:t>移动式除尘器、车间无组织排放</w:t>
                  </w:r>
                </w:p>
              </w:tc>
              <w:tc>
                <w:tcPr>
                  <w:tcW w:w="563" w:type="pct"/>
                  <w:vAlign w:val="center"/>
                </w:tcPr>
                <w:p w14:paraId="026B01F9">
                  <w:pPr>
                    <w:pStyle w:val="37"/>
                    <w:overflowPunct w:val="0"/>
                    <w:autoSpaceDE w:val="0"/>
                    <w:autoSpaceDN w:val="0"/>
                    <w:spacing w:before="24" w:after="24"/>
                    <w:rPr>
                      <w:rFonts w:ascii="Times New Roman"/>
                      <w:color w:val="auto"/>
                      <w:szCs w:val="21"/>
                    </w:rPr>
                  </w:pPr>
                  <w:r>
                    <w:rPr>
                      <w:rFonts w:ascii="Times New Roman"/>
                      <w:color w:val="auto"/>
                      <w:szCs w:val="21"/>
                    </w:rPr>
                    <w:t>新建</w:t>
                  </w:r>
                </w:p>
              </w:tc>
            </w:tr>
            <w:tr w14:paraId="2C2D8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trPr>
              <w:tc>
                <w:tcPr>
                  <w:tcW w:w="322" w:type="pct"/>
                  <w:vMerge w:val="continue"/>
                  <w:vAlign w:val="center"/>
                </w:tcPr>
                <w:p w14:paraId="0A752632">
                  <w:pPr>
                    <w:pStyle w:val="37"/>
                    <w:overflowPunct w:val="0"/>
                    <w:autoSpaceDE w:val="0"/>
                    <w:autoSpaceDN w:val="0"/>
                    <w:spacing w:before="24" w:after="24"/>
                    <w:rPr>
                      <w:rFonts w:ascii="Times New Roman"/>
                      <w:color w:val="auto"/>
                      <w:szCs w:val="21"/>
                    </w:rPr>
                  </w:pPr>
                </w:p>
              </w:tc>
              <w:tc>
                <w:tcPr>
                  <w:tcW w:w="428" w:type="pct"/>
                  <w:vMerge w:val="continue"/>
                  <w:vAlign w:val="center"/>
                </w:tcPr>
                <w:p w14:paraId="4B4708B5">
                  <w:pPr>
                    <w:pStyle w:val="37"/>
                    <w:overflowPunct w:val="0"/>
                    <w:autoSpaceDE w:val="0"/>
                    <w:autoSpaceDN w:val="0"/>
                    <w:spacing w:before="24" w:after="24"/>
                    <w:rPr>
                      <w:rFonts w:ascii="Times New Roman"/>
                      <w:color w:val="auto"/>
                      <w:szCs w:val="21"/>
                    </w:rPr>
                  </w:pPr>
                </w:p>
              </w:tc>
              <w:tc>
                <w:tcPr>
                  <w:tcW w:w="406" w:type="pct"/>
                  <w:vMerge w:val="continue"/>
                  <w:vAlign w:val="center"/>
                </w:tcPr>
                <w:p w14:paraId="7F25D899">
                  <w:pPr>
                    <w:jc w:val="center"/>
                    <w:rPr>
                      <w:color w:val="auto"/>
                      <w:szCs w:val="21"/>
                    </w:rPr>
                  </w:pPr>
                </w:p>
              </w:tc>
              <w:tc>
                <w:tcPr>
                  <w:tcW w:w="880" w:type="pct"/>
                  <w:vAlign w:val="center"/>
                </w:tcPr>
                <w:p w14:paraId="69F36568">
                  <w:pPr>
                    <w:jc w:val="center"/>
                    <w:rPr>
                      <w:color w:val="auto"/>
                      <w:szCs w:val="21"/>
                    </w:rPr>
                  </w:pPr>
                  <w:r>
                    <w:rPr>
                      <w:color w:val="auto"/>
                      <w:szCs w:val="21"/>
                    </w:rPr>
                    <w:t>打磨粉尘</w:t>
                  </w:r>
                </w:p>
              </w:tc>
              <w:tc>
                <w:tcPr>
                  <w:tcW w:w="2399" w:type="pct"/>
                  <w:vAlign w:val="center"/>
                </w:tcPr>
                <w:p w14:paraId="3986427D">
                  <w:pPr>
                    <w:pStyle w:val="37"/>
                    <w:overflowPunct w:val="0"/>
                    <w:autoSpaceDE w:val="0"/>
                    <w:autoSpaceDN w:val="0"/>
                    <w:spacing w:before="24" w:after="24"/>
                    <w:rPr>
                      <w:rFonts w:ascii="Times New Roman"/>
                      <w:color w:val="auto"/>
                      <w:szCs w:val="21"/>
                    </w:rPr>
                  </w:pPr>
                  <w:r>
                    <w:rPr>
                      <w:rFonts w:ascii="Times New Roman"/>
                      <w:color w:val="auto"/>
                      <w:szCs w:val="21"/>
                    </w:rPr>
                    <w:t>移动式除尘器、车间无组织排放</w:t>
                  </w:r>
                </w:p>
              </w:tc>
              <w:tc>
                <w:tcPr>
                  <w:tcW w:w="563" w:type="pct"/>
                  <w:vAlign w:val="center"/>
                </w:tcPr>
                <w:p w14:paraId="6EB18AFA">
                  <w:pPr>
                    <w:pStyle w:val="37"/>
                    <w:overflowPunct w:val="0"/>
                    <w:autoSpaceDE w:val="0"/>
                    <w:autoSpaceDN w:val="0"/>
                    <w:spacing w:before="24" w:after="24"/>
                    <w:rPr>
                      <w:rFonts w:ascii="Times New Roman"/>
                      <w:color w:val="auto"/>
                      <w:szCs w:val="21"/>
                    </w:rPr>
                  </w:pPr>
                  <w:r>
                    <w:rPr>
                      <w:rFonts w:hint="eastAsia" w:ascii="Times New Roman"/>
                      <w:color w:val="auto"/>
                      <w:szCs w:val="21"/>
                    </w:rPr>
                    <w:t>新建</w:t>
                  </w:r>
                </w:p>
              </w:tc>
            </w:tr>
            <w:tr w14:paraId="54C64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trPr>
              <w:tc>
                <w:tcPr>
                  <w:tcW w:w="322" w:type="pct"/>
                  <w:vMerge w:val="continue"/>
                  <w:vAlign w:val="center"/>
                </w:tcPr>
                <w:p w14:paraId="6912B26E">
                  <w:pPr>
                    <w:pStyle w:val="37"/>
                    <w:overflowPunct w:val="0"/>
                    <w:autoSpaceDE w:val="0"/>
                    <w:autoSpaceDN w:val="0"/>
                    <w:spacing w:before="24" w:after="24"/>
                    <w:rPr>
                      <w:rFonts w:ascii="Times New Roman"/>
                      <w:color w:val="auto"/>
                      <w:szCs w:val="21"/>
                    </w:rPr>
                  </w:pPr>
                </w:p>
              </w:tc>
              <w:tc>
                <w:tcPr>
                  <w:tcW w:w="428" w:type="pct"/>
                  <w:vMerge w:val="continue"/>
                  <w:vAlign w:val="center"/>
                </w:tcPr>
                <w:p w14:paraId="0D540C2B">
                  <w:pPr>
                    <w:pStyle w:val="37"/>
                    <w:overflowPunct w:val="0"/>
                    <w:autoSpaceDE w:val="0"/>
                    <w:autoSpaceDN w:val="0"/>
                    <w:spacing w:before="24" w:after="24"/>
                    <w:rPr>
                      <w:rFonts w:ascii="Times New Roman"/>
                      <w:color w:val="auto"/>
                      <w:szCs w:val="21"/>
                    </w:rPr>
                  </w:pPr>
                </w:p>
              </w:tc>
              <w:tc>
                <w:tcPr>
                  <w:tcW w:w="406" w:type="pct"/>
                  <w:vMerge w:val="continue"/>
                  <w:vAlign w:val="center"/>
                </w:tcPr>
                <w:p w14:paraId="6C6377CE">
                  <w:pPr>
                    <w:jc w:val="center"/>
                    <w:rPr>
                      <w:color w:val="auto"/>
                      <w:szCs w:val="21"/>
                    </w:rPr>
                  </w:pPr>
                </w:p>
              </w:tc>
              <w:tc>
                <w:tcPr>
                  <w:tcW w:w="880" w:type="pct"/>
                  <w:vAlign w:val="center"/>
                </w:tcPr>
                <w:p w14:paraId="3EF7FDCA">
                  <w:pPr>
                    <w:jc w:val="center"/>
                    <w:rPr>
                      <w:color w:val="auto"/>
                      <w:szCs w:val="21"/>
                    </w:rPr>
                  </w:pPr>
                  <w:r>
                    <w:rPr>
                      <w:color w:val="auto"/>
                      <w:szCs w:val="21"/>
                    </w:rPr>
                    <w:t>抛</w:t>
                  </w:r>
                  <w:r>
                    <w:rPr>
                      <w:rFonts w:hint="eastAsia"/>
                      <w:color w:val="auto"/>
                      <w:szCs w:val="21"/>
                    </w:rPr>
                    <w:t>丸</w:t>
                  </w:r>
                  <w:r>
                    <w:rPr>
                      <w:color w:val="auto"/>
                      <w:szCs w:val="21"/>
                    </w:rPr>
                    <w:t>粉尘</w:t>
                  </w:r>
                </w:p>
              </w:tc>
              <w:tc>
                <w:tcPr>
                  <w:tcW w:w="2399" w:type="pct"/>
                  <w:vAlign w:val="center"/>
                </w:tcPr>
                <w:p w14:paraId="4AD01436">
                  <w:pPr>
                    <w:pStyle w:val="37"/>
                    <w:overflowPunct w:val="0"/>
                    <w:autoSpaceDE w:val="0"/>
                    <w:autoSpaceDN w:val="0"/>
                    <w:spacing w:before="24" w:after="24"/>
                    <w:rPr>
                      <w:rFonts w:ascii="Times New Roman"/>
                      <w:color w:val="auto"/>
                      <w:szCs w:val="21"/>
                    </w:rPr>
                  </w:pPr>
                  <w:r>
                    <w:rPr>
                      <w:rFonts w:ascii="Times New Roman"/>
                      <w:color w:val="auto"/>
                      <w:szCs w:val="21"/>
                    </w:rPr>
                    <w:t>自带布袋除尘器收集+15米排气筒（DA003）</w:t>
                  </w:r>
                </w:p>
              </w:tc>
              <w:tc>
                <w:tcPr>
                  <w:tcW w:w="563" w:type="pct"/>
                  <w:vAlign w:val="center"/>
                </w:tcPr>
                <w:p w14:paraId="2BA42FB0">
                  <w:pPr>
                    <w:pStyle w:val="37"/>
                    <w:overflowPunct w:val="0"/>
                    <w:autoSpaceDE w:val="0"/>
                    <w:autoSpaceDN w:val="0"/>
                    <w:spacing w:before="24" w:after="24"/>
                    <w:rPr>
                      <w:rFonts w:ascii="Times New Roman"/>
                      <w:color w:val="auto"/>
                      <w:szCs w:val="21"/>
                    </w:rPr>
                  </w:pPr>
                  <w:r>
                    <w:rPr>
                      <w:rFonts w:hint="eastAsia" w:ascii="Times New Roman"/>
                      <w:color w:val="auto"/>
                      <w:szCs w:val="21"/>
                    </w:rPr>
                    <w:t>新建</w:t>
                  </w:r>
                </w:p>
              </w:tc>
            </w:tr>
            <w:tr w14:paraId="5A26F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trPr>
              <w:tc>
                <w:tcPr>
                  <w:tcW w:w="322" w:type="pct"/>
                  <w:vMerge w:val="continue"/>
                  <w:vAlign w:val="center"/>
                </w:tcPr>
                <w:p w14:paraId="55570D28">
                  <w:pPr>
                    <w:pStyle w:val="37"/>
                    <w:overflowPunct w:val="0"/>
                    <w:autoSpaceDE w:val="0"/>
                    <w:autoSpaceDN w:val="0"/>
                    <w:spacing w:before="24" w:after="24"/>
                    <w:rPr>
                      <w:rFonts w:ascii="Times New Roman"/>
                      <w:color w:val="auto"/>
                      <w:szCs w:val="21"/>
                    </w:rPr>
                  </w:pPr>
                </w:p>
              </w:tc>
              <w:tc>
                <w:tcPr>
                  <w:tcW w:w="428" w:type="pct"/>
                  <w:vMerge w:val="continue"/>
                  <w:vAlign w:val="center"/>
                </w:tcPr>
                <w:p w14:paraId="07A08F47">
                  <w:pPr>
                    <w:pStyle w:val="37"/>
                    <w:overflowPunct w:val="0"/>
                    <w:autoSpaceDE w:val="0"/>
                    <w:autoSpaceDN w:val="0"/>
                    <w:spacing w:before="24" w:after="24"/>
                    <w:rPr>
                      <w:rFonts w:ascii="Times New Roman"/>
                      <w:color w:val="auto"/>
                      <w:szCs w:val="21"/>
                    </w:rPr>
                  </w:pPr>
                </w:p>
              </w:tc>
              <w:tc>
                <w:tcPr>
                  <w:tcW w:w="406" w:type="pct"/>
                  <w:vMerge w:val="continue"/>
                  <w:vAlign w:val="center"/>
                </w:tcPr>
                <w:p w14:paraId="35A53ECE">
                  <w:pPr>
                    <w:jc w:val="center"/>
                    <w:rPr>
                      <w:color w:val="auto"/>
                      <w:szCs w:val="21"/>
                    </w:rPr>
                  </w:pPr>
                </w:p>
              </w:tc>
              <w:tc>
                <w:tcPr>
                  <w:tcW w:w="880" w:type="pct"/>
                  <w:vAlign w:val="center"/>
                </w:tcPr>
                <w:p w14:paraId="1F673E87">
                  <w:pPr>
                    <w:jc w:val="center"/>
                    <w:rPr>
                      <w:color w:val="auto"/>
                      <w:szCs w:val="21"/>
                    </w:rPr>
                  </w:pPr>
                  <w:r>
                    <w:rPr>
                      <w:rFonts w:hint="eastAsia"/>
                      <w:color w:val="auto"/>
                      <w:szCs w:val="21"/>
                    </w:rPr>
                    <w:t>焊接粉尘</w:t>
                  </w:r>
                </w:p>
              </w:tc>
              <w:tc>
                <w:tcPr>
                  <w:tcW w:w="2399" w:type="pct"/>
                  <w:vAlign w:val="center"/>
                </w:tcPr>
                <w:p w14:paraId="56D684C7">
                  <w:pPr>
                    <w:pStyle w:val="37"/>
                    <w:overflowPunct w:val="0"/>
                    <w:autoSpaceDE w:val="0"/>
                    <w:autoSpaceDN w:val="0"/>
                    <w:spacing w:before="24" w:after="24"/>
                    <w:rPr>
                      <w:rFonts w:ascii="Times New Roman"/>
                      <w:color w:val="auto"/>
                      <w:szCs w:val="21"/>
                    </w:rPr>
                  </w:pPr>
                  <w:r>
                    <w:rPr>
                      <w:rFonts w:ascii="Times New Roman"/>
                      <w:color w:val="auto"/>
                      <w:szCs w:val="21"/>
                    </w:rPr>
                    <w:t>移动式除尘器、车间无组织排放</w:t>
                  </w:r>
                </w:p>
              </w:tc>
              <w:tc>
                <w:tcPr>
                  <w:tcW w:w="563" w:type="pct"/>
                  <w:vAlign w:val="center"/>
                </w:tcPr>
                <w:p w14:paraId="7EB0A7EC">
                  <w:pPr>
                    <w:pStyle w:val="37"/>
                    <w:overflowPunct w:val="0"/>
                    <w:autoSpaceDE w:val="0"/>
                    <w:autoSpaceDN w:val="0"/>
                    <w:spacing w:before="24" w:after="24"/>
                    <w:rPr>
                      <w:rFonts w:ascii="Times New Roman"/>
                      <w:color w:val="auto"/>
                      <w:szCs w:val="21"/>
                    </w:rPr>
                  </w:pPr>
                  <w:r>
                    <w:rPr>
                      <w:rFonts w:hint="eastAsia" w:ascii="Times New Roman"/>
                      <w:color w:val="auto"/>
                      <w:szCs w:val="21"/>
                    </w:rPr>
                    <w:t>新建</w:t>
                  </w:r>
                </w:p>
              </w:tc>
            </w:tr>
            <w:tr w14:paraId="47F50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trPr>
              <w:tc>
                <w:tcPr>
                  <w:tcW w:w="322" w:type="pct"/>
                  <w:vMerge w:val="continue"/>
                  <w:vAlign w:val="center"/>
                </w:tcPr>
                <w:p w14:paraId="24B4665A">
                  <w:pPr>
                    <w:pStyle w:val="37"/>
                    <w:overflowPunct w:val="0"/>
                    <w:autoSpaceDE w:val="0"/>
                    <w:autoSpaceDN w:val="0"/>
                    <w:spacing w:before="24" w:after="24"/>
                    <w:rPr>
                      <w:rFonts w:ascii="Times New Roman"/>
                      <w:color w:val="auto"/>
                      <w:szCs w:val="21"/>
                    </w:rPr>
                  </w:pPr>
                </w:p>
              </w:tc>
              <w:tc>
                <w:tcPr>
                  <w:tcW w:w="428" w:type="pct"/>
                  <w:vMerge w:val="continue"/>
                  <w:vAlign w:val="center"/>
                </w:tcPr>
                <w:p w14:paraId="37C74118">
                  <w:pPr>
                    <w:pStyle w:val="37"/>
                    <w:overflowPunct w:val="0"/>
                    <w:autoSpaceDE w:val="0"/>
                    <w:autoSpaceDN w:val="0"/>
                    <w:spacing w:before="24" w:after="24"/>
                    <w:rPr>
                      <w:rFonts w:ascii="Times New Roman"/>
                      <w:color w:val="auto"/>
                      <w:szCs w:val="21"/>
                    </w:rPr>
                  </w:pPr>
                </w:p>
              </w:tc>
              <w:tc>
                <w:tcPr>
                  <w:tcW w:w="406" w:type="pct"/>
                  <w:vMerge w:val="continue"/>
                  <w:vAlign w:val="center"/>
                </w:tcPr>
                <w:p w14:paraId="72190A9C">
                  <w:pPr>
                    <w:jc w:val="center"/>
                    <w:rPr>
                      <w:color w:val="auto"/>
                      <w:szCs w:val="21"/>
                    </w:rPr>
                  </w:pPr>
                </w:p>
              </w:tc>
              <w:tc>
                <w:tcPr>
                  <w:tcW w:w="880" w:type="pct"/>
                  <w:vAlign w:val="center"/>
                </w:tcPr>
                <w:p w14:paraId="45B8FB28">
                  <w:pPr>
                    <w:jc w:val="center"/>
                    <w:rPr>
                      <w:color w:val="auto"/>
                      <w:szCs w:val="21"/>
                    </w:rPr>
                  </w:pPr>
                  <w:r>
                    <w:rPr>
                      <w:rFonts w:hint="eastAsia"/>
                      <w:color w:val="auto"/>
                      <w:szCs w:val="21"/>
                    </w:rPr>
                    <w:t>喷涂废气</w:t>
                  </w:r>
                </w:p>
              </w:tc>
              <w:tc>
                <w:tcPr>
                  <w:tcW w:w="2399" w:type="pct"/>
                  <w:vAlign w:val="center"/>
                </w:tcPr>
                <w:p w14:paraId="64880A5E">
                  <w:pPr>
                    <w:pStyle w:val="37"/>
                    <w:overflowPunct w:val="0"/>
                    <w:autoSpaceDE w:val="0"/>
                    <w:autoSpaceDN w:val="0"/>
                    <w:spacing w:before="24" w:after="24"/>
                    <w:rPr>
                      <w:rFonts w:ascii="Times New Roman"/>
                      <w:color w:val="auto"/>
                      <w:szCs w:val="21"/>
                    </w:rPr>
                  </w:pPr>
                  <w:r>
                    <w:rPr>
                      <w:rFonts w:ascii="Times New Roman"/>
                      <w:color w:val="auto"/>
                      <w:szCs w:val="21"/>
                    </w:rPr>
                    <w:t>密闭车间、</w:t>
                  </w:r>
                  <w:r>
                    <w:rPr>
                      <w:rFonts w:hint="eastAsia" w:ascii="Times New Roman"/>
                      <w:color w:val="auto"/>
                      <w:szCs w:val="21"/>
                    </w:rPr>
                    <w:t>过滤棉+</w:t>
                  </w:r>
                  <w:r>
                    <w:rPr>
                      <w:rFonts w:ascii="Times New Roman"/>
                      <w:color w:val="auto"/>
                      <w:szCs w:val="21"/>
                    </w:rPr>
                    <w:t>二级活性炭吸附+15米高排气筒（DA00</w:t>
                  </w:r>
                  <w:r>
                    <w:rPr>
                      <w:rFonts w:hint="eastAsia" w:ascii="Times New Roman"/>
                      <w:color w:val="auto"/>
                      <w:szCs w:val="21"/>
                    </w:rPr>
                    <w:t>4</w:t>
                  </w:r>
                  <w:r>
                    <w:rPr>
                      <w:rFonts w:ascii="Times New Roman"/>
                      <w:color w:val="auto"/>
                      <w:szCs w:val="21"/>
                    </w:rPr>
                    <w:t>）</w:t>
                  </w:r>
                </w:p>
              </w:tc>
              <w:tc>
                <w:tcPr>
                  <w:tcW w:w="563" w:type="pct"/>
                  <w:vAlign w:val="center"/>
                </w:tcPr>
                <w:p w14:paraId="52029402">
                  <w:pPr>
                    <w:pStyle w:val="37"/>
                    <w:overflowPunct w:val="0"/>
                    <w:autoSpaceDE w:val="0"/>
                    <w:autoSpaceDN w:val="0"/>
                    <w:spacing w:before="24" w:after="24"/>
                    <w:rPr>
                      <w:rFonts w:ascii="Times New Roman"/>
                      <w:color w:val="auto"/>
                      <w:szCs w:val="21"/>
                    </w:rPr>
                  </w:pPr>
                  <w:r>
                    <w:rPr>
                      <w:rFonts w:hint="eastAsia" w:ascii="Times New Roman"/>
                      <w:color w:val="auto"/>
                      <w:szCs w:val="21"/>
                    </w:rPr>
                    <w:t>新建</w:t>
                  </w:r>
                </w:p>
              </w:tc>
            </w:tr>
            <w:tr w14:paraId="2E1D1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1DD12092">
                  <w:pPr>
                    <w:pStyle w:val="37"/>
                    <w:overflowPunct w:val="0"/>
                    <w:autoSpaceDE w:val="0"/>
                    <w:autoSpaceDN w:val="0"/>
                    <w:spacing w:before="24" w:after="24"/>
                    <w:rPr>
                      <w:rFonts w:ascii="Times New Roman"/>
                      <w:color w:val="auto"/>
                      <w:szCs w:val="21"/>
                    </w:rPr>
                  </w:pPr>
                </w:p>
              </w:tc>
              <w:tc>
                <w:tcPr>
                  <w:tcW w:w="428" w:type="pct"/>
                  <w:vMerge w:val="continue"/>
                  <w:vAlign w:val="center"/>
                </w:tcPr>
                <w:p w14:paraId="7ADB3303">
                  <w:pPr>
                    <w:pStyle w:val="37"/>
                    <w:overflowPunct w:val="0"/>
                    <w:autoSpaceDE w:val="0"/>
                    <w:autoSpaceDN w:val="0"/>
                    <w:spacing w:before="24" w:after="24"/>
                    <w:rPr>
                      <w:rFonts w:ascii="Times New Roman"/>
                      <w:color w:val="auto"/>
                      <w:szCs w:val="21"/>
                    </w:rPr>
                  </w:pPr>
                </w:p>
              </w:tc>
              <w:tc>
                <w:tcPr>
                  <w:tcW w:w="406" w:type="pct"/>
                  <w:vMerge w:val="restart"/>
                  <w:vAlign w:val="center"/>
                </w:tcPr>
                <w:p w14:paraId="46410036">
                  <w:pPr>
                    <w:pStyle w:val="37"/>
                    <w:overflowPunct w:val="0"/>
                    <w:autoSpaceDE w:val="0"/>
                    <w:autoSpaceDN w:val="0"/>
                    <w:spacing w:before="24" w:after="24"/>
                    <w:rPr>
                      <w:rFonts w:ascii="Times New Roman"/>
                      <w:color w:val="auto"/>
                      <w:szCs w:val="21"/>
                    </w:rPr>
                  </w:pPr>
                  <w:r>
                    <w:rPr>
                      <w:rFonts w:ascii="Times New Roman"/>
                      <w:color w:val="auto"/>
                      <w:szCs w:val="21"/>
                    </w:rPr>
                    <w:t>固体</w:t>
                  </w:r>
                </w:p>
                <w:p w14:paraId="46B1F6DA">
                  <w:pPr>
                    <w:pStyle w:val="37"/>
                    <w:overflowPunct w:val="0"/>
                    <w:autoSpaceDE w:val="0"/>
                    <w:autoSpaceDN w:val="0"/>
                    <w:spacing w:before="24" w:after="24"/>
                    <w:rPr>
                      <w:rFonts w:ascii="Times New Roman"/>
                      <w:color w:val="auto"/>
                      <w:szCs w:val="21"/>
                    </w:rPr>
                  </w:pPr>
                  <w:r>
                    <w:rPr>
                      <w:rFonts w:ascii="Times New Roman"/>
                      <w:color w:val="auto"/>
                      <w:szCs w:val="21"/>
                    </w:rPr>
                    <w:t>废物</w:t>
                  </w:r>
                </w:p>
              </w:tc>
              <w:tc>
                <w:tcPr>
                  <w:tcW w:w="880" w:type="pct"/>
                  <w:vAlign w:val="center"/>
                </w:tcPr>
                <w:p w14:paraId="3457DDDE">
                  <w:pPr>
                    <w:pStyle w:val="37"/>
                    <w:overflowPunct w:val="0"/>
                    <w:autoSpaceDE w:val="0"/>
                    <w:autoSpaceDN w:val="0"/>
                    <w:spacing w:before="24" w:after="24"/>
                    <w:rPr>
                      <w:rFonts w:ascii="Times New Roman"/>
                      <w:color w:val="auto"/>
                      <w:szCs w:val="21"/>
                    </w:rPr>
                  </w:pPr>
                  <w:r>
                    <w:rPr>
                      <w:rFonts w:ascii="Times New Roman"/>
                      <w:color w:val="auto"/>
                      <w:szCs w:val="21"/>
                    </w:rPr>
                    <w:t>危险废物</w:t>
                  </w:r>
                </w:p>
              </w:tc>
              <w:tc>
                <w:tcPr>
                  <w:tcW w:w="2399" w:type="pct"/>
                  <w:vAlign w:val="center"/>
                </w:tcPr>
                <w:p w14:paraId="29E74ADE">
                  <w:pPr>
                    <w:pStyle w:val="37"/>
                    <w:overflowPunct w:val="0"/>
                    <w:autoSpaceDE w:val="0"/>
                    <w:autoSpaceDN w:val="0"/>
                    <w:spacing w:before="24" w:after="24"/>
                    <w:rPr>
                      <w:rFonts w:ascii="Times New Roman"/>
                      <w:color w:val="auto"/>
                      <w:szCs w:val="21"/>
                    </w:rPr>
                  </w:pPr>
                  <w:r>
                    <w:rPr>
                      <w:rFonts w:ascii="Times New Roman"/>
                      <w:color w:val="auto"/>
                      <w:szCs w:val="21"/>
                    </w:rPr>
                    <w:t>设置</w:t>
                  </w:r>
                  <w:r>
                    <w:rPr>
                      <w:rFonts w:hint="eastAsia" w:ascii="Times New Roman"/>
                      <w:color w:val="auto"/>
                      <w:szCs w:val="21"/>
                    </w:rPr>
                    <w:t>1</w:t>
                  </w:r>
                  <w:r>
                    <w:rPr>
                      <w:rFonts w:ascii="Times New Roman"/>
                      <w:color w:val="auto"/>
                      <w:szCs w:val="21"/>
                    </w:rPr>
                    <w:t>0 m</w:t>
                  </w:r>
                  <w:r>
                    <w:rPr>
                      <w:rFonts w:ascii="Times New Roman"/>
                      <w:color w:val="auto"/>
                      <w:szCs w:val="21"/>
                      <w:vertAlign w:val="superscript"/>
                    </w:rPr>
                    <w:t>2</w:t>
                  </w:r>
                  <w:r>
                    <w:rPr>
                      <w:rFonts w:ascii="Times New Roman"/>
                      <w:color w:val="auto"/>
                      <w:szCs w:val="21"/>
                    </w:rPr>
                    <w:t>危废暂存间，位于</w:t>
                  </w:r>
                  <w:r>
                    <w:rPr>
                      <w:rFonts w:hint="eastAsia" w:ascii="Times New Roman"/>
                      <w:color w:val="auto"/>
                      <w:szCs w:val="21"/>
                    </w:rPr>
                    <w:t>车间南侧</w:t>
                  </w:r>
                  <w:r>
                    <w:rPr>
                      <w:rFonts w:ascii="Times New Roman"/>
                      <w:color w:val="auto"/>
                      <w:szCs w:val="21"/>
                    </w:rPr>
                    <w:t>，定期委托有资质单位处置</w:t>
                  </w:r>
                </w:p>
              </w:tc>
              <w:tc>
                <w:tcPr>
                  <w:tcW w:w="563" w:type="pct"/>
                  <w:vAlign w:val="center"/>
                </w:tcPr>
                <w:p w14:paraId="292FE97C">
                  <w:pPr>
                    <w:pStyle w:val="37"/>
                    <w:overflowPunct w:val="0"/>
                    <w:autoSpaceDE w:val="0"/>
                    <w:autoSpaceDN w:val="0"/>
                    <w:spacing w:before="24" w:after="24"/>
                    <w:rPr>
                      <w:rFonts w:ascii="Times New Roman"/>
                      <w:color w:val="auto"/>
                      <w:szCs w:val="21"/>
                    </w:rPr>
                  </w:pPr>
                  <w:r>
                    <w:rPr>
                      <w:rFonts w:ascii="Times New Roman"/>
                      <w:color w:val="auto"/>
                      <w:szCs w:val="21"/>
                    </w:rPr>
                    <w:t>新建</w:t>
                  </w:r>
                </w:p>
              </w:tc>
            </w:tr>
            <w:tr w14:paraId="6CB7B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2CB33B96">
                  <w:pPr>
                    <w:pStyle w:val="37"/>
                    <w:overflowPunct w:val="0"/>
                    <w:autoSpaceDE w:val="0"/>
                    <w:autoSpaceDN w:val="0"/>
                    <w:spacing w:before="24" w:after="24"/>
                    <w:rPr>
                      <w:rFonts w:ascii="Times New Roman"/>
                      <w:color w:val="auto"/>
                      <w:szCs w:val="21"/>
                    </w:rPr>
                  </w:pPr>
                </w:p>
              </w:tc>
              <w:tc>
                <w:tcPr>
                  <w:tcW w:w="428" w:type="pct"/>
                  <w:vMerge w:val="continue"/>
                  <w:vAlign w:val="center"/>
                </w:tcPr>
                <w:p w14:paraId="7301B7CA">
                  <w:pPr>
                    <w:pStyle w:val="37"/>
                    <w:overflowPunct w:val="0"/>
                    <w:autoSpaceDE w:val="0"/>
                    <w:autoSpaceDN w:val="0"/>
                    <w:spacing w:before="24" w:after="24"/>
                    <w:rPr>
                      <w:rFonts w:ascii="Times New Roman"/>
                      <w:color w:val="auto"/>
                      <w:szCs w:val="21"/>
                    </w:rPr>
                  </w:pPr>
                </w:p>
              </w:tc>
              <w:tc>
                <w:tcPr>
                  <w:tcW w:w="406" w:type="pct"/>
                  <w:vMerge w:val="continue"/>
                  <w:vAlign w:val="center"/>
                </w:tcPr>
                <w:p w14:paraId="23F4B978">
                  <w:pPr>
                    <w:pStyle w:val="37"/>
                    <w:overflowPunct w:val="0"/>
                    <w:autoSpaceDE w:val="0"/>
                    <w:autoSpaceDN w:val="0"/>
                    <w:spacing w:before="24" w:after="24"/>
                    <w:rPr>
                      <w:rFonts w:ascii="Times New Roman"/>
                      <w:color w:val="auto"/>
                      <w:szCs w:val="21"/>
                    </w:rPr>
                  </w:pPr>
                </w:p>
              </w:tc>
              <w:tc>
                <w:tcPr>
                  <w:tcW w:w="880" w:type="pct"/>
                  <w:vAlign w:val="center"/>
                </w:tcPr>
                <w:p w14:paraId="7E7BF872">
                  <w:pPr>
                    <w:pStyle w:val="37"/>
                    <w:spacing w:before="24" w:after="24"/>
                    <w:rPr>
                      <w:rFonts w:ascii="Times New Roman"/>
                      <w:color w:val="auto"/>
                      <w:szCs w:val="21"/>
                    </w:rPr>
                  </w:pPr>
                  <w:r>
                    <w:rPr>
                      <w:rFonts w:ascii="Times New Roman"/>
                      <w:color w:val="auto"/>
                      <w:szCs w:val="21"/>
                    </w:rPr>
                    <w:t>一般固废</w:t>
                  </w:r>
                </w:p>
              </w:tc>
              <w:tc>
                <w:tcPr>
                  <w:tcW w:w="2399" w:type="pct"/>
                  <w:vAlign w:val="center"/>
                </w:tcPr>
                <w:p w14:paraId="74F73508">
                  <w:pPr>
                    <w:pStyle w:val="37"/>
                    <w:spacing w:before="24" w:after="24"/>
                    <w:rPr>
                      <w:rFonts w:ascii="Times New Roman"/>
                      <w:color w:val="auto"/>
                      <w:szCs w:val="21"/>
                    </w:rPr>
                  </w:pPr>
                  <w:r>
                    <w:rPr>
                      <w:rFonts w:ascii="Times New Roman"/>
                      <w:color w:val="auto"/>
                      <w:szCs w:val="21"/>
                    </w:rPr>
                    <w:t>设置10m</w:t>
                  </w:r>
                  <w:r>
                    <w:rPr>
                      <w:rFonts w:ascii="Times New Roman"/>
                      <w:color w:val="auto"/>
                      <w:szCs w:val="21"/>
                      <w:vertAlign w:val="superscript"/>
                    </w:rPr>
                    <w:t>2</w:t>
                  </w:r>
                  <w:r>
                    <w:rPr>
                      <w:rFonts w:ascii="Times New Roman"/>
                      <w:color w:val="auto"/>
                      <w:szCs w:val="21"/>
                    </w:rPr>
                    <w:t>一般固废暂存间，位于</w:t>
                  </w:r>
                  <w:r>
                    <w:rPr>
                      <w:rFonts w:hint="eastAsia" w:ascii="Times New Roman"/>
                      <w:color w:val="auto"/>
                      <w:szCs w:val="21"/>
                    </w:rPr>
                    <w:t>车间南侧</w:t>
                  </w:r>
                  <w:r>
                    <w:rPr>
                      <w:rFonts w:ascii="Times New Roman"/>
                      <w:color w:val="auto"/>
                      <w:szCs w:val="21"/>
                    </w:rPr>
                    <w:t>，送物资回收公司回收利用</w:t>
                  </w:r>
                </w:p>
              </w:tc>
              <w:tc>
                <w:tcPr>
                  <w:tcW w:w="563" w:type="pct"/>
                  <w:vAlign w:val="center"/>
                </w:tcPr>
                <w:p w14:paraId="4ABA6B6B">
                  <w:pPr>
                    <w:pStyle w:val="37"/>
                    <w:spacing w:before="24" w:after="24"/>
                    <w:rPr>
                      <w:rFonts w:ascii="Times New Roman"/>
                      <w:color w:val="auto"/>
                      <w:szCs w:val="21"/>
                    </w:rPr>
                  </w:pPr>
                  <w:r>
                    <w:rPr>
                      <w:rFonts w:ascii="Times New Roman"/>
                      <w:color w:val="auto"/>
                      <w:szCs w:val="21"/>
                    </w:rPr>
                    <w:t>新建</w:t>
                  </w:r>
                </w:p>
              </w:tc>
            </w:tr>
            <w:tr w14:paraId="52C57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5EF14769">
                  <w:pPr>
                    <w:pStyle w:val="37"/>
                    <w:overflowPunct w:val="0"/>
                    <w:autoSpaceDE w:val="0"/>
                    <w:autoSpaceDN w:val="0"/>
                    <w:spacing w:before="24" w:after="24"/>
                    <w:rPr>
                      <w:rFonts w:ascii="Times New Roman"/>
                      <w:color w:val="auto"/>
                      <w:szCs w:val="21"/>
                    </w:rPr>
                  </w:pPr>
                </w:p>
              </w:tc>
              <w:tc>
                <w:tcPr>
                  <w:tcW w:w="428" w:type="pct"/>
                  <w:vMerge w:val="continue"/>
                  <w:vAlign w:val="center"/>
                </w:tcPr>
                <w:p w14:paraId="694D72AA">
                  <w:pPr>
                    <w:pStyle w:val="37"/>
                    <w:overflowPunct w:val="0"/>
                    <w:autoSpaceDE w:val="0"/>
                    <w:autoSpaceDN w:val="0"/>
                    <w:spacing w:before="24" w:after="24"/>
                    <w:rPr>
                      <w:rFonts w:ascii="Times New Roman"/>
                      <w:color w:val="auto"/>
                      <w:szCs w:val="21"/>
                    </w:rPr>
                  </w:pPr>
                </w:p>
              </w:tc>
              <w:tc>
                <w:tcPr>
                  <w:tcW w:w="406" w:type="pct"/>
                  <w:vMerge w:val="continue"/>
                  <w:vAlign w:val="center"/>
                </w:tcPr>
                <w:p w14:paraId="5B34D6B2">
                  <w:pPr>
                    <w:pStyle w:val="37"/>
                    <w:overflowPunct w:val="0"/>
                    <w:autoSpaceDE w:val="0"/>
                    <w:autoSpaceDN w:val="0"/>
                    <w:spacing w:before="24" w:after="24"/>
                    <w:rPr>
                      <w:rFonts w:ascii="Times New Roman"/>
                      <w:color w:val="auto"/>
                      <w:szCs w:val="21"/>
                    </w:rPr>
                  </w:pPr>
                </w:p>
              </w:tc>
              <w:tc>
                <w:tcPr>
                  <w:tcW w:w="880" w:type="pct"/>
                  <w:vAlign w:val="center"/>
                </w:tcPr>
                <w:p w14:paraId="151D5CEF">
                  <w:pPr>
                    <w:pStyle w:val="37"/>
                    <w:spacing w:before="24" w:after="24"/>
                    <w:rPr>
                      <w:rFonts w:ascii="Times New Roman"/>
                      <w:color w:val="auto"/>
                      <w:szCs w:val="21"/>
                    </w:rPr>
                  </w:pPr>
                  <w:r>
                    <w:rPr>
                      <w:rFonts w:ascii="Times New Roman"/>
                      <w:color w:val="auto"/>
                      <w:szCs w:val="21"/>
                    </w:rPr>
                    <w:t>生活垃圾</w:t>
                  </w:r>
                </w:p>
              </w:tc>
              <w:tc>
                <w:tcPr>
                  <w:tcW w:w="2399" w:type="pct"/>
                  <w:vAlign w:val="center"/>
                </w:tcPr>
                <w:p w14:paraId="2282F061">
                  <w:pPr>
                    <w:pStyle w:val="37"/>
                    <w:spacing w:before="24" w:after="24"/>
                    <w:rPr>
                      <w:rFonts w:ascii="Times New Roman"/>
                      <w:color w:val="auto"/>
                      <w:szCs w:val="21"/>
                    </w:rPr>
                  </w:pPr>
                  <w:r>
                    <w:rPr>
                      <w:rFonts w:ascii="Times New Roman"/>
                      <w:color w:val="auto"/>
                      <w:szCs w:val="21"/>
                    </w:rPr>
                    <w:t>设置分类垃圾桶，由环卫部门统一清运</w:t>
                  </w:r>
                </w:p>
              </w:tc>
              <w:tc>
                <w:tcPr>
                  <w:tcW w:w="563" w:type="pct"/>
                  <w:vAlign w:val="center"/>
                </w:tcPr>
                <w:p w14:paraId="144C6B85">
                  <w:pPr>
                    <w:pStyle w:val="37"/>
                    <w:spacing w:before="24" w:after="24"/>
                    <w:rPr>
                      <w:rFonts w:ascii="Times New Roman"/>
                      <w:color w:val="auto"/>
                      <w:szCs w:val="21"/>
                    </w:rPr>
                  </w:pPr>
                  <w:r>
                    <w:rPr>
                      <w:rFonts w:ascii="Times New Roman"/>
                      <w:color w:val="auto"/>
                      <w:szCs w:val="21"/>
                    </w:rPr>
                    <w:t>新建</w:t>
                  </w:r>
                </w:p>
              </w:tc>
            </w:tr>
            <w:tr w14:paraId="1346C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3" w:hRule="atLeast"/>
              </w:trPr>
              <w:tc>
                <w:tcPr>
                  <w:tcW w:w="322" w:type="pct"/>
                  <w:vMerge w:val="continue"/>
                  <w:vAlign w:val="center"/>
                </w:tcPr>
                <w:p w14:paraId="7D3B654E">
                  <w:pPr>
                    <w:pStyle w:val="37"/>
                    <w:overflowPunct w:val="0"/>
                    <w:autoSpaceDE w:val="0"/>
                    <w:autoSpaceDN w:val="0"/>
                    <w:spacing w:before="24" w:after="24"/>
                    <w:rPr>
                      <w:rFonts w:ascii="Times New Roman"/>
                      <w:color w:val="auto"/>
                      <w:szCs w:val="21"/>
                    </w:rPr>
                  </w:pPr>
                </w:p>
              </w:tc>
              <w:tc>
                <w:tcPr>
                  <w:tcW w:w="428" w:type="pct"/>
                  <w:vMerge w:val="continue"/>
                  <w:vAlign w:val="center"/>
                </w:tcPr>
                <w:p w14:paraId="6AAA4FEE">
                  <w:pPr>
                    <w:pStyle w:val="37"/>
                    <w:overflowPunct w:val="0"/>
                    <w:autoSpaceDE w:val="0"/>
                    <w:autoSpaceDN w:val="0"/>
                    <w:spacing w:before="24" w:after="24"/>
                    <w:rPr>
                      <w:rFonts w:ascii="Times New Roman"/>
                      <w:color w:val="auto"/>
                      <w:szCs w:val="21"/>
                    </w:rPr>
                  </w:pPr>
                </w:p>
              </w:tc>
              <w:tc>
                <w:tcPr>
                  <w:tcW w:w="406" w:type="pct"/>
                  <w:vAlign w:val="center"/>
                </w:tcPr>
                <w:p w14:paraId="22C93B33">
                  <w:pPr>
                    <w:pStyle w:val="85"/>
                    <w:rPr>
                      <w:rFonts w:ascii="Times New Roman" w:hAnsi="Times New Roman"/>
                      <w:color w:val="auto"/>
                      <w:szCs w:val="21"/>
                    </w:rPr>
                  </w:pPr>
                  <w:r>
                    <w:rPr>
                      <w:rFonts w:ascii="Times New Roman" w:hAnsi="Times New Roman"/>
                      <w:color w:val="auto"/>
                      <w:szCs w:val="21"/>
                    </w:rPr>
                    <w:t>噪声</w:t>
                  </w:r>
                </w:p>
              </w:tc>
              <w:tc>
                <w:tcPr>
                  <w:tcW w:w="3279" w:type="pct"/>
                  <w:gridSpan w:val="2"/>
                  <w:vAlign w:val="center"/>
                </w:tcPr>
                <w:p w14:paraId="1CF0CFEC">
                  <w:pPr>
                    <w:pStyle w:val="37"/>
                    <w:spacing w:before="24" w:after="24"/>
                    <w:rPr>
                      <w:rFonts w:ascii="Times New Roman"/>
                      <w:color w:val="auto"/>
                      <w:szCs w:val="21"/>
                    </w:rPr>
                  </w:pPr>
                  <w:r>
                    <w:rPr>
                      <w:rFonts w:ascii="Times New Roman"/>
                      <w:color w:val="auto"/>
                      <w:szCs w:val="21"/>
                    </w:rPr>
                    <w:t>生产设备优先选用低噪声设备，采用减振、降噪等措施</w:t>
                  </w:r>
                </w:p>
              </w:tc>
              <w:tc>
                <w:tcPr>
                  <w:tcW w:w="563" w:type="pct"/>
                  <w:vAlign w:val="center"/>
                </w:tcPr>
                <w:p w14:paraId="5D6553A5">
                  <w:pPr>
                    <w:pStyle w:val="37"/>
                    <w:spacing w:before="24" w:after="24"/>
                    <w:rPr>
                      <w:rFonts w:ascii="Times New Roman"/>
                      <w:color w:val="auto"/>
                      <w:szCs w:val="21"/>
                    </w:rPr>
                  </w:pPr>
                  <w:r>
                    <w:rPr>
                      <w:rFonts w:ascii="Times New Roman"/>
                      <w:color w:val="auto"/>
                      <w:szCs w:val="21"/>
                    </w:rPr>
                    <w:t>新建</w:t>
                  </w:r>
                </w:p>
              </w:tc>
            </w:tr>
          </w:tbl>
          <w:p w14:paraId="1CA62EC0">
            <w:pPr>
              <w:spacing w:before="120" w:beforeLines="50" w:line="360" w:lineRule="auto"/>
              <w:rPr>
                <w:b/>
                <w:bCs/>
                <w:color w:val="auto"/>
                <w:sz w:val="24"/>
                <w:szCs w:val="32"/>
              </w:rPr>
            </w:pPr>
            <w:r>
              <w:rPr>
                <w:b/>
                <w:bCs/>
                <w:color w:val="auto"/>
                <w:sz w:val="24"/>
                <w:szCs w:val="32"/>
              </w:rPr>
              <w:t>2</w:t>
            </w:r>
            <w:r>
              <w:rPr>
                <w:rFonts w:hint="eastAsia"/>
                <w:b/>
                <w:bCs/>
                <w:color w:val="auto"/>
                <w:sz w:val="24"/>
                <w:szCs w:val="32"/>
              </w:rPr>
              <w:t>.3</w:t>
            </w:r>
            <w:r>
              <w:rPr>
                <w:b/>
                <w:bCs/>
                <w:color w:val="auto"/>
                <w:sz w:val="24"/>
                <w:szCs w:val="32"/>
              </w:rPr>
              <w:t>、主要产品及产量</w:t>
            </w:r>
          </w:p>
          <w:p w14:paraId="2E5C4A6D">
            <w:pPr>
              <w:widowControl/>
              <w:spacing w:line="360" w:lineRule="auto"/>
              <w:ind w:firstLine="480" w:firstLineChars="200"/>
              <w:jc w:val="left"/>
              <w:rPr>
                <w:color w:val="auto"/>
                <w:sz w:val="24"/>
                <w:szCs w:val="32"/>
                <w:highlight w:val="yellow"/>
              </w:rPr>
            </w:pPr>
            <w:r>
              <w:rPr>
                <w:rFonts w:hint="eastAsia"/>
                <w:color w:val="auto"/>
                <w:sz w:val="24"/>
                <w:szCs w:val="32"/>
              </w:rPr>
              <w:t>本项目年产水泵3000台，电机1000台，按重量折合约为5000t，其中消失模工艺铸件4700t，水玻璃工艺铸件300t。项目生产规模及产品方案详见表2-2。</w:t>
            </w:r>
          </w:p>
          <w:p w14:paraId="25A006CC">
            <w:pPr>
              <w:ind w:firstLine="415" w:firstLineChars="197"/>
              <w:jc w:val="center"/>
              <w:rPr>
                <w:b/>
                <w:bCs/>
                <w:color w:val="auto"/>
              </w:rPr>
            </w:pPr>
            <w:r>
              <w:rPr>
                <w:rFonts w:hint="eastAsia"/>
                <w:b/>
                <w:bCs/>
                <w:color w:val="auto"/>
              </w:rPr>
              <w:t>表2-2  项目生产规模及产品方案一览表</w:t>
            </w:r>
          </w:p>
          <w:tbl>
            <w:tblPr>
              <w:tblStyle w:val="30"/>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37"/>
              <w:gridCol w:w="2018"/>
              <w:gridCol w:w="2080"/>
              <w:gridCol w:w="1770"/>
              <w:gridCol w:w="1770"/>
            </w:tblGrid>
            <w:tr w14:paraId="705006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440" w:type="pct"/>
                  <w:vAlign w:val="center"/>
                </w:tcPr>
                <w:p w14:paraId="073199BA">
                  <w:pPr>
                    <w:pStyle w:val="76"/>
                    <w:autoSpaceDE w:val="0"/>
                    <w:autoSpaceDN w:val="0"/>
                    <w:jc w:val="center"/>
                    <w:rPr>
                      <w:rFonts w:ascii="Times New Roman" w:hAnsi="Times New Roman"/>
                      <w:color w:val="auto"/>
                      <w:szCs w:val="21"/>
                    </w:rPr>
                  </w:pPr>
                  <w:r>
                    <w:rPr>
                      <w:rFonts w:ascii="Times New Roman" w:hAnsi="Times New Roman"/>
                      <w:color w:val="auto"/>
                      <w:szCs w:val="21"/>
                    </w:rPr>
                    <w:t>序号</w:t>
                  </w:r>
                </w:p>
              </w:tc>
              <w:tc>
                <w:tcPr>
                  <w:tcW w:w="1204" w:type="pct"/>
                  <w:vAlign w:val="center"/>
                </w:tcPr>
                <w:p w14:paraId="14E33157">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产品</w:t>
                  </w:r>
                  <w:r>
                    <w:rPr>
                      <w:rFonts w:ascii="Times New Roman" w:hAnsi="Times New Roman"/>
                      <w:color w:val="auto"/>
                      <w:szCs w:val="21"/>
                    </w:rPr>
                    <w:t>名称</w:t>
                  </w:r>
                </w:p>
              </w:tc>
              <w:tc>
                <w:tcPr>
                  <w:tcW w:w="1241" w:type="pct"/>
                  <w:vAlign w:val="center"/>
                </w:tcPr>
                <w:p w14:paraId="6AE895FE">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生产规模</w:t>
                  </w:r>
                </w:p>
              </w:tc>
              <w:tc>
                <w:tcPr>
                  <w:tcW w:w="1056" w:type="pct"/>
                  <w:vAlign w:val="center"/>
                </w:tcPr>
                <w:p w14:paraId="77CF24BC">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规格</w:t>
                  </w:r>
                </w:p>
              </w:tc>
              <w:tc>
                <w:tcPr>
                  <w:tcW w:w="1056" w:type="pct"/>
                  <w:vAlign w:val="center"/>
                </w:tcPr>
                <w:p w14:paraId="60C13D0D">
                  <w:pPr>
                    <w:pStyle w:val="76"/>
                    <w:autoSpaceDE w:val="0"/>
                    <w:autoSpaceDN w:val="0"/>
                    <w:jc w:val="center"/>
                    <w:rPr>
                      <w:rFonts w:ascii="Times New Roman" w:hAnsi="Times New Roman"/>
                      <w:color w:val="auto"/>
                      <w:szCs w:val="21"/>
                    </w:rPr>
                  </w:pPr>
                  <w:r>
                    <w:rPr>
                      <w:rFonts w:ascii="Times New Roman" w:hAnsi="Times New Roman"/>
                      <w:color w:val="auto"/>
                      <w:szCs w:val="21"/>
                    </w:rPr>
                    <w:t>备注</w:t>
                  </w:r>
                </w:p>
              </w:tc>
            </w:tr>
            <w:tr w14:paraId="2AF5B1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440" w:type="pct"/>
                  <w:vAlign w:val="center"/>
                </w:tcPr>
                <w:p w14:paraId="490A8A46">
                  <w:pPr>
                    <w:pStyle w:val="76"/>
                    <w:autoSpaceDE w:val="0"/>
                    <w:autoSpaceDN w:val="0"/>
                    <w:jc w:val="center"/>
                    <w:rPr>
                      <w:rFonts w:ascii="Times New Roman" w:hAnsi="Times New Roman"/>
                      <w:color w:val="auto"/>
                      <w:szCs w:val="21"/>
                    </w:rPr>
                  </w:pPr>
                  <w:r>
                    <w:rPr>
                      <w:rFonts w:ascii="Times New Roman" w:hAnsi="Times New Roman"/>
                      <w:color w:val="auto"/>
                      <w:w w:val="99"/>
                      <w:szCs w:val="21"/>
                    </w:rPr>
                    <w:t>1</w:t>
                  </w:r>
                </w:p>
              </w:tc>
              <w:tc>
                <w:tcPr>
                  <w:tcW w:w="1204" w:type="pct"/>
                  <w:vAlign w:val="center"/>
                </w:tcPr>
                <w:p w14:paraId="34677EAA">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水泵</w:t>
                  </w:r>
                </w:p>
              </w:tc>
              <w:tc>
                <w:tcPr>
                  <w:tcW w:w="1241" w:type="pct"/>
                  <w:vAlign w:val="center"/>
                </w:tcPr>
                <w:p w14:paraId="0173146E">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3000台</w:t>
                  </w:r>
                </w:p>
              </w:tc>
              <w:tc>
                <w:tcPr>
                  <w:tcW w:w="1056" w:type="pct"/>
                  <w:vAlign w:val="center"/>
                </w:tcPr>
                <w:p w14:paraId="36E37D2E">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非标</w:t>
                  </w:r>
                </w:p>
              </w:tc>
              <w:tc>
                <w:tcPr>
                  <w:tcW w:w="1056" w:type="pct"/>
                  <w:vAlign w:val="center"/>
                </w:tcPr>
                <w:p w14:paraId="5046108C">
                  <w:pPr>
                    <w:pStyle w:val="76"/>
                    <w:autoSpaceDE w:val="0"/>
                    <w:autoSpaceDN w:val="0"/>
                    <w:jc w:val="center"/>
                    <w:rPr>
                      <w:rFonts w:ascii="Times New Roman" w:hAnsi="Times New Roman"/>
                      <w:color w:val="auto"/>
                      <w:szCs w:val="21"/>
                    </w:rPr>
                  </w:pPr>
                </w:p>
              </w:tc>
            </w:tr>
            <w:tr w14:paraId="7D0067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440" w:type="pct"/>
                  <w:vAlign w:val="center"/>
                </w:tcPr>
                <w:p w14:paraId="2E96835D">
                  <w:pPr>
                    <w:pStyle w:val="76"/>
                    <w:autoSpaceDE w:val="0"/>
                    <w:autoSpaceDN w:val="0"/>
                    <w:jc w:val="center"/>
                    <w:rPr>
                      <w:rFonts w:ascii="Times New Roman" w:hAnsi="Times New Roman"/>
                      <w:color w:val="auto"/>
                      <w:szCs w:val="21"/>
                    </w:rPr>
                  </w:pPr>
                  <w:r>
                    <w:rPr>
                      <w:rFonts w:ascii="Times New Roman" w:hAnsi="Times New Roman"/>
                      <w:color w:val="auto"/>
                      <w:w w:val="99"/>
                      <w:szCs w:val="21"/>
                    </w:rPr>
                    <w:t>2</w:t>
                  </w:r>
                </w:p>
              </w:tc>
              <w:tc>
                <w:tcPr>
                  <w:tcW w:w="1204" w:type="pct"/>
                  <w:vAlign w:val="center"/>
                </w:tcPr>
                <w:p w14:paraId="5F3A4460">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电机</w:t>
                  </w:r>
                </w:p>
              </w:tc>
              <w:tc>
                <w:tcPr>
                  <w:tcW w:w="1241" w:type="pct"/>
                  <w:vAlign w:val="center"/>
                </w:tcPr>
                <w:p w14:paraId="595DFC8D">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1000台</w:t>
                  </w:r>
                </w:p>
              </w:tc>
              <w:tc>
                <w:tcPr>
                  <w:tcW w:w="1056" w:type="pct"/>
                  <w:vAlign w:val="center"/>
                </w:tcPr>
                <w:p w14:paraId="05AE99B9">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非标</w:t>
                  </w:r>
                </w:p>
              </w:tc>
              <w:tc>
                <w:tcPr>
                  <w:tcW w:w="1056" w:type="pct"/>
                  <w:vAlign w:val="center"/>
                </w:tcPr>
                <w:p w14:paraId="164C0249">
                  <w:pPr>
                    <w:pStyle w:val="76"/>
                    <w:autoSpaceDE w:val="0"/>
                    <w:autoSpaceDN w:val="0"/>
                    <w:jc w:val="center"/>
                    <w:rPr>
                      <w:rFonts w:ascii="Times New Roman" w:hAnsi="Times New Roman"/>
                      <w:color w:val="auto"/>
                      <w:szCs w:val="21"/>
                    </w:rPr>
                  </w:pPr>
                </w:p>
              </w:tc>
            </w:tr>
          </w:tbl>
          <w:p w14:paraId="13846168">
            <w:pPr>
              <w:spacing w:before="120" w:beforeLines="50" w:line="360" w:lineRule="auto"/>
              <w:rPr>
                <w:b/>
                <w:bCs/>
                <w:color w:val="auto"/>
                <w:sz w:val="24"/>
                <w:szCs w:val="32"/>
              </w:rPr>
            </w:pPr>
            <w:r>
              <w:rPr>
                <w:rFonts w:hint="eastAsia"/>
                <w:b/>
                <w:bCs/>
                <w:color w:val="auto"/>
                <w:sz w:val="24"/>
                <w:szCs w:val="32"/>
              </w:rPr>
              <w:t>2.4</w:t>
            </w:r>
            <w:r>
              <w:rPr>
                <w:b/>
                <w:bCs/>
                <w:color w:val="auto"/>
                <w:sz w:val="24"/>
                <w:szCs w:val="32"/>
              </w:rPr>
              <w:t>、原辅料及用量</w:t>
            </w:r>
          </w:p>
          <w:p w14:paraId="58997DB7">
            <w:pPr>
              <w:widowControl/>
              <w:spacing w:line="360" w:lineRule="auto"/>
              <w:ind w:firstLine="480" w:firstLineChars="200"/>
              <w:jc w:val="left"/>
              <w:rPr>
                <w:color w:val="auto"/>
                <w:sz w:val="24"/>
                <w:szCs w:val="32"/>
              </w:rPr>
            </w:pPr>
            <w:r>
              <w:rPr>
                <w:rFonts w:hint="eastAsia"/>
                <w:color w:val="auto"/>
                <w:sz w:val="24"/>
                <w:szCs w:val="32"/>
              </w:rPr>
              <w:t>项目主要原辅材料及用量详见表2-3。</w:t>
            </w:r>
          </w:p>
          <w:p w14:paraId="1378B265">
            <w:pPr>
              <w:ind w:firstLine="415" w:firstLineChars="197"/>
              <w:jc w:val="center"/>
              <w:rPr>
                <w:b/>
                <w:bCs/>
                <w:color w:val="auto"/>
              </w:rPr>
            </w:pPr>
            <w:r>
              <w:rPr>
                <w:b/>
                <w:bCs/>
                <w:color w:val="auto"/>
              </w:rPr>
              <w:t>表</w:t>
            </w:r>
            <w:r>
              <w:rPr>
                <w:rFonts w:hint="eastAsia"/>
                <w:b/>
                <w:bCs/>
                <w:color w:val="auto"/>
              </w:rPr>
              <w:t>2</w:t>
            </w:r>
            <w:r>
              <w:rPr>
                <w:b/>
                <w:bCs/>
                <w:color w:val="auto"/>
              </w:rPr>
              <w:t>-</w:t>
            </w:r>
            <w:r>
              <w:rPr>
                <w:rFonts w:hint="eastAsia"/>
                <w:b/>
                <w:bCs/>
                <w:color w:val="auto"/>
              </w:rPr>
              <w:t>3</w:t>
            </w:r>
            <w:r>
              <w:rPr>
                <w:b/>
                <w:bCs/>
                <w:color w:val="auto"/>
              </w:rPr>
              <w:t xml:space="preserve">  主要原辅材料及能源消耗</w:t>
            </w:r>
            <w:r>
              <w:rPr>
                <w:rFonts w:hint="eastAsia"/>
                <w:b/>
                <w:bCs/>
                <w:color w:val="auto"/>
              </w:rPr>
              <w:t>量</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9"/>
              <w:gridCol w:w="1926"/>
              <w:gridCol w:w="672"/>
              <w:gridCol w:w="945"/>
              <w:gridCol w:w="847"/>
              <w:gridCol w:w="1031"/>
              <w:gridCol w:w="1214"/>
              <w:gridCol w:w="1271"/>
            </w:tblGrid>
            <w:tr w14:paraId="5E5E5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0" w:type="pct"/>
                  <w:vAlign w:val="center"/>
                </w:tcPr>
                <w:p w14:paraId="18608929">
                  <w:pPr>
                    <w:pStyle w:val="76"/>
                    <w:autoSpaceDE w:val="0"/>
                    <w:autoSpaceDN w:val="0"/>
                    <w:jc w:val="center"/>
                    <w:rPr>
                      <w:rFonts w:ascii="Times New Roman" w:hAnsi="Times New Roman"/>
                      <w:color w:val="auto"/>
                      <w:szCs w:val="21"/>
                    </w:rPr>
                  </w:pPr>
                  <w:r>
                    <w:rPr>
                      <w:rFonts w:ascii="Times New Roman" w:hAnsi="Times New Roman"/>
                      <w:color w:val="auto"/>
                      <w:szCs w:val="21"/>
                    </w:rPr>
                    <w:t>序号</w:t>
                  </w:r>
                </w:p>
              </w:tc>
              <w:tc>
                <w:tcPr>
                  <w:tcW w:w="1149" w:type="pct"/>
                  <w:vAlign w:val="center"/>
                </w:tcPr>
                <w:p w14:paraId="4A7AB3C6">
                  <w:pPr>
                    <w:pStyle w:val="76"/>
                    <w:autoSpaceDE w:val="0"/>
                    <w:autoSpaceDN w:val="0"/>
                    <w:jc w:val="center"/>
                    <w:rPr>
                      <w:rFonts w:ascii="Times New Roman" w:hAnsi="Times New Roman"/>
                      <w:color w:val="auto"/>
                      <w:szCs w:val="21"/>
                    </w:rPr>
                  </w:pPr>
                  <w:r>
                    <w:rPr>
                      <w:rFonts w:ascii="Times New Roman" w:hAnsi="Times New Roman"/>
                      <w:color w:val="auto"/>
                      <w:szCs w:val="21"/>
                    </w:rPr>
                    <w:t>名称</w:t>
                  </w:r>
                </w:p>
              </w:tc>
              <w:tc>
                <w:tcPr>
                  <w:tcW w:w="401" w:type="pct"/>
                  <w:vAlign w:val="center"/>
                </w:tcPr>
                <w:p w14:paraId="604F9083">
                  <w:pPr>
                    <w:pStyle w:val="76"/>
                    <w:autoSpaceDE w:val="0"/>
                    <w:autoSpaceDN w:val="0"/>
                    <w:jc w:val="center"/>
                    <w:rPr>
                      <w:rFonts w:ascii="Times New Roman" w:hAnsi="Times New Roman"/>
                      <w:color w:val="auto"/>
                      <w:szCs w:val="21"/>
                    </w:rPr>
                  </w:pPr>
                  <w:r>
                    <w:rPr>
                      <w:rFonts w:ascii="Times New Roman" w:hAnsi="Times New Roman"/>
                      <w:color w:val="auto"/>
                      <w:szCs w:val="21"/>
                    </w:rPr>
                    <w:t>单位</w:t>
                  </w:r>
                </w:p>
              </w:tc>
              <w:tc>
                <w:tcPr>
                  <w:tcW w:w="564" w:type="pct"/>
                  <w:vAlign w:val="center"/>
                </w:tcPr>
                <w:p w14:paraId="6767ECC5">
                  <w:pPr>
                    <w:pStyle w:val="76"/>
                    <w:autoSpaceDE w:val="0"/>
                    <w:autoSpaceDN w:val="0"/>
                    <w:jc w:val="center"/>
                    <w:rPr>
                      <w:rFonts w:ascii="Times New Roman" w:hAnsi="Times New Roman"/>
                      <w:color w:val="auto"/>
                      <w:szCs w:val="21"/>
                    </w:rPr>
                  </w:pPr>
                  <w:r>
                    <w:rPr>
                      <w:rFonts w:ascii="Times New Roman" w:hAnsi="Times New Roman"/>
                      <w:color w:val="auto"/>
                      <w:szCs w:val="21"/>
                    </w:rPr>
                    <w:t>年用量</w:t>
                  </w:r>
                </w:p>
              </w:tc>
              <w:tc>
                <w:tcPr>
                  <w:tcW w:w="505" w:type="pct"/>
                  <w:vAlign w:val="center"/>
                </w:tcPr>
                <w:p w14:paraId="18F33316">
                  <w:pPr>
                    <w:pStyle w:val="76"/>
                    <w:autoSpaceDE w:val="0"/>
                    <w:autoSpaceDN w:val="0"/>
                    <w:jc w:val="center"/>
                    <w:rPr>
                      <w:rFonts w:ascii="Times New Roman" w:hAnsi="Times New Roman"/>
                      <w:color w:val="auto"/>
                      <w:szCs w:val="21"/>
                    </w:rPr>
                  </w:pPr>
                  <w:r>
                    <w:rPr>
                      <w:rFonts w:ascii="Times New Roman" w:hAnsi="Times New Roman" w:eastAsia="宋体" w:cs="Times New Roman"/>
                      <w:color w:val="auto"/>
                      <w:szCs w:val="21"/>
                    </w:rPr>
                    <w:t>来源</w:t>
                  </w:r>
                </w:p>
              </w:tc>
              <w:tc>
                <w:tcPr>
                  <w:tcW w:w="615" w:type="pct"/>
                  <w:vAlign w:val="center"/>
                </w:tcPr>
                <w:p w14:paraId="44FB8D96">
                  <w:pPr>
                    <w:pStyle w:val="76"/>
                    <w:autoSpaceDE w:val="0"/>
                    <w:autoSpaceDN w:val="0"/>
                    <w:jc w:val="center"/>
                    <w:rPr>
                      <w:rFonts w:ascii="Times New Roman" w:hAnsi="Times New Roman"/>
                      <w:color w:val="auto"/>
                      <w:szCs w:val="21"/>
                    </w:rPr>
                  </w:pPr>
                  <w:r>
                    <w:rPr>
                      <w:rFonts w:ascii="Times New Roman" w:hAnsi="Times New Roman"/>
                      <w:color w:val="auto"/>
                      <w:szCs w:val="21"/>
                    </w:rPr>
                    <w:t>最大储存量（t）</w:t>
                  </w:r>
                </w:p>
              </w:tc>
              <w:tc>
                <w:tcPr>
                  <w:tcW w:w="724" w:type="pct"/>
                  <w:vAlign w:val="center"/>
                </w:tcPr>
                <w:p w14:paraId="01738EFC">
                  <w:pPr>
                    <w:pStyle w:val="76"/>
                    <w:autoSpaceDE w:val="0"/>
                    <w:autoSpaceDN w:val="0"/>
                    <w:jc w:val="center"/>
                    <w:rPr>
                      <w:rFonts w:ascii="Times New Roman" w:hAnsi="Times New Roman"/>
                      <w:color w:val="auto"/>
                      <w:szCs w:val="21"/>
                    </w:rPr>
                  </w:pPr>
                  <w:r>
                    <w:rPr>
                      <w:rFonts w:ascii="Times New Roman" w:hAnsi="Times New Roman"/>
                      <w:color w:val="auto"/>
                      <w:szCs w:val="21"/>
                    </w:rPr>
                    <w:t>储存位置</w:t>
                  </w:r>
                </w:p>
              </w:tc>
              <w:tc>
                <w:tcPr>
                  <w:tcW w:w="758" w:type="pct"/>
                  <w:vAlign w:val="center"/>
                </w:tcPr>
                <w:p w14:paraId="494104B5">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备注</w:t>
                  </w:r>
                </w:p>
              </w:tc>
            </w:tr>
            <w:tr w14:paraId="3D801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6577562F">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1149" w:type="pct"/>
                  <w:vAlign w:val="center"/>
                </w:tcPr>
                <w:p w14:paraId="2E32326D">
                  <w:pPr>
                    <w:pStyle w:val="76"/>
                    <w:autoSpaceDE w:val="0"/>
                    <w:autoSpaceDN w:val="0"/>
                    <w:jc w:val="center"/>
                    <w:rPr>
                      <w:rFonts w:ascii="Times New Roman" w:hAnsi="Times New Roman"/>
                      <w:color w:val="auto"/>
                      <w:szCs w:val="21"/>
                    </w:rPr>
                  </w:pPr>
                  <w:r>
                    <w:rPr>
                      <w:rFonts w:ascii="Times New Roman" w:hAnsi="Times New Roman"/>
                      <w:color w:val="auto"/>
                      <w:szCs w:val="21"/>
                    </w:rPr>
                    <w:t>废钢料</w:t>
                  </w:r>
                </w:p>
              </w:tc>
              <w:tc>
                <w:tcPr>
                  <w:tcW w:w="401" w:type="pct"/>
                  <w:vAlign w:val="center"/>
                </w:tcPr>
                <w:p w14:paraId="56C541E8">
                  <w:pPr>
                    <w:pStyle w:val="76"/>
                    <w:autoSpaceDE w:val="0"/>
                    <w:autoSpaceDN w:val="0"/>
                    <w:jc w:val="center"/>
                    <w:rPr>
                      <w:rFonts w:ascii="Times New Roman" w:hAnsi="Times New Roman"/>
                      <w:color w:val="auto"/>
                      <w:szCs w:val="21"/>
                    </w:rPr>
                  </w:pPr>
                  <w:r>
                    <w:rPr>
                      <w:rFonts w:ascii="Times New Roman" w:hAnsi="Times New Roman"/>
                      <w:color w:val="auto"/>
                      <w:szCs w:val="21"/>
                    </w:rPr>
                    <w:t>t</w:t>
                  </w:r>
                </w:p>
              </w:tc>
              <w:tc>
                <w:tcPr>
                  <w:tcW w:w="564" w:type="pct"/>
                  <w:vAlign w:val="center"/>
                </w:tcPr>
                <w:p w14:paraId="687E57F7">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42</w:t>
                  </w:r>
                  <w:r>
                    <w:rPr>
                      <w:rFonts w:ascii="Times New Roman" w:hAnsi="Times New Roman"/>
                      <w:color w:val="auto"/>
                      <w:szCs w:val="21"/>
                    </w:rPr>
                    <w:t>00</w:t>
                  </w:r>
                </w:p>
              </w:tc>
              <w:tc>
                <w:tcPr>
                  <w:tcW w:w="505" w:type="pct"/>
                  <w:vAlign w:val="center"/>
                </w:tcPr>
                <w:p w14:paraId="52019424">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219D1B1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w:t>
                  </w:r>
                  <w:r>
                    <w:rPr>
                      <w:rFonts w:ascii="Times New Roman" w:hAnsi="Times New Roman"/>
                      <w:color w:val="auto"/>
                      <w:szCs w:val="21"/>
                    </w:rPr>
                    <w:t>00</w:t>
                  </w:r>
                </w:p>
              </w:tc>
              <w:tc>
                <w:tcPr>
                  <w:tcW w:w="724" w:type="pct"/>
                  <w:vAlign w:val="center"/>
                </w:tcPr>
                <w:p w14:paraId="23263946">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0C6FF113">
                  <w:pPr>
                    <w:pStyle w:val="76"/>
                    <w:autoSpaceDE w:val="0"/>
                    <w:autoSpaceDN w:val="0"/>
                    <w:jc w:val="center"/>
                    <w:rPr>
                      <w:rFonts w:ascii="Times New Roman" w:hAnsi="Times New Roman"/>
                      <w:color w:val="auto"/>
                      <w:szCs w:val="21"/>
                    </w:rPr>
                  </w:pPr>
                </w:p>
              </w:tc>
            </w:tr>
            <w:tr w14:paraId="537B5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757FF9BC">
                  <w:pPr>
                    <w:pStyle w:val="76"/>
                    <w:autoSpaceDE w:val="0"/>
                    <w:autoSpaceDN w:val="0"/>
                    <w:jc w:val="center"/>
                    <w:rPr>
                      <w:rFonts w:ascii="Times New Roman" w:hAnsi="Times New Roman"/>
                      <w:color w:val="auto"/>
                      <w:szCs w:val="21"/>
                    </w:rPr>
                  </w:pPr>
                  <w:r>
                    <w:rPr>
                      <w:rFonts w:ascii="Times New Roman" w:hAnsi="Times New Roman"/>
                      <w:color w:val="auto"/>
                      <w:szCs w:val="21"/>
                    </w:rPr>
                    <w:t>2</w:t>
                  </w:r>
                </w:p>
              </w:tc>
              <w:tc>
                <w:tcPr>
                  <w:tcW w:w="1149" w:type="pct"/>
                  <w:vAlign w:val="center"/>
                </w:tcPr>
                <w:p w14:paraId="499CA758">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废铁粉</w:t>
                  </w:r>
                </w:p>
              </w:tc>
              <w:tc>
                <w:tcPr>
                  <w:tcW w:w="401" w:type="pct"/>
                  <w:vAlign w:val="center"/>
                </w:tcPr>
                <w:p w14:paraId="19CCB329">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t</w:t>
                  </w:r>
                </w:p>
              </w:tc>
              <w:tc>
                <w:tcPr>
                  <w:tcW w:w="564" w:type="pct"/>
                  <w:vAlign w:val="center"/>
                </w:tcPr>
                <w:p w14:paraId="5D01FDB7">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5</w:t>
                  </w:r>
                  <w:r>
                    <w:rPr>
                      <w:rFonts w:ascii="Times New Roman" w:hAnsi="Times New Roman"/>
                      <w:color w:val="auto"/>
                      <w:szCs w:val="21"/>
                    </w:rPr>
                    <w:t>00</w:t>
                  </w:r>
                </w:p>
              </w:tc>
              <w:tc>
                <w:tcPr>
                  <w:tcW w:w="505" w:type="pct"/>
                  <w:vAlign w:val="center"/>
                </w:tcPr>
                <w:p w14:paraId="306F3CCF">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367C972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w:t>
                  </w:r>
                  <w:r>
                    <w:rPr>
                      <w:rFonts w:ascii="Times New Roman" w:hAnsi="Times New Roman"/>
                      <w:color w:val="auto"/>
                      <w:szCs w:val="21"/>
                    </w:rPr>
                    <w:t>00</w:t>
                  </w:r>
                </w:p>
              </w:tc>
              <w:tc>
                <w:tcPr>
                  <w:tcW w:w="724" w:type="pct"/>
                  <w:vAlign w:val="center"/>
                </w:tcPr>
                <w:p w14:paraId="64C0B293">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4F8F9CB3">
                  <w:pPr>
                    <w:pStyle w:val="76"/>
                    <w:autoSpaceDE w:val="0"/>
                    <w:autoSpaceDN w:val="0"/>
                    <w:jc w:val="center"/>
                    <w:rPr>
                      <w:rFonts w:ascii="Times New Roman" w:hAnsi="Times New Roman"/>
                      <w:color w:val="auto"/>
                      <w:szCs w:val="21"/>
                    </w:rPr>
                  </w:pPr>
                </w:p>
              </w:tc>
            </w:tr>
            <w:tr w14:paraId="6C3B4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0" w:type="pct"/>
                  <w:vAlign w:val="center"/>
                </w:tcPr>
                <w:p w14:paraId="3EAE0714">
                  <w:pPr>
                    <w:pStyle w:val="76"/>
                    <w:autoSpaceDE w:val="0"/>
                    <w:autoSpaceDN w:val="0"/>
                    <w:jc w:val="center"/>
                    <w:rPr>
                      <w:rFonts w:ascii="Times New Roman" w:hAnsi="Times New Roman"/>
                      <w:color w:val="auto"/>
                      <w:szCs w:val="21"/>
                    </w:rPr>
                  </w:pPr>
                  <w:r>
                    <w:rPr>
                      <w:rFonts w:ascii="Times New Roman" w:hAnsi="Times New Roman"/>
                      <w:color w:val="auto"/>
                      <w:szCs w:val="21"/>
                    </w:rPr>
                    <w:t>3</w:t>
                  </w:r>
                </w:p>
              </w:tc>
              <w:tc>
                <w:tcPr>
                  <w:tcW w:w="1149" w:type="pct"/>
                  <w:vAlign w:val="center"/>
                </w:tcPr>
                <w:p w14:paraId="3552630E">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不锈钢废料</w:t>
                  </w:r>
                </w:p>
              </w:tc>
              <w:tc>
                <w:tcPr>
                  <w:tcW w:w="401" w:type="pct"/>
                  <w:vAlign w:val="center"/>
                </w:tcPr>
                <w:p w14:paraId="34AEF34B">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t</w:t>
                  </w:r>
                </w:p>
              </w:tc>
              <w:tc>
                <w:tcPr>
                  <w:tcW w:w="564" w:type="pct"/>
                  <w:vAlign w:val="center"/>
                </w:tcPr>
                <w:p w14:paraId="36B84A9B">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8</w:t>
                  </w:r>
                  <w:r>
                    <w:rPr>
                      <w:rFonts w:ascii="Times New Roman" w:hAnsi="Times New Roman"/>
                      <w:color w:val="auto"/>
                      <w:szCs w:val="21"/>
                    </w:rPr>
                    <w:t>00</w:t>
                  </w:r>
                </w:p>
              </w:tc>
              <w:tc>
                <w:tcPr>
                  <w:tcW w:w="505" w:type="pct"/>
                  <w:vAlign w:val="center"/>
                </w:tcPr>
                <w:p w14:paraId="5712E54A">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0AF31E94">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5</w:t>
                  </w:r>
                  <w:r>
                    <w:rPr>
                      <w:rFonts w:ascii="Times New Roman" w:hAnsi="Times New Roman"/>
                      <w:color w:val="auto"/>
                      <w:szCs w:val="21"/>
                    </w:rPr>
                    <w:t>0</w:t>
                  </w:r>
                </w:p>
              </w:tc>
              <w:tc>
                <w:tcPr>
                  <w:tcW w:w="724" w:type="pct"/>
                  <w:vAlign w:val="center"/>
                </w:tcPr>
                <w:p w14:paraId="2BE8CD50">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1D193CB9">
                  <w:pPr>
                    <w:pStyle w:val="76"/>
                    <w:autoSpaceDE w:val="0"/>
                    <w:autoSpaceDN w:val="0"/>
                    <w:jc w:val="center"/>
                    <w:rPr>
                      <w:rFonts w:ascii="Times New Roman" w:hAnsi="Times New Roman"/>
                      <w:color w:val="auto"/>
                      <w:szCs w:val="21"/>
                    </w:rPr>
                  </w:pPr>
                </w:p>
              </w:tc>
            </w:tr>
            <w:tr w14:paraId="7CBC0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38A0F03C">
                  <w:pPr>
                    <w:pStyle w:val="76"/>
                    <w:autoSpaceDE w:val="0"/>
                    <w:autoSpaceDN w:val="0"/>
                    <w:jc w:val="center"/>
                    <w:rPr>
                      <w:rFonts w:ascii="Times New Roman" w:hAnsi="Times New Roman"/>
                      <w:color w:val="auto"/>
                      <w:szCs w:val="21"/>
                    </w:rPr>
                  </w:pPr>
                  <w:r>
                    <w:rPr>
                      <w:rFonts w:ascii="Times New Roman" w:hAnsi="Times New Roman"/>
                      <w:color w:val="auto"/>
                      <w:szCs w:val="21"/>
                    </w:rPr>
                    <w:t>4</w:t>
                  </w:r>
                </w:p>
              </w:tc>
              <w:tc>
                <w:tcPr>
                  <w:tcW w:w="1149" w:type="pct"/>
                  <w:vAlign w:val="center"/>
                </w:tcPr>
                <w:p w14:paraId="112D0F48">
                  <w:pPr>
                    <w:pStyle w:val="76"/>
                    <w:autoSpaceDE w:val="0"/>
                    <w:autoSpaceDN w:val="0"/>
                    <w:jc w:val="center"/>
                    <w:rPr>
                      <w:rFonts w:ascii="Times New Roman" w:hAnsi="Times New Roman"/>
                      <w:color w:val="auto"/>
                      <w:szCs w:val="21"/>
                    </w:rPr>
                  </w:pPr>
                  <w:r>
                    <w:rPr>
                      <w:rFonts w:ascii="Times New Roman" w:hAnsi="Times New Roman"/>
                      <w:color w:val="auto"/>
                      <w:szCs w:val="21"/>
                    </w:rPr>
                    <w:t>EPS珠粒</w:t>
                  </w:r>
                </w:p>
              </w:tc>
              <w:tc>
                <w:tcPr>
                  <w:tcW w:w="401" w:type="pct"/>
                  <w:vAlign w:val="center"/>
                </w:tcPr>
                <w:p w14:paraId="08AFFCB3">
                  <w:pPr>
                    <w:pStyle w:val="76"/>
                    <w:autoSpaceDE w:val="0"/>
                    <w:autoSpaceDN w:val="0"/>
                    <w:jc w:val="center"/>
                    <w:rPr>
                      <w:rFonts w:ascii="Times New Roman" w:hAnsi="Times New Roman"/>
                      <w:color w:val="auto"/>
                      <w:szCs w:val="21"/>
                    </w:rPr>
                  </w:pPr>
                  <w:r>
                    <w:rPr>
                      <w:rFonts w:ascii="Times New Roman" w:hAnsi="Times New Roman"/>
                      <w:color w:val="auto"/>
                      <w:szCs w:val="21"/>
                    </w:rPr>
                    <w:t>t</w:t>
                  </w:r>
                </w:p>
              </w:tc>
              <w:tc>
                <w:tcPr>
                  <w:tcW w:w="564" w:type="pct"/>
                  <w:vAlign w:val="center"/>
                </w:tcPr>
                <w:p w14:paraId="627E13B3">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10</w:t>
                  </w:r>
                </w:p>
              </w:tc>
              <w:tc>
                <w:tcPr>
                  <w:tcW w:w="505" w:type="pct"/>
                  <w:vAlign w:val="center"/>
                </w:tcPr>
                <w:p w14:paraId="19C6AE78">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761FEF68">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724" w:type="pct"/>
                  <w:vAlign w:val="center"/>
                </w:tcPr>
                <w:p w14:paraId="4230635D">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5560C6EB">
                  <w:pPr>
                    <w:pStyle w:val="76"/>
                    <w:autoSpaceDE w:val="0"/>
                    <w:autoSpaceDN w:val="0"/>
                    <w:jc w:val="center"/>
                    <w:rPr>
                      <w:rFonts w:ascii="Times New Roman" w:hAnsi="Times New Roman"/>
                      <w:color w:val="auto"/>
                      <w:szCs w:val="21"/>
                    </w:rPr>
                  </w:pPr>
                </w:p>
              </w:tc>
            </w:tr>
            <w:tr w14:paraId="1F130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537CA950">
                  <w:pPr>
                    <w:pStyle w:val="76"/>
                    <w:autoSpaceDE w:val="0"/>
                    <w:autoSpaceDN w:val="0"/>
                    <w:jc w:val="center"/>
                    <w:rPr>
                      <w:rFonts w:ascii="Times New Roman" w:hAnsi="Times New Roman"/>
                      <w:color w:val="auto"/>
                      <w:szCs w:val="21"/>
                    </w:rPr>
                  </w:pPr>
                  <w:r>
                    <w:rPr>
                      <w:rFonts w:ascii="Times New Roman" w:hAnsi="Times New Roman"/>
                      <w:color w:val="auto"/>
                      <w:szCs w:val="21"/>
                    </w:rPr>
                    <w:t>5</w:t>
                  </w:r>
                </w:p>
              </w:tc>
              <w:tc>
                <w:tcPr>
                  <w:tcW w:w="1149" w:type="pct"/>
                  <w:vAlign w:val="center"/>
                </w:tcPr>
                <w:p w14:paraId="70784FD4">
                  <w:pPr>
                    <w:pStyle w:val="76"/>
                    <w:autoSpaceDE w:val="0"/>
                    <w:autoSpaceDN w:val="0"/>
                    <w:jc w:val="center"/>
                    <w:rPr>
                      <w:rFonts w:ascii="Times New Roman" w:hAnsi="Times New Roman"/>
                      <w:color w:val="auto"/>
                      <w:szCs w:val="21"/>
                    </w:rPr>
                  </w:pPr>
                  <w:r>
                    <w:rPr>
                      <w:rFonts w:ascii="Times New Roman" w:hAnsi="Times New Roman"/>
                      <w:color w:val="auto"/>
                      <w:szCs w:val="21"/>
                    </w:rPr>
                    <w:t>共聚料珠粒</w:t>
                  </w:r>
                </w:p>
              </w:tc>
              <w:tc>
                <w:tcPr>
                  <w:tcW w:w="401" w:type="pct"/>
                  <w:vAlign w:val="center"/>
                </w:tcPr>
                <w:p w14:paraId="529B7C30">
                  <w:pPr>
                    <w:pStyle w:val="76"/>
                    <w:autoSpaceDE w:val="0"/>
                    <w:autoSpaceDN w:val="0"/>
                    <w:jc w:val="center"/>
                    <w:rPr>
                      <w:rFonts w:ascii="Times New Roman" w:hAnsi="Times New Roman"/>
                      <w:color w:val="auto"/>
                      <w:szCs w:val="21"/>
                    </w:rPr>
                  </w:pPr>
                  <w:r>
                    <w:rPr>
                      <w:rFonts w:ascii="Times New Roman" w:hAnsi="Times New Roman"/>
                      <w:color w:val="auto"/>
                      <w:szCs w:val="21"/>
                    </w:rPr>
                    <w:t>t</w:t>
                  </w:r>
                </w:p>
              </w:tc>
              <w:tc>
                <w:tcPr>
                  <w:tcW w:w="564" w:type="pct"/>
                  <w:vAlign w:val="center"/>
                </w:tcPr>
                <w:p w14:paraId="31F8272A">
                  <w:pPr>
                    <w:pStyle w:val="76"/>
                    <w:autoSpaceDE w:val="0"/>
                    <w:autoSpaceDN w:val="0"/>
                    <w:jc w:val="center"/>
                    <w:rPr>
                      <w:rFonts w:ascii="Times New Roman" w:hAnsi="Times New Roman"/>
                      <w:color w:val="auto"/>
                      <w:szCs w:val="21"/>
                    </w:rPr>
                  </w:pPr>
                  <w:r>
                    <w:rPr>
                      <w:rFonts w:ascii="Times New Roman" w:hAnsi="Times New Roman"/>
                      <w:color w:val="auto"/>
                      <w:szCs w:val="21"/>
                    </w:rPr>
                    <w:t>2</w:t>
                  </w:r>
                </w:p>
              </w:tc>
              <w:tc>
                <w:tcPr>
                  <w:tcW w:w="505" w:type="pct"/>
                  <w:vAlign w:val="center"/>
                </w:tcPr>
                <w:p w14:paraId="1803350D">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4E16EF71">
                  <w:pPr>
                    <w:pStyle w:val="76"/>
                    <w:autoSpaceDE w:val="0"/>
                    <w:autoSpaceDN w:val="0"/>
                    <w:jc w:val="center"/>
                    <w:rPr>
                      <w:rFonts w:ascii="Times New Roman" w:hAnsi="Times New Roman"/>
                      <w:color w:val="auto"/>
                      <w:szCs w:val="21"/>
                    </w:rPr>
                  </w:pPr>
                  <w:r>
                    <w:rPr>
                      <w:rFonts w:ascii="Times New Roman" w:hAnsi="Times New Roman"/>
                      <w:color w:val="auto"/>
                      <w:szCs w:val="21"/>
                    </w:rPr>
                    <w:t>0.2</w:t>
                  </w:r>
                </w:p>
              </w:tc>
              <w:tc>
                <w:tcPr>
                  <w:tcW w:w="724" w:type="pct"/>
                  <w:vAlign w:val="center"/>
                </w:tcPr>
                <w:p w14:paraId="60EC92F9">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6ECF3AE3">
                  <w:pPr>
                    <w:pStyle w:val="76"/>
                    <w:autoSpaceDE w:val="0"/>
                    <w:autoSpaceDN w:val="0"/>
                    <w:jc w:val="center"/>
                    <w:rPr>
                      <w:rFonts w:ascii="Times New Roman" w:hAnsi="Times New Roman"/>
                      <w:color w:val="auto"/>
                      <w:szCs w:val="21"/>
                    </w:rPr>
                  </w:pPr>
                </w:p>
              </w:tc>
            </w:tr>
            <w:tr w14:paraId="66511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39091F13">
                  <w:pPr>
                    <w:pStyle w:val="76"/>
                    <w:autoSpaceDE w:val="0"/>
                    <w:autoSpaceDN w:val="0"/>
                    <w:jc w:val="center"/>
                    <w:rPr>
                      <w:rFonts w:ascii="Times New Roman" w:hAnsi="Times New Roman"/>
                      <w:color w:val="auto"/>
                      <w:szCs w:val="21"/>
                    </w:rPr>
                  </w:pPr>
                  <w:r>
                    <w:rPr>
                      <w:rFonts w:ascii="Times New Roman" w:hAnsi="Times New Roman"/>
                      <w:color w:val="auto"/>
                      <w:szCs w:val="21"/>
                    </w:rPr>
                    <w:t>6</w:t>
                  </w:r>
                </w:p>
              </w:tc>
              <w:tc>
                <w:tcPr>
                  <w:tcW w:w="1149" w:type="pct"/>
                  <w:vAlign w:val="center"/>
                </w:tcPr>
                <w:p w14:paraId="2DF9F2AC">
                  <w:pPr>
                    <w:pStyle w:val="76"/>
                    <w:autoSpaceDE w:val="0"/>
                    <w:autoSpaceDN w:val="0"/>
                    <w:jc w:val="center"/>
                    <w:rPr>
                      <w:rFonts w:ascii="Times New Roman" w:hAnsi="Times New Roman"/>
                      <w:color w:val="auto"/>
                      <w:szCs w:val="21"/>
                    </w:rPr>
                  </w:pPr>
                  <w:r>
                    <w:rPr>
                      <w:rFonts w:ascii="Times New Roman" w:hAnsi="Times New Roman"/>
                      <w:color w:val="auto"/>
                      <w:szCs w:val="21"/>
                    </w:rPr>
                    <w:t>消失模用泡沫板</w:t>
                  </w:r>
                </w:p>
              </w:tc>
              <w:tc>
                <w:tcPr>
                  <w:tcW w:w="401" w:type="pct"/>
                  <w:vAlign w:val="center"/>
                </w:tcPr>
                <w:p w14:paraId="68DF70FF">
                  <w:pPr>
                    <w:pStyle w:val="76"/>
                    <w:autoSpaceDE w:val="0"/>
                    <w:autoSpaceDN w:val="0"/>
                    <w:jc w:val="center"/>
                    <w:rPr>
                      <w:rFonts w:ascii="Times New Roman" w:hAnsi="Times New Roman"/>
                      <w:color w:val="auto"/>
                      <w:szCs w:val="21"/>
                    </w:rPr>
                  </w:pPr>
                  <w:r>
                    <w:rPr>
                      <w:rFonts w:ascii="Times New Roman" w:hAnsi="Times New Roman"/>
                      <w:color w:val="auto"/>
                      <w:szCs w:val="21"/>
                    </w:rPr>
                    <w:t>t</w:t>
                  </w:r>
                </w:p>
              </w:tc>
              <w:tc>
                <w:tcPr>
                  <w:tcW w:w="564" w:type="pct"/>
                  <w:vAlign w:val="center"/>
                </w:tcPr>
                <w:p w14:paraId="5EFECF89">
                  <w:pPr>
                    <w:pStyle w:val="76"/>
                    <w:autoSpaceDE w:val="0"/>
                    <w:autoSpaceDN w:val="0"/>
                    <w:jc w:val="center"/>
                    <w:rPr>
                      <w:rFonts w:ascii="Times New Roman" w:hAnsi="Times New Roman"/>
                      <w:color w:val="auto"/>
                      <w:szCs w:val="21"/>
                    </w:rPr>
                  </w:pPr>
                  <w:r>
                    <w:rPr>
                      <w:rFonts w:ascii="Times New Roman" w:hAnsi="Times New Roman"/>
                      <w:color w:val="auto"/>
                      <w:szCs w:val="21"/>
                    </w:rPr>
                    <w:t>5</w:t>
                  </w:r>
                </w:p>
              </w:tc>
              <w:tc>
                <w:tcPr>
                  <w:tcW w:w="505" w:type="pct"/>
                  <w:vAlign w:val="center"/>
                </w:tcPr>
                <w:p w14:paraId="706C9FFF">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1242E2B0">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724" w:type="pct"/>
                  <w:vAlign w:val="center"/>
                </w:tcPr>
                <w:p w14:paraId="2AFF46E4">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1E4F6136">
                  <w:pPr>
                    <w:pStyle w:val="76"/>
                    <w:autoSpaceDE w:val="0"/>
                    <w:autoSpaceDN w:val="0"/>
                    <w:jc w:val="center"/>
                    <w:rPr>
                      <w:rFonts w:ascii="Times New Roman" w:hAnsi="Times New Roman"/>
                      <w:color w:val="auto"/>
                      <w:szCs w:val="21"/>
                    </w:rPr>
                  </w:pPr>
                </w:p>
              </w:tc>
            </w:tr>
            <w:tr w14:paraId="52799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505C739C">
                  <w:pPr>
                    <w:pStyle w:val="76"/>
                    <w:autoSpaceDE w:val="0"/>
                    <w:autoSpaceDN w:val="0"/>
                    <w:jc w:val="center"/>
                    <w:rPr>
                      <w:rFonts w:ascii="Times New Roman" w:hAnsi="Times New Roman"/>
                      <w:color w:val="auto"/>
                      <w:szCs w:val="21"/>
                    </w:rPr>
                  </w:pPr>
                  <w:r>
                    <w:rPr>
                      <w:rFonts w:ascii="Times New Roman" w:hAnsi="Times New Roman"/>
                      <w:color w:val="auto"/>
                      <w:szCs w:val="21"/>
                    </w:rPr>
                    <w:t>7</w:t>
                  </w:r>
                </w:p>
              </w:tc>
              <w:tc>
                <w:tcPr>
                  <w:tcW w:w="1149" w:type="pct"/>
                  <w:vAlign w:val="center"/>
                </w:tcPr>
                <w:p w14:paraId="05CC11B3">
                  <w:pPr>
                    <w:pStyle w:val="76"/>
                    <w:autoSpaceDE w:val="0"/>
                    <w:autoSpaceDN w:val="0"/>
                    <w:jc w:val="center"/>
                    <w:rPr>
                      <w:rFonts w:ascii="Times New Roman" w:hAnsi="Times New Roman"/>
                      <w:color w:val="auto"/>
                      <w:szCs w:val="21"/>
                    </w:rPr>
                  </w:pPr>
                  <w:r>
                    <w:rPr>
                      <w:rFonts w:ascii="Times New Roman" w:hAnsi="Times New Roman"/>
                      <w:color w:val="auto"/>
                      <w:szCs w:val="21"/>
                    </w:rPr>
                    <w:t>粉末涂料</w:t>
                  </w:r>
                </w:p>
              </w:tc>
              <w:tc>
                <w:tcPr>
                  <w:tcW w:w="401" w:type="pct"/>
                  <w:vAlign w:val="center"/>
                </w:tcPr>
                <w:p w14:paraId="00CFB455">
                  <w:pPr>
                    <w:pStyle w:val="76"/>
                    <w:autoSpaceDE w:val="0"/>
                    <w:autoSpaceDN w:val="0"/>
                    <w:jc w:val="center"/>
                    <w:rPr>
                      <w:rFonts w:ascii="Times New Roman" w:hAnsi="Times New Roman"/>
                      <w:color w:val="auto"/>
                      <w:szCs w:val="21"/>
                    </w:rPr>
                  </w:pPr>
                  <w:r>
                    <w:rPr>
                      <w:rFonts w:ascii="Times New Roman" w:hAnsi="Times New Roman"/>
                      <w:color w:val="auto"/>
                      <w:szCs w:val="21"/>
                    </w:rPr>
                    <w:t>t</w:t>
                  </w:r>
                </w:p>
              </w:tc>
              <w:tc>
                <w:tcPr>
                  <w:tcW w:w="564" w:type="pct"/>
                  <w:vAlign w:val="center"/>
                </w:tcPr>
                <w:p w14:paraId="3B45CC1D">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w:t>
                  </w:r>
                  <w:r>
                    <w:rPr>
                      <w:rFonts w:ascii="Times New Roman" w:hAnsi="Times New Roman"/>
                      <w:color w:val="auto"/>
                      <w:szCs w:val="21"/>
                    </w:rPr>
                    <w:t>50</w:t>
                  </w:r>
                </w:p>
              </w:tc>
              <w:tc>
                <w:tcPr>
                  <w:tcW w:w="505" w:type="pct"/>
                  <w:vAlign w:val="center"/>
                </w:tcPr>
                <w:p w14:paraId="7FB446F4">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421302D0">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30</w:t>
                  </w:r>
                </w:p>
              </w:tc>
              <w:tc>
                <w:tcPr>
                  <w:tcW w:w="724" w:type="pct"/>
                  <w:vAlign w:val="center"/>
                </w:tcPr>
                <w:p w14:paraId="6E5FCF49">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6CA008AC">
                  <w:pPr>
                    <w:pStyle w:val="76"/>
                    <w:autoSpaceDE w:val="0"/>
                    <w:autoSpaceDN w:val="0"/>
                    <w:jc w:val="center"/>
                    <w:rPr>
                      <w:rFonts w:ascii="Times New Roman" w:hAnsi="Times New Roman"/>
                      <w:color w:val="auto"/>
                      <w:szCs w:val="21"/>
                    </w:rPr>
                  </w:pPr>
                </w:p>
              </w:tc>
            </w:tr>
            <w:tr w14:paraId="79BE8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1CB19B6B">
                  <w:pPr>
                    <w:pStyle w:val="76"/>
                    <w:autoSpaceDE w:val="0"/>
                    <w:autoSpaceDN w:val="0"/>
                    <w:jc w:val="center"/>
                    <w:rPr>
                      <w:rFonts w:ascii="Times New Roman" w:hAnsi="Times New Roman"/>
                      <w:color w:val="auto"/>
                      <w:szCs w:val="21"/>
                    </w:rPr>
                  </w:pPr>
                  <w:r>
                    <w:rPr>
                      <w:rFonts w:ascii="Times New Roman" w:hAnsi="Times New Roman"/>
                      <w:color w:val="auto"/>
                      <w:szCs w:val="21"/>
                    </w:rPr>
                    <w:t>8</w:t>
                  </w:r>
                </w:p>
              </w:tc>
              <w:tc>
                <w:tcPr>
                  <w:tcW w:w="1149" w:type="pct"/>
                  <w:vAlign w:val="center"/>
                </w:tcPr>
                <w:p w14:paraId="64A410AA">
                  <w:pPr>
                    <w:pStyle w:val="76"/>
                    <w:autoSpaceDE w:val="0"/>
                    <w:autoSpaceDN w:val="0"/>
                    <w:jc w:val="center"/>
                    <w:rPr>
                      <w:rFonts w:ascii="Times New Roman" w:hAnsi="Times New Roman"/>
                      <w:color w:val="auto"/>
                      <w:szCs w:val="21"/>
                    </w:rPr>
                  </w:pPr>
                  <w:r>
                    <w:rPr>
                      <w:rFonts w:ascii="Times New Roman" w:hAnsi="Times New Roman"/>
                      <w:color w:val="auto"/>
                      <w:szCs w:val="21"/>
                    </w:rPr>
                    <w:t>消失模用胶棒</w:t>
                  </w:r>
                </w:p>
              </w:tc>
              <w:tc>
                <w:tcPr>
                  <w:tcW w:w="401" w:type="pct"/>
                  <w:vAlign w:val="center"/>
                </w:tcPr>
                <w:p w14:paraId="05203DD3">
                  <w:pPr>
                    <w:pStyle w:val="76"/>
                    <w:autoSpaceDE w:val="0"/>
                    <w:autoSpaceDN w:val="0"/>
                    <w:jc w:val="center"/>
                    <w:rPr>
                      <w:rFonts w:ascii="Times New Roman" w:hAnsi="Times New Roman"/>
                      <w:color w:val="auto"/>
                      <w:szCs w:val="21"/>
                    </w:rPr>
                  </w:pPr>
                  <w:r>
                    <w:rPr>
                      <w:rFonts w:ascii="Times New Roman" w:hAnsi="Times New Roman"/>
                      <w:color w:val="auto"/>
                      <w:szCs w:val="21"/>
                    </w:rPr>
                    <w:t>t</w:t>
                  </w:r>
                </w:p>
              </w:tc>
              <w:tc>
                <w:tcPr>
                  <w:tcW w:w="564" w:type="pct"/>
                  <w:vAlign w:val="center"/>
                </w:tcPr>
                <w:p w14:paraId="40F088FD">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w:t>
                  </w:r>
                  <w:r>
                    <w:rPr>
                      <w:rFonts w:ascii="Times New Roman" w:hAnsi="Times New Roman"/>
                      <w:color w:val="auto"/>
                      <w:szCs w:val="21"/>
                    </w:rPr>
                    <w:t>3</w:t>
                  </w:r>
                </w:p>
              </w:tc>
              <w:tc>
                <w:tcPr>
                  <w:tcW w:w="505" w:type="pct"/>
                  <w:vAlign w:val="center"/>
                </w:tcPr>
                <w:p w14:paraId="66C43ABC">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110E1C8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0.03</w:t>
                  </w:r>
                </w:p>
              </w:tc>
              <w:tc>
                <w:tcPr>
                  <w:tcW w:w="724" w:type="pct"/>
                  <w:vAlign w:val="center"/>
                </w:tcPr>
                <w:p w14:paraId="656A60C1">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3D0EBEE7">
                  <w:pPr>
                    <w:pStyle w:val="76"/>
                    <w:autoSpaceDE w:val="0"/>
                    <w:autoSpaceDN w:val="0"/>
                    <w:jc w:val="center"/>
                    <w:rPr>
                      <w:rFonts w:ascii="Times New Roman" w:hAnsi="Times New Roman"/>
                      <w:color w:val="auto"/>
                      <w:szCs w:val="21"/>
                    </w:rPr>
                  </w:pPr>
                </w:p>
              </w:tc>
            </w:tr>
            <w:tr w14:paraId="6F60F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1D7DBB0C">
                  <w:pPr>
                    <w:pStyle w:val="76"/>
                    <w:autoSpaceDE w:val="0"/>
                    <w:autoSpaceDN w:val="0"/>
                    <w:jc w:val="center"/>
                    <w:rPr>
                      <w:rFonts w:ascii="Times New Roman" w:hAnsi="Times New Roman"/>
                      <w:color w:val="auto"/>
                      <w:szCs w:val="21"/>
                    </w:rPr>
                  </w:pPr>
                  <w:r>
                    <w:rPr>
                      <w:rFonts w:ascii="Times New Roman" w:hAnsi="Times New Roman"/>
                      <w:color w:val="auto"/>
                      <w:szCs w:val="21"/>
                    </w:rPr>
                    <w:t>9</w:t>
                  </w:r>
                </w:p>
              </w:tc>
              <w:tc>
                <w:tcPr>
                  <w:tcW w:w="1149" w:type="pct"/>
                  <w:vAlign w:val="center"/>
                </w:tcPr>
                <w:p w14:paraId="7B7D6D09">
                  <w:pPr>
                    <w:pStyle w:val="76"/>
                    <w:autoSpaceDE w:val="0"/>
                    <w:autoSpaceDN w:val="0"/>
                    <w:jc w:val="center"/>
                    <w:rPr>
                      <w:rFonts w:ascii="Times New Roman" w:hAnsi="Times New Roman"/>
                      <w:color w:val="auto"/>
                      <w:szCs w:val="21"/>
                    </w:rPr>
                  </w:pPr>
                  <w:r>
                    <w:rPr>
                      <w:rFonts w:ascii="Times New Roman" w:hAnsi="Times New Roman"/>
                      <w:color w:val="auto"/>
                      <w:szCs w:val="21"/>
                    </w:rPr>
                    <w:t>消失模用冷胶</w:t>
                  </w:r>
                </w:p>
              </w:tc>
              <w:tc>
                <w:tcPr>
                  <w:tcW w:w="401" w:type="pct"/>
                  <w:vAlign w:val="center"/>
                </w:tcPr>
                <w:p w14:paraId="15CCDC85">
                  <w:pPr>
                    <w:pStyle w:val="76"/>
                    <w:autoSpaceDE w:val="0"/>
                    <w:autoSpaceDN w:val="0"/>
                    <w:jc w:val="center"/>
                    <w:rPr>
                      <w:rFonts w:ascii="Times New Roman" w:hAnsi="Times New Roman"/>
                      <w:color w:val="auto"/>
                      <w:szCs w:val="21"/>
                    </w:rPr>
                  </w:pPr>
                  <w:r>
                    <w:rPr>
                      <w:rFonts w:ascii="Times New Roman" w:hAnsi="Times New Roman"/>
                      <w:color w:val="auto"/>
                      <w:szCs w:val="21"/>
                    </w:rPr>
                    <w:t>t</w:t>
                  </w:r>
                </w:p>
              </w:tc>
              <w:tc>
                <w:tcPr>
                  <w:tcW w:w="564" w:type="pct"/>
                  <w:vAlign w:val="center"/>
                </w:tcPr>
                <w:p w14:paraId="6F34A3AB">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0.5</w:t>
                  </w:r>
                </w:p>
              </w:tc>
              <w:tc>
                <w:tcPr>
                  <w:tcW w:w="505" w:type="pct"/>
                  <w:vAlign w:val="center"/>
                </w:tcPr>
                <w:p w14:paraId="5177D0A7">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7C8C887B">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0.03</w:t>
                  </w:r>
                </w:p>
              </w:tc>
              <w:tc>
                <w:tcPr>
                  <w:tcW w:w="724" w:type="pct"/>
                  <w:vAlign w:val="center"/>
                </w:tcPr>
                <w:p w14:paraId="365CD384">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222B3A1C">
                  <w:pPr>
                    <w:pStyle w:val="76"/>
                    <w:autoSpaceDE w:val="0"/>
                    <w:autoSpaceDN w:val="0"/>
                    <w:jc w:val="center"/>
                    <w:rPr>
                      <w:rFonts w:ascii="Times New Roman" w:hAnsi="Times New Roman"/>
                      <w:color w:val="auto"/>
                      <w:szCs w:val="21"/>
                    </w:rPr>
                  </w:pPr>
                </w:p>
              </w:tc>
            </w:tr>
            <w:tr w14:paraId="6B68D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771A80B0">
                  <w:pPr>
                    <w:pStyle w:val="76"/>
                    <w:autoSpaceDE w:val="0"/>
                    <w:autoSpaceDN w:val="0"/>
                    <w:jc w:val="center"/>
                    <w:rPr>
                      <w:rFonts w:ascii="Times New Roman" w:hAnsi="Times New Roman"/>
                      <w:color w:val="auto"/>
                      <w:szCs w:val="21"/>
                    </w:rPr>
                  </w:pPr>
                  <w:r>
                    <w:rPr>
                      <w:rFonts w:ascii="Times New Roman" w:hAnsi="Times New Roman"/>
                      <w:color w:val="auto"/>
                      <w:szCs w:val="21"/>
                    </w:rPr>
                    <w:t>10</w:t>
                  </w:r>
                </w:p>
              </w:tc>
              <w:tc>
                <w:tcPr>
                  <w:tcW w:w="1149" w:type="pct"/>
                  <w:vAlign w:val="center"/>
                </w:tcPr>
                <w:p w14:paraId="4EC7D7E6">
                  <w:pPr>
                    <w:pStyle w:val="76"/>
                    <w:autoSpaceDE w:val="0"/>
                    <w:autoSpaceDN w:val="0"/>
                    <w:jc w:val="center"/>
                    <w:rPr>
                      <w:rFonts w:ascii="Times New Roman" w:hAnsi="Times New Roman"/>
                      <w:color w:val="auto"/>
                      <w:szCs w:val="21"/>
                    </w:rPr>
                  </w:pPr>
                  <w:r>
                    <w:rPr>
                      <w:rFonts w:ascii="Times New Roman" w:hAnsi="Times New Roman"/>
                      <w:color w:val="auto"/>
                      <w:szCs w:val="21"/>
                    </w:rPr>
                    <w:t>消失模修补膏</w:t>
                  </w:r>
                </w:p>
              </w:tc>
              <w:tc>
                <w:tcPr>
                  <w:tcW w:w="401" w:type="pct"/>
                  <w:vAlign w:val="center"/>
                </w:tcPr>
                <w:p w14:paraId="63B2650D">
                  <w:pPr>
                    <w:pStyle w:val="76"/>
                    <w:autoSpaceDE w:val="0"/>
                    <w:autoSpaceDN w:val="0"/>
                    <w:jc w:val="center"/>
                    <w:rPr>
                      <w:rFonts w:ascii="Times New Roman" w:hAnsi="Times New Roman"/>
                      <w:color w:val="auto"/>
                      <w:szCs w:val="21"/>
                    </w:rPr>
                  </w:pPr>
                  <w:r>
                    <w:rPr>
                      <w:rFonts w:ascii="Times New Roman" w:hAnsi="Times New Roman"/>
                      <w:color w:val="auto"/>
                      <w:szCs w:val="21"/>
                    </w:rPr>
                    <w:t>t</w:t>
                  </w:r>
                </w:p>
              </w:tc>
              <w:tc>
                <w:tcPr>
                  <w:tcW w:w="564" w:type="pct"/>
                  <w:vAlign w:val="center"/>
                </w:tcPr>
                <w:p w14:paraId="4DDB7D09">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0.1</w:t>
                  </w:r>
                </w:p>
              </w:tc>
              <w:tc>
                <w:tcPr>
                  <w:tcW w:w="505" w:type="pct"/>
                  <w:vAlign w:val="center"/>
                </w:tcPr>
                <w:p w14:paraId="7858AFE3">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7D608DB3">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0.0</w:t>
                  </w:r>
                  <w:r>
                    <w:rPr>
                      <w:rFonts w:ascii="Times New Roman" w:hAnsi="Times New Roman"/>
                      <w:color w:val="auto"/>
                      <w:szCs w:val="21"/>
                    </w:rPr>
                    <w:t>4</w:t>
                  </w:r>
                </w:p>
              </w:tc>
              <w:tc>
                <w:tcPr>
                  <w:tcW w:w="724" w:type="pct"/>
                  <w:vAlign w:val="center"/>
                </w:tcPr>
                <w:p w14:paraId="7C28FE24">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4BAA9D7E">
                  <w:pPr>
                    <w:pStyle w:val="76"/>
                    <w:autoSpaceDE w:val="0"/>
                    <w:autoSpaceDN w:val="0"/>
                    <w:jc w:val="center"/>
                    <w:rPr>
                      <w:rFonts w:ascii="Times New Roman" w:hAnsi="Times New Roman"/>
                      <w:color w:val="auto"/>
                      <w:szCs w:val="21"/>
                    </w:rPr>
                  </w:pPr>
                </w:p>
              </w:tc>
            </w:tr>
            <w:tr w14:paraId="0C555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2F67F465">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11</w:t>
                  </w:r>
                </w:p>
              </w:tc>
              <w:tc>
                <w:tcPr>
                  <w:tcW w:w="1149" w:type="pct"/>
                  <w:vAlign w:val="center"/>
                </w:tcPr>
                <w:p w14:paraId="421798BD">
                  <w:pPr>
                    <w:pStyle w:val="76"/>
                    <w:autoSpaceDE w:val="0"/>
                    <w:autoSpaceDN w:val="0"/>
                    <w:jc w:val="center"/>
                    <w:rPr>
                      <w:rFonts w:ascii="Times New Roman" w:hAnsi="Times New Roman"/>
                      <w:color w:val="auto"/>
                      <w:szCs w:val="21"/>
                    </w:rPr>
                  </w:pPr>
                  <w:r>
                    <w:rPr>
                      <w:rFonts w:ascii="Times New Roman" w:hAnsi="Times New Roman"/>
                      <w:color w:val="auto"/>
                      <w:szCs w:val="21"/>
                    </w:rPr>
                    <w:t>消失模纤维棒</w:t>
                  </w:r>
                </w:p>
              </w:tc>
              <w:tc>
                <w:tcPr>
                  <w:tcW w:w="401" w:type="pct"/>
                  <w:vAlign w:val="center"/>
                </w:tcPr>
                <w:p w14:paraId="1E4B6088">
                  <w:pPr>
                    <w:pStyle w:val="76"/>
                    <w:autoSpaceDE w:val="0"/>
                    <w:autoSpaceDN w:val="0"/>
                    <w:jc w:val="center"/>
                    <w:rPr>
                      <w:rFonts w:ascii="Times New Roman" w:hAnsi="Times New Roman"/>
                      <w:color w:val="auto"/>
                      <w:szCs w:val="21"/>
                    </w:rPr>
                  </w:pPr>
                  <w:r>
                    <w:rPr>
                      <w:rFonts w:ascii="Times New Roman" w:hAnsi="Times New Roman"/>
                      <w:color w:val="auto"/>
                      <w:szCs w:val="21"/>
                    </w:rPr>
                    <w:t>t</w:t>
                  </w:r>
                </w:p>
              </w:tc>
              <w:tc>
                <w:tcPr>
                  <w:tcW w:w="564" w:type="pct"/>
                  <w:vAlign w:val="center"/>
                </w:tcPr>
                <w:p w14:paraId="4CC2FB07">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w:t>
                  </w:r>
                </w:p>
              </w:tc>
              <w:tc>
                <w:tcPr>
                  <w:tcW w:w="505" w:type="pct"/>
                  <w:vAlign w:val="center"/>
                </w:tcPr>
                <w:p w14:paraId="6F25092B">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7ADD975A">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0.01</w:t>
                  </w:r>
                </w:p>
              </w:tc>
              <w:tc>
                <w:tcPr>
                  <w:tcW w:w="724" w:type="pct"/>
                  <w:vAlign w:val="center"/>
                </w:tcPr>
                <w:p w14:paraId="220444B8">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18CD0569">
                  <w:pPr>
                    <w:pStyle w:val="76"/>
                    <w:autoSpaceDE w:val="0"/>
                    <w:autoSpaceDN w:val="0"/>
                    <w:jc w:val="center"/>
                    <w:rPr>
                      <w:rFonts w:ascii="Times New Roman" w:hAnsi="Times New Roman"/>
                      <w:color w:val="auto"/>
                      <w:szCs w:val="21"/>
                    </w:rPr>
                  </w:pPr>
                </w:p>
              </w:tc>
            </w:tr>
            <w:tr w14:paraId="02B14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4176D913">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12</w:t>
                  </w:r>
                </w:p>
              </w:tc>
              <w:tc>
                <w:tcPr>
                  <w:tcW w:w="1149" w:type="pct"/>
                  <w:vAlign w:val="center"/>
                </w:tcPr>
                <w:p w14:paraId="07728D37">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石英</w:t>
                  </w:r>
                  <w:r>
                    <w:rPr>
                      <w:rFonts w:ascii="Times New Roman" w:hAnsi="Times New Roman"/>
                      <w:color w:val="auto"/>
                      <w:szCs w:val="21"/>
                    </w:rPr>
                    <w:t>砂</w:t>
                  </w:r>
                </w:p>
              </w:tc>
              <w:tc>
                <w:tcPr>
                  <w:tcW w:w="401" w:type="pct"/>
                  <w:vAlign w:val="center"/>
                </w:tcPr>
                <w:p w14:paraId="50A02C41">
                  <w:pPr>
                    <w:pStyle w:val="76"/>
                    <w:autoSpaceDE w:val="0"/>
                    <w:autoSpaceDN w:val="0"/>
                    <w:jc w:val="center"/>
                    <w:rPr>
                      <w:rFonts w:ascii="Times New Roman" w:hAnsi="Times New Roman"/>
                      <w:color w:val="auto"/>
                      <w:szCs w:val="21"/>
                    </w:rPr>
                  </w:pPr>
                  <w:r>
                    <w:rPr>
                      <w:rFonts w:ascii="Times New Roman" w:hAnsi="Times New Roman"/>
                      <w:color w:val="auto"/>
                      <w:szCs w:val="21"/>
                    </w:rPr>
                    <w:t>t</w:t>
                  </w:r>
                </w:p>
              </w:tc>
              <w:tc>
                <w:tcPr>
                  <w:tcW w:w="564" w:type="pct"/>
                  <w:vAlign w:val="center"/>
                </w:tcPr>
                <w:p w14:paraId="2BCE9913">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30</w:t>
                  </w:r>
                  <w:r>
                    <w:rPr>
                      <w:rFonts w:ascii="Times New Roman" w:hAnsi="Times New Roman"/>
                      <w:color w:val="auto"/>
                      <w:szCs w:val="21"/>
                    </w:rPr>
                    <w:t>0</w:t>
                  </w:r>
                </w:p>
              </w:tc>
              <w:tc>
                <w:tcPr>
                  <w:tcW w:w="505" w:type="pct"/>
                  <w:vAlign w:val="center"/>
                </w:tcPr>
                <w:p w14:paraId="2FD3311D">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540FFCC0">
                  <w:pPr>
                    <w:pStyle w:val="76"/>
                    <w:autoSpaceDE w:val="0"/>
                    <w:autoSpaceDN w:val="0"/>
                    <w:jc w:val="center"/>
                    <w:rPr>
                      <w:rFonts w:ascii="Times New Roman" w:hAnsi="Times New Roman"/>
                      <w:color w:val="auto"/>
                      <w:szCs w:val="21"/>
                    </w:rPr>
                  </w:pPr>
                  <w:r>
                    <w:rPr>
                      <w:rFonts w:ascii="Times New Roman" w:hAnsi="Times New Roman"/>
                      <w:color w:val="auto"/>
                      <w:szCs w:val="21"/>
                    </w:rPr>
                    <w:t>120</w:t>
                  </w:r>
                </w:p>
              </w:tc>
              <w:tc>
                <w:tcPr>
                  <w:tcW w:w="724" w:type="pct"/>
                  <w:vAlign w:val="center"/>
                </w:tcPr>
                <w:p w14:paraId="04603C14">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7AED7513">
                  <w:pPr>
                    <w:pStyle w:val="76"/>
                    <w:autoSpaceDE w:val="0"/>
                    <w:autoSpaceDN w:val="0"/>
                    <w:jc w:val="center"/>
                    <w:rPr>
                      <w:rFonts w:ascii="Times New Roman" w:hAnsi="Times New Roman"/>
                      <w:color w:val="auto"/>
                      <w:szCs w:val="21"/>
                    </w:rPr>
                  </w:pPr>
                  <w:r>
                    <w:rPr>
                      <w:rFonts w:ascii="Times New Roman" w:hAnsi="Times New Roman"/>
                      <w:color w:val="auto"/>
                      <w:szCs w:val="21"/>
                    </w:rPr>
                    <w:t>循环使用，每年5%的损耗，仅补充损耗15t。</w:t>
                  </w:r>
                </w:p>
              </w:tc>
            </w:tr>
            <w:tr w14:paraId="0AC79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6525FA3B">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13</w:t>
                  </w:r>
                </w:p>
              </w:tc>
              <w:tc>
                <w:tcPr>
                  <w:tcW w:w="1149" w:type="pct"/>
                  <w:vAlign w:val="center"/>
                </w:tcPr>
                <w:p w14:paraId="7CFD9B06">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硅砂</w:t>
                  </w:r>
                </w:p>
              </w:tc>
              <w:tc>
                <w:tcPr>
                  <w:tcW w:w="401" w:type="pct"/>
                  <w:vAlign w:val="center"/>
                </w:tcPr>
                <w:p w14:paraId="2831341C">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t</w:t>
                  </w:r>
                </w:p>
              </w:tc>
              <w:tc>
                <w:tcPr>
                  <w:tcW w:w="564" w:type="pct"/>
                  <w:vAlign w:val="center"/>
                </w:tcPr>
                <w:p w14:paraId="02A8E4A0">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300</w:t>
                  </w:r>
                </w:p>
              </w:tc>
              <w:tc>
                <w:tcPr>
                  <w:tcW w:w="505" w:type="pct"/>
                  <w:vAlign w:val="center"/>
                </w:tcPr>
                <w:p w14:paraId="2457886C">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4D1956DA">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30</w:t>
                  </w:r>
                </w:p>
              </w:tc>
              <w:tc>
                <w:tcPr>
                  <w:tcW w:w="724" w:type="pct"/>
                  <w:vAlign w:val="center"/>
                </w:tcPr>
                <w:p w14:paraId="6025BBD7">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22A40E5C">
                  <w:pPr>
                    <w:pStyle w:val="76"/>
                    <w:autoSpaceDE w:val="0"/>
                    <w:autoSpaceDN w:val="0"/>
                    <w:jc w:val="center"/>
                    <w:rPr>
                      <w:rFonts w:ascii="Times New Roman" w:hAnsi="Times New Roman"/>
                      <w:color w:val="auto"/>
                      <w:szCs w:val="21"/>
                    </w:rPr>
                  </w:pPr>
                </w:p>
              </w:tc>
            </w:tr>
            <w:tr w14:paraId="3564A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0" w:type="pct"/>
                  <w:vAlign w:val="center"/>
                </w:tcPr>
                <w:p w14:paraId="2715FF50">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14</w:t>
                  </w:r>
                </w:p>
              </w:tc>
              <w:tc>
                <w:tcPr>
                  <w:tcW w:w="1149" w:type="pct"/>
                  <w:vAlign w:val="center"/>
                </w:tcPr>
                <w:p w14:paraId="11F064A0">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水玻璃</w:t>
                  </w:r>
                </w:p>
              </w:tc>
              <w:tc>
                <w:tcPr>
                  <w:tcW w:w="401" w:type="pct"/>
                  <w:vAlign w:val="center"/>
                </w:tcPr>
                <w:p w14:paraId="4E510951">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t</w:t>
                  </w:r>
                </w:p>
              </w:tc>
              <w:tc>
                <w:tcPr>
                  <w:tcW w:w="564" w:type="pct"/>
                  <w:vAlign w:val="center"/>
                </w:tcPr>
                <w:p w14:paraId="15DF554D">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30</w:t>
                  </w:r>
                </w:p>
              </w:tc>
              <w:tc>
                <w:tcPr>
                  <w:tcW w:w="505" w:type="pct"/>
                  <w:vAlign w:val="center"/>
                </w:tcPr>
                <w:p w14:paraId="33D81B87">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04A4D87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w:t>
                  </w:r>
                </w:p>
              </w:tc>
              <w:tc>
                <w:tcPr>
                  <w:tcW w:w="724" w:type="pct"/>
                  <w:vAlign w:val="center"/>
                </w:tcPr>
                <w:p w14:paraId="43123A6E">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2D5873F1">
                  <w:pPr>
                    <w:pStyle w:val="76"/>
                    <w:autoSpaceDE w:val="0"/>
                    <w:autoSpaceDN w:val="0"/>
                    <w:jc w:val="center"/>
                    <w:rPr>
                      <w:rFonts w:ascii="Times New Roman" w:hAnsi="Times New Roman"/>
                      <w:color w:val="auto"/>
                      <w:szCs w:val="21"/>
                    </w:rPr>
                  </w:pPr>
                </w:p>
              </w:tc>
            </w:tr>
            <w:tr w14:paraId="43329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280" w:type="pct"/>
                  <w:vAlign w:val="center"/>
                </w:tcPr>
                <w:p w14:paraId="7062681E">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15</w:t>
                  </w:r>
                </w:p>
              </w:tc>
              <w:tc>
                <w:tcPr>
                  <w:tcW w:w="1149" w:type="pct"/>
                  <w:vAlign w:val="center"/>
                </w:tcPr>
                <w:p w14:paraId="0A412B75">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丙烯酸聚氨酯面漆</w:t>
                  </w:r>
                </w:p>
              </w:tc>
              <w:tc>
                <w:tcPr>
                  <w:tcW w:w="401" w:type="pct"/>
                  <w:vAlign w:val="center"/>
                </w:tcPr>
                <w:p w14:paraId="012CD1FE">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t</w:t>
                  </w:r>
                </w:p>
              </w:tc>
              <w:tc>
                <w:tcPr>
                  <w:tcW w:w="564" w:type="pct"/>
                  <w:vAlign w:val="center"/>
                </w:tcPr>
                <w:p w14:paraId="2F80B060">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0.2</w:t>
                  </w:r>
                </w:p>
              </w:tc>
              <w:tc>
                <w:tcPr>
                  <w:tcW w:w="505" w:type="pct"/>
                  <w:vAlign w:val="center"/>
                </w:tcPr>
                <w:p w14:paraId="76FB2811">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1C3D0DAD">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0.1</w:t>
                  </w:r>
                </w:p>
              </w:tc>
              <w:tc>
                <w:tcPr>
                  <w:tcW w:w="724" w:type="pct"/>
                  <w:vAlign w:val="center"/>
                </w:tcPr>
                <w:p w14:paraId="6D425A85">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259794C2">
                  <w:pPr>
                    <w:pStyle w:val="76"/>
                    <w:autoSpaceDE w:val="0"/>
                    <w:autoSpaceDN w:val="0"/>
                    <w:jc w:val="center"/>
                    <w:rPr>
                      <w:rFonts w:ascii="Times New Roman" w:hAnsi="Times New Roman"/>
                      <w:color w:val="auto"/>
                      <w:szCs w:val="21"/>
                    </w:rPr>
                  </w:pPr>
                </w:p>
              </w:tc>
            </w:tr>
            <w:tr w14:paraId="568C4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280" w:type="pct"/>
                  <w:vAlign w:val="center"/>
                </w:tcPr>
                <w:p w14:paraId="06759536">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16</w:t>
                  </w:r>
                </w:p>
              </w:tc>
              <w:tc>
                <w:tcPr>
                  <w:tcW w:w="1149" w:type="pct"/>
                  <w:vAlign w:val="center"/>
                </w:tcPr>
                <w:p w14:paraId="67E9EA25">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面漆稀释剂</w:t>
                  </w:r>
                </w:p>
              </w:tc>
              <w:tc>
                <w:tcPr>
                  <w:tcW w:w="401" w:type="pct"/>
                  <w:vAlign w:val="center"/>
                </w:tcPr>
                <w:p w14:paraId="13C869C2">
                  <w:pPr>
                    <w:pStyle w:val="76"/>
                    <w:autoSpaceDE w:val="0"/>
                    <w:autoSpaceDN w:val="0"/>
                    <w:jc w:val="center"/>
                    <w:rPr>
                      <w:rFonts w:ascii="Times New Roman" w:hAnsi="Times New Roman"/>
                      <w:color w:val="auto"/>
                      <w:szCs w:val="21"/>
                    </w:rPr>
                  </w:pPr>
                  <w:r>
                    <w:rPr>
                      <w:rFonts w:ascii="Times New Roman" w:hAnsi="Times New Roman"/>
                      <w:color w:val="auto"/>
                      <w:szCs w:val="21"/>
                    </w:rPr>
                    <w:t>t</w:t>
                  </w:r>
                </w:p>
              </w:tc>
              <w:tc>
                <w:tcPr>
                  <w:tcW w:w="564" w:type="pct"/>
                  <w:vAlign w:val="center"/>
                </w:tcPr>
                <w:p w14:paraId="0A8DE290">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0.1</w:t>
                  </w:r>
                </w:p>
              </w:tc>
              <w:tc>
                <w:tcPr>
                  <w:tcW w:w="505" w:type="pct"/>
                  <w:vAlign w:val="center"/>
                </w:tcPr>
                <w:p w14:paraId="003972CD">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36F5D6B3">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0.1</w:t>
                  </w:r>
                </w:p>
              </w:tc>
              <w:tc>
                <w:tcPr>
                  <w:tcW w:w="724" w:type="pct"/>
                  <w:vAlign w:val="center"/>
                </w:tcPr>
                <w:p w14:paraId="103A5BA9">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29DB20F6">
                  <w:pPr>
                    <w:pStyle w:val="76"/>
                    <w:autoSpaceDE w:val="0"/>
                    <w:autoSpaceDN w:val="0"/>
                    <w:jc w:val="center"/>
                    <w:rPr>
                      <w:rFonts w:ascii="Times New Roman" w:hAnsi="Times New Roman"/>
                      <w:color w:val="auto"/>
                      <w:szCs w:val="21"/>
                    </w:rPr>
                  </w:pPr>
                </w:p>
              </w:tc>
            </w:tr>
            <w:tr w14:paraId="0C5C4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5F1493C8">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17</w:t>
                  </w:r>
                </w:p>
              </w:tc>
              <w:tc>
                <w:tcPr>
                  <w:tcW w:w="1149" w:type="pct"/>
                  <w:vAlign w:val="center"/>
                </w:tcPr>
                <w:p w14:paraId="33763EF7">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面漆固化剂</w:t>
                  </w:r>
                </w:p>
              </w:tc>
              <w:tc>
                <w:tcPr>
                  <w:tcW w:w="401" w:type="pct"/>
                  <w:vAlign w:val="center"/>
                </w:tcPr>
                <w:p w14:paraId="5A5A655E">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t</w:t>
                  </w:r>
                </w:p>
              </w:tc>
              <w:tc>
                <w:tcPr>
                  <w:tcW w:w="564" w:type="pct"/>
                  <w:vAlign w:val="center"/>
                </w:tcPr>
                <w:p w14:paraId="58EFA69B">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0.1</w:t>
                  </w:r>
                </w:p>
              </w:tc>
              <w:tc>
                <w:tcPr>
                  <w:tcW w:w="505" w:type="pct"/>
                  <w:vAlign w:val="center"/>
                </w:tcPr>
                <w:p w14:paraId="7CD771E1">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7038C251">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0.1</w:t>
                  </w:r>
                </w:p>
              </w:tc>
              <w:tc>
                <w:tcPr>
                  <w:tcW w:w="724" w:type="pct"/>
                  <w:vAlign w:val="center"/>
                </w:tcPr>
                <w:p w14:paraId="4C8387C0">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6CFBA0FF">
                  <w:pPr>
                    <w:pStyle w:val="76"/>
                    <w:autoSpaceDE w:val="0"/>
                    <w:autoSpaceDN w:val="0"/>
                    <w:jc w:val="center"/>
                    <w:rPr>
                      <w:rFonts w:ascii="Times New Roman" w:hAnsi="Times New Roman"/>
                      <w:color w:val="auto"/>
                      <w:szCs w:val="21"/>
                    </w:rPr>
                  </w:pPr>
                </w:p>
              </w:tc>
            </w:tr>
            <w:tr w14:paraId="4481C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4AD30694">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18</w:t>
                  </w:r>
                </w:p>
              </w:tc>
              <w:tc>
                <w:tcPr>
                  <w:tcW w:w="1149" w:type="pct"/>
                  <w:vAlign w:val="center"/>
                </w:tcPr>
                <w:p w14:paraId="1CB02E57">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环氧底漆</w:t>
                  </w:r>
                </w:p>
              </w:tc>
              <w:tc>
                <w:tcPr>
                  <w:tcW w:w="401" w:type="pct"/>
                  <w:vAlign w:val="center"/>
                </w:tcPr>
                <w:p w14:paraId="2DEE7987">
                  <w:pPr>
                    <w:pStyle w:val="76"/>
                    <w:autoSpaceDE w:val="0"/>
                    <w:autoSpaceDN w:val="0"/>
                    <w:jc w:val="center"/>
                    <w:rPr>
                      <w:rFonts w:ascii="Times New Roman" w:hAnsi="Times New Roman"/>
                      <w:color w:val="auto"/>
                      <w:szCs w:val="21"/>
                    </w:rPr>
                  </w:pPr>
                  <w:r>
                    <w:rPr>
                      <w:rFonts w:ascii="Times New Roman" w:hAnsi="Times New Roman"/>
                      <w:color w:val="auto"/>
                      <w:szCs w:val="21"/>
                    </w:rPr>
                    <w:t>t</w:t>
                  </w:r>
                </w:p>
              </w:tc>
              <w:tc>
                <w:tcPr>
                  <w:tcW w:w="564" w:type="pct"/>
                  <w:vAlign w:val="center"/>
                </w:tcPr>
                <w:p w14:paraId="30B8F32E">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w:t>
                  </w:r>
                </w:p>
              </w:tc>
              <w:tc>
                <w:tcPr>
                  <w:tcW w:w="505" w:type="pct"/>
                  <w:vAlign w:val="center"/>
                </w:tcPr>
                <w:p w14:paraId="4255FBF6">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77AFD472">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0.2</w:t>
                  </w:r>
                </w:p>
              </w:tc>
              <w:tc>
                <w:tcPr>
                  <w:tcW w:w="724" w:type="pct"/>
                  <w:vAlign w:val="center"/>
                </w:tcPr>
                <w:p w14:paraId="2F760F94">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5F406579">
                  <w:pPr>
                    <w:pStyle w:val="76"/>
                    <w:autoSpaceDE w:val="0"/>
                    <w:autoSpaceDN w:val="0"/>
                    <w:jc w:val="center"/>
                    <w:rPr>
                      <w:rFonts w:ascii="Times New Roman" w:hAnsi="Times New Roman"/>
                      <w:color w:val="auto"/>
                      <w:szCs w:val="21"/>
                    </w:rPr>
                  </w:pPr>
                </w:p>
              </w:tc>
            </w:tr>
            <w:tr w14:paraId="697B8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410D9A68">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19</w:t>
                  </w:r>
                </w:p>
              </w:tc>
              <w:tc>
                <w:tcPr>
                  <w:tcW w:w="1149" w:type="pct"/>
                  <w:vAlign w:val="center"/>
                </w:tcPr>
                <w:p w14:paraId="41E95F73">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环氧稀释剂</w:t>
                  </w:r>
                </w:p>
              </w:tc>
              <w:tc>
                <w:tcPr>
                  <w:tcW w:w="401" w:type="pct"/>
                  <w:vAlign w:val="center"/>
                </w:tcPr>
                <w:p w14:paraId="30FF862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t</w:t>
                  </w:r>
                </w:p>
              </w:tc>
              <w:tc>
                <w:tcPr>
                  <w:tcW w:w="564" w:type="pct"/>
                  <w:vAlign w:val="center"/>
                </w:tcPr>
                <w:p w14:paraId="55CB96E2">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0.5</w:t>
                  </w:r>
                </w:p>
              </w:tc>
              <w:tc>
                <w:tcPr>
                  <w:tcW w:w="505" w:type="pct"/>
                  <w:vAlign w:val="center"/>
                </w:tcPr>
                <w:p w14:paraId="7E6845D2">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014B94C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0.2</w:t>
                  </w:r>
                </w:p>
              </w:tc>
              <w:tc>
                <w:tcPr>
                  <w:tcW w:w="724" w:type="pct"/>
                  <w:vAlign w:val="center"/>
                </w:tcPr>
                <w:p w14:paraId="4B988511">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3535BC0A">
                  <w:pPr>
                    <w:pStyle w:val="76"/>
                    <w:autoSpaceDE w:val="0"/>
                    <w:autoSpaceDN w:val="0"/>
                    <w:jc w:val="center"/>
                    <w:rPr>
                      <w:rFonts w:ascii="Times New Roman" w:hAnsi="Times New Roman"/>
                      <w:color w:val="auto"/>
                      <w:szCs w:val="21"/>
                    </w:rPr>
                  </w:pPr>
                </w:p>
              </w:tc>
            </w:tr>
            <w:tr w14:paraId="6391A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4340B5E7">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20</w:t>
                  </w:r>
                </w:p>
              </w:tc>
              <w:tc>
                <w:tcPr>
                  <w:tcW w:w="1149" w:type="pct"/>
                  <w:vAlign w:val="center"/>
                </w:tcPr>
                <w:p w14:paraId="248F3589">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水性丙烯酸面漆</w:t>
                  </w:r>
                </w:p>
              </w:tc>
              <w:tc>
                <w:tcPr>
                  <w:tcW w:w="401" w:type="pct"/>
                  <w:vAlign w:val="center"/>
                </w:tcPr>
                <w:p w14:paraId="2505A1B6">
                  <w:pPr>
                    <w:pStyle w:val="76"/>
                    <w:autoSpaceDE w:val="0"/>
                    <w:autoSpaceDN w:val="0"/>
                    <w:jc w:val="center"/>
                    <w:rPr>
                      <w:rFonts w:ascii="Times New Roman" w:hAnsi="Times New Roman"/>
                      <w:color w:val="auto"/>
                      <w:szCs w:val="21"/>
                    </w:rPr>
                  </w:pPr>
                  <w:r>
                    <w:rPr>
                      <w:rFonts w:ascii="Times New Roman" w:hAnsi="Times New Roman"/>
                      <w:color w:val="auto"/>
                      <w:szCs w:val="21"/>
                    </w:rPr>
                    <w:t>t</w:t>
                  </w:r>
                </w:p>
              </w:tc>
              <w:tc>
                <w:tcPr>
                  <w:tcW w:w="564" w:type="pct"/>
                  <w:vAlign w:val="center"/>
                </w:tcPr>
                <w:p w14:paraId="64198DE5">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w:t>
                  </w:r>
                </w:p>
              </w:tc>
              <w:tc>
                <w:tcPr>
                  <w:tcW w:w="505" w:type="pct"/>
                  <w:vAlign w:val="center"/>
                </w:tcPr>
                <w:p w14:paraId="43656EAC">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外购</w:t>
                  </w:r>
                </w:p>
              </w:tc>
              <w:tc>
                <w:tcPr>
                  <w:tcW w:w="615" w:type="pct"/>
                  <w:vAlign w:val="center"/>
                </w:tcPr>
                <w:p w14:paraId="25538637">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0.2</w:t>
                  </w:r>
                </w:p>
              </w:tc>
              <w:tc>
                <w:tcPr>
                  <w:tcW w:w="724" w:type="pct"/>
                  <w:vAlign w:val="center"/>
                </w:tcPr>
                <w:p w14:paraId="1050BBA2">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043AEC8E">
                  <w:pPr>
                    <w:pStyle w:val="76"/>
                    <w:autoSpaceDE w:val="0"/>
                    <w:autoSpaceDN w:val="0"/>
                    <w:jc w:val="center"/>
                    <w:rPr>
                      <w:rFonts w:ascii="Times New Roman" w:hAnsi="Times New Roman"/>
                      <w:color w:val="auto"/>
                      <w:szCs w:val="21"/>
                    </w:rPr>
                  </w:pPr>
                </w:p>
              </w:tc>
            </w:tr>
            <w:tr w14:paraId="2FC7A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65D88D20">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21</w:t>
                  </w:r>
                </w:p>
              </w:tc>
              <w:tc>
                <w:tcPr>
                  <w:tcW w:w="1149" w:type="pct"/>
                  <w:vAlign w:val="center"/>
                </w:tcPr>
                <w:p w14:paraId="3FAAE2F6">
                  <w:pPr>
                    <w:pStyle w:val="76"/>
                    <w:autoSpaceDE w:val="0"/>
                    <w:autoSpaceDN w:val="0"/>
                    <w:jc w:val="center"/>
                    <w:rPr>
                      <w:rFonts w:ascii="Times New Roman" w:hAnsi="Times New Roman"/>
                      <w:color w:val="auto"/>
                      <w:szCs w:val="21"/>
                    </w:rPr>
                  </w:pPr>
                  <w:r>
                    <w:rPr>
                      <w:rFonts w:ascii="Times New Roman" w:hAnsi="Times New Roman"/>
                      <w:color w:val="auto"/>
                      <w:szCs w:val="21"/>
                    </w:rPr>
                    <w:t>机油</w:t>
                  </w:r>
                </w:p>
              </w:tc>
              <w:tc>
                <w:tcPr>
                  <w:tcW w:w="401" w:type="pct"/>
                  <w:vAlign w:val="center"/>
                </w:tcPr>
                <w:p w14:paraId="19D1C525">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t</w:t>
                  </w:r>
                </w:p>
              </w:tc>
              <w:tc>
                <w:tcPr>
                  <w:tcW w:w="564" w:type="pct"/>
                  <w:vAlign w:val="center"/>
                </w:tcPr>
                <w:p w14:paraId="1F84E4C0">
                  <w:pPr>
                    <w:pStyle w:val="76"/>
                    <w:autoSpaceDE w:val="0"/>
                    <w:autoSpaceDN w:val="0"/>
                    <w:jc w:val="center"/>
                    <w:rPr>
                      <w:rFonts w:ascii="Times New Roman" w:hAnsi="Times New Roman"/>
                      <w:color w:val="auto"/>
                      <w:szCs w:val="21"/>
                    </w:rPr>
                  </w:pPr>
                  <w:r>
                    <w:rPr>
                      <w:rFonts w:ascii="Times New Roman" w:hAnsi="Times New Roman"/>
                      <w:color w:val="auto"/>
                      <w:szCs w:val="21"/>
                    </w:rPr>
                    <w:t>0.05</w:t>
                  </w:r>
                </w:p>
              </w:tc>
              <w:tc>
                <w:tcPr>
                  <w:tcW w:w="505" w:type="pct"/>
                  <w:vAlign w:val="center"/>
                </w:tcPr>
                <w:p w14:paraId="48485817">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1A6848FE">
                  <w:pPr>
                    <w:pStyle w:val="76"/>
                    <w:autoSpaceDE w:val="0"/>
                    <w:autoSpaceDN w:val="0"/>
                    <w:jc w:val="center"/>
                    <w:rPr>
                      <w:rFonts w:ascii="Times New Roman" w:hAnsi="Times New Roman"/>
                      <w:color w:val="auto"/>
                      <w:szCs w:val="21"/>
                    </w:rPr>
                  </w:pPr>
                  <w:r>
                    <w:rPr>
                      <w:rFonts w:ascii="Times New Roman" w:hAnsi="Times New Roman"/>
                      <w:color w:val="auto"/>
                      <w:szCs w:val="21"/>
                    </w:rPr>
                    <w:t>0.</w:t>
                  </w:r>
                  <w:r>
                    <w:rPr>
                      <w:rFonts w:hint="eastAsia" w:ascii="Times New Roman" w:hAnsi="Times New Roman"/>
                      <w:color w:val="auto"/>
                      <w:szCs w:val="21"/>
                    </w:rPr>
                    <w:t>1</w:t>
                  </w:r>
                </w:p>
              </w:tc>
              <w:tc>
                <w:tcPr>
                  <w:tcW w:w="724" w:type="pct"/>
                  <w:vAlign w:val="center"/>
                </w:tcPr>
                <w:p w14:paraId="2DC4FB8F">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78F37B22">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机械润滑及检修</w:t>
                  </w:r>
                </w:p>
              </w:tc>
            </w:tr>
            <w:tr w14:paraId="56571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1A59F123">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22</w:t>
                  </w:r>
                </w:p>
              </w:tc>
              <w:tc>
                <w:tcPr>
                  <w:tcW w:w="1149" w:type="pct"/>
                  <w:vAlign w:val="center"/>
                </w:tcPr>
                <w:p w14:paraId="0784894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焊条</w:t>
                  </w:r>
                </w:p>
              </w:tc>
              <w:tc>
                <w:tcPr>
                  <w:tcW w:w="401" w:type="pct"/>
                  <w:vAlign w:val="center"/>
                </w:tcPr>
                <w:p w14:paraId="02945B05">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t</w:t>
                  </w:r>
                </w:p>
              </w:tc>
              <w:tc>
                <w:tcPr>
                  <w:tcW w:w="564" w:type="pct"/>
                  <w:vAlign w:val="center"/>
                </w:tcPr>
                <w:p w14:paraId="10746E97">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0.5</w:t>
                  </w:r>
                </w:p>
              </w:tc>
              <w:tc>
                <w:tcPr>
                  <w:tcW w:w="505" w:type="pct"/>
                  <w:vAlign w:val="center"/>
                </w:tcPr>
                <w:p w14:paraId="5DC34AEE">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281E8685">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0.1</w:t>
                  </w:r>
                </w:p>
              </w:tc>
              <w:tc>
                <w:tcPr>
                  <w:tcW w:w="724" w:type="pct"/>
                  <w:vAlign w:val="center"/>
                </w:tcPr>
                <w:p w14:paraId="361B7209">
                  <w:pPr>
                    <w:pStyle w:val="76"/>
                    <w:autoSpaceDE w:val="0"/>
                    <w:autoSpaceDN w:val="0"/>
                    <w:jc w:val="center"/>
                    <w:rPr>
                      <w:rFonts w:ascii="Times New Roman" w:hAnsi="Times New Roman"/>
                      <w:color w:val="auto"/>
                      <w:szCs w:val="21"/>
                    </w:rPr>
                  </w:pPr>
                  <w:r>
                    <w:rPr>
                      <w:rFonts w:ascii="Times New Roman" w:hAnsi="Times New Roman"/>
                      <w:color w:val="auto"/>
                      <w:szCs w:val="21"/>
                    </w:rPr>
                    <w:t>原料仓库</w:t>
                  </w:r>
                </w:p>
              </w:tc>
              <w:tc>
                <w:tcPr>
                  <w:tcW w:w="758" w:type="pct"/>
                  <w:vAlign w:val="center"/>
                </w:tcPr>
                <w:p w14:paraId="55F29551">
                  <w:pPr>
                    <w:pStyle w:val="76"/>
                    <w:autoSpaceDE w:val="0"/>
                    <w:autoSpaceDN w:val="0"/>
                    <w:jc w:val="center"/>
                    <w:rPr>
                      <w:rFonts w:ascii="Times New Roman" w:hAnsi="Times New Roman"/>
                      <w:color w:val="auto"/>
                      <w:szCs w:val="21"/>
                    </w:rPr>
                  </w:pPr>
                </w:p>
              </w:tc>
            </w:tr>
            <w:tr w14:paraId="480B2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66988F3A">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23</w:t>
                  </w:r>
                </w:p>
              </w:tc>
              <w:tc>
                <w:tcPr>
                  <w:tcW w:w="1149" w:type="pct"/>
                  <w:vAlign w:val="center"/>
                </w:tcPr>
                <w:p w14:paraId="05BB9810">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二氧化碳</w:t>
                  </w:r>
                </w:p>
              </w:tc>
              <w:tc>
                <w:tcPr>
                  <w:tcW w:w="401" w:type="pct"/>
                  <w:vAlign w:val="center"/>
                </w:tcPr>
                <w:p w14:paraId="08C5582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m</w:t>
                  </w:r>
                  <w:r>
                    <w:rPr>
                      <w:rFonts w:hint="eastAsia" w:ascii="Times New Roman" w:hAnsi="Times New Roman"/>
                      <w:color w:val="auto"/>
                      <w:szCs w:val="21"/>
                      <w:vertAlign w:val="superscript"/>
                    </w:rPr>
                    <w:t>3</w:t>
                  </w:r>
                  <w:r>
                    <w:rPr>
                      <w:rFonts w:hint="eastAsia" w:ascii="Times New Roman" w:hAnsi="Times New Roman"/>
                      <w:color w:val="auto"/>
                      <w:szCs w:val="21"/>
                    </w:rPr>
                    <w:t>/a</w:t>
                  </w:r>
                </w:p>
              </w:tc>
              <w:tc>
                <w:tcPr>
                  <w:tcW w:w="564" w:type="pct"/>
                  <w:vAlign w:val="center"/>
                </w:tcPr>
                <w:p w14:paraId="15D4C9A9">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500</w:t>
                  </w:r>
                </w:p>
              </w:tc>
              <w:tc>
                <w:tcPr>
                  <w:tcW w:w="505" w:type="pct"/>
                  <w:vAlign w:val="center"/>
                </w:tcPr>
                <w:p w14:paraId="1F490FEB">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50F474B3">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10</w:t>
                  </w:r>
                </w:p>
              </w:tc>
              <w:tc>
                <w:tcPr>
                  <w:tcW w:w="724" w:type="pct"/>
                  <w:vAlign w:val="center"/>
                </w:tcPr>
                <w:p w14:paraId="4D2DD80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w:t>
                  </w:r>
                </w:p>
              </w:tc>
              <w:tc>
                <w:tcPr>
                  <w:tcW w:w="758" w:type="pct"/>
                  <w:vAlign w:val="center"/>
                </w:tcPr>
                <w:p w14:paraId="72C699E7">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2个气罐，一用一备</w:t>
                  </w:r>
                </w:p>
              </w:tc>
            </w:tr>
            <w:tr w14:paraId="4A5C0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6ED7D379">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24</w:t>
                  </w:r>
                </w:p>
              </w:tc>
              <w:tc>
                <w:tcPr>
                  <w:tcW w:w="1149" w:type="pct"/>
                  <w:vAlign w:val="center"/>
                </w:tcPr>
                <w:p w14:paraId="68D8C93B">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丙烷</w:t>
                  </w:r>
                </w:p>
              </w:tc>
              <w:tc>
                <w:tcPr>
                  <w:tcW w:w="401" w:type="pct"/>
                  <w:vAlign w:val="center"/>
                </w:tcPr>
                <w:p w14:paraId="5FACDB6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Kg</w:t>
                  </w:r>
                </w:p>
              </w:tc>
              <w:tc>
                <w:tcPr>
                  <w:tcW w:w="564" w:type="pct"/>
                  <w:vAlign w:val="center"/>
                </w:tcPr>
                <w:p w14:paraId="056B2CF6">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200</w:t>
                  </w:r>
                </w:p>
              </w:tc>
              <w:tc>
                <w:tcPr>
                  <w:tcW w:w="505" w:type="pct"/>
                  <w:vAlign w:val="center"/>
                </w:tcPr>
                <w:p w14:paraId="7BA8819A">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0A80DF8B">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20</w:t>
                  </w:r>
                </w:p>
              </w:tc>
              <w:tc>
                <w:tcPr>
                  <w:tcW w:w="724" w:type="pct"/>
                  <w:vAlign w:val="center"/>
                </w:tcPr>
                <w:p w14:paraId="0D0C8ED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w:t>
                  </w:r>
                </w:p>
              </w:tc>
              <w:tc>
                <w:tcPr>
                  <w:tcW w:w="758" w:type="pct"/>
                  <w:vAlign w:val="center"/>
                </w:tcPr>
                <w:p w14:paraId="35D1BD68">
                  <w:pPr>
                    <w:pStyle w:val="76"/>
                    <w:autoSpaceDE w:val="0"/>
                    <w:autoSpaceDN w:val="0"/>
                    <w:jc w:val="center"/>
                    <w:rPr>
                      <w:rFonts w:ascii="Times New Roman" w:hAnsi="Times New Roman"/>
                      <w:color w:val="auto"/>
                      <w:szCs w:val="21"/>
                    </w:rPr>
                  </w:pPr>
                </w:p>
              </w:tc>
            </w:tr>
            <w:tr w14:paraId="3C0F5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46B9C502">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25</w:t>
                  </w:r>
                </w:p>
              </w:tc>
              <w:tc>
                <w:tcPr>
                  <w:tcW w:w="1149" w:type="pct"/>
                  <w:vAlign w:val="center"/>
                </w:tcPr>
                <w:p w14:paraId="5FC7B22B">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氧气</w:t>
                  </w:r>
                </w:p>
              </w:tc>
              <w:tc>
                <w:tcPr>
                  <w:tcW w:w="401" w:type="pct"/>
                  <w:vAlign w:val="center"/>
                </w:tcPr>
                <w:p w14:paraId="0B0B10AA">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Kg</w:t>
                  </w:r>
                </w:p>
              </w:tc>
              <w:tc>
                <w:tcPr>
                  <w:tcW w:w="564" w:type="pct"/>
                  <w:vAlign w:val="center"/>
                </w:tcPr>
                <w:p w14:paraId="428AF298">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1000</w:t>
                  </w:r>
                </w:p>
              </w:tc>
              <w:tc>
                <w:tcPr>
                  <w:tcW w:w="505" w:type="pct"/>
                  <w:vAlign w:val="center"/>
                </w:tcPr>
                <w:p w14:paraId="67898AD5">
                  <w:pPr>
                    <w:pStyle w:val="76"/>
                    <w:autoSpaceDE w:val="0"/>
                    <w:autoSpaceDN w:val="0"/>
                    <w:jc w:val="center"/>
                    <w:rPr>
                      <w:rFonts w:ascii="Times New Roman" w:hAnsi="Times New Roman"/>
                      <w:color w:val="auto"/>
                      <w:szCs w:val="21"/>
                    </w:rPr>
                  </w:pPr>
                  <w:r>
                    <w:rPr>
                      <w:rFonts w:ascii="Times New Roman" w:hAnsi="Times New Roman"/>
                      <w:color w:val="auto"/>
                      <w:szCs w:val="21"/>
                    </w:rPr>
                    <w:t>外购</w:t>
                  </w:r>
                </w:p>
              </w:tc>
              <w:tc>
                <w:tcPr>
                  <w:tcW w:w="615" w:type="pct"/>
                  <w:vAlign w:val="center"/>
                </w:tcPr>
                <w:p w14:paraId="229FF083">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100</w:t>
                  </w:r>
                </w:p>
              </w:tc>
              <w:tc>
                <w:tcPr>
                  <w:tcW w:w="724" w:type="pct"/>
                  <w:vAlign w:val="center"/>
                </w:tcPr>
                <w:p w14:paraId="6CDA90FA">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w:t>
                  </w:r>
                </w:p>
              </w:tc>
              <w:tc>
                <w:tcPr>
                  <w:tcW w:w="758" w:type="pct"/>
                  <w:vAlign w:val="center"/>
                </w:tcPr>
                <w:p w14:paraId="17F8BA4A">
                  <w:pPr>
                    <w:pStyle w:val="76"/>
                    <w:autoSpaceDE w:val="0"/>
                    <w:autoSpaceDN w:val="0"/>
                    <w:jc w:val="center"/>
                    <w:rPr>
                      <w:rFonts w:ascii="Times New Roman" w:hAnsi="Times New Roman"/>
                      <w:color w:val="auto"/>
                      <w:szCs w:val="21"/>
                    </w:rPr>
                  </w:pPr>
                </w:p>
              </w:tc>
            </w:tr>
            <w:tr w14:paraId="67EA4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33D2CD0B">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26</w:t>
                  </w:r>
                </w:p>
              </w:tc>
              <w:tc>
                <w:tcPr>
                  <w:tcW w:w="1149" w:type="pct"/>
                  <w:vAlign w:val="center"/>
                </w:tcPr>
                <w:p w14:paraId="3910F623">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电</w:t>
                  </w:r>
                </w:p>
              </w:tc>
              <w:tc>
                <w:tcPr>
                  <w:tcW w:w="401" w:type="pct"/>
                  <w:vAlign w:val="center"/>
                </w:tcPr>
                <w:p w14:paraId="5ABF8012">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Kwh</w:t>
                  </w:r>
                </w:p>
              </w:tc>
              <w:tc>
                <w:tcPr>
                  <w:tcW w:w="564" w:type="pct"/>
                  <w:vAlign w:val="center"/>
                </w:tcPr>
                <w:p w14:paraId="7FA106D4">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400万</w:t>
                  </w:r>
                </w:p>
              </w:tc>
              <w:tc>
                <w:tcPr>
                  <w:tcW w:w="505" w:type="pct"/>
                  <w:vAlign w:val="center"/>
                </w:tcPr>
                <w:p w14:paraId="5F90007B">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w:t>
                  </w:r>
                </w:p>
              </w:tc>
              <w:tc>
                <w:tcPr>
                  <w:tcW w:w="615" w:type="pct"/>
                  <w:vAlign w:val="center"/>
                </w:tcPr>
                <w:p w14:paraId="326F4620">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w:t>
                  </w:r>
                </w:p>
              </w:tc>
              <w:tc>
                <w:tcPr>
                  <w:tcW w:w="724" w:type="pct"/>
                  <w:vAlign w:val="center"/>
                </w:tcPr>
                <w:p w14:paraId="71E2127D">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w:t>
                  </w:r>
                </w:p>
              </w:tc>
              <w:tc>
                <w:tcPr>
                  <w:tcW w:w="758" w:type="pct"/>
                  <w:vAlign w:val="center"/>
                </w:tcPr>
                <w:p w14:paraId="08EC2F96">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市政供电</w:t>
                  </w:r>
                </w:p>
              </w:tc>
            </w:tr>
            <w:tr w14:paraId="0B87F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23046229">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27</w:t>
                  </w:r>
                </w:p>
              </w:tc>
              <w:tc>
                <w:tcPr>
                  <w:tcW w:w="1149" w:type="pct"/>
                  <w:vAlign w:val="center"/>
                </w:tcPr>
                <w:p w14:paraId="7A368DF1">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水</w:t>
                  </w:r>
                </w:p>
              </w:tc>
              <w:tc>
                <w:tcPr>
                  <w:tcW w:w="401" w:type="pct"/>
                  <w:vAlign w:val="center"/>
                </w:tcPr>
                <w:p w14:paraId="19F04898">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t</w:t>
                  </w:r>
                </w:p>
              </w:tc>
              <w:tc>
                <w:tcPr>
                  <w:tcW w:w="564" w:type="pct"/>
                  <w:vAlign w:val="center"/>
                </w:tcPr>
                <w:p w14:paraId="321DB461">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2025</w:t>
                  </w:r>
                </w:p>
              </w:tc>
              <w:tc>
                <w:tcPr>
                  <w:tcW w:w="505" w:type="pct"/>
                  <w:vAlign w:val="center"/>
                </w:tcPr>
                <w:p w14:paraId="389DB9D1">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w:t>
                  </w:r>
                </w:p>
              </w:tc>
              <w:tc>
                <w:tcPr>
                  <w:tcW w:w="615" w:type="pct"/>
                  <w:vAlign w:val="center"/>
                </w:tcPr>
                <w:p w14:paraId="15EE52D5">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w:t>
                  </w:r>
                </w:p>
              </w:tc>
              <w:tc>
                <w:tcPr>
                  <w:tcW w:w="724" w:type="pct"/>
                  <w:vAlign w:val="center"/>
                </w:tcPr>
                <w:p w14:paraId="72EC68ED">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w:t>
                  </w:r>
                </w:p>
              </w:tc>
              <w:tc>
                <w:tcPr>
                  <w:tcW w:w="758" w:type="pct"/>
                  <w:vAlign w:val="center"/>
                </w:tcPr>
                <w:p w14:paraId="72824B19">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市政供水</w:t>
                  </w:r>
                </w:p>
              </w:tc>
            </w:tr>
            <w:tr w14:paraId="2AF44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0" w:type="pct"/>
                  <w:vAlign w:val="center"/>
                </w:tcPr>
                <w:p w14:paraId="7A869006">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28</w:t>
                  </w:r>
                </w:p>
              </w:tc>
              <w:tc>
                <w:tcPr>
                  <w:tcW w:w="1149" w:type="pct"/>
                  <w:vAlign w:val="center"/>
                </w:tcPr>
                <w:p w14:paraId="175027A0">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天然气</w:t>
                  </w:r>
                </w:p>
              </w:tc>
              <w:tc>
                <w:tcPr>
                  <w:tcW w:w="401" w:type="pct"/>
                  <w:vAlign w:val="center"/>
                </w:tcPr>
                <w:p w14:paraId="790CD8E6">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m</w:t>
                  </w:r>
                  <w:r>
                    <w:rPr>
                      <w:rFonts w:hint="eastAsia" w:ascii="Times New Roman" w:hAnsi="Times New Roman"/>
                      <w:color w:val="auto"/>
                      <w:szCs w:val="21"/>
                      <w:vertAlign w:val="superscript"/>
                    </w:rPr>
                    <w:t>3</w:t>
                  </w:r>
                </w:p>
              </w:tc>
              <w:tc>
                <w:tcPr>
                  <w:tcW w:w="564" w:type="pct"/>
                  <w:vAlign w:val="center"/>
                </w:tcPr>
                <w:p w14:paraId="7CE9DD19">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10万</w:t>
                  </w:r>
                </w:p>
              </w:tc>
              <w:tc>
                <w:tcPr>
                  <w:tcW w:w="505" w:type="pct"/>
                  <w:vAlign w:val="center"/>
                </w:tcPr>
                <w:p w14:paraId="32D3F780">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w:t>
                  </w:r>
                </w:p>
              </w:tc>
              <w:tc>
                <w:tcPr>
                  <w:tcW w:w="615" w:type="pct"/>
                  <w:vAlign w:val="center"/>
                </w:tcPr>
                <w:p w14:paraId="08CAC73D">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w:t>
                  </w:r>
                </w:p>
              </w:tc>
              <w:tc>
                <w:tcPr>
                  <w:tcW w:w="724" w:type="pct"/>
                  <w:vAlign w:val="center"/>
                </w:tcPr>
                <w:p w14:paraId="664A2B8D">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w:t>
                  </w:r>
                </w:p>
              </w:tc>
              <w:tc>
                <w:tcPr>
                  <w:tcW w:w="758" w:type="pct"/>
                  <w:vAlign w:val="center"/>
                </w:tcPr>
                <w:p w14:paraId="4675A97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市政管网</w:t>
                  </w:r>
                </w:p>
              </w:tc>
            </w:tr>
          </w:tbl>
          <w:p w14:paraId="798188E9">
            <w:pPr>
              <w:widowControl/>
              <w:spacing w:line="360" w:lineRule="auto"/>
              <w:ind w:firstLine="480" w:firstLineChars="200"/>
              <w:jc w:val="left"/>
              <w:rPr>
                <w:rFonts w:hint="default" w:eastAsia="宋体"/>
                <w:color w:val="auto"/>
                <w:sz w:val="24"/>
                <w:szCs w:val="32"/>
                <w:lang w:val="en-US" w:eastAsia="zh-CN"/>
              </w:rPr>
            </w:pPr>
            <w:r>
              <w:rPr>
                <w:rFonts w:hint="eastAsia"/>
                <w:color w:val="auto"/>
                <w:sz w:val="24"/>
                <w:szCs w:val="32"/>
              </w:rPr>
              <w:t>废钢料</w:t>
            </w:r>
            <w:r>
              <w:rPr>
                <w:rFonts w:hint="eastAsia"/>
                <w:color w:val="auto"/>
                <w:sz w:val="24"/>
                <w:szCs w:val="32"/>
                <w:lang w:eastAsia="zh-CN"/>
              </w:rPr>
              <w:t>、</w:t>
            </w:r>
            <w:r>
              <w:rPr>
                <w:rFonts w:hint="eastAsia"/>
                <w:color w:val="auto"/>
                <w:sz w:val="24"/>
                <w:szCs w:val="32"/>
                <w:lang w:val="en-US" w:eastAsia="zh-CN"/>
              </w:rPr>
              <w:t>废铁粉</w:t>
            </w:r>
            <w:r>
              <w:rPr>
                <w:rFonts w:hint="eastAsia"/>
                <w:color w:val="auto"/>
                <w:sz w:val="24"/>
                <w:szCs w:val="32"/>
              </w:rPr>
              <w:t>：本项目废钢料</w:t>
            </w:r>
            <w:r>
              <w:rPr>
                <w:rFonts w:hint="eastAsia"/>
                <w:color w:val="auto"/>
                <w:sz w:val="24"/>
                <w:szCs w:val="32"/>
                <w:lang w:eastAsia="zh-CN"/>
              </w:rPr>
              <w:t>、</w:t>
            </w:r>
            <w:r>
              <w:rPr>
                <w:rFonts w:hint="eastAsia"/>
                <w:color w:val="auto"/>
                <w:sz w:val="24"/>
                <w:szCs w:val="32"/>
                <w:lang w:val="en-US" w:eastAsia="zh-CN"/>
              </w:rPr>
              <w:t>废铁粉</w:t>
            </w:r>
            <w:r>
              <w:rPr>
                <w:rFonts w:hint="eastAsia"/>
                <w:color w:val="auto"/>
                <w:sz w:val="24"/>
                <w:szCs w:val="32"/>
              </w:rPr>
              <w:t>均来自正规厂家供应，其表面不含污渍，没有油漆等物质</w:t>
            </w:r>
            <w:r>
              <w:rPr>
                <w:rFonts w:hint="eastAsia"/>
                <w:color w:val="auto"/>
                <w:sz w:val="24"/>
                <w:szCs w:val="32"/>
                <w:lang w:eastAsia="zh-CN"/>
              </w:rPr>
              <w:t>，</w:t>
            </w:r>
            <w:r>
              <w:rPr>
                <w:rFonts w:hint="eastAsia"/>
                <w:color w:val="auto"/>
                <w:sz w:val="24"/>
                <w:szCs w:val="32"/>
                <w:lang w:val="en-US" w:eastAsia="zh-CN"/>
              </w:rPr>
              <w:t>不含危险废物</w:t>
            </w:r>
            <w:r>
              <w:rPr>
                <w:rFonts w:hint="eastAsia"/>
                <w:color w:val="auto"/>
                <w:sz w:val="24"/>
                <w:szCs w:val="32"/>
              </w:rPr>
              <w:t>。</w:t>
            </w:r>
            <w:r>
              <w:rPr>
                <w:rFonts w:hint="eastAsia"/>
                <w:color w:val="auto"/>
                <w:sz w:val="24"/>
                <w:szCs w:val="32"/>
                <w:lang w:val="en-US" w:eastAsia="zh-CN"/>
              </w:rPr>
              <w:t>环评要求禁止使用危险废物作为原料。</w:t>
            </w:r>
          </w:p>
          <w:p w14:paraId="796E47AE">
            <w:pPr>
              <w:widowControl/>
              <w:spacing w:line="360" w:lineRule="auto"/>
              <w:ind w:firstLine="480" w:firstLineChars="200"/>
              <w:jc w:val="left"/>
              <w:rPr>
                <w:color w:val="auto"/>
                <w:sz w:val="24"/>
                <w:szCs w:val="32"/>
              </w:rPr>
            </w:pPr>
            <w:r>
              <w:rPr>
                <w:rFonts w:hint="eastAsia"/>
                <w:color w:val="auto"/>
                <w:sz w:val="24"/>
                <w:szCs w:val="32"/>
              </w:rPr>
              <w:t>EPS 珠粒：可发性聚苯乙烯珠粒树脂，消失模发泡原料，401（颗粒直径0.8-1.0mm）。可发性聚苯乙烯颗粒（EPS）是一种轻型高分子聚合物，主要成分为聚苯乙烯( PS )高分子聚合物，分解温度为280~300℃。它是采用聚苯乙烯树脂加入发泡剂，同时加热进行软化，形成一种硬质闭孔结构的泡沫塑料。</w:t>
            </w:r>
          </w:p>
          <w:p w14:paraId="16C0D3ED">
            <w:pPr>
              <w:widowControl/>
              <w:spacing w:line="360" w:lineRule="auto"/>
              <w:ind w:firstLine="480" w:firstLineChars="200"/>
              <w:jc w:val="left"/>
              <w:rPr>
                <w:color w:val="auto"/>
                <w:sz w:val="24"/>
                <w:szCs w:val="32"/>
              </w:rPr>
            </w:pPr>
            <w:r>
              <w:rPr>
                <w:rFonts w:hint="eastAsia"/>
                <w:color w:val="auto"/>
                <w:sz w:val="24"/>
                <w:szCs w:val="32"/>
              </w:rPr>
              <w:t>共聚料珠粒：消失模发泡原料，STMMA-2（颗粒直径0.45-0.60mm），成分：聚甲基丙烯酸甲酯 64%；苯乙烯 28%；戊烷 8%。</w:t>
            </w:r>
          </w:p>
          <w:p w14:paraId="7E8EEC5B">
            <w:pPr>
              <w:widowControl/>
              <w:spacing w:line="360" w:lineRule="auto"/>
              <w:ind w:firstLine="480" w:firstLineChars="200"/>
              <w:jc w:val="left"/>
              <w:rPr>
                <w:color w:val="auto"/>
                <w:sz w:val="24"/>
                <w:szCs w:val="32"/>
              </w:rPr>
            </w:pPr>
            <w:r>
              <w:rPr>
                <w:rFonts w:hint="eastAsia"/>
                <w:color w:val="auto"/>
                <w:sz w:val="24"/>
                <w:szCs w:val="32"/>
              </w:rPr>
              <w:t>消失模用泡沫板：主要成分与 EPS 珠粒发泡后泡沫一致，用于消失模制造。</w:t>
            </w:r>
          </w:p>
          <w:p w14:paraId="4C0E6747">
            <w:pPr>
              <w:widowControl/>
              <w:spacing w:line="360" w:lineRule="auto"/>
              <w:ind w:firstLine="480" w:firstLineChars="200"/>
              <w:jc w:val="left"/>
              <w:rPr>
                <w:color w:val="auto"/>
                <w:sz w:val="24"/>
                <w:szCs w:val="32"/>
              </w:rPr>
            </w:pPr>
            <w:r>
              <w:rPr>
                <w:rFonts w:hint="eastAsia"/>
                <w:color w:val="auto"/>
                <w:sz w:val="24"/>
                <w:szCs w:val="32"/>
              </w:rPr>
              <w:t>粉末涂料：粉状，25kg/袋，消失模铸铁专用涂料，水性粉末涂料，水：涂料=3：5。成分：三氧化二铝 56.11%；二氧化硅 37.21%；三氧化二铁 2.21%；氧化钙 0.46%；氧化镁 0.13%；氧化钾0.33%；二氧化钛 2.9%；氧化钠＜0.01。</w:t>
            </w:r>
          </w:p>
          <w:p w14:paraId="5F9CF152">
            <w:pPr>
              <w:widowControl/>
              <w:spacing w:line="360" w:lineRule="auto"/>
              <w:ind w:firstLine="480" w:firstLineChars="200"/>
              <w:jc w:val="left"/>
              <w:rPr>
                <w:color w:val="auto"/>
                <w:sz w:val="24"/>
                <w:szCs w:val="32"/>
              </w:rPr>
            </w:pPr>
            <w:r>
              <w:rPr>
                <w:rFonts w:hint="eastAsia"/>
                <w:color w:val="auto"/>
                <w:sz w:val="24"/>
                <w:szCs w:val="32"/>
              </w:rPr>
              <w:t>消失模用胶棒：制作消失模过程中用于粘接消失模，主要成分：为EVA 和树脂。</w:t>
            </w:r>
          </w:p>
          <w:p w14:paraId="22E2D186">
            <w:pPr>
              <w:widowControl/>
              <w:spacing w:line="360" w:lineRule="auto"/>
              <w:ind w:firstLine="480" w:firstLineChars="200"/>
              <w:jc w:val="left"/>
              <w:rPr>
                <w:color w:val="auto"/>
                <w:sz w:val="24"/>
                <w:szCs w:val="32"/>
              </w:rPr>
            </w:pPr>
            <w:r>
              <w:rPr>
                <w:rFonts w:hint="eastAsia"/>
                <w:color w:val="auto"/>
                <w:sz w:val="24"/>
                <w:szCs w:val="32"/>
              </w:rPr>
              <w:t>消失模用冷胶：制作消失模过程中用于粘接消失模，5kg/桶，主要成分：为醋酸乙酯、甲醇和树脂。</w:t>
            </w:r>
          </w:p>
          <w:p w14:paraId="728CC962">
            <w:pPr>
              <w:widowControl/>
              <w:spacing w:line="360" w:lineRule="auto"/>
              <w:ind w:firstLine="480" w:firstLineChars="200"/>
              <w:jc w:val="left"/>
              <w:rPr>
                <w:color w:val="auto"/>
                <w:sz w:val="24"/>
                <w:szCs w:val="32"/>
              </w:rPr>
            </w:pPr>
            <w:r>
              <w:rPr>
                <w:rFonts w:hint="eastAsia"/>
                <w:color w:val="auto"/>
                <w:sz w:val="24"/>
                <w:szCs w:val="32"/>
              </w:rPr>
              <w:t>石英砂：石英砂是一种坚硬、耐磨、化学性能稳定的</w:t>
            </w:r>
            <w:r>
              <w:rPr>
                <w:color w:val="auto"/>
              </w:rPr>
              <w:fldChar w:fldCharType="begin"/>
            </w:r>
            <w:r>
              <w:rPr>
                <w:color w:val="auto"/>
              </w:rPr>
              <w:instrText xml:space="preserve"> HYPERLINK "https://baike.baidu.com/item/%E7%A1%85%E9%85%B8%E7%9B%90%E7%9F%BF%E7%89%A9/0?fromModule=lemma_inlink" \t "https://baike.baidu.com/item/%E7%9F%B3%E8%8B%B1%E7%A0%82/_blank" </w:instrText>
            </w:r>
            <w:r>
              <w:rPr>
                <w:color w:val="auto"/>
              </w:rPr>
              <w:fldChar w:fldCharType="separate"/>
            </w:r>
            <w:r>
              <w:rPr>
                <w:rFonts w:hint="eastAsia"/>
                <w:color w:val="auto"/>
                <w:sz w:val="24"/>
                <w:szCs w:val="32"/>
              </w:rPr>
              <w:t>硅酸盐矿物</w:t>
            </w:r>
            <w:r>
              <w:rPr>
                <w:rFonts w:hint="eastAsia"/>
                <w:color w:val="auto"/>
                <w:sz w:val="24"/>
                <w:szCs w:val="32"/>
              </w:rPr>
              <w:fldChar w:fldCharType="end"/>
            </w:r>
            <w:r>
              <w:rPr>
                <w:rFonts w:hint="eastAsia"/>
                <w:color w:val="auto"/>
                <w:sz w:val="24"/>
                <w:szCs w:val="32"/>
              </w:rPr>
              <w:t>，其主要</w:t>
            </w:r>
            <w:r>
              <w:rPr>
                <w:color w:val="auto"/>
              </w:rPr>
              <w:fldChar w:fldCharType="begin"/>
            </w:r>
            <w:r>
              <w:rPr>
                <w:color w:val="auto"/>
              </w:rPr>
              <w:instrText xml:space="preserve"> HYPERLINK "https://baike.baidu.com/item/%E7%9F%BF%E7%89%A9%E6%88%90%E5%88%86/0?fromModule=lemma_inlink" \t "https://baike.baidu.com/item/%E7%9F%B3%E8%8B%B1%E7%A0%82/_blank" </w:instrText>
            </w:r>
            <w:r>
              <w:rPr>
                <w:color w:val="auto"/>
              </w:rPr>
              <w:fldChar w:fldCharType="separate"/>
            </w:r>
            <w:r>
              <w:rPr>
                <w:rFonts w:hint="eastAsia"/>
                <w:color w:val="auto"/>
                <w:sz w:val="24"/>
                <w:szCs w:val="32"/>
              </w:rPr>
              <w:t>矿物成分</w:t>
            </w:r>
            <w:r>
              <w:rPr>
                <w:rFonts w:hint="eastAsia"/>
                <w:color w:val="auto"/>
                <w:sz w:val="24"/>
                <w:szCs w:val="32"/>
              </w:rPr>
              <w:fldChar w:fldCharType="end"/>
            </w:r>
            <w:r>
              <w:rPr>
                <w:rFonts w:hint="eastAsia"/>
                <w:color w:val="auto"/>
                <w:sz w:val="24"/>
                <w:szCs w:val="32"/>
              </w:rPr>
              <w:t>是SiO</w:t>
            </w:r>
            <w:r>
              <w:rPr>
                <w:rFonts w:hint="eastAsia"/>
                <w:color w:val="auto"/>
                <w:sz w:val="24"/>
                <w:szCs w:val="32"/>
                <w:vertAlign w:val="subscript"/>
              </w:rPr>
              <w:t>2</w:t>
            </w:r>
            <w:r>
              <w:rPr>
                <w:rFonts w:hint="eastAsia"/>
                <w:color w:val="auto"/>
                <w:sz w:val="24"/>
                <w:szCs w:val="32"/>
              </w:rPr>
              <w:t>，石英砂的颜色为</w:t>
            </w:r>
            <w:r>
              <w:rPr>
                <w:rFonts w:hint="eastAsia"/>
                <w:color w:val="auto"/>
                <w:sz w:val="24"/>
                <w:szCs w:val="32"/>
              </w:rPr>
              <w:fldChar w:fldCharType="begin"/>
            </w:r>
            <w:r>
              <w:rPr>
                <w:rFonts w:hint="eastAsia"/>
                <w:color w:val="auto"/>
                <w:sz w:val="24"/>
                <w:szCs w:val="32"/>
              </w:rPr>
              <w:instrText xml:space="preserve"> HYPERLINK "https://baike.baidu.com/item/%E4%B9%B3%E7%99%BD/0?fromModule=lemma_inlink" \t "https://baike.baidu.com/item/%E7%9F%B3%E8%8B%B1%E7%A0%82/_blank" </w:instrText>
            </w:r>
            <w:r>
              <w:rPr>
                <w:rFonts w:hint="eastAsia"/>
                <w:color w:val="auto"/>
                <w:sz w:val="24"/>
                <w:szCs w:val="32"/>
              </w:rPr>
              <w:fldChar w:fldCharType="separate"/>
            </w:r>
            <w:r>
              <w:rPr>
                <w:rFonts w:hint="eastAsia"/>
                <w:color w:val="auto"/>
                <w:sz w:val="24"/>
                <w:szCs w:val="32"/>
              </w:rPr>
              <w:t>乳白</w:t>
            </w:r>
            <w:r>
              <w:rPr>
                <w:rFonts w:hint="eastAsia"/>
                <w:color w:val="auto"/>
                <w:sz w:val="24"/>
                <w:szCs w:val="32"/>
              </w:rPr>
              <w:fldChar w:fldCharType="end"/>
            </w:r>
            <w:r>
              <w:rPr>
                <w:rFonts w:hint="eastAsia"/>
                <w:color w:val="auto"/>
                <w:sz w:val="24"/>
                <w:szCs w:val="32"/>
              </w:rPr>
              <w:t>色、或无色半透明状，硬度7，性脆无</w:t>
            </w:r>
            <w:r>
              <w:rPr>
                <w:rFonts w:hint="eastAsia"/>
                <w:color w:val="auto"/>
                <w:sz w:val="24"/>
                <w:szCs w:val="32"/>
              </w:rPr>
              <w:fldChar w:fldCharType="begin"/>
            </w:r>
            <w:r>
              <w:rPr>
                <w:rFonts w:hint="eastAsia"/>
                <w:color w:val="auto"/>
                <w:sz w:val="24"/>
                <w:szCs w:val="32"/>
              </w:rPr>
              <w:instrText xml:space="preserve"> HYPERLINK "https://baike.baidu.com/item/%E8%A7%A3%E7%90%86/0?fromModule=lemma_inlink" \t "https://baike.baidu.com/item/%E7%9F%B3%E8%8B%B1%E7%A0%82/_blank" </w:instrText>
            </w:r>
            <w:r>
              <w:rPr>
                <w:rFonts w:hint="eastAsia"/>
                <w:color w:val="auto"/>
                <w:sz w:val="24"/>
                <w:szCs w:val="32"/>
              </w:rPr>
              <w:fldChar w:fldCharType="separate"/>
            </w:r>
            <w:r>
              <w:rPr>
                <w:rFonts w:hint="eastAsia"/>
                <w:color w:val="auto"/>
                <w:sz w:val="24"/>
                <w:szCs w:val="32"/>
              </w:rPr>
              <w:t>解理</w:t>
            </w:r>
            <w:r>
              <w:rPr>
                <w:rFonts w:hint="eastAsia"/>
                <w:color w:val="auto"/>
                <w:sz w:val="24"/>
                <w:szCs w:val="32"/>
              </w:rPr>
              <w:fldChar w:fldCharType="end"/>
            </w:r>
            <w:r>
              <w:rPr>
                <w:rFonts w:hint="eastAsia"/>
                <w:color w:val="auto"/>
                <w:sz w:val="24"/>
                <w:szCs w:val="32"/>
              </w:rPr>
              <w:t>，</w:t>
            </w:r>
            <w:r>
              <w:rPr>
                <w:color w:val="auto"/>
              </w:rPr>
              <w:fldChar w:fldCharType="begin"/>
            </w:r>
            <w:r>
              <w:rPr>
                <w:color w:val="auto"/>
              </w:rPr>
              <w:instrText xml:space="preserve"> HYPERLINK "https://baike.baidu.com/item/%E8%B4%9D%E5%A3%B3%E7%8A%B6%E6%96%AD%E5%8F%A3/9037622?fromModule=lemma_inlink" \t "https://baike.baidu.com/item/%E7%9F%B3%E8%8B%B1%E7%A0%82/_blank" </w:instrText>
            </w:r>
            <w:r>
              <w:rPr>
                <w:color w:val="auto"/>
              </w:rPr>
              <w:fldChar w:fldCharType="separate"/>
            </w:r>
            <w:r>
              <w:rPr>
                <w:rFonts w:hint="eastAsia"/>
                <w:color w:val="auto"/>
                <w:sz w:val="24"/>
                <w:szCs w:val="32"/>
              </w:rPr>
              <w:t>贝壳状断口</w:t>
            </w:r>
            <w:r>
              <w:rPr>
                <w:rFonts w:hint="eastAsia"/>
                <w:color w:val="auto"/>
                <w:sz w:val="24"/>
                <w:szCs w:val="32"/>
              </w:rPr>
              <w:fldChar w:fldCharType="end"/>
            </w:r>
            <w:r>
              <w:rPr>
                <w:rFonts w:hint="eastAsia"/>
                <w:color w:val="auto"/>
                <w:sz w:val="24"/>
                <w:szCs w:val="32"/>
              </w:rPr>
              <w:t>，</w:t>
            </w:r>
            <w:r>
              <w:rPr>
                <w:color w:val="auto"/>
              </w:rPr>
              <w:fldChar w:fldCharType="begin"/>
            </w:r>
            <w:r>
              <w:rPr>
                <w:color w:val="auto"/>
              </w:rPr>
              <w:instrText xml:space="preserve"> HYPERLINK "https://baike.baidu.com/item/%E6%B2%B9%E8%84%82%E5%85%89%E6%B3%BD/0?fromModule=lemma_inlink" \t "https://baike.baidu.com/item/%E7%9F%B3%E8%8B%B1%E7%A0%82/_blank" </w:instrText>
            </w:r>
            <w:r>
              <w:rPr>
                <w:color w:val="auto"/>
              </w:rPr>
              <w:fldChar w:fldCharType="separate"/>
            </w:r>
            <w:r>
              <w:rPr>
                <w:rFonts w:hint="eastAsia"/>
                <w:color w:val="auto"/>
                <w:sz w:val="24"/>
                <w:szCs w:val="32"/>
              </w:rPr>
              <w:t>油脂光泽</w:t>
            </w:r>
            <w:r>
              <w:rPr>
                <w:rFonts w:hint="eastAsia"/>
                <w:color w:val="auto"/>
                <w:sz w:val="24"/>
                <w:szCs w:val="32"/>
              </w:rPr>
              <w:fldChar w:fldCharType="end"/>
            </w:r>
            <w:r>
              <w:rPr>
                <w:rFonts w:hint="eastAsia"/>
                <w:color w:val="auto"/>
                <w:sz w:val="24"/>
                <w:szCs w:val="32"/>
              </w:rPr>
              <w:t>，密度为2.65，</w:t>
            </w:r>
            <w:r>
              <w:rPr>
                <w:rFonts w:hint="eastAsia"/>
                <w:color w:val="auto"/>
                <w:sz w:val="24"/>
                <w:szCs w:val="32"/>
              </w:rPr>
              <w:fldChar w:fldCharType="begin"/>
            </w:r>
            <w:r>
              <w:rPr>
                <w:rFonts w:hint="eastAsia"/>
                <w:color w:val="auto"/>
                <w:sz w:val="24"/>
                <w:szCs w:val="32"/>
              </w:rPr>
              <w:instrText xml:space="preserve"> HYPERLINK "https://baike.baidu.com/item/%E5%A0%86%E7%A7%AF%E5%AF%86%E5%BA%A6/10930436?fromModule=lemma_inlink" \t "https://baike.baidu.com/item/%E7%9F%B3%E8%8B%B1%E7%A0%82/_blank" </w:instrText>
            </w:r>
            <w:r>
              <w:rPr>
                <w:rFonts w:hint="eastAsia"/>
                <w:color w:val="auto"/>
                <w:sz w:val="24"/>
                <w:szCs w:val="32"/>
              </w:rPr>
              <w:fldChar w:fldCharType="separate"/>
            </w:r>
            <w:r>
              <w:rPr>
                <w:rFonts w:hint="eastAsia"/>
                <w:color w:val="auto"/>
                <w:sz w:val="24"/>
                <w:szCs w:val="32"/>
              </w:rPr>
              <w:t>堆积密度</w:t>
            </w:r>
            <w:r>
              <w:rPr>
                <w:rFonts w:hint="eastAsia"/>
                <w:color w:val="auto"/>
                <w:sz w:val="24"/>
                <w:szCs w:val="32"/>
              </w:rPr>
              <w:fldChar w:fldCharType="end"/>
            </w:r>
            <w:r>
              <w:rPr>
                <w:rFonts w:hint="eastAsia"/>
                <w:color w:val="auto"/>
                <w:sz w:val="24"/>
                <w:szCs w:val="32"/>
              </w:rPr>
              <w:t>（1-20目为1.6~1.8），20-200目为1.5，其化学、热学和</w:t>
            </w:r>
            <w:r>
              <w:rPr>
                <w:rFonts w:hint="eastAsia"/>
                <w:color w:val="auto"/>
                <w:sz w:val="24"/>
                <w:szCs w:val="32"/>
              </w:rPr>
              <w:fldChar w:fldCharType="begin"/>
            </w:r>
            <w:r>
              <w:rPr>
                <w:rFonts w:hint="eastAsia"/>
                <w:color w:val="auto"/>
                <w:sz w:val="24"/>
                <w:szCs w:val="32"/>
              </w:rPr>
              <w:instrText xml:space="preserve"> HYPERLINK "https://baike.baidu.com/item/%E6%9C%BA%E6%A2%B0%E6%80%A7%E8%83%BD/0?fromModule=lemma_inlink" \t "https://baike.baidu.com/item/%E7%9F%B3%E8%8B%B1%E7%A0%82/_blank" </w:instrText>
            </w:r>
            <w:r>
              <w:rPr>
                <w:rFonts w:hint="eastAsia"/>
                <w:color w:val="auto"/>
                <w:sz w:val="24"/>
                <w:szCs w:val="32"/>
              </w:rPr>
              <w:fldChar w:fldCharType="separate"/>
            </w:r>
            <w:r>
              <w:rPr>
                <w:rFonts w:hint="eastAsia"/>
                <w:color w:val="auto"/>
                <w:sz w:val="24"/>
                <w:szCs w:val="32"/>
              </w:rPr>
              <w:t>机械性能</w:t>
            </w:r>
            <w:r>
              <w:rPr>
                <w:rFonts w:hint="eastAsia"/>
                <w:color w:val="auto"/>
                <w:sz w:val="24"/>
                <w:szCs w:val="32"/>
              </w:rPr>
              <w:fldChar w:fldCharType="end"/>
            </w:r>
            <w:r>
              <w:rPr>
                <w:rFonts w:hint="eastAsia"/>
                <w:color w:val="auto"/>
                <w:sz w:val="24"/>
                <w:szCs w:val="32"/>
              </w:rPr>
              <w:t>具有明显的异向性，不溶于酸，微溶于KOH溶液，熔点1750℃。</w:t>
            </w:r>
          </w:p>
          <w:p w14:paraId="1E16AE4A">
            <w:pPr>
              <w:widowControl/>
              <w:spacing w:line="360" w:lineRule="auto"/>
              <w:ind w:firstLine="480" w:firstLineChars="200"/>
              <w:jc w:val="left"/>
              <w:rPr>
                <w:color w:val="auto"/>
                <w:sz w:val="24"/>
                <w:szCs w:val="32"/>
              </w:rPr>
            </w:pPr>
            <w:r>
              <w:rPr>
                <w:rFonts w:hint="eastAsia"/>
                <w:color w:val="auto"/>
                <w:sz w:val="24"/>
                <w:szCs w:val="32"/>
              </w:rPr>
              <w:t>根据建设单位提供的化学品安全技术说明书（见附件），油性漆和水性漆涂料成分情况见下表。</w:t>
            </w:r>
          </w:p>
          <w:p w14:paraId="6728FFC2">
            <w:pPr>
              <w:adjustRightInd w:val="0"/>
              <w:snapToGrid w:val="0"/>
              <w:spacing w:line="300" w:lineRule="exact"/>
              <w:ind w:firstLine="422" w:firstLineChars="200"/>
              <w:jc w:val="center"/>
              <w:rPr>
                <w:rFonts w:hAnsi="宋体"/>
                <w:b/>
                <w:color w:val="auto"/>
                <w:szCs w:val="21"/>
              </w:rPr>
            </w:pPr>
            <w:r>
              <w:rPr>
                <w:rFonts w:hAnsi="宋体"/>
                <w:b/>
                <w:color w:val="auto"/>
                <w:szCs w:val="21"/>
              </w:rPr>
              <w:t>表</w:t>
            </w:r>
            <w:r>
              <w:rPr>
                <w:rFonts w:hint="eastAsia" w:hAnsi="宋体"/>
                <w:b/>
                <w:color w:val="auto"/>
                <w:szCs w:val="21"/>
              </w:rPr>
              <w:t>2-4  油性漆</w:t>
            </w:r>
            <w:r>
              <w:rPr>
                <w:rFonts w:hAnsi="宋体"/>
                <w:b/>
                <w:color w:val="auto"/>
                <w:szCs w:val="21"/>
              </w:rPr>
              <w:t>、</w:t>
            </w:r>
            <w:r>
              <w:rPr>
                <w:rFonts w:hint="eastAsia" w:hAnsi="宋体"/>
                <w:b/>
                <w:color w:val="auto"/>
                <w:szCs w:val="21"/>
              </w:rPr>
              <w:t>水性漆</w:t>
            </w:r>
            <w:r>
              <w:rPr>
                <w:rFonts w:hAnsi="宋体"/>
                <w:b/>
                <w:color w:val="auto"/>
                <w:szCs w:val="21"/>
              </w:rPr>
              <w:t>成分一览表</w:t>
            </w: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963"/>
              <w:gridCol w:w="5569"/>
            </w:tblGrid>
            <w:tr w14:paraId="63B39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9" w:type="dxa"/>
                  <w:gridSpan w:val="2"/>
                  <w:vAlign w:val="center"/>
                </w:tcPr>
                <w:p w14:paraId="2AE89C21">
                  <w:pPr>
                    <w:pStyle w:val="29"/>
                    <w:spacing w:after="0"/>
                    <w:ind w:left="0" w:leftChars="0" w:firstLine="0" w:firstLineChars="0"/>
                    <w:jc w:val="center"/>
                    <w:rPr>
                      <w:color w:val="auto"/>
                      <w:sz w:val="21"/>
                      <w:szCs w:val="21"/>
                    </w:rPr>
                  </w:pPr>
                  <w:r>
                    <w:rPr>
                      <w:color w:val="auto"/>
                      <w:sz w:val="21"/>
                      <w:szCs w:val="21"/>
                    </w:rPr>
                    <w:t>名称</w:t>
                  </w:r>
                </w:p>
              </w:tc>
              <w:tc>
                <w:tcPr>
                  <w:tcW w:w="5569" w:type="dxa"/>
                  <w:vAlign w:val="center"/>
                </w:tcPr>
                <w:p w14:paraId="38BA71FC">
                  <w:pPr>
                    <w:pStyle w:val="29"/>
                    <w:spacing w:after="0"/>
                    <w:ind w:left="0" w:leftChars="0" w:firstLine="0" w:firstLineChars="0"/>
                    <w:jc w:val="center"/>
                    <w:rPr>
                      <w:color w:val="auto"/>
                      <w:sz w:val="21"/>
                      <w:szCs w:val="21"/>
                    </w:rPr>
                  </w:pPr>
                  <w:r>
                    <w:rPr>
                      <w:color w:val="auto"/>
                      <w:sz w:val="21"/>
                      <w:szCs w:val="21"/>
                    </w:rPr>
                    <w:t>主要成分</w:t>
                  </w:r>
                </w:p>
              </w:tc>
            </w:tr>
            <w:tr w14:paraId="08F1F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Merge w:val="restart"/>
                  <w:vAlign w:val="center"/>
                </w:tcPr>
                <w:p w14:paraId="7C6BE2DA">
                  <w:pPr>
                    <w:widowControl/>
                    <w:jc w:val="center"/>
                    <w:rPr>
                      <w:color w:val="auto"/>
                      <w:szCs w:val="21"/>
                    </w:rPr>
                  </w:pPr>
                  <w:r>
                    <w:rPr>
                      <w:rFonts w:hint="eastAsia"/>
                      <w:color w:val="auto"/>
                      <w:szCs w:val="21"/>
                    </w:rPr>
                    <w:t>油性漆</w:t>
                  </w:r>
                </w:p>
              </w:tc>
              <w:tc>
                <w:tcPr>
                  <w:tcW w:w="1963" w:type="dxa"/>
                  <w:vAlign w:val="center"/>
                </w:tcPr>
                <w:p w14:paraId="51EAC2ED">
                  <w:pPr>
                    <w:widowControl/>
                    <w:jc w:val="center"/>
                    <w:rPr>
                      <w:color w:val="auto"/>
                      <w:kern w:val="0"/>
                      <w:szCs w:val="21"/>
                      <w:lang w:bidi="ar"/>
                    </w:rPr>
                  </w:pPr>
                  <w:r>
                    <w:rPr>
                      <w:color w:val="auto"/>
                      <w:kern w:val="0"/>
                      <w:szCs w:val="21"/>
                      <w:lang w:bidi="ar"/>
                    </w:rPr>
                    <w:t>丙烯酸聚氨酯面漆</w:t>
                  </w:r>
                </w:p>
              </w:tc>
              <w:tc>
                <w:tcPr>
                  <w:tcW w:w="5569" w:type="dxa"/>
                  <w:vAlign w:val="center"/>
                </w:tcPr>
                <w:p w14:paraId="3644D025">
                  <w:pPr>
                    <w:pStyle w:val="29"/>
                    <w:spacing w:after="0"/>
                    <w:ind w:left="0" w:leftChars="0" w:firstLine="0" w:firstLineChars="0"/>
                    <w:jc w:val="center"/>
                    <w:rPr>
                      <w:color w:val="auto"/>
                      <w:sz w:val="21"/>
                      <w:szCs w:val="21"/>
                    </w:rPr>
                  </w:pPr>
                  <w:r>
                    <w:rPr>
                      <w:color w:val="auto"/>
                      <w:sz w:val="21"/>
                      <w:szCs w:val="21"/>
                    </w:rPr>
                    <w:t>羟基丙烯酸树脂</w:t>
                  </w:r>
                  <w:r>
                    <w:rPr>
                      <w:rFonts w:hint="eastAsia"/>
                      <w:color w:val="auto"/>
                      <w:sz w:val="21"/>
                      <w:szCs w:val="21"/>
                    </w:rPr>
                    <w:t>6</w:t>
                  </w:r>
                  <w:r>
                    <w:rPr>
                      <w:color w:val="auto"/>
                      <w:sz w:val="21"/>
                      <w:szCs w:val="21"/>
                    </w:rPr>
                    <w:t>0-</w:t>
                  </w:r>
                  <w:r>
                    <w:rPr>
                      <w:rFonts w:hint="eastAsia"/>
                      <w:color w:val="auto"/>
                      <w:sz w:val="21"/>
                      <w:szCs w:val="21"/>
                    </w:rPr>
                    <w:t>7</w:t>
                  </w:r>
                  <w:r>
                    <w:rPr>
                      <w:color w:val="auto"/>
                      <w:sz w:val="21"/>
                      <w:szCs w:val="21"/>
                    </w:rPr>
                    <w:t>0%、</w:t>
                  </w:r>
                  <w:r>
                    <w:rPr>
                      <w:rFonts w:hint="eastAsia"/>
                      <w:color w:val="auto"/>
                      <w:sz w:val="21"/>
                      <w:szCs w:val="21"/>
                    </w:rPr>
                    <w:t>聚丙烯酸酯溶液1</w:t>
                  </w:r>
                  <w:r>
                    <w:rPr>
                      <w:color w:val="auto"/>
                      <w:sz w:val="21"/>
                      <w:szCs w:val="21"/>
                    </w:rPr>
                    <w:t>-</w:t>
                  </w:r>
                  <w:r>
                    <w:rPr>
                      <w:rFonts w:hint="eastAsia"/>
                      <w:color w:val="auto"/>
                      <w:sz w:val="21"/>
                      <w:szCs w:val="21"/>
                    </w:rPr>
                    <w:t>2</w:t>
                  </w:r>
                  <w:r>
                    <w:rPr>
                      <w:color w:val="auto"/>
                      <w:sz w:val="21"/>
                      <w:szCs w:val="21"/>
                    </w:rPr>
                    <w:t>%、二甲苯5-1</w:t>
                  </w:r>
                  <w:r>
                    <w:rPr>
                      <w:rFonts w:hint="eastAsia"/>
                      <w:color w:val="auto"/>
                      <w:sz w:val="21"/>
                      <w:szCs w:val="21"/>
                    </w:rPr>
                    <w:t>0</w:t>
                  </w:r>
                  <w:r>
                    <w:rPr>
                      <w:color w:val="auto"/>
                      <w:sz w:val="21"/>
                      <w:szCs w:val="21"/>
                    </w:rPr>
                    <w:t>%、乙二醇乙醚醋酸酯</w:t>
                  </w:r>
                  <w:r>
                    <w:rPr>
                      <w:rFonts w:hint="eastAsia"/>
                      <w:color w:val="auto"/>
                      <w:sz w:val="21"/>
                      <w:szCs w:val="21"/>
                    </w:rPr>
                    <w:t>6</w:t>
                  </w:r>
                  <w:r>
                    <w:rPr>
                      <w:color w:val="auto"/>
                      <w:sz w:val="21"/>
                      <w:szCs w:val="21"/>
                    </w:rPr>
                    <w:t>-1</w:t>
                  </w:r>
                  <w:r>
                    <w:rPr>
                      <w:rFonts w:hint="eastAsia"/>
                      <w:color w:val="auto"/>
                      <w:sz w:val="21"/>
                      <w:szCs w:val="21"/>
                    </w:rPr>
                    <w:t>0</w:t>
                  </w:r>
                  <w:r>
                    <w:rPr>
                      <w:color w:val="auto"/>
                      <w:sz w:val="21"/>
                      <w:szCs w:val="21"/>
                    </w:rPr>
                    <w:t>%</w:t>
                  </w:r>
                  <w:r>
                    <w:rPr>
                      <w:rFonts w:hint="eastAsia"/>
                      <w:color w:val="auto"/>
                      <w:sz w:val="21"/>
                      <w:szCs w:val="21"/>
                    </w:rPr>
                    <w:t>、颜料7-20%</w:t>
                  </w:r>
                </w:p>
              </w:tc>
            </w:tr>
            <w:tr w14:paraId="7540E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6" w:type="dxa"/>
                  <w:vMerge w:val="continue"/>
                  <w:vAlign w:val="center"/>
                </w:tcPr>
                <w:p w14:paraId="44C343AF">
                  <w:pPr>
                    <w:widowControl/>
                    <w:jc w:val="center"/>
                    <w:rPr>
                      <w:color w:val="auto"/>
                      <w:szCs w:val="21"/>
                    </w:rPr>
                  </w:pPr>
                </w:p>
              </w:tc>
              <w:tc>
                <w:tcPr>
                  <w:tcW w:w="1963" w:type="dxa"/>
                  <w:vAlign w:val="center"/>
                </w:tcPr>
                <w:p w14:paraId="12085E34">
                  <w:pPr>
                    <w:widowControl/>
                    <w:jc w:val="center"/>
                    <w:rPr>
                      <w:color w:val="auto"/>
                      <w:kern w:val="0"/>
                      <w:szCs w:val="21"/>
                      <w:lang w:bidi="ar"/>
                    </w:rPr>
                  </w:pPr>
                  <w:r>
                    <w:rPr>
                      <w:color w:val="auto"/>
                      <w:kern w:val="0"/>
                      <w:szCs w:val="21"/>
                      <w:lang w:bidi="ar"/>
                    </w:rPr>
                    <w:t>丙烯酸聚氨酯面漆固化剂</w:t>
                  </w:r>
                </w:p>
              </w:tc>
              <w:tc>
                <w:tcPr>
                  <w:tcW w:w="5569" w:type="dxa"/>
                  <w:vAlign w:val="center"/>
                </w:tcPr>
                <w:p w14:paraId="6612AB42">
                  <w:pPr>
                    <w:pStyle w:val="29"/>
                    <w:spacing w:after="0"/>
                    <w:ind w:left="0" w:leftChars="0" w:firstLine="0" w:firstLineChars="0"/>
                    <w:jc w:val="center"/>
                    <w:rPr>
                      <w:color w:val="auto"/>
                      <w:sz w:val="21"/>
                      <w:szCs w:val="21"/>
                    </w:rPr>
                  </w:pPr>
                  <w:r>
                    <w:rPr>
                      <w:color w:val="auto"/>
                      <w:sz w:val="21"/>
                      <w:szCs w:val="21"/>
                    </w:rPr>
                    <w:t>脂肪族聚异氰酸酯80%、</w:t>
                  </w:r>
                  <w:r>
                    <w:rPr>
                      <w:rFonts w:hint="eastAsia"/>
                      <w:color w:val="auto"/>
                      <w:sz w:val="21"/>
                      <w:szCs w:val="21"/>
                    </w:rPr>
                    <w:t>醋</w:t>
                  </w:r>
                  <w:r>
                    <w:rPr>
                      <w:color w:val="auto"/>
                      <w:sz w:val="21"/>
                      <w:szCs w:val="21"/>
                    </w:rPr>
                    <w:t>酸</w:t>
                  </w:r>
                  <w:r>
                    <w:rPr>
                      <w:rFonts w:hint="eastAsia"/>
                      <w:color w:val="auto"/>
                      <w:sz w:val="21"/>
                      <w:szCs w:val="21"/>
                    </w:rPr>
                    <w:t>正</w:t>
                  </w:r>
                  <w:r>
                    <w:rPr>
                      <w:color w:val="auto"/>
                      <w:sz w:val="21"/>
                      <w:szCs w:val="21"/>
                    </w:rPr>
                    <w:t xml:space="preserve">丁酯 </w:t>
                  </w:r>
                  <w:r>
                    <w:rPr>
                      <w:rFonts w:hint="eastAsia"/>
                      <w:color w:val="auto"/>
                      <w:sz w:val="21"/>
                      <w:szCs w:val="21"/>
                    </w:rPr>
                    <w:t>20</w:t>
                  </w:r>
                  <w:r>
                    <w:rPr>
                      <w:color w:val="auto"/>
                      <w:sz w:val="21"/>
                      <w:szCs w:val="21"/>
                    </w:rPr>
                    <w:t>%</w:t>
                  </w:r>
                </w:p>
              </w:tc>
            </w:tr>
            <w:tr w14:paraId="163D9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6" w:type="dxa"/>
                  <w:vMerge w:val="continue"/>
                  <w:vAlign w:val="center"/>
                </w:tcPr>
                <w:p w14:paraId="57410E9E">
                  <w:pPr>
                    <w:widowControl/>
                    <w:jc w:val="center"/>
                    <w:rPr>
                      <w:color w:val="auto"/>
                      <w:szCs w:val="21"/>
                    </w:rPr>
                  </w:pPr>
                </w:p>
              </w:tc>
              <w:tc>
                <w:tcPr>
                  <w:tcW w:w="1963" w:type="dxa"/>
                  <w:vAlign w:val="center"/>
                </w:tcPr>
                <w:p w14:paraId="75DAB42A">
                  <w:pPr>
                    <w:widowControl/>
                    <w:jc w:val="center"/>
                    <w:rPr>
                      <w:color w:val="auto"/>
                      <w:kern w:val="0"/>
                      <w:szCs w:val="21"/>
                      <w:lang w:bidi="ar"/>
                    </w:rPr>
                  </w:pPr>
                  <w:r>
                    <w:rPr>
                      <w:color w:val="auto"/>
                      <w:kern w:val="0"/>
                      <w:szCs w:val="21"/>
                      <w:lang w:bidi="ar"/>
                    </w:rPr>
                    <w:t>丙烯酸聚氨酯面漆稀释剂</w:t>
                  </w:r>
                </w:p>
              </w:tc>
              <w:tc>
                <w:tcPr>
                  <w:tcW w:w="5569" w:type="dxa"/>
                  <w:vAlign w:val="center"/>
                </w:tcPr>
                <w:p w14:paraId="623E9742">
                  <w:pPr>
                    <w:pStyle w:val="29"/>
                    <w:spacing w:after="0"/>
                    <w:ind w:left="0" w:leftChars="0" w:firstLine="0" w:firstLineChars="0"/>
                    <w:jc w:val="center"/>
                    <w:rPr>
                      <w:color w:val="auto"/>
                      <w:sz w:val="21"/>
                      <w:szCs w:val="21"/>
                    </w:rPr>
                  </w:pPr>
                  <w:r>
                    <w:rPr>
                      <w:color w:val="auto"/>
                      <w:sz w:val="21"/>
                      <w:szCs w:val="21"/>
                    </w:rPr>
                    <w:t xml:space="preserve">二甲苯 </w:t>
                  </w:r>
                  <w:r>
                    <w:rPr>
                      <w:rFonts w:hint="eastAsia"/>
                      <w:color w:val="auto"/>
                      <w:sz w:val="21"/>
                      <w:szCs w:val="21"/>
                    </w:rPr>
                    <w:t>20</w:t>
                  </w:r>
                  <w:r>
                    <w:rPr>
                      <w:color w:val="auto"/>
                      <w:sz w:val="21"/>
                      <w:szCs w:val="21"/>
                    </w:rPr>
                    <w:t>%、</w:t>
                  </w:r>
                  <w:r>
                    <w:rPr>
                      <w:rFonts w:hint="eastAsia"/>
                      <w:color w:val="auto"/>
                      <w:sz w:val="21"/>
                      <w:szCs w:val="21"/>
                    </w:rPr>
                    <w:t>醋</w:t>
                  </w:r>
                  <w:r>
                    <w:rPr>
                      <w:color w:val="auto"/>
                      <w:sz w:val="21"/>
                      <w:szCs w:val="21"/>
                    </w:rPr>
                    <w:t>酸</w:t>
                  </w:r>
                  <w:r>
                    <w:rPr>
                      <w:rFonts w:hint="eastAsia"/>
                      <w:color w:val="auto"/>
                      <w:sz w:val="21"/>
                      <w:szCs w:val="21"/>
                    </w:rPr>
                    <w:t>正</w:t>
                  </w:r>
                  <w:r>
                    <w:rPr>
                      <w:color w:val="auto"/>
                      <w:sz w:val="21"/>
                      <w:szCs w:val="21"/>
                    </w:rPr>
                    <w:t xml:space="preserve">丁酯 </w:t>
                  </w:r>
                  <w:r>
                    <w:rPr>
                      <w:rFonts w:hint="eastAsia"/>
                      <w:color w:val="auto"/>
                      <w:sz w:val="21"/>
                      <w:szCs w:val="21"/>
                    </w:rPr>
                    <w:t>2</w:t>
                  </w:r>
                  <w:r>
                    <w:rPr>
                      <w:color w:val="auto"/>
                      <w:sz w:val="21"/>
                      <w:szCs w:val="21"/>
                    </w:rPr>
                    <w:t>5%</w:t>
                  </w:r>
                  <w:r>
                    <w:rPr>
                      <w:rFonts w:hint="eastAsia"/>
                      <w:color w:val="auto"/>
                      <w:sz w:val="21"/>
                      <w:szCs w:val="21"/>
                    </w:rPr>
                    <w:t xml:space="preserve">、Solvesso 100 30%、混合酸的二甲酯 </w:t>
                  </w:r>
                  <w:r>
                    <w:rPr>
                      <w:color w:val="auto"/>
                      <w:sz w:val="21"/>
                      <w:szCs w:val="21"/>
                    </w:rPr>
                    <w:t>5%</w:t>
                  </w:r>
                  <w:r>
                    <w:rPr>
                      <w:rFonts w:hint="eastAsia"/>
                      <w:color w:val="auto"/>
                      <w:sz w:val="21"/>
                      <w:szCs w:val="21"/>
                    </w:rPr>
                    <w:t>、乙二醇乙醚醋酸酯 20</w:t>
                  </w:r>
                  <w:r>
                    <w:rPr>
                      <w:color w:val="auto"/>
                      <w:sz w:val="21"/>
                      <w:szCs w:val="21"/>
                    </w:rPr>
                    <w:t>%</w:t>
                  </w:r>
                </w:p>
              </w:tc>
            </w:tr>
            <w:tr w14:paraId="396CA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Merge w:val="continue"/>
                  <w:vAlign w:val="center"/>
                </w:tcPr>
                <w:p w14:paraId="54C8D3D6">
                  <w:pPr>
                    <w:pStyle w:val="29"/>
                    <w:spacing w:after="0"/>
                    <w:ind w:left="0" w:leftChars="0" w:firstLine="0" w:firstLineChars="0"/>
                    <w:jc w:val="center"/>
                    <w:rPr>
                      <w:color w:val="auto"/>
                      <w:sz w:val="21"/>
                      <w:szCs w:val="21"/>
                    </w:rPr>
                  </w:pPr>
                </w:p>
              </w:tc>
              <w:tc>
                <w:tcPr>
                  <w:tcW w:w="1963" w:type="dxa"/>
                  <w:vAlign w:val="center"/>
                </w:tcPr>
                <w:p w14:paraId="3773A76A">
                  <w:pPr>
                    <w:pStyle w:val="29"/>
                    <w:spacing w:after="0"/>
                    <w:ind w:left="0" w:leftChars="0" w:firstLine="0" w:firstLineChars="0"/>
                    <w:jc w:val="center"/>
                    <w:rPr>
                      <w:color w:val="auto"/>
                      <w:sz w:val="21"/>
                      <w:szCs w:val="21"/>
                    </w:rPr>
                  </w:pPr>
                  <w:r>
                    <w:rPr>
                      <w:color w:val="auto"/>
                      <w:sz w:val="21"/>
                      <w:szCs w:val="21"/>
                    </w:rPr>
                    <w:t>环氧底漆</w:t>
                  </w:r>
                </w:p>
              </w:tc>
              <w:tc>
                <w:tcPr>
                  <w:tcW w:w="5569" w:type="dxa"/>
                  <w:vAlign w:val="center"/>
                </w:tcPr>
                <w:p w14:paraId="6AEA4BD9">
                  <w:pPr>
                    <w:pStyle w:val="29"/>
                    <w:spacing w:after="0"/>
                    <w:ind w:left="0" w:leftChars="0" w:firstLine="0" w:firstLineChars="0"/>
                    <w:jc w:val="center"/>
                    <w:rPr>
                      <w:color w:val="auto"/>
                      <w:sz w:val="21"/>
                      <w:szCs w:val="21"/>
                    </w:rPr>
                  </w:pPr>
                  <w:r>
                    <w:rPr>
                      <w:color w:val="auto"/>
                      <w:sz w:val="21"/>
                      <w:szCs w:val="21"/>
                    </w:rPr>
                    <w:t xml:space="preserve">环氧树脂 </w:t>
                  </w:r>
                  <w:r>
                    <w:rPr>
                      <w:rFonts w:hint="eastAsia"/>
                      <w:color w:val="auto"/>
                      <w:sz w:val="21"/>
                      <w:szCs w:val="21"/>
                    </w:rPr>
                    <w:t>30</w:t>
                  </w:r>
                  <w:r>
                    <w:rPr>
                      <w:color w:val="auto"/>
                      <w:sz w:val="21"/>
                      <w:szCs w:val="21"/>
                    </w:rPr>
                    <w:t>%</w:t>
                  </w:r>
                  <w:r>
                    <w:rPr>
                      <w:rFonts w:hint="eastAsia"/>
                      <w:color w:val="auto"/>
                      <w:sz w:val="21"/>
                      <w:szCs w:val="21"/>
                    </w:rPr>
                    <w:t>、氧化铁红</w:t>
                  </w:r>
                  <w:r>
                    <w:rPr>
                      <w:color w:val="auto"/>
                      <w:sz w:val="21"/>
                      <w:szCs w:val="21"/>
                    </w:rPr>
                    <w:t xml:space="preserve"> </w:t>
                  </w:r>
                  <w:r>
                    <w:rPr>
                      <w:rFonts w:hint="eastAsia"/>
                      <w:color w:val="auto"/>
                      <w:sz w:val="21"/>
                      <w:szCs w:val="21"/>
                    </w:rPr>
                    <w:t>25</w:t>
                  </w:r>
                  <w:r>
                    <w:rPr>
                      <w:color w:val="auto"/>
                      <w:sz w:val="21"/>
                      <w:szCs w:val="21"/>
                    </w:rPr>
                    <w:t>%</w:t>
                  </w:r>
                  <w:r>
                    <w:rPr>
                      <w:rFonts w:hint="eastAsia"/>
                      <w:color w:val="auto"/>
                      <w:sz w:val="21"/>
                      <w:szCs w:val="21"/>
                    </w:rPr>
                    <w:t>、防锈料 35%、</w:t>
                  </w:r>
                  <w:r>
                    <w:rPr>
                      <w:color w:val="auto"/>
                      <w:sz w:val="21"/>
                      <w:szCs w:val="21"/>
                    </w:rPr>
                    <w:t xml:space="preserve">二甲苯 </w:t>
                  </w:r>
                  <w:r>
                    <w:rPr>
                      <w:rFonts w:hint="eastAsia"/>
                      <w:color w:val="auto"/>
                      <w:sz w:val="21"/>
                      <w:szCs w:val="21"/>
                    </w:rPr>
                    <w:t>4</w:t>
                  </w:r>
                  <w:r>
                    <w:rPr>
                      <w:color w:val="auto"/>
                      <w:sz w:val="21"/>
                      <w:szCs w:val="21"/>
                    </w:rPr>
                    <w:t>%、</w:t>
                  </w:r>
                  <w:r>
                    <w:rPr>
                      <w:rFonts w:hint="eastAsia"/>
                      <w:color w:val="auto"/>
                      <w:sz w:val="21"/>
                      <w:szCs w:val="21"/>
                    </w:rPr>
                    <w:t>助剂</w:t>
                  </w:r>
                  <w:r>
                    <w:rPr>
                      <w:color w:val="auto"/>
                      <w:sz w:val="21"/>
                      <w:szCs w:val="21"/>
                    </w:rPr>
                    <w:t xml:space="preserve"> </w:t>
                  </w:r>
                  <w:r>
                    <w:rPr>
                      <w:rFonts w:hint="eastAsia"/>
                      <w:color w:val="auto"/>
                      <w:sz w:val="21"/>
                      <w:szCs w:val="21"/>
                    </w:rPr>
                    <w:t>6</w:t>
                  </w:r>
                  <w:r>
                    <w:rPr>
                      <w:color w:val="auto"/>
                      <w:sz w:val="21"/>
                      <w:szCs w:val="21"/>
                    </w:rPr>
                    <w:t>%</w:t>
                  </w:r>
                </w:p>
              </w:tc>
            </w:tr>
            <w:tr w14:paraId="0C736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Merge w:val="continue"/>
                  <w:vAlign w:val="center"/>
                </w:tcPr>
                <w:p w14:paraId="17A198F5">
                  <w:pPr>
                    <w:pStyle w:val="29"/>
                    <w:spacing w:after="0"/>
                    <w:ind w:left="0" w:leftChars="0" w:firstLine="0" w:firstLineChars="0"/>
                    <w:jc w:val="center"/>
                    <w:rPr>
                      <w:color w:val="auto"/>
                      <w:sz w:val="21"/>
                      <w:szCs w:val="21"/>
                    </w:rPr>
                  </w:pPr>
                </w:p>
              </w:tc>
              <w:tc>
                <w:tcPr>
                  <w:tcW w:w="1963" w:type="dxa"/>
                  <w:vAlign w:val="center"/>
                </w:tcPr>
                <w:p w14:paraId="2D75ADCC">
                  <w:pPr>
                    <w:pStyle w:val="29"/>
                    <w:spacing w:after="0"/>
                    <w:ind w:left="0" w:leftChars="0" w:firstLine="0" w:firstLineChars="0"/>
                    <w:jc w:val="center"/>
                    <w:rPr>
                      <w:color w:val="auto"/>
                      <w:sz w:val="21"/>
                      <w:szCs w:val="21"/>
                    </w:rPr>
                  </w:pPr>
                  <w:r>
                    <w:rPr>
                      <w:color w:val="auto"/>
                      <w:sz w:val="21"/>
                      <w:szCs w:val="21"/>
                    </w:rPr>
                    <w:t>环氧底漆稀释剂</w:t>
                  </w:r>
                </w:p>
              </w:tc>
              <w:tc>
                <w:tcPr>
                  <w:tcW w:w="5569" w:type="dxa"/>
                  <w:vAlign w:val="center"/>
                </w:tcPr>
                <w:p w14:paraId="169926D5">
                  <w:pPr>
                    <w:pStyle w:val="29"/>
                    <w:spacing w:after="0"/>
                    <w:ind w:left="0" w:leftChars="0" w:firstLine="0" w:firstLineChars="0"/>
                    <w:jc w:val="center"/>
                    <w:rPr>
                      <w:color w:val="auto"/>
                      <w:sz w:val="21"/>
                      <w:szCs w:val="21"/>
                    </w:rPr>
                  </w:pPr>
                  <w:r>
                    <w:rPr>
                      <w:rFonts w:hint="eastAsia"/>
                      <w:color w:val="auto"/>
                      <w:sz w:val="21"/>
                      <w:szCs w:val="21"/>
                    </w:rPr>
                    <w:t>醋酸甲酯 40%、正</w:t>
                  </w:r>
                  <w:r>
                    <w:rPr>
                      <w:color w:val="auto"/>
                      <w:sz w:val="21"/>
                      <w:szCs w:val="21"/>
                    </w:rPr>
                    <w:t xml:space="preserve">丁醇 </w:t>
                  </w:r>
                  <w:r>
                    <w:rPr>
                      <w:rFonts w:hint="eastAsia"/>
                      <w:color w:val="auto"/>
                      <w:sz w:val="21"/>
                      <w:szCs w:val="21"/>
                    </w:rPr>
                    <w:t>40</w:t>
                  </w:r>
                  <w:r>
                    <w:rPr>
                      <w:color w:val="auto"/>
                      <w:sz w:val="21"/>
                      <w:szCs w:val="21"/>
                    </w:rPr>
                    <w:t xml:space="preserve">%、二甲苯 </w:t>
                  </w:r>
                  <w:r>
                    <w:rPr>
                      <w:rFonts w:hint="eastAsia"/>
                      <w:color w:val="auto"/>
                      <w:sz w:val="21"/>
                      <w:szCs w:val="21"/>
                    </w:rPr>
                    <w:t>20</w:t>
                  </w:r>
                  <w:r>
                    <w:rPr>
                      <w:color w:val="auto"/>
                      <w:sz w:val="21"/>
                      <w:szCs w:val="21"/>
                    </w:rPr>
                    <w:t>%</w:t>
                  </w:r>
                </w:p>
              </w:tc>
            </w:tr>
            <w:tr w14:paraId="37782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41CDCE9F">
                  <w:pPr>
                    <w:pStyle w:val="29"/>
                    <w:spacing w:after="0"/>
                    <w:ind w:left="0" w:leftChars="0" w:firstLine="0" w:firstLineChars="0"/>
                    <w:jc w:val="center"/>
                    <w:rPr>
                      <w:color w:val="auto"/>
                      <w:sz w:val="21"/>
                      <w:szCs w:val="21"/>
                      <w:lang w:bidi="ar"/>
                    </w:rPr>
                  </w:pPr>
                  <w:r>
                    <w:rPr>
                      <w:rFonts w:hint="eastAsia"/>
                      <w:color w:val="auto"/>
                      <w:sz w:val="21"/>
                      <w:szCs w:val="21"/>
                      <w:lang w:bidi="ar"/>
                    </w:rPr>
                    <w:t>水性漆</w:t>
                  </w:r>
                </w:p>
              </w:tc>
              <w:tc>
                <w:tcPr>
                  <w:tcW w:w="1963" w:type="dxa"/>
                  <w:vAlign w:val="center"/>
                </w:tcPr>
                <w:p w14:paraId="0F7C7AD6">
                  <w:pPr>
                    <w:pStyle w:val="29"/>
                    <w:spacing w:after="0"/>
                    <w:ind w:left="0" w:leftChars="0" w:firstLine="0" w:firstLineChars="0"/>
                    <w:jc w:val="center"/>
                    <w:rPr>
                      <w:color w:val="auto"/>
                      <w:sz w:val="21"/>
                      <w:szCs w:val="21"/>
                    </w:rPr>
                  </w:pPr>
                  <w:r>
                    <w:rPr>
                      <w:rFonts w:hint="eastAsia"/>
                      <w:color w:val="auto"/>
                      <w:sz w:val="21"/>
                      <w:szCs w:val="21"/>
                    </w:rPr>
                    <w:t>水性</w:t>
                  </w:r>
                  <w:r>
                    <w:rPr>
                      <w:color w:val="auto"/>
                      <w:sz w:val="21"/>
                      <w:szCs w:val="21"/>
                    </w:rPr>
                    <w:t>丙烯酸面漆</w:t>
                  </w:r>
                </w:p>
              </w:tc>
              <w:tc>
                <w:tcPr>
                  <w:tcW w:w="5569" w:type="dxa"/>
                  <w:vAlign w:val="center"/>
                </w:tcPr>
                <w:p w14:paraId="35812BC0">
                  <w:pPr>
                    <w:pStyle w:val="29"/>
                    <w:spacing w:after="0"/>
                    <w:ind w:left="0" w:leftChars="0" w:firstLine="0" w:firstLineChars="0"/>
                    <w:jc w:val="center"/>
                    <w:rPr>
                      <w:color w:val="auto"/>
                      <w:sz w:val="21"/>
                      <w:szCs w:val="21"/>
                    </w:rPr>
                  </w:pPr>
                  <w:r>
                    <w:rPr>
                      <w:color w:val="auto"/>
                      <w:sz w:val="21"/>
                      <w:szCs w:val="21"/>
                    </w:rPr>
                    <w:t>水性丙烯酸树脂</w:t>
                  </w:r>
                  <w:r>
                    <w:rPr>
                      <w:rFonts w:hint="eastAsia"/>
                      <w:color w:val="auto"/>
                      <w:sz w:val="21"/>
                      <w:szCs w:val="21"/>
                    </w:rPr>
                    <w:t>7</w:t>
                  </w:r>
                  <w:r>
                    <w:rPr>
                      <w:color w:val="auto"/>
                      <w:sz w:val="21"/>
                      <w:szCs w:val="21"/>
                    </w:rPr>
                    <w:t>0-</w:t>
                  </w:r>
                  <w:r>
                    <w:rPr>
                      <w:rFonts w:hint="eastAsia"/>
                      <w:color w:val="auto"/>
                      <w:sz w:val="21"/>
                      <w:szCs w:val="21"/>
                    </w:rPr>
                    <w:t>8</w:t>
                  </w:r>
                  <w:r>
                    <w:rPr>
                      <w:color w:val="auto"/>
                      <w:sz w:val="21"/>
                      <w:szCs w:val="21"/>
                    </w:rPr>
                    <w:t>0%、</w:t>
                  </w:r>
                  <w:r>
                    <w:rPr>
                      <w:rFonts w:hint="eastAsia"/>
                      <w:color w:val="auto"/>
                      <w:sz w:val="21"/>
                      <w:szCs w:val="21"/>
                    </w:rPr>
                    <w:t>碳黑 3-4%、助剂 3-4%、水1</w:t>
                  </w:r>
                  <w:r>
                    <w:rPr>
                      <w:color w:val="auto"/>
                      <w:sz w:val="21"/>
                      <w:szCs w:val="21"/>
                    </w:rPr>
                    <w:t>0-</w:t>
                  </w:r>
                  <w:r>
                    <w:rPr>
                      <w:rFonts w:hint="eastAsia"/>
                      <w:color w:val="auto"/>
                      <w:sz w:val="21"/>
                      <w:szCs w:val="21"/>
                    </w:rPr>
                    <w:t>15</w:t>
                  </w:r>
                  <w:r>
                    <w:rPr>
                      <w:color w:val="auto"/>
                      <w:sz w:val="21"/>
                      <w:szCs w:val="21"/>
                    </w:rPr>
                    <w:t>%</w:t>
                  </w:r>
                </w:p>
              </w:tc>
            </w:tr>
          </w:tbl>
          <w:p w14:paraId="187975E3">
            <w:pPr>
              <w:pStyle w:val="38"/>
              <w:spacing w:line="360" w:lineRule="auto"/>
              <w:ind w:firstLine="480" w:firstLineChars="200"/>
              <w:rPr>
                <w:rFonts w:ascii="Times New Roman" w:hAnsi="Times New Roman" w:cs="Times New Roman"/>
                <w:color w:val="auto"/>
                <w:kern w:val="2"/>
                <w:szCs w:val="32"/>
                <w:u w:val="single"/>
              </w:rPr>
            </w:pPr>
            <w:r>
              <w:rPr>
                <w:rFonts w:hint="eastAsia" w:ascii="Times New Roman" w:hAnsi="Times New Roman" w:cs="Times New Roman"/>
                <w:color w:val="auto"/>
                <w:kern w:val="2"/>
                <w:szCs w:val="32"/>
                <w:u w:val="single"/>
              </w:rPr>
              <w:t>根据建设单位提供资料，项目油漆符合《低挥发性有机化合物含量涂料产品技术要求》</w:t>
            </w:r>
            <w:r>
              <w:rPr>
                <w:rFonts w:ascii="Times New Roman" w:hAnsi="Times New Roman" w:cs="Times New Roman"/>
                <w:color w:val="auto"/>
                <w:kern w:val="2"/>
                <w:szCs w:val="32"/>
                <w:u w:val="single"/>
              </w:rPr>
              <w:t>（GBT 38597-2020）（见附件）。油性漆中各占比分别为面漆：固化剂：稀释剂为2:1:1，底漆：稀释剂为2:1。根据《涂装工艺与设备》（化学工业出版社），附着效率约为78%~82%，本次评价喷涂固体份附着率按80%计算。</w:t>
            </w:r>
          </w:p>
          <w:p w14:paraId="06AC4741">
            <w:pPr>
              <w:adjustRightInd w:val="0"/>
              <w:snapToGrid w:val="0"/>
              <w:jc w:val="center"/>
              <w:rPr>
                <w:b/>
                <w:bCs/>
                <w:color w:val="auto"/>
              </w:rPr>
            </w:pPr>
            <w:r>
              <w:rPr>
                <w:b/>
                <w:bCs/>
                <w:color w:val="auto"/>
              </w:rPr>
              <w:t>表2-5  涂料用量核算表</w:t>
            </w:r>
          </w:p>
          <w:tbl>
            <w:tblPr>
              <w:tblStyle w:val="3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1540"/>
              <w:gridCol w:w="804"/>
              <w:gridCol w:w="1119"/>
              <w:gridCol w:w="965"/>
              <w:gridCol w:w="1042"/>
              <w:gridCol w:w="1042"/>
              <w:gridCol w:w="1105"/>
            </w:tblGrid>
            <w:tr w14:paraId="72A7F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452" w:type="pct"/>
                  <w:vAlign w:val="center"/>
                </w:tcPr>
                <w:p w14:paraId="1A364E86">
                  <w:pPr>
                    <w:adjustRightInd w:val="0"/>
                    <w:snapToGrid w:val="0"/>
                    <w:jc w:val="center"/>
                    <w:rPr>
                      <w:color w:val="auto"/>
                    </w:rPr>
                  </w:pPr>
                  <w:r>
                    <w:rPr>
                      <w:color w:val="auto"/>
                    </w:rPr>
                    <w:t>产品</w:t>
                  </w:r>
                </w:p>
              </w:tc>
              <w:tc>
                <w:tcPr>
                  <w:tcW w:w="920" w:type="pct"/>
                  <w:vAlign w:val="center"/>
                </w:tcPr>
                <w:p w14:paraId="306F3037">
                  <w:pPr>
                    <w:adjustRightInd w:val="0"/>
                    <w:snapToGrid w:val="0"/>
                    <w:jc w:val="center"/>
                    <w:rPr>
                      <w:color w:val="auto"/>
                    </w:rPr>
                  </w:pPr>
                  <w:r>
                    <w:rPr>
                      <w:color w:val="auto"/>
                    </w:rPr>
                    <w:t>油漆类型</w:t>
                  </w:r>
                </w:p>
              </w:tc>
              <w:tc>
                <w:tcPr>
                  <w:tcW w:w="480" w:type="pct"/>
                  <w:shd w:val="clear" w:color="auto" w:fill="auto"/>
                  <w:vAlign w:val="center"/>
                </w:tcPr>
                <w:p w14:paraId="34997709">
                  <w:pPr>
                    <w:adjustRightInd w:val="0"/>
                    <w:snapToGrid w:val="0"/>
                    <w:jc w:val="center"/>
                    <w:rPr>
                      <w:color w:val="auto"/>
                    </w:rPr>
                  </w:pPr>
                  <w:r>
                    <w:rPr>
                      <w:color w:val="auto"/>
                    </w:rPr>
                    <w:t>厚度</w:t>
                  </w:r>
                </w:p>
                <w:p w14:paraId="7E7871ED">
                  <w:pPr>
                    <w:adjustRightInd w:val="0"/>
                    <w:snapToGrid w:val="0"/>
                    <w:jc w:val="center"/>
                    <w:rPr>
                      <w:color w:val="auto"/>
                    </w:rPr>
                  </w:pPr>
                  <w:r>
                    <w:rPr>
                      <w:color w:val="auto"/>
                    </w:rPr>
                    <w:t>μm</w:t>
                  </w:r>
                </w:p>
              </w:tc>
              <w:tc>
                <w:tcPr>
                  <w:tcW w:w="668" w:type="pct"/>
                  <w:shd w:val="clear" w:color="auto" w:fill="auto"/>
                  <w:vAlign w:val="center"/>
                </w:tcPr>
                <w:p w14:paraId="6DB7933F">
                  <w:pPr>
                    <w:adjustRightInd w:val="0"/>
                    <w:snapToGrid w:val="0"/>
                    <w:jc w:val="center"/>
                    <w:rPr>
                      <w:color w:val="auto"/>
                    </w:rPr>
                  </w:pPr>
                  <w:r>
                    <w:rPr>
                      <w:color w:val="auto"/>
                    </w:rPr>
                    <w:t>涂装面积m</w:t>
                  </w:r>
                  <w:r>
                    <w:rPr>
                      <w:color w:val="auto"/>
                      <w:vertAlign w:val="superscript"/>
                    </w:rPr>
                    <w:t>2</w:t>
                  </w:r>
                </w:p>
              </w:tc>
              <w:tc>
                <w:tcPr>
                  <w:tcW w:w="576" w:type="pct"/>
                  <w:shd w:val="clear" w:color="auto" w:fill="auto"/>
                  <w:vAlign w:val="center"/>
                </w:tcPr>
                <w:p w14:paraId="3698C55C">
                  <w:pPr>
                    <w:adjustRightInd w:val="0"/>
                    <w:snapToGrid w:val="0"/>
                    <w:jc w:val="center"/>
                    <w:rPr>
                      <w:color w:val="auto"/>
                    </w:rPr>
                  </w:pPr>
                  <w:r>
                    <w:rPr>
                      <w:color w:val="auto"/>
                    </w:rPr>
                    <w:t>含固量</w:t>
                  </w:r>
                </w:p>
              </w:tc>
              <w:tc>
                <w:tcPr>
                  <w:tcW w:w="622" w:type="pct"/>
                  <w:vAlign w:val="center"/>
                </w:tcPr>
                <w:p w14:paraId="1DD81C70">
                  <w:pPr>
                    <w:adjustRightInd w:val="0"/>
                    <w:snapToGrid w:val="0"/>
                    <w:jc w:val="center"/>
                    <w:rPr>
                      <w:color w:val="auto"/>
                    </w:rPr>
                  </w:pPr>
                  <w:r>
                    <w:rPr>
                      <w:color w:val="auto"/>
                    </w:rPr>
                    <w:t>附着率</w:t>
                  </w:r>
                </w:p>
              </w:tc>
              <w:tc>
                <w:tcPr>
                  <w:tcW w:w="622" w:type="pct"/>
                  <w:vAlign w:val="center"/>
                </w:tcPr>
                <w:p w14:paraId="06C7A924">
                  <w:pPr>
                    <w:adjustRightInd w:val="0"/>
                    <w:snapToGrid w:val="0"/>
                    <w:jc w:val="center"/>
                    <w:rPr>
                      <w:color w:val="auto"/>
                    </w:rPr>
                  </w:pPr>
                  <w:r>
                    <w:rPr>
                      <w:color w:val="auto"/>
                    </w:rPr>
                    <w:t>密度g/cm</w:t>
                  </w:r>
                  <w:r>
                    <w:rPr>
                      <w:color w:val="auto"/>
                      <w:vertAlign w:val="superscript"/>
                    </w:rPr>
                    <w:t>3</w:t>
                  </w:r>
                </w:p>
              </w:tc>
              <w:tc>
                <w:tcPr>
                  <w:tcW w:w="658" w:type="pct"/>
                  <w:vAlign w:val="center"/>
                </w:tcPr>
                <w:p w14:paraId="34B08340">
                  <w:pPr>
                    <w:adjustRightInd w:val="0"/>
                    <w:snapToGrid w:val="0"/>
                    <w:jc w:val="center"/>
                    <w:rPr>
                      <w:color w:val="auto"/>
                    </w:rPr>
                  </w:pPr>
                  <w:r>
                    <w:rPr>
                      <w:color w:val="auto"/>
                    </w:rPr>
                    <w:t>涂料理论用量t/a</w:t>
                  </w:r>
                </w:p>
              </w:tc>
            </w:tr>
            <w:tr w14:paraId="7CD2A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452" w:type="pct"/>
                  <w:vMerge w:val="restart"/>
                  <w:vAlign w:val="center"/>
                </w:tcPr>
                <w:p w14:paraId="30F2670F">
                  <w:pPr>
                    <w:adjustRightInd w:val="0"/>
                    <w:snapToGrid w:val="0"/>
                    <w:jc w:val="center"/>
                    <w:rPr>
                      <w:color w:val="auto"/>
                    </w:rPr>
                  </w:pPr>
                  <w:r>
                    <w:rPr>
                      <w:color w:val="auto"/>
                    </w:rPr>
                    <w:t>水泵、电机</w:t>
                  </w:r>
                </w:p>
              </w:tc>
              <w:tc>
                <w:tcPr>
                  <w:tcW w:w="920" w:type="pct"/>
                  <w:vAlign w:val="center"/>
                </w:tcPr>
                <w:p w14:paraId="5E686EDB">
                  <w:pPr>
                    <w:adjustRightInd w:val="0"/>
                    <w:snapToGrid w:val="0"/>
                    <w:jc w:val="center"/>
                    <w:rPr>
                      <w:color w:val="auto"/>
                    </w:rPr>
                  </w:pPr>
                  <w:r>
                    <w:rPr>
                      <w:color w:val="auto"/>
                    </w:rPr>
                    <w:t>丙烯酸聚氨酯面漆（含固化剂、稀释剂）</w:t>
                  </w:r>
                </w:p>
              </w:tc>
              <w:tc>
                <w:tcPr>
                  <w:tcW w:w="480" w:type="pct"/>
                  <w:shd w:val="clear" w:color="auto" w:fill="auto"/>
                  <w:vAlign w:val="center"/>
                </w:tcPr>
                <w:p w14:paraId="6771C18A">
                  <w:pPr>
                    <w:adjustRightInd w:val="0"/>
                    <w:snapToGrid w:val="0"/>
                    <w:jc w:val="center"/>
                    <w:rPr>
                      <w:color w:val="auto"/>
                    </w:rPr>
                  </w:pPr>
                  <w:r>
                    <w:rPr>
                      <w:color w:val="auto"/>
                    </w:rPr>
                    <w:t>65</w:t>
                  </w:r>
                </w:p>
              </w:tc>
              <w:tc>
                <w:tcPr>
                  <w:tcW w:w="668" w:type="pct"/>
                  <w:shd w:val="clear" w:color="auto" w:fill="auto"/>
                  <w:vAlign w:val="center"/>
                </w:tcPr>
                <w:p w14:paraId="121AC040">
                  <w:pPr>
                    <w:adjustRightInd w:val="0"/>
                    <w:snapToGrid w:val="0"/>
                    <w:jc w:val="center"/>
                    <w:rPr>
                      <w:color w:val="auto"/>
                    </w:rPr>
                  </w:pPr>
                  <w:r>
                    <w:rPr>
                      <w:color w:val="auto"/>
                    </w:rPr>
                    <w:t>2420</w:t>
                  </w:r>
                </w:p>
              </w:tc>
              <w:tc>
                <w:tcPr>
                  <w:tcW w:w="576" w:type="pct"/>
                  <w:shd w:val="clear" w:color="auto" w:fill="auto"/>
                  <w:vAlign w:val="center"/>
                </w:tcPr>
                <w:p w14:paraId="274E070E">
                  <w:pPr>
                    <w:adjustRightInd w:val="0"/>
                    <w:snapToGrid w:val="0"/>
                    <w:jc w:val="center"/>
                    <w:rPr>
                      <w:color w:val="auto"/>
                    </w:rPr>
                  </w:pPr>
                  <w:r>
                    <w:rPr>
                      <w:color w:val="auto"/>
                    </w:rPr>
                    <w:t>59%</w:t>
                  </w:r>
                </w:p>
              </w:tc>
              <w:tc>
                <w:tcPr>
                  <w:tcW w:w="622" w:type="pct"/>
                  <w:vAlign w:val="center"/>
                </w:tcPr>
                <w:p w14:paraId="77717993">
                  <w:pPr>
                    <w:adjustRightInd w:val="0"/>
                    <w:snapToGrid w:val="0"/>
                    <w:jc w:val="center"/>
                    <w:rPr>
                      <w:color w:val="auto"/>
                    </w:rPr>
                  </w:pPr>
                  <w:r>
                    <w:rPr>
                      <w:color w:val="auto"/>
                    </w:rPr>
                    <w:t>80%</w:t>
                  </w:r>
                </w:p>
              </w:tc>
              <w:tc>
                <w:tcPr>
                  <w:tcW w:w="622" w:type="pct"/>
                  <w:vAlign w:val="center"/>
                </w:tcPr>
                <w:p w14:paraId="57520645">
                  <w:pPr>
                    <w:adjustRightInd w:val="0"/>
                    <w:snapToGrid w:val="0"/>
                    <w:jc w:val="center"/>
                    <w:rPr>
                      <w:color w:val="auto"/>
                    </w:rPr>
                  </w:pPr>
                  <w:r>
                    <w:rPr>
                      <w:color w:val="auto"/>
                    </w:rPr>
                    <w:t>1.2</w:t>
                  </w:r>
                </w:p>
              </w:tc>
              <w:tc>
                <w:tcPr>
                  <w:tcW w:w="658" w:type="pct"/>
                  <w:vAlign w:val="center"/>
                </w:tcPr>
                <w:p w14:paraId="00C7674D">
                  <w:pPr>
                    <w:adjustRightInd w:val="0"/>
                    <w:snapToGrid w:val="0"/>
                    <w:jc w:val="center"/>
                    <w:rPr>
                      <w:color w:val="auto"/>
                    </w:rPr>
                  </w:pPr>
                  <w:r>
                    <w:rPr>
                      <w:color w:val="auto"/>
                    </w:rPr>
                    <w:t>0.4</w:t>
                  </w:r>
                </w:p>
              </w:tc>
            </w:tr>
            <w:tr w14:paraId="3ED4E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452" w:type="pct"/>
                  <w:vMerge w:val="continue"/>
                  <w:vAlign w:val="center"/>
                </w:tcPr>
                <w:p w14:paraId="3955ACC9">
                  <w:pPr>
                    <w:adjustRightInd w:val="0"/>
                    <w:snapToGrid w:val="0"/>
                    <w:jc w:val="center"/>
                    <w:rPr>
                      <w:color w:val="auto"/>
                    </w:rPr>
                  </w:pPr>
                </w:p>
              </w:tc>
              <w:tc>
                <w:tcPr>
                  <w:tcW w:w="920" w:type="pct"/>
                  <w:vAlign w:val="center"/>
                </w:tcPr>
                <w:p w14:paraId="26D27875">
                  <w:pPr>
                    <w:adjustRightInd w:val="0"/>
                    <w:snapToGrid w:val="0"/>
                    <w:jc w:val="center"/>
                    <w:rPr>
                      <w:color w:val="auto"/>
                    </w:rPr>
                  </w:pPr>
                  <w:r>
                    <w:rPr>
                      <w:color w:val="auto"/>
                    </w:rPr>
                    <w:t>环氧底漆（含稀释剂）</w:t>
                  </w:r>
                </w:p>
              </w:tc>
              <w:tc>
                <w:tcPr>
                  <w:tcW w:w="480" w:type="pct"/>
                  <w:shd w:val="clear" w:color="auto" w:fill="auto"/>
                  <w:vAlign w:val="center"/>
                </w:tcPr>
                <w:p w14:paraId="7363E762">
                  <w:pPr>
                    <w:adjustRightInd w:val="0"/>
                    <w:snapToGrid w:val="0"/>
                    <w:jc w:val="center"/>
                    <w:rPr>
                      <w:color w:val="auto"/>
                    </w:rPr>
                  </w:pPr>
                  <w:r>
                    <w:rPr>
                      <w:color w:val="auto"/>
                    </w:rPr>
                    <w:t>65</w:t>
                  </w:r>
                </w:p>
              </w:tc>
              <w:tc>
                <w:tcPr>
                  <w:tcW w:w="668" w:type="pct"/>
                  <w:shd w:val="clear" w:color="auto" w:fill="auto"/>
                  <w:vAlign w:val="center"/>
                </w:tcPr>
                <w:p w14:paraId="5AB0945C">
                  <w:pPr>
                    <w:adjustRightInd w:val="0"/>
                    <w:snapToGrid w:val="0"/>
                    <w:jc w:val="center"/>
                    <w:rPr>
                      <w:color w:val="auto"/>
                    </w:rPr>
                  </w:pPr>
                  <w:r>
                    <w:rPr>
                      <w:color w:val="auto"/>
                    </w:rPr>
                    <w:t>9846</w:t>
                  </w:r>
                </w:p>
              </w:tc>
              <w:tc>
                <w:tcPr>
                  <w:tcW w:w="576" w:type="pct"/>
                  <w:shd w:val="clear" w:color="auto" w:fill="auto"/>
                  <w:vAlign w:val="center"/>
                </w:tcPr>
                <w:p w14:paraId="43386DB4">
                  <w:pPr>
                    <w:adjustRightInd w:val="0"/>
                    <w:snapToGrid w:val="0"/>
                    <w:jc w:val="center"/>
                    <w:rPr>
                      <w:color w:val="auto"/>
                    </w:rPr>
                  </w:pPr>
                  <w:r>
                    <w:rPr>
                      <w:color w:val="auto"/>
                    </w:rPr>
                    <w:t>64%</w:t>
                  </w:r>
                </w:p>
              </w:tc>
              <w:tc>
                <w:tcPr>
                  <w:tcW w:w="622" w:type="pct"/>
                  <w:vAlign w:val="center"/>
                </w:tcPr>
                <w:p w14:paraId="66D57BE3">
                  <w:pPr>
                    <w:adjustRightInd w:val="0"/>
                    <w:snapToGrid w:val="0"/>
                    <w:jc w:val="center"/>
                    <w:rPr>
                      <w:color w:val="auto"/>
                    </w:rPr>
                  </w:pPr>
                  <w:r>
                    <w:rPr>
                      <w:color w:val="auto"/>
                    </w:rPr>
                    <w:t>80%</w:t>
                  </w:r>
                </w:p>
              </w:tc>
              <w:tc>
                <w:tcPr>
                  <w:tcW w:w="622" w:type="pct"/>
                  <w:vAlign w:val="center"/>
                </w:tcPr>
                <w:p w14:paraId="26FEAA14">
                  <w:pPr>
                    <w:adjustRightInd w:val="0"/>
                    <w:snapToGrid w:val="0"/>
                    <w:jc w:val="center"/>
                    <w:rPr>
                      <w:color w:val="auto"/>
                    </w:rPr>
                  </w:pPr>
                  <w:r>
                    <w:rPr>
                      <w:color w:val="auto"/>
                    </w:rPr>
                    <w:t>1.2</w:t>
                  </w:r>
                </w:p>
              </w:tc>
              <w:tc>
                <w:tcPr>
                  <w:tcW w:w="658" w:type="pct"/>
                  <w:vAlign w:val="center"/>
                </w:tcPr>
                <w:p w14:paraId="12CF895A">
                  <w:pPr>
                    <w:adjustRightInd w:val="0"/>
                    <w:snapToGrid w:val="0"/>
                    <w:jc w:val="center"/>
                    <w:rPr>
                      <w:color w:val="auto"/>
                    </w:rPr>
                  </w:pPr>
                  <w:r>
                    <w:rPr>
                      <w:color w:val="auto"/>
                    </w:rPr>
                    <w:t>1.5</w:t>
                  </w:r>
                </w:p>
              </w:tc>
            </w:tr>
            <w:tr w14:paraId="55E84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452" w:type="pct"/>
                  <w:vMerge w:val="continue"/>
                  <w:vAlign w:val="center"/>
                </w:tcPr>
                <w:p w14:paraId="094D3BFD">
                  <w:pPr>
                    <w:adjustRightInd w:val="0"/>
                    <w:snapToGrid w:val="0"/>
                    <w:jc w:val="center"/>
                    <w:rPr>
                      <w:color w:val="auto"/>
                    </w:rPr>
                  </w:pPr>
                </w:p>
              </w:tc>
              <w:tc>
                <w:tcPr>
                  <w:tcW w:w="920" w:type="pct"/>
                  <w:vAlign w:val="center"/>
                </w:tcPr>
                <w:p w14:paraId="73031B12">
                  <w:pPr>
                    <w:adjustRightInd w:val="0"/>
                    <w:snapToGrid w:val="0"/>
                    <w:jc w:val="center"/>
                    <w:rPr>
                      <w:color w:val="auto"/>
                    </w:rPr>
                  </w:pPr>
                  <w:r>
                    <w:rPr>
                      <w:color w:val="auto"/>
                    </w:rPr>
                    <w:t>水性漆</w:t>
                  </w:r>
                </w:p>
              </w:tc>
              <w:tc>
                <w:tcPr>
                  <w:tcW w:w="480" w:type="pct"/>
                  <w:shd w:val="clear" w:color="auto" w:fill="auto"/>
                  <w:vAlign w:val="center"/>
                </w:tcPr>
                <w:p w14:paraId="59326A4A">
                  <w:pPr>
                    <w:adjustRightInd w:val="0"/>
                    <w:snapToGrid w:val="0"/>
                    <w:jc w:val="center"/>
                    <w:rPr>
                      <w:color w:val="auto"/>
                    </w:rPr>
                  </w:pPr>
                  <w:r>
                    <w:rPr>
                      <w:color w:val="auto"/>
                    </w:rPr>
                    <w:t>65</w:t>
                  </w:r>
                </w:p>
              </w:tc>
              <w:tc>
                <w:tcPr>
                  <w:tcW w:w="668" w:type="pct"/>
                  <w:shd w:val="clear" w:color="auto" w:fill="auto"/>
                  <w:vAlign w:val="center"/>
                </w:tcPr>
                <w:p w14:paraId="7E247052">
                  <w:pPr>
                    <w:adjustRightInd w:val="0"/>
                    <w:snapToGrid w:val="0"/>
                    <w:jc w:val="center"/>
                    <w:rPr>
                      <w:color w:val="auto"/>
                    </w:rPr>
                  </w:pPr>
                  <w:r>
                    <w:rPr>
                      <w:color w:val="auto"/>
                    </w:rPr>
                    <w:t>17150</w:t>
                  </w:r>
                </w:p>
              </w:tc>
              <w:tc>
                <w:tcPr>
                  <w:tcW w:w="576" w:type="pct"/>
                  <w:shd w:val="clear" w:color="auto" w:fill="auto"/>
                  <w:vAlign w:val="center"/>
                </w:tcPr>
                <w:p w14:paraId="56F5F904">
                  <w:pPr>
                    <w:adjustRightInd w:val="0"/>
                    <w:snapToGrid w:val="0"/>
                    <w:jc w:val="center"/>
                    <w:rPr>
                      <w:color w:val="auto"/>
                    </w:rPr>
                  </w:pPr>
                  <w:r>
                    <w:rPr>
                      <w:color w:val="auto"/>
                    </w:rPr>
                    <w:t>83.6%</w:t>
                  </w:r>
                </w:p>
              </w:tc>
              <w:tc>
                <w:tcPr>
                  <w:tcW w:w="622" w:type="pct"/>
                  <w:vAlign w:val="center"/>
                </w:tcPr>
                <w:p w14:paraId="355EF8C7">
                  <w:pPr>
                    <w:adjustRightInd w:val="0"/>
                    <w:snapToGrid w:val="0"/>
                    <w:jc w:val="center"/>
                    <w:rPr>
                      <w:color w:val="auto"/>
                    </w:rPr>
                  </w:pPr>
                  <w:r>
                    <w:rPr>
                      <w:color w:val="auto"/>
                    </w:rPr>
                    <w:t>80%</w:t>
                  </w:r>
                </w:p>
              </w:tc>
              <w:tc>
                <w:tcPr>
                  <w:tcW w:w="622" w:type="pct"/>
                  <w:vAlign w:val="center"/>
                </w:tcPr>
                <w:p w14:paraId="177ABA78">
                  <w:pPr>
                    <w:adjustRightInd w:val="0"/>
                    <w:snapToGrid w:val="0"/>
                    <w:jc w:val="center"/>
                    <w:rPr>
                      <w:color w:val="auto"/>
                    </w:rPr>
                  </w:pPr>
                  <w:r>
                    <w:rPr>
                      <w:color w:val="auto"/>
                    </w:rPr>
                    <w:t>1.2</w:t>
                  </w:r>
                </w:p>
              </w:tc>
              <w:tc>
                <w:tcPr>
                  <w:tcW w:w="658" w:type="pct"/>
                  <w:vAlign w:val="center"/>
                </w:tcPr>
                <w:p w14:paraId="5A504EB5">
                  <w:pPr>
                    <w:adjustRightInd w:val="0"/>
                    <w:snapToGrid w:val="0"/>
                    <w:jc w:val="center"/>
                    <w:rPr>
                      <w:color w:val="auto"/>
                    </w:rPr>
                  </w:pPr>
                  <w:r>
                    <w:rPr>
                      <w:color w:val="auto"/>
                    </w:rPr>
                    <w:t>2</w:t>
                  </w:r>
                </w:p>
              </w:tc>
            </w:tr>
            <w:tr w14:paraId="1EAB9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8"/>
                  <w:shd w:val="clear" w:color="auto" w:fill="auto"/>
                  <w:vAlign w:val="center"/>
                </w:tcPr>
                <w:p w14:paraId="4B5F361B">
                  <w:pPr>
                    <w:adjustRightInd w:val="0"/>
                    <w:snapToGrid w:val="0"/>
                    <w:rPr>
                      <w:color w:val="auto"/>
                    </w:rPr>
                  </w:pPr>
                  <w:r>
                    <w:rPr>
                      <w:color w:val="auto"/>
                    </w:rPr>
                    <w:t>注：涂料（t/a）=厚度×涂装面积÷含固量÷附着率×密度</w:t>
                  </w:r>
                </w:p>
              </w:tc>
            </w:tr>
          </w:tbl>
          <w:p w14:paraId="37A0C98D">
            <w:pPr>
              <w:pStyle w:val="104"/>
              <w:spacing w:line="480" w:lineRule="exact"/>
              <w:ind w:firstLine="480"/>
              <w:rPr>
                <w:snapToGrid/>
                <w:color w:val="auto"/>
                <w:kern w:val="2"/>
                <w:u w:val="single"/>
              </w:rPr>
            </w:pPr>
            <w:r>
              <w:rPr>
                <w:snapToGrid/>
                <w:color w:val="auto"/>
                <w:kern w:val="2"/>
                <w:u w:val="single"/>
              </w:rPr>
              <w:t>根据计算出的各组分比例系数得出项目涂料的具体使用情况，经反推计算工程各类油漆、固化剂及稀释剂用量详见下表。</w:t>
            </w:r>
          </w:p>
          <w:p w14:paraId="2E60FBA4">
            <w:pPr>
              <w:adjustRightInd w:val="0"/>
              <w:snapToGrid w:val="0"/>
              <w:spacing w:line="300" w:lineRule="exact"/>
              <w:ind w:firstLine="422" w:firstLineChars="200"/>
              <w:jc w:val="center"/>
              <w:rPr>
                <w:b/>
                <w:color w:val="auto"/>
                <w:szCs w:val="21"/>
                <w:u w:val="single"/>
              </w:rPr>
            </w:pPr>
            <w:r>
              <w:rPr>
                <w:b/>
                <w:color w:val="auto"/>
                <w:szCs w:val="21"/>
                <w:u w:val="single"/>
              </w:rPr>
              <w:t>表2-6 涂料各用量一览表</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1"/>
              <w:gridCol w:w="3587"/>
              <w:gridCol w:w="2997"/>
            </w:tblGrid>
            <w:tr w14:paraId="077A2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069" w:type="pct"/>
                  <w:vAlign w:val="center"/>
                </w:tcPr>
                <w:p w14:paraId="59A29F1D">
                  <w:pPr>
                    <w:jc w:val="center"/>
                    <w:rPr>
                      <w:bCs/>
                      <w:color w:val="auto"/>
                      <w:u w:val="single"/>
                    </w:rPr>
                  </w:pPr>
                  <w:r>
                    <w:rPr>
                      <w:bCs/>
                      <w:color w:val="auto"/>
                      <w:u w:val="single"/>
                    </w:rPr>
                    <w:t>类别</w:t>
                  </w:r>
                </w:p>
              </w:tc>
              <w:tc>
                <w:tcPr>
                  <w:tcW w:w="2140" w:type="pct"/>
                  <w:vAlign w:val="center"/>
                </w:tcPr>
                <w:p w14:paraId="4EBF01E3">
                  <w:pPr>
                    <w:jc w:val="center"/>
                    <w:rPr>
                      <w:bCs/>
                      <w:color w:val="auto"/>
                      <w:u w:val="single"/>
                    </w:rPr>
                  </w:pPr>
                  <w:r>
                    <w:rPr>
                      <w:bCs/>
                      <w:color w:val="auto"/>
                      <w:u w:val="single"/>
                    </w:rPr>
                    <w:t>名称</w:t>
                  </w:r>
                </w:p>
              </w:tc>
              <w:tc>
                <w:tcPr>
                  <w:tcW w:w="1789" w:type="pct"/>
                  <w:vAlign w:val="center"/>
                </w:tcPr>
                <w:p w14:paraId="10B83FF4">
                  <w:pPr>
                    <w:jc w:val="center"/>
                    <w:rPr>
                      <w:bCs/>
                      <w:color w:val="auto"/>
                      <w:u w:val="single"/>
                    </w:rPr>
                  </w:pPr>
                  <w:r>
                    <w:rPr>
                      <w:bCs/>
                      <w:color w:val="auto"/>
                      <w:u w:val="single"/>
                    </w:rPr>
                    <w:t>用量（t/a）</w:t>
                  </w:r>
                </w:p>
              </w:tc>
            </w:tr>
            <w:tr w14:paraId="49461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069" w:type="pct"/>
                  <w:vMerge w:val="restart"/>
                  <w:vAlign w:val="center"/>
                </w:tcPr>
                <w:p w14:paraId="74835856">
                  <w:pPr>
                    <w:jc w:val="center"/>
                    <w:rPr>
                      <w:color w:val="auto"/>
                      <w:szCs w:val="21"/>
                      <w:u w:val="single"/>
                    </w:rPr>
                  </w:pPr>
                  <w:r>
                    <w:rPr>
                      <w:color w:val="auto"/>
                      <w:szCs w:val="21"/>
                      <w:u w:val="single"/>
                    </w:rPr>
                    <w:t>涂料</w:t>
                  </w:r>
                </w:p>
              </w:tc>
              <w:tc>
                <w:tcPr>
                  <w:tcW w:w="2140" w:type="pct"/>
                  <w:vAlign w:val="center"/>
                </w:tcPr>
                <w:p w14:paraId="6DE0C0B1">
                  <w:pPr>
                    <w:jc w:val="center"/>
                    <w:rPr>
                      <w:b/>
                      <w:color w:val="auto"/>
                      <w:sz w:val="24"/>
                      <w:u w:val="single"/>
                    </w:rPr>
                  </w:pPr>
                  <w:r>
                    <w:rPr>
                      <w:color w:val="auto"/>
                    </w:rPr>
                    <w:t>丙烯酸聚氨酯面漆</w:t>
                  </w:r>
                </w:p>
              </w:tc>
              <w:tc>
                <w:tcPr>
                  <w:tcW w:w="1789" w:type="pct"/>
                  <w:vAlign w:val="center"/>
                </w:tcPr>
                <w:p w14:paraId="624D4467">
                  <w:pPr>
                    <w:widowControl/>
                    <w:jc w:val="center"/>
                    <w:textAlignment w:val="center"/>
                    <w:rPr>
                      <w:color w:val="auto"/>
                      <w:u w:val="single"/>
                    </w:rPr>
                  </w:pPr>
                  <w:r>
                    <w:rPr>
                      <w:color w:val="auto"/>
                      <w:kern w:val="0"/>
                      <w:szCs w:val="21"/>
                      <w:u w:val="single"/>
                      <w:lang w:bidi="ar"/>
                    </w:rPr>
                    <w:t>0.2</w:t>
                  </w:r>
                </w:p>
              </w:tc>
            </w:tr>
            <w:tr w14:paraId="66CC7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069" w:type="pct"/>
                  <w:vMerge w:val="continue"/>
                  <w:vAlign w:val="center"/>
                </w:tcPr>
                <w:p w14:paraId="211C7018">
                  <w:pPr>
                    <w:jc w:val="center"/>
                    <w:rPr>
                      <w:color w:val="auto"/>
                      <w:szCs w:val="21"/>
                      <w:u w:val="single"/>
                    </w:rPr>
                  </w:pPr>
                </w:p>
              </w:tc>
              <w:tc>
                <w:tcPr>
                  <w:tcW w:w="2140" w:type="pct"/>
                  <w:vAlign w:val="center"/>
                </w:tcPr>
                <w:p w14:paraId="5B050855">
                  <w:pPr>
                    <w:jc w:val="center"/>
                    <w:rPr>
                      <w:bCs/>
                      <w:color w:val="auto"/>
                      <w:szCs w:val="21"/>
                      <w:u w:val="single"/>
                    </w:rPr>
                  </w:pPr>
                  <w:r>
                    <w:rPr>
                      <w:color w:val="auto"/>
                    </w:rPr>
                    <w:t>丙烯酸聚氨酯固化剂</w:t>
                  </w:r>
                </w:p>
              </w:tc>
              <w:tc>
                <w:tcPr>
                  <w:tcW w:w="1789" w:type="pct"/>
                  <w:vAlign w:val="center"/>
                </w:tcPr>
                <w:p w14:paraId="6B1D86E2">
                  <w:pPr>
                    <w:widowControl/>
                    <w:jc w:val="center"/>
                    <w:textAlignment w:val="center"/>
                    <w:rPr>
                      <w:color w:val="auto"/>
                      <w:kern w:val="0"/>
                      <w:szCs w:val="21"/>
                      <w:u w:val="single"/>
                      <w:lang w:bidi="ar"/>
                    </w:rPr>
                  </w:pPr>
                  <w:r>
                    <w:rPr>
                      <w:color w:val="auto"/>
                      <w:kern w:val="0"/>
                      <w:szCs w:val="21"/>
                      <w:u w:val="single"/>
                      <w:lang w:bidi="ar"/>
                    </w:rPr>
                    <w:t>0.1</w:t>
                  </w:r>
                </w:p>
              </w:tc>
            </w:tr>
            <w:tr w14:paraId="60A03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069" w:type="pct"/>
                  <w:vMerge w:val="continue"/>
                  <w:vAlign w:val="center"/>
                </w:tcPr>
                <w:p w14:paraId="4DCDF980">
                  <w:pPr>
                    <w:jc w:val="center"/>
                    <w:rPr>
                      <w:color w:val="auto"/>
                      <w:szCs w:val="21"/>
                      <w:u w:val="single"/>
                    </w:rPr>
                  </w:pPr>
                </w:p>
              </w:tc>
              <w:tc>
                <w:tcPr>
                  <w:tcW w:w="2140" w:type="pct"/>
                  <w:vAlign w:val="center"/>
                </w:tcPr>
                <w:p w14:paraId="71E97B2A">
                  <w:pPr>
                    <w:jc w:val="center"/>
                    <w:rPr>
                      <w:bCs/>
                      <w:color w:val="auto"/>
                      <w:szCs w:val="21"/>
                      <w:u w:val="single"/>
                    </w:rPr>
                  </w:pPr>
                  <w:r>
                    <w:rPr>
                      <w:color w:val="auto"/>
                    </w:rPr>
                    <w:t>丙烯酸聚氨酯稀释剂</w:t>
                  </w:r>
                </w:p>
              </w:tc>
              <w:tc>
                <w:tcPr>
                  <w:tcW w:w="1789" w:type="pct"/>
                  <w:vAlign w:val="center"/>
                </w:tcPr>
                <w:p w14:paraId="2526E808">
                  <w:pPr>
                    <w:widowControl/>
                    <w:jc w:val="center"/>
                    <w:textAlignment w:val="center"/>
                    <w:rPr>
                      <w:color w:val="auto"/>
                      <w:kern w:val="0"/>
                      <w:szCs w:val="21"/>
                      <w:u w:val="single"/>
                      <w:lang w:bidi="ar"/>
                    </w:rPr>
                  </w:pPr>
                  <w:r>
                    <w:rPr>
                      <w:color w:val="auto"/>
                      <w:kern w:val="0"/>
                      <w:szCs w:val="21"/>
                      <w:u w:val="single"/>
                      <w:lang w:bidi="ar"/>
                    </w:rPr>
                    <w:t>0.1</w:t>
                  </w:r>
                </w:p>
              </w:tc>
            </w:tr>
            <w:tr w14:paraId="08F3E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069" w:type="pct"/>
                  <w:vMerge w:val="continue"/>
                  <w:vAlign w:val="center"/>
                </w:tcPr>
                <w:p w14:paraId="7CBB7049">
                  <w:pPr>
                    <w:jc w:val="center"/>
                    <w:rPr>
                      <w:color w:val="auto"/>
                      <w:szCs w:val="21"/>
                      <w:u w:val="single"/>
                    </w:rPr>
                  </w:pPr>
                </w:p>
              </w:tc>
              <w:tc>
                <w:tcPr>
                  <w:tcW w:w="2140" w:type="pct"/>
                  <w:vAlign w:val="center"/>
                </w:tcPr>
                <w:p w14:paraId="3DCFA7EA">
                  <w:pPr>
                    <w:jc w:val="center"/>
                    <w:rPr>
                      <w:bCs/>
                      <w:color w:val="auto"/>
                      <w:szCs w:val="21"/>
                      <w:u w:val="single"/>
                    </w:rPr>
                  </w:pPr>
                  <w:r>
                    <w:rPr>
                      <w:bCs/>
                      <w:color w:val="auto"/>
                      <w:szCs w:val="21"/>
                      <w:u w:val="single"/>
                    </w:rPr>
                    <w:t>环氧底漆</w:t>
                  </w:r>
                </w:p>
              </w:tc>
              <w:tc>
                <w:tcPr>
                  <w:tcW w:w="1789" w:type="pct"/>
                  <w:vAlign w:val="center"/>
                </w:tcPr>
                <w:p w14:paraId="62699E89">
                  <w:pPr>
                    <w:widowControl/>
                    <w:jc w:val="center"/>
                    <w:textAlignment w:val="center"/>
                    <w:rPr>
                      <w:color w:val="auto"/>
                      <w:kern w:val="0"/>
                      <w:szCs w:val="21"/>
                      <w:u w:val="single"/>
                      <w:lang w:bidi="ar"/>
                    </w:rPr>
                  </w:pPr>
                  <w:r>
                    <w:rPr>
                      <w:color w:val="auto"/>
                      <w:kern w:val="0"/>
                      <w:szCs w:val="21"/>
                      <w:u w:val="single"/>
                      <w:lang w:bidi="ar"/>
                    </w:rPr>
                    <w:t>1.0</w:t>
                  </w:r>
                </w:p>
              </w:tc>
            </w:tr>
            <w:tr w14:paraId="43FB5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069" w:type="pct"/>
                  <w:vMerge w:val="continue"/>
                  <w:vAlign w:val="center"/>
                </w:tcPr>
                <w:p w14:paraId="102B6493">
                  <w:pPr>
                    <w:jc w:val="center"/>
                    <w:rPr>
                      <w:bCs/>
                      <w:color w:val="auto"/>
                      <w:szCs w:val="21"/>
                      <w:u w:val="single"/>
                    </w:rPr>
                  </w:pPr>
                </w:p>
              </w:tc>
              <w:tc>
                <w:tcPr>
                  <w:tcW w:w="2140" w:type="pct"/>
                  <w:vAlign w:val="center"/>
                </w:tcPr>
                <w:p w14:paraId="6BBE085B">
                  <w:pPr>
                    <w:jc w:val="center"/>
                    <w:rPr>
                      <w:color w:val="auto"/>
                      <w:szCs w:val="21"/>
                      <w:u w:val="single"/>
                    </w:rPr>
                  </w:pPr>
                  <w:r>
                    <w:rPr>
                      <w:bCs/>
                      <w:color w:val="auto"/>
                      <w:szCs w:val="21"/>
                      <w:u w:val="single"/>
                    </w:rPr>
                    <w:t>环氧底漆稀释剂</w:t>
                  </w:r>
                </w:p>
              </w:tc>
              <w:tc>
                <w:tcPr>
                  <w:tcW w:w="1789" w:type="pct"/>
                  <w:vAlign w:val="center"/>
                </w:tcPr>
                <w:p w14:paraId="74538AA9">
                  <w:pPr>
                    <w:widowControl/>
                    <w:jc w:val="center"/>
                    <w:textAlignment w:val="center"/>
                    <w:rPr>
                      <w:color w:val="auto"/>
                      <w:u w:val="single"/>
                    </w:rPr>
                  </w:pPr>
                  <w:r>
                    <w:rPr>
                      <w:color w:val="auto"/>
                      <w:kern w:val="0"/>
                      <w:szCs w:val="21"/>
                      <w:u w:val="single"/>
                      <w:lang w:bidi="ar"/>
                    </w:rPr>
                    <w:t>0.5</w:t>
                  </w:r>
                </w:p>
              </w:tc>
            </w:tr>
            <w:tr w14:paraId="5A3E2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069" w:type="pct"/>
                  <w:vMerge w:val="continue"/>
                  <w:vAlign w:val="center"/>
                </w:tcPr>
                <w:p w14:paraId="1D09EC4D">
                  <w:pPr>
                    <w:jc w:val="center"/>
                    <w:rPr>
                      <w:bCs/>
                      <w:color w:val="auto"/>
                      <w:szCs w:val="21"/>
                      <w:u w:val="single"/>
                    </w:rPr>
                  </w:pPr>
                </w:p>
              </w:tc>
              <w:tc>
                <w:tcPr>
                  <w:tcW w:w="2140" w:type="pct"/>
                  <w:vAlign w:val="center"/>
                </w:tcPr>
                <w:p w14:paraId="20BB140D">
                  <w:pPr>
                    <w:jc w:val="center"/>
                    <w:rPr>
                      <w:bCs/>
                      <w:color w:val="auto"/>
                      <w:szCs w:val="21"/>
                      <w:u w:val="single"/>
                    </w:rPr>
                  </w:pPr>
                  <w:r>
                    <w:rPr>
                      <w:color w:val="auto"/>
                      <w:szCs w:val="21"/>
                    </w:rPr>
                    <w:t>水性丙烯酸面漆</w:t>
                  </w:r>
                </w:p>
              </w:tc>
              <w:tc>
                <w:tcPr>
                  <w:tcW w:w="1789" w:type="pct"/>
                  <w:vAlign w:val="center"/>
                </w:tcPr>
                <w:p w14:paraId="43FCF48A">
                  <w:pPr>
                    <w:widowControl/>
                    <w:jc w:val="center"/>
                    <w:textAlignment w:val="center"/>
                    <w:rPr>
                      <w:color w:val="auto"/>
                      <w:kern w:val="0"/>
                      <w:szCs w:val="21"/>
                      <w:u w:val="single"/>
                      <w:lang w:bidi="ar"/>
                    </w:rPr>
                  </w:pPr>
                  <w:r>
                    <w:rPr>
                      <w:color w:val="auto"/>
                      <w:kern w:val="0"/>
                      <w:szCs w:val="21"/>
                      <w:u w:val="single"/>
                      <w:lang w:bidi="ar"/>
                    </w:rPr>
                    <w:t>2.0</w:t>
                  </w:r>
                </w:p>
              </w:tc>
            </w:tr>
            <w:tr w14:paraId="1E9E2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3210" w:type="pct"/>
                  <w:gridSpan w:val="2"/>
                  <w:vAlign w:val="center"/>
                </w:tcPr>
                <w:p w14:paraId="1D522AD5">
                  <w:pPr>
                    <w:jc w:val="center"/>
                    <w:rPr>
                      <w:bCs/>
                      <w:color w:val="auto"/>
                      <w:szCs w:val="21"/>
                      <w:u w:val="single"/>
                    </w:rPr>
                  </w:pPr>
                  <w:r>
                    <w:rPr>
                      <w:bCs/>
                      <w:color w:val="auto"/>
                      <w:szCs w:val="21"/>
                      <w:u w:val="single"/>
                    </w:rPr>
                    <w:t>合计</w:t>
                  </w:r>
                </w:p>
              </w:tc>
              <w:tc>
                <w:tcPr>
                  <w:tcW w:w="1789" w:type="pct"/>
                  <w:vAlign w:val="center"/>
                </w:tcPr>
                <w:p w14:paraId="7441E293">
                  <w:pPr>
                    <w:widowControl/>
                    <w:jc w:val="center"/>
                    <w:textAlignment w:val="center"/>
                    <w:rPr>
                      <w:color w:val="auto"/>
                      <w:u w:val="single"/>
                    </w:rPr>
                  </w:pPr>
                  <w:r>
                    <w:rPr>
                      <w:color w:val="auto"/>
                      <w:kern w:val="0"/>
                      <w:szCs w:val="21"/>
                      <w:u w:val="single"/>
                      <w:lang w:bidi="ar"/>
                    </w:rPr>
                    <w:t>3.9</w:t>
                  </w:r>
                </w:p>
              </w:tc>
            </w:tr>
          </w:tbl>
          <w:p w14:paraId="33484B62">
            <w:pPr>
              <w:pStyle w:val="38"/>
              <w:rPr>
                <w:rFonts w:ascii="Times New Roman" w:hAnsi="Times New Roman" w:cs="Times New Roman"/>
                <w:bCs/>
                <w:color w:val="auto"/>
                <w:u w:val="single"/>
              </w:rPr>
            </w:pPr>
          </w:p>
          <w:p w14:paraId="7780CC69">
            <w:pPr>
              <w:pStyle w:val="38"/>
              <w:rPr>
                <w:rFonts w:ascii="Times New Roman" w:hAnsi="Times New Roman" w:cs="Times New Roman"/>
                <w:bCs/>
                <w:color w:val="auto"/>
                <w:u w:val="single"/>
              </w:rPr>
            </w:pPr>
          </w:p>
          <w:p w14:paraId="232EC1DF">
            <w:pPr>
              <w:pStyle w:val="38"/>
              <w:rPr>
                <w:rFonts w:ascii="Times New Roman" w:cs="Times New Roman"/>
                <w:bCs/>
                <w:color w:val="auto"/>
                <w:u w:val="single"/>
              </w:rPr>
            </w:pPr>
          </w:p>
          <w:p w14:paraId="53D046E0">
            <w:pPr>
              <w:pStyle w:val="38"/>
              <w:rPr>
                <w:rFonts w:ascii="Times New Roman" w:cs="Times New Roman"/>
                <w:bCs/>
                <w:color w:val="auto"/>
                <w:u w:val="single"/>
              </w:rPr>
            </w:pPr>
          </w:p>
          <w:p w14:paraId="783BE86C">
            <w:pPr>
              <w:spacing w:line="360" w:lineRule="auto"/>
              <w:rPr>
                <w:b/>
                <w:bCs/>
                <w:color w:val="auto"/>
                <w:sz w:val="24"/>
                <w:szCs w:val="32"/>
                <w:u w:val="single"/>
              </w:rPr>
            </w:pPr>
            <w:r>
              <w:rPr>
                <w:color w:val="auto"/>
              </w:rPr>
              <mc:AlternateContent>
                <mc:Choice Requires="wps">
                  <w:drawing>
                    <wp:anchor distT="0" distB="0" distL="114300" distR="114300" simplePos="0" relativeHeight="251660288" behindDoc="0" locked="0" layoutInCell="1" allowOverlap="1">
                      <wp:simplePos x="0" y="0"/>
                      <wp:positionH relativeFrom="column">
                        <wp:posOffset>965835</wp:posOffset>
                      </wp:positionH>
                      <wp:positionV relativeFrom="paragraph">
                        <wp:posOffset>2170430</wp:posOffset>
                      </wp:positionV>
                      <wp:extent cx="250825" cy="635"/>
                      <wp:effectExtent l="0" t="37465" r="15875" b="38100"/>
                      <wp:wrapNone/>
                      <wp:docPr id="40" name="直接连接符 40"/>
                      <wp:cNvGraphicFramePr/>
                      <a:graphic xmlns:a="http://schemas.openxmlformats.org/drawingml/2006/main">
                        <a:graphicData uri="http://schemas.microsoft.com/office/word/2010/wordprocessingShape">
                          <wps:wsp>
                            <wps:cNvCnPr/>
                            <wps:spPr>
                              <a:xfrm>
                                <a:off x="0" y="0"/>
                                <a:ext cx="25125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76.05pt;margin-top:170.9pt;height:0.05pt;width:19.75pt;z-index:251660288;mso-width-relative:page;mso-height-relative:page;" filled="f" stroked="t" coordsize="21600,21600" o:gfxdata="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B4AJVdoAAAALAQAADwAAAAAAAAABACAAAAAiAAAAZHJzL2Rvd25yZXYueG1sUEsB&#10;AhQAFAAAAAgAh07iQLHPbl/zAQAA3wMAAA4AAAAAAAAAAQAgAAAAKQEAAGRycy9lMm9Eb2MueG1s&#10;UEsFBgAAAAAGAAYAWQEAAI4FAAAAAA==&#10;">
                      <v:fill on="f" focussize="0,0"/>
                      <v:stroke color="#000000" joinstyle="round" endarrow="block"/>
                      <v:imagedata o:title=""/>
                      <o:lock v:ext="edit" aspectratio="f"/>
                    </v:line>
                  </w:pict>
                </mc:Fallback>
              </mc:AlternateContent>
            </w:r>
            <w:r>
              <w:rPr>
                <w:color w:val="auto"/>
              </w:rPr>
              <mc:AlternateContent>
                <mc:Choice Requires="wps">
                  <w:drawing>
                    <wp:anchor distT="0" distB="0" distL="114300" distR="114300" simplePos="0" relativeHeight="251661312" behindDoc="0" locked="0" layoutInCell="1" allowOverlap="1">
                      <wp:simplePos x="0" y="0"/>
                      <wp:positionH relativeFrom="column">
                        <wp:posOffset>1225550</wp:posOffset>
                      </wp:positionH>
                      <wp:positionV relativeFrom="paragraph">
                        <wp:posOffset>2025650</wp:posOffset>
                      </wp:positionV>
                      <wp:extent cx="679450" cy="274320"/>
                      <wp:effectExtent l="4445" t="4445" r="20955" b="6985"/>
                      <wp:wrapNone/>
                      <wp:docPr id="41" name="文本框 41"/>
                      <wp:cNvGraphicFramePr/>
                      <a:graphic xmlns:a="http://schemas.openxmlformats.org/drawingml/2006/main">
                        <a:graphicData uri="http://schemas.microsoft.com/office/word/2010/wordprocessingShape">
                          <wps:wsp>
                            <wps:cNvSpPr txBox="1"/>
                            <wps:spPr>
                              <a:xfrm>
                                <a:off x="0" y="0"/>
                                <a:ext cx="679450" cy="274320"/>
                              </a:xfrm>
                              <a:prstGeom prst="rect">
                                <a:avLst/>
                              </a:prstGeom>
                              <a:noFill/>
                              <a:ln w="9525" cap="flat" cmpd="sng">
                                <a:solidFill>
                                  <a:srgbClr val="000000"/>
                                </a:solidFill>
                                <a:prstDash val="solid"/>
                                <a:miter/>
                                <a:headEnd type="none" w="med" len="med"/>
                                <a:tailEnd type="none" w="med" len="med"/>
                              </a:ln>
                            </wps:spPr>
                            <wps:txbx>
                              <w:txbxContent>
                                <w:p w14:paraId="740D3ADB">
                                  <w:pPr>
                                    <w:jc w:val="center"/>
                                  </w:pPr>
                                  <w:r>
                                    <w:rPr>
                                      <w:rFonts w:hint="eastAsia"/>
                                    </w:rPr>
                                    <w:t>水0.24</w:t>
                                  </w:r>
                                </w:p>
                              </w:txbxContent>
                            </wps:txbx>
                            <wps:bodyPr upright="1"/>
                          </wps:wsp>
                        </a:graphicData>
                      </a:graphic>
                    </wp:anchor>
                  </w:drawing>
                </mc:Choice>
                <mc:Fallback>
                  <w:pict>
                    <v:shape id="_x0000_s1026" o:spid="_x0000_s1026" o:spt="202" type="#_x0000_t202" style="position:absolute;left:0pt;margin-left:96.5pt;margin-top:159.5pt;height:21.6pt;width:53.5pt;z-index:251661312;mso-width-relative:page;mso-height-relative:page;" filled="f" stroked="t" coordsize="21600,21600" o:gfxdata="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o0svLVAAAACwEAAA8AAAAAAAAAAQAgAAAAIgAAAGRy&#10;cy9kb3ducmV2LnhtbFBLAQIUABQAAAAIAIdO4kB07QztCAIAAA4EAAAOAAAAAAAAAAEAIAAAACQB&#10;AABkcnMvZTJvRG9jLnhtbFBLBQYAAAAABgAGAFkBAACeBQAAAAA=&#10;">
                      <v:fill on="f" focussize="0,0"/>
                      <v:stroke color="#000000" joinstyle="miter"/>
                      <v:imagedata o:title=""/>
                      <o:lock v:ext="edit" aspectratio="f"/>
                      <v:textbox>
                        <w:txbxContent>
                          <w:p w14:paraId="740D3ADB">
                            <w:pPr>
                              <w:jc w:val="center"/>
                            </w:pPr>
                            <w:r>
                              <w:rPr>
                                <w:rFonts w:hint="eastAsia"/>
                              </w:rPr>
                              <w:t>水0.24</w:t>
                            </w:r>
                          </w:p>
                        </w:txbxContent>
                      </v:textbox>
                    </v:shape>
                  </w:pict>
                </mc:Fallback>
              </mc:AlternateContent>
            </w:r>
            <w:r>
              <w:rPr>
                <w:color w:val="auto"/>
                <w:u w:val="single"/>
              </w:rPr>
              <mc:AlternateContent>
                <mc:Choice Requires="wpg">
                  <w:drawing>
                    <wp:inline distT="0" distB="0" distL="114300" distR="114300">
                      <wp:extent cx="5101590" cy="3842385"/>
                      <wp:effectExtent l="4445" t="4445" r="18415" b="20320"/>
                      <wp:docPr id="42" name="组合 42"/>
                      <wp:cNvGraphicFramePr/>
                      <a:graphic xmlns:a="http://schemas.openxmlformats.org/drawingml/2006/main">
                        <a:graphicData uri="http://schemas.microsoft.com/office/word/2010/wordprocessingGroup">
                          <wpg:wgp>
                            <wpg:cNvGrpSpPr/>
                            <wpg:grpSpPr>
                              <a:xfrm>
                                <a:off x="0" y="0"/>
                                <a:ext cx="5101514" cy="3842385"/>
                                <a:chOff x="10357" y="610029"/>
                                <a:chExt cx="7756" cy="6051"/>
                              </a:xfrm>
                            </wpg:grpSpPr>
                            <wps:wsp>
                              <wps:cNvPr id="8" name="文本框 8"/>
                              <wps:cNvSpPr txBox="1"/>
                              <wps:spPr>
                                <a:xfrm>
                                  <a:off x="10357" y="613238"/>
                                  <a:ext cx="1047" cy="428"/>
                                </a:xfrm>
                                <a:prstGeom prst="rect">
                                  <a:avLst/>
                                </a:prstGeom>
                                <a:noFill/>
                                <a:ln w="9525" cap="flat" cmpd="sng">
                                  <a:solidFill>
                                    <a:srgbClr val="000000"/>
                                  </a:solidFill>
                                  <a:prstDash val="solid"/>
                                  <a:miter/>
                                  <a:headEnd type="none" w="med" len="med"/>
                                  <a:tailEnd type="none" w="med" len="med"/>
                                </a:ln>
                              </wps:spPr>
                              <wps:txbx>
                                <w:txbxContent>
                                  <w:p w14:paraId="7003C1D8">
                                    <w:r>
                                      <w:rPr>
                                        <w:rFonts w:hint="eastAsia"/>
                                      </w:rPr>
                                      <w:t>涂料3.9</w:t>
                                    </w:r>
                                  </w:p>
                                </w:txbxContent>
                              </wps:txbx>
                              <wps:bodyPr upright="1"/>
                            </wps:wsp>
                            <wps:wsp>
                              <wps:cNvPr id="9" name="文本框 9"/>
                              <wps:cNvSpPr txBox="1"/>
                              <wps:spPr>
                                <a:xfrm>
                                  <a:off x="12207" y="611321"/>
                                  <a:ext cx="1388" cy="931"/>
                                </a:xfrm>
                                <a:prstGeom prst="rect">
                                  <a:avLst/>
                                </a:prstGeom>
                                <a:noFill/>
                                <a:ln w="9525" cap="flat" cmpd="sng">
                                  <a:solidFill>
                                    <a:srgbClr val="000000"/>
                                  </a:solidFill>
                                  <a:prstDash val="solid"/>
                                  <a:miter/>
                                  <a:headEnd type="none" w="med" len="med"/>
                                  <a:tailEnd type="none" w="med" len="med"/>
                                </a:ln>
                              </wps:spPr>
                              <wps:txbx>
                                <w:txbxContent>
                                  <w:p w14:paraId="6A7BCFE4">
                                    <w:r>
                                      <w:rPr>
                                        <w:rFonts w:hint="eastAsia"/>
                                      </w:rPr>
                                      <w:t>VOCs0.788（其中二甲苯</w:t>
                                    </w:r>
                                    <w:r>
                                      <w:rPr>
                                        <w:rFonts w:hint="eastAsia"/>
                                        <w:bCs/>
                                        <w:color w:val="000000"/>
                                        <w:kern w:val="0"/>
                                        <w:szCs w:val="21"/>
                                        <w:lang w:bidi="ar"/>
                                      </w:rPr>
                                      <w:t>0.18</w:t>
                                    </w:r>
                                    <w:r>
                                      <w:rPr>
                                        <w:rFonts w:hint="eastAsia"/>
                                      </w:rPr>
                                      <w:t>）</w:t>
                                    </w:r>
                                  </w:p>
                                </w:txbxContent>
                              </wps:txbx>
                              <wps:bodyPr upright="1"/>
                            </wps:wsp>
                            <wps:wsp>
                              <wps:cNvPr id="10" name="文本框 10"/>
                              <wps:cNvSpPr txBox="1"/>
                              <wps:spPr>
                                <a:xfrm>
                                  <a:off x="14543" y="610029"/>
                                  <a:ext cx="1387" cy="1200"/>
                                </a:xfrm>
                                <a:prstGeom prst="rect">
                                  <a:avLst/>
                                </a:prstGeom>
                                <a:noFill/>
                                <a:ln w="9525" cap="flat" cmpd="sng">
                                  <a:solidFill>
                                    <a:srgbClr val="000000"/>
                                  </a:solidFill>
                                  <a:prstDash val="solid"/>
                                  <a:miter/>
                                  <a:headEnd type="none" w="med" len="med"/>
                                  <a:tailEnd type="none" w="med" len="med"/>
                                </a:ln>
                              </wps:spPr>
                              <wps:txbx>
                                <w:txbxContent>
                                  <w:p w14:paraId="6E9B5616">
                                    <w:r>
                                      <w:rPr>
                                        <w:rFonts w:hint="eastAsia"/>
                                      </w:rPr>
                                      <w:t>无组织VOCs0.079（其中二甲苯0.018）</w:t>
                                    </w:r>
                                  </w:p>
                                </w:txbxContent>
                              </wps:txbx>
                              <wps:bodyPr upright="1"/>
                            </wps:wsp>
                            <wps:wsp>
                              <wps:cNvPr id="12" name="文本框 12"/>
                              <wps:cNvSpPr txBox="1"/>
                              <wps:spPr>
                                <a:xfrm>
                                  <a:off x="14520" y="612234"/>
                                  <a:ext cx="1388" cy="1200"/>
                                </a:xfrm>
                                <a:prstGeom prst="rect">
                                  <a:avLst/>
                                </a:prstGeom>
                                <a:noFill/>
                                <a:ln w="9525" cap="flat" cmpd="sng">
                                  <a:solidFill>
                                    <a:srgbClr val="000000"/>
                                  </a:solidFill>
                                  <a:prstDash val="solid"/>
                                  <a:miter/>
                                  <a:headEnd type="none" w="med" len="med"/>
                                  <a:tailEnd type="none" w="med" len="med"/>
                                </a:ln>
                              </wps:spPr>
                              <wps:txbx>
                                <w:txbxContent>
                                  <w:p w14:paraId="09246FB7">
                                    <w:r>
                                      <w:rPr>
                                        <w:rFonts w:hint="eastAsia"/>
                                      </w:rPr>
                                      <w:t>有组织VOCs0.709（其中二甲苯0.162）</w:t>
                                    </w:r>
                                  </w:p>
                                </w:txbxContent>
                              </wps:txbx>
                              <wps:bodyPr upright="1"/>
                            </wps:wsp>
                            <wps:wsp>
                              <wps:cNvPr id="13" name="文本框 13"/>
                              <wps:cNvSpPr txBox="1"/>
                              <wps:spPr>
                                <a:xfrm>
                                  <a:off x="16725" y="612423"/>
                                  <a:ext cx="1388" cy="1462"/>
                                </a:xfrm>
                                <a:prstGeom prst="rect">
                                  <a:avLst/>
                                </a:prstGeom>
                                <a:noFill/>
                                <a:ln w="9525" cap="flat" cmpd="sng">
                                  <a:solidFill>
                                    <a:srgbClr val="000000"/>
                                  </a:solidFill>
                                  <a:prstDash val="solid"/>
                                  <a:miter/>
                                  <a:headEnd type="none" w="med" len="med"/>
                                  <a:tailEnd type="none" w="med" len="med"/>
                                </a:ln>
                              </wps:spPr>
                              <wps:txbx>
                                <w:txbxContent>
                                  <w:p w14:paraId="50CA9FBD">
                                    <w:pPr>
                                      <w:jc w:val="center"/>
                                    </w:pPr>
                                    <w:r>
                                      <w:rPr>
                                        <w:rFonts w:hint="eastAsia"/>
                                      </w:rPr>
                                      <w:t>二级活性炭吸附VOCs</w:t>
                                    </w:r>
                                  </w:p>
                                  <w:p w14:paraId="085EE949">
                                    <w:pPr>
                                      <w:jc w:val="center"/>
                                    </w:pPr>
                                    <w:r>
                                      <w:rPr>
                                        <w:rFonts w:hint="eastAsia"/>
                                      </w:rPr>
                                      <w:t>0.</w:t>
                                    </w:r>
                                    <w:r>
                                      <w:rPr>
                                        <w:rFonts w:hint="eastAsia"/>
                                        <w:lang w:val="en-US" w:eastAsia="zh-CN"/>
                                      </w:rPr>
                                      <w:t>532</w:t>
                                    </w:r>
                                    <w:r>
                                      <w:rPr>
                                        <w:rFonts w:hint="eastAsia"/>
                                      </w:rPr>
                                      <w:t>（其中二甲苯0.</w:t>
                                    </w:r>
                                    <w:r>
                                      <w:rPr>
                                        <w:rFonts w:hint="eastAsia"/>
                                        <w:lang w:val="en-US" w:eastAsia="zh-CN"/>
                                      </w:rPr>
                                      <w:t>121</w:t>
                                    </w:r>
                                    <w:r>
                                      <w:rPr>
                                        <w:rFonts w:hint="eastAsia"/>
                                      </w:rPr>
                                      <w:t>）</w:t>
                                    </w:r>
                                  </w:p>
                                </w:txbxContent>
                              </wps:txbx>
                              <wps:bodyPr upright="1"/>
                            </wps:wsp>
                            <wps:wsp>
                              <wps:cNvPr id="14" name="文本框 14"/>
                              <wps:cNvSpPr txBox="1"/>
                              <wps:spPr>
                                <a:xfrm>
                                  <a:off x="16720" y="610463"/>
                                  <a:ext cx="1388" cy="1486"/>
                                </a:xfrm>
                                <a:prstGeom prst="rect">
                                  <a:avLst/>
                                </a:prstGeom>
                                <a:noFill/>
                                <a:ln w="9525" cap="flat" cmpd="sng">
                                  <a:solidFill>
                                    <a:srgbClr val="000000"/>
                                  </a:solidFill>
                                  <a:prstDash val="solid"/>
                                  <a:miter/>
                                  <a:headEnd type="none" w="med" len="med"/>
                                  <a:tailEnd type="none" w="med" len="med"/>
                                </a:ln>
                              </wps:spPr>
                              <wps:txbx>
                                <w:txbxContent>
                                  <w:p w14:paraId="6EDBC372">
                                    <w:r>
                                      <w:rPr>
                                        <w:rFonts w:hint="eastAsia"/>
                                      </w:rPr>
                                      <w:t>经15m排气筒排放VOCs0.</w:t>
                                    </w:r>
                                    <w:r>
                                      <w:rPr>
                                        <w:rFonts w:hint="eastAsia"/>
                                        <w:lang w:val="en-US" w:eastAsia="zh-CN"/>
                                      </w:rPr>
                                      <w:t>177</w:t>
                                    </w:r>
                                    <w:r>
                                      <w:rPr>
                                        <w:rFonts w:hint="eastAsia"/>
                                      </w:rPr>
                                      <w:t>（其中二甲苯0.</w:t>
                                    </w:r>
                                    <w:r>
                                      <w:rPr>
                                        <w:rFonts w:hint="eastAsia"/>
                                        <w:lang w:val="en-US" w:eastAsia="zh-CN"/>
                                      </w:rPr>
                                      <w:t>041</w:t>
                                    </w:r>
                                    <w:r>
                                      <w:rPr>
                                        <w:rFonts w:hint="eastAsia"/>
                                      </w:rPr>
                                      <w:t>）</w:t>
                                    </w:r>
                                  </w:p>
                                </w:txbxContent>
                              </wps:txbx>
                              <wps:bodyPr upright="1"/>
                            </wps:wsp>
                            <wps:wsp>
                              <wps:cNvPr id="15" name="文本框 15"/>
                              <wps:cNvSpPr txBox="1"/>
                              <wps:spPr>
                                <a:xfrm>
                                  <a:off x="12202" y="614990"/>
                                  <a:ext cx="1388" cy="420"/>
                                </a:xfrm>
                                <a:prstGeom prst="rect">
                                  <a:avLst/>
                                </a:prstGeom>
                                <a:noFill/>
                                <a:ln w="9525" cap="flat" cmpd="sng">
                                  <a:solidFill>
                                    <a:srgbClr val="000000"/>
                                  </a:solidFill>
                                  <a:prstDash val="solid"/>
                                  <a:miter/>
                                  <a:headEnd type="none" w="med" len="med"/>
                                  <a:tailEnd type="none" w="med" len="med"/>
                                </a:ln>
                              </wps:spPr>
                              <wps:txbx>
                                <w:txbxContent>
                                  <w:p w14:paraId="320C82A6">
                                    <w:r>
                                      <w:rPr>
                                        <w:rFonts w:hint="eastAsia"/>
                                      </w:rPr>
                                      <w:t>固体份2.872</w:t>
                                    </w:r>
                                  </w:p>
                                </w:txbxContent>
                              </wps:txbx>
                              <wps:bodyPr upright="1"/>
                            </wps:wsp>
                            <wps:wsp>
                              <wps:cNvPr id="17" name="文本框 17"/>
                              <wps:cNvSpPr txBox="1"/>
                              <wps:spPr>
                                <a:xfrm>
                                  <a:off x="14591" y="614105"/>
                                  <a:ext cx="1388" cy="682"/>
                                </a:xfrm>
                                <a:prstGeom prst="rect">
                                  <a:avLst/>
                                </a:prstGeom>
                                <a:noFill/>
                                <a:ln w="9525" cap="flat" cmpd="sng">
                                  <a:solidFill>
                                    <a:srgbClr val="000000"/>
                                  </a:solidFill>
                                  <a:prstDash val="solid"/>
                                  <a:miter/>
                                  <a:headEnd type="none" w="med" len="med"/>
                                  <a:tailEnd type="none" w="med" len="med"/>
                                </a:ln>
                              </wps:spPr>
                              <wps:txbx>
                                <w:txbxContent>
                                  <w:p w14:paraId="13BF68B1">
                                    <w:r>
                                      <w:t>产品附着量</w:t>
                                    </w:r>
                                    <w:r>
                                      <w:rPr>
                                        <w:bCs/>
                                        <w:color w:val="000000"/>
                                        <w:kern w:val="0"/>
                                        <w:szCs w:val="21"/>
                                        <w:lang w:bidi="ar"/>
                                      </w:rPr>
                                      <w:t>2.</w:t>
                                    </w:r>
                                    <w:r>
                                      <w:rPr>
                                        <w:rFonts w:hint="eastAsia"/>
                                        <w:bCs/>
                                        <w:color w:val="000000"/>
                                        <w:kern w:val="0"/>
                                        <w:szCs w:val="21"/>
                                        <w:lang w:bidi="ar"/>
                                      </w:rPr>
                                      <w:t>298</w:t>
                                    </w:r>
                                  </w:p>
                                </w:txbxContent>
                              </wps:txbx>
                              <wps:bodyPr upright="1"/>
                            </wps:wsp>
                            <wps:wsp>
                              <wps:cNvPr id="18" name="文本框 18"/>
                              <wps:cNvSpPr txBox="1"/>
                              <wps:spPr>
                                <a:xfrm>
                                  <a:off x="14578" y="615638"/>
                                  <a:ext cx="1389" cy="442"/>
                                </a:xfrm>
                                <a:prstGeom prst="rect">
                                  <a:avLst/>
                                </a:prstGeom>
                                <a:noFill/>
                                <a:ln w="9525" cap="flat" cmpd="sng">
                                  <a:solidFill>
                                    <a:srgbClr val="000000"/>
                                  </a:solidFill>
                                  <a:prstDash val="solid"/>
                                  <a:miter/>
                                  <a:headEnd type="none" w="med" len="med"/>
                                  <a:tailEnd type="none" w="med" len="med"/>
                                </a:ln>
                              </wps:spPr>
                              <wps:txbx>
                                <w:txbxContent>
                                  <w:p w14:paraId="33220A47">
                                    <w:r>
                                      <w:rPr>
                                        <w:rFonts w:hint="eastAsia"/>
                                      </w:rPr>
                                      <w:t>漆雾</w:t>
                                    </w:r>
                                    <w:r>
                                      <w:rPr>
                                        <w:rFonts w:hint="eastAsia"/>
                                        <w:bCs/>
                                        <w:color w:val="000000"/>
                                        <w:kern w:val="0"/>
                                        <w:szCs w:val="21"/>
                                        <w:lang w:bidi="ar"/>
                                      </w:rPr>
                                      <w:t>0.574</w:t>
                                    </w:r>
                                  </w:p>
                                </w:txbxContent>
                              </wps:txbx>
                              <wps:bodyPr upright="1"/>
                            </wps:wsp>
                            <wps:wsp>
                              <wps:cNvPr id="19" name="直接连接符 19"/>
                              <wps:cNvCnPr/>
                              <wps:spPr>
                                <a:xfrm>
                                  <a:off x="11804" y="611714"/>
                                  <a:ext cx="1" cy="3477"/>
                                </a:xfrm>
                                <a:prstGeom prst="line">
                                  <a:avLst/>
                                </a:prstGeom>
                                <a:ln w="9525" cap="flat" cmpd="sng">
                                  <a:solidFill>
                                    <a:srgbClr val="000000"/>
                                  </a:solidFill>
                                  <a:prstDash val="solid"/>
                                  <a:headEnd type="none" w="med" len="med"/>
                                  <a:tailEnd type="none" w="med" len="med"/>
                                </a:ln>
                              </wps:spPr>
                              <wps:bodyPr/>
                            </wps:wsp>
                            <wps:wsp>
                              <wps:cNvPr id="20" name="直接连接符 20"/>
                              <wps:cNvCnPr/>
                              <wps:spPr>
                                <a:xfrm flipH="1">
                                  <a:off x="14095" y="610636"/>
                                  <a:ext cx="13" cy="2237"/>
                                </a:xfrm>
                                <a:prstGeom prst="line">
                                  <a:avLst/>
                                </a:prstGeom>
                                <a:ln w="9525" cap="flat" cmpd="sng">
                                  <a:solidFill>
                                    <a:srgbClr val="000000"/>
                                  </a:solidFill>
                                  <a:prstDash val="solid"/>
                                  <a:headEnd type="none" w="med" len="med"/>
                                  <a:tailEnd type="none" w="med" len="med"/>
                                </a:ln>
                              </wps:spPr>
                              <wps:bodyPr/>
                            </wps:wsp>
                            <wps:wsp>
                              <wps:cNvPr id="21" name="直接连接符 21"/>
                              <wps:cNvCnPr/>
                              <wps:spPr>
                                <a:xfrm>
                                  <a:off x="14169" y="614428"/>
                                  <a:ext cx="1" cy="1472"/>
                                </a:xfrm>
                                <a:prstGeom prst="line">
                                  <a:avLst/>
                                </a:prstGeom>
                                <a:ln w="9525" cap="flat" cmpd="sng">
                                  <a:solidFill>
                                    <a:srgbClr val="000000"/>
                                  </a:solidFill>
                                  <a:prstDash val="solid"/>
                                  <a:headEnd type="none" w="med" len="med"/>
                                  <a:tailEnd type="none" w="med" len="med"/>
                                </a:ln>
                              </wps:spPr>
                              <wps:bodyPr/>
                            </wps:wsp>
                            <wps:wsp>
                              <wps:cNvPr id="22" name="直接连接符 22"/>
                              <wps:cNvCnPr/>
                              <wps:spPr>
                                <a:xfrm>
                                  <a:off x="11817" y="611727"/>
                                  <a:ext cx="382" cy="1"/>
                                </a:xfrm>
                                <a:prstGeom prst="line">
                                  <a:avLst/>
                                </a:prstGeom>
                                <a:ln w="9525" cap="flat" cmpd="sng">
                                  <a:solidFill>
                                    <a:srgbClr val="000000"/>
                                  </a:solidFill>
                                  <a:prstDash val="solid"/>
                                  <a:headEnd type="none" w="med" len="med"/>
                                  <a:tailEnd type="triangle" w="med" len="med"/>
                                </a:ln>
                              </wps:spPr>
                              <wps:bodyPr/>
                            </wps:wsp>
                            <wps:wsp>
                              <wps:cNvPr id="23" name="直接连接符 23"/>
                              <wps:cNvCnPr/>
                              <wps:spPr>
                                <a:xfrm>
                                  <a:off x="11811" y="615172"/>
                                  <a:ext cx="382" cy="1"/>
                                </a:xfrm>
                                <a:prstGeom prst="line">
                                  <a:avLst/>
                                </a:prstGeom>
                                <a:ln w="9525" cap="flat" cmpd="sng">
                                  <a:solidFill>
                                    <a:srgbClr val="000000"/>
                                  </a:solidFill>
                                  <a:prstDash val="solid"/>
                                  <a:headEnd type="none" w="med" len="med"/>
                                  <a:tailEnd type="triangle" w="med" len="med"/>
                                </a:ln>
                              </wps:spPr>
                              <wps:bodyPr/>
                            </wps:wsp>
                            <wps:wsp>
                              <wps:cNvPr id="27" name="直接连接符 27"/>
                              <wps:cNvCnPr/>
                              <wps:spPr>
                                <a:xfrm>
                                  <a:off x="14115" y="610631"/>
                                  <a:ext cx="382" cy="1"/>
                                </a:xfrm>
                                <a:prstGeom prst="line">
                                  <a:avLst/>
                                </a:prstGeom>
                                <a:ln w="9525" cap="flat" cmpd="sng">
                                  <a:solidFill>
                                    <a:srgbClr val="000000"/>
                                  </a:solidFill>
                                  <a:prstDash val="solid"/>
                                  <a:headEnd type="none" w="med" len="med"/>
                                  <a:tailEnd type="triangle" w="med" len="med"/>
                                </a:ln>
                              </wps:spPr>
                              <wps:bodyPr/>
                            </wps:wsp>
                            <wps:wsp>
                              <wps:cNvPr id="32" name="直接连接符 32"/>
                              <wps:cNvCnPr/>
                              <wps:spPr>
                                <a:xfrm>
                                  <a:off x="14116" y="612867"/>
                                  <a:ext cx="382" cy="1"/>
                                </a:xfrm>
                                <a:prstGeom prst="line">
                                  <a:avLst/>
                                </a:prstGeom>
                                <a:ln w="9525" cap="flat" cmpd="sng">
                                  <a:solidFill>
                                    <a:srgbClr val="000000"/>
                                  </a:solidFill>
                                  <a:prstDash val="solid"/>
                                  <a:headEnd type="none" w="med" len="med"/>
                                  <a:tailEnd type="triangle" w="med" len="med"/>
                                </a:ln>
                              </wps:spPr>
                              <wps:bodyPr/>
                            </wps:wsp>
                            <wps:wsp>
                              <wps:cNvPr id="33" name="直接连接符 33"/>
                              <wps:cNvCnPr/>
                              <wps:spPr>
                                <a:xfrm>
                                  <a:off x="14174" y="614437"/>
                                  <a:ext cx="382" cy="1"/>
                                </a:xfrm>
                                <a:prstGeom prst="line">
                                  <a:avLst/>
                                </a:prstGeom>
                                <a:ln w="9525" cap="flat" cmpd="sng">
                                  <a:solidFill>
                                    <a:srgbClr val="000000"/>
                                  </a:solidFill>
                                  <a:prstDash val="solid"/>
                                  <a:headEnd type="none" w="med" len="med"/>
                                  <a:tailEnd type="triangle" w="med" len="med"/>
                                </a:ln>
                              </wps:spPr>
                              <wps:bodyPr/>
                            </wps:wsp>
                            <wps:wsp>
                              <wps:cNvPr id="34" name="直接连接符 34"/>
                              <wps:cNvCnPr/>
                              <wps:spPr>
                                <a:xfrm>
                                  <a:off x="14173" y="615895"/>
                                  <a:ext cx="382" cy="1"/>
                                </a:xfrm>
                                <a:prstGeom prst="line">
                                  <a:avLst/>
                                </a:prstGeom>
                                <a:ln w="9525" cap="flat" cmpd="sng">
                                  <a:solidFill>
                                    <a:srgbClr val="000000"/>
                                  </a:solidFill>
                                  <a:prstDash val="solid"/>
                                  <a:headEnd type="none" w="med" len="med"/>
                                  <a:tailEnd type="triangle" w="med" len="med"/>
                                </a:ln>
                              </wps:spPr>
                              <wps:bodyPr/>
                            </wps:wsp>
                            <wps:wsp>
                              <wps:cNvPr id="35" name="直接连接符 35"/>
                              <wps:cNvCnPr/>
                              <wps:spPr>
                                <a:xfrm flipV="1">
                                  <a:off x="15970" y="612786"/>
                                  <a:ext cx="764" cy="13"/>
                                </a:xfrm>
                                <a:prstGeom prst="line">
                                  <a:avLst/>
                                </a:prstGeom>
                                <a:ln w="9525" cap="flat" cmpd="sng">
                                  <a:solidFill>
                                    <a:srgbClr val="000000"/>
                                  </a:solidFill>
                                  <a:prstDash val="solid"/>
                                  <a:headEnd type="none" w="med" len="med"/>
                                  <a:tailEnd type="triangle" w="med" len="med"/>
                                </a:ln>
                              </wps:spPr>
                              <wps:bodyPr/>
                            </wps:wsp>
                            <wps:wsp>
                              <wps:cNvPr id="36" name="直接连接符 36"/>
                              <wps:cNvCnPr/>
                              <wps:spPr>
                                <a:xfrm>
                                  <a:off x="11416" y="613436"/>
                                  <a:ext cx="395" cy="1"/>
                                </a:xfrm>
                                <a:prstGeom prst="line">
                                  <a:avLst/>
                                </a:prstGeom>
                                <a:ln w="9525" cap="flat" cmpd="sng">
                                  <a:solidFill>
                                    <a:srgbClr val="000000"/>
                                  </a:solidFill>
                                  <a:prstDash val="solid"/>
                                  <a:headEnd type="none" w="med" len="med"/>
                                  <a:tailEnd type="none" w="med" len="med"/>
                                </a:ln>
                              </wps:spPr>
                              <wps:bodyPr/>
                            </wps:wsp>
                            <wps:wsp>
                              <wps:cNvPr id="37" name="直接连接符 37"/>
                              <wps:cNvCnPr/>
                              <wps:spPr>
                                <a:xfrm>
                                  <a:off x="13585" y="611694"/>
                                  <a:ext cx="517" cy="1"/>
                                </a:xfrm>
                                <a:prstGeom prst="line">
                                  <a:avLst/>
                                </a:prstGeom>
                                <a:ln w="9525" cap="flat" cmpd="sng">
                                  <a:solidFill>
                                    <a:srgbClr val="000000"/>
                                  </a:solidFill>
                                  <a:prstDash val="solid"/>
                                  <a:headEnd type="none" w="med" len="med"/>
                                  <a:tailEnd type="none" w="med" len="med"/>
                                </a:ln>
                              </wps:spPr>
                              <wps:bodyPr/>
                            </wps:wsp>
                            <wps:wsp>
                              <wps:cNvPr id="38" name="直接连接符 38"/>
                              <wps:cNvCnPr/>
                              <wps:spPr>
                                <a:xfrm>
                                  <a:off x="13585" y="615186"/>
                                  <a:ext cx="570" cy="1"/>
                                </a:xfrm>
                                <a:prstGeom prst="line">
                                  <a:avLst/>
                                </a:prstGeom>
                                <a:ln w="9525" cap="flat" cmpd="sng">
                                  <a:solidFill>
                                    <a:srgbClr val="000000"/>
                                  </a:solidFill>
                                  <a:prstDash val="solid"/>
                                  <a:headEnd type="none" w="med" len="med"/>
                                  <a:tailEnd type="none" w="med" len="med"/>
                                </a:ln>
                              </wps:spPr>
                              <wps:bodyPr/>
                            </wps:wsp>
                            <wps:wsp>
                              <wps:cNvPr id="39" name="直接连接符 39"/>
                              <wps:cNvCnPr/>
                              <wps:spPr>
                                <a:xfrm flipV="1">
                                  <a:off x="17422" y="611959"/>
                                  <a:ext cx="13" cy="464"/>
                                </a:xfrm>
                                <a:prstGeom prst="line">
                                  <a:avLst/>
                                </a:prstGeom>
                                <a:ln w="9525" cap="flat" cmpd="sng">
                                  <a:solidFill>
                                    <a:srgbClr val="000000"/>
                                  </a:solidFill>
                                  <a:prstDash val="solid"/>
                                  <a:headEnd type="none" w="med" len="med"/>
                                  <a:tailEnd type="triangle" w="med" len="med"/>
                                </a:ln>
                              </wps:spPr>
                              <wps:bodyPr/>
                            </wps:wsp>
                          </wpg:wgp>
                        </a:graphicData>
                      </a:graphic>
                    </wp:inline>
                  </w:drawing>
                </mc:Choice>
                <mc:Fallback>
                  <w:pict>
                    <v:group id="_x0000_s1026" o:spid="_x0000_s1026" o:spt="203" style="height:302.55pt;width:401.7pt;" coordorigin="10357,610029" coordsize="7756,6051" o:gfxdata="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">
                      <o:lock v:ext="edit" aspectratio="f"/>
                      <v:shape id="_x0000_s1026" o:spid="_x0000_s1026" o:spt="202" type="#_x0000_t202" style="position:absolute;left:10357;top:613238;height:428;width:1047;" filled="f" stroked="t" coordsize="21600,21600" o:gfxdata="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70nutrgAAADaAAAA&#10;DwAAAAAAAAABACAAAAAiAAAAZHJzL2Rvd25yZXYueG1sUEsBAhQAFAAAAAgAh07iQDMvBZ47AAAA&#10;OQAAABAAAAAAAAAAAQAgAAAABwEAAGRycy9zaGFwZXhtbC54bWxQSwUGAAAAAAYABgBbAQAAsQMA&#10;AAAA&#10;">
                        <v:fill on="f" focussize="0,0"/>
                        <v:stroke color="#000000" joinstyle="miter"/>
                        <v:imagedata o:title=""/>
                        <o:lock v:ext="edit" aspectratio="f"/>
                        <v:textbox>
                          <w:txbxContent>
                            <w:p w14:paraId="7003C1D8">
                              <w:r>
                                <w:rPr>
                                  <w:rFonts w:hint="eastAsia"/>
                                </w:rPr>
                                <w:t>涂料3.9</w:t>
                              </w:r>
                            </w:p>
                          </w:txbxContent>
                        </v:textbox>
                      </v:shape>
                      <v:shape id="_x0000_s1026" o:spid="_x0000_s1026" o:spt="202" type="#_x0000_t202" style="position:absolute;left:12207;top:611321;height:931;width:1388;" filled="f" stroked="t" coordsize="21600,21600" o:gfxdata="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ABUsttwAAANoAAAAP&#10;AAAAAAAAAAEAIAAAACIAAABkcnMvZG93bnJldi54bWxQSwECFAAUAAAACACHTuJAMy8FnjsAAAA5&#10;AAAAEAAAAAAAAAABACAAAAAGAQAAZHJzL3NoYXBleG1sLnhtbFBLBQYAAAAABgAGAFsBAACwAwAA&#10;AAA=&#10;">
                        <v:fill on="f" focussize="0,0"/>
                        <v:stroke color="#000000" joinstyle="miter"/>
                        <v:imagedata o:title=""/>
                        <o:lock v:ext="edit" aspectratio="f"/>
                        <v:textbox>
                          <w:txbxContent>
                            <w:p w14:paraId="6A7BCFE4">
                              <w:r>
                                <w:rPr>
                                  <w:rFonts w:hint="eastAsia"/>
                                </w:rPr>
                                <w:t>VOCs0.788（其中二甲苯</w:t>
                              </w:r>
                              <w:r>
                                <w:rPr>
                                  <w:rFonts w:hint="eastAsia"/>
                                  <w:bCs/>
                                  <w:color w:val="000000"/>
                                  <w:kern w:val="0"/>
                                  <w:szCs w:val="21"/>
                                  <w:lang w:bidi="ar"/>
                                </w:rPr>
                                <w:t>0.18</w:t>
                              </w:r>
                              <w:r>
                                <w:rPr>
                                  <w:rFonts w:hint="eastAsia"/>
                                </w:rPr>
                                <w:t>）</w:t>
                              </w:r>
                            </w:p>
                          </w:txbxContent>
                        </v:textbox>
                      </v:shape>
                      <v:shape id="_x0000_s1026" o:spid="_x0000_s1026" o:spt="202" type="#_x0000_t202" style="position:absolute;left:14543;top:610029;height:1200;width:1387;" filled="f" stroked="t" coordsize="21600,21600" o:gfxdata="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OtNb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14:paraId="6E9B5616">
                              <w:r>
                                <w:rPr>
                                  <w:rFonts w:hint="eastAsia"/>
                                </w:rPr>
                                <w:t>无组织VOCs0.079（其中二甲苯0.018）</w:t>
                              </w:r>
                            </w:p>
                          </w:txbxContent>
                        </v:textbox>
                      </v:shape>
                      <v:shape id="_x0000_s1026" o:spid="_x0000_s1026" o:spt="202" type="#_x0000_t202" style="position:absolute;left:14520;top:612234;height:1200;width:1388;" filled="f" stroked="t" coordsize="21600,21600" o:gfxdata="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2W2bsAAADb&#10;AAAADwAAAAAAAAABACAAAAAiAAAAZHJzL2Rvd25yZXYueG1sUEsBAhQAFAAAAAgAh07iQDMvBZ47&#10;AAAAOQAAABAAAAAAAAAAAQAgAAAACgEAAGRycy9zaGFwZXhtbC54bWxQSwUGAAAAAAYABgBbAQAA&#10;tAMAAAAA&#10;">
                        <v:fill on="f" focussize="0,0"/>
                        <v:stroke color="#000000" joinstyle="miter"/>
                        <v:imagedata o:title=""/>
                        <o:lock v:ext="edit" aspectratio="f"/>
                        <v:textbox>
                          <w:txbxContent>
                            <w:p w14:paraId="09246FB7">
                              <w:r>
                                <w:rPr>
                                  <w:rFonts w:hint="eastAsia"/>
                                </w:rPr>
                                <w:t>有组织VOCs0.709（其中二甲苯0.162）</w:t>
                              </w:r>
                            </w:p>
                          </w:txbxContent>
                        </v:textbox>
                      </v:shape>
                      <v:shape id="_x0000_s1026" o:spid="_x0000_s1026" o:spt="202" type="#_x0000_t202" style="position:absolute;left:16725;top:612423;height:1462;width:1388;" filled="f" stroked="t" coordsize="21600,21600" o:gfxdata="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1EzQr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14:paraId="50CA9FBD">
                              <w:pPr>
                                <w:jc w:val="center"/>
                              </w:pPr>
                              <w:r>
                                <w:rPr>
                                  <w:rFonts w:hint="eastAsia"/>
                                </w:rPr>
                                <w:t>二级活性炭吸附VOCs</w:t>
                              </w:r>
                            </w:p>
                            <w:p w14:paraId="085EE949">
                              <w:pPr>
                                <w:jc w:val="center"/>
                              </w:pPr>
                              <w:r>
                                <w:rPr>
                                  <w:rFonts w:hint="eastAsia"/>
                                </w:rPr>
                                <w:t>0.</w:t>
                              </w:r>
                              <w:r>
                                <w:rPr>
                                  <w:rFonts w:hint="eastAsia"/>
                                  <w:lang w:val="en-US" w:eastAsia="zh-CN"/>
                                </w:rPr>
                                <w:t>532</w:t>
                              </w:r>
                              <w:r>
                                <w:rPr>
                                  <w:rFonts w:hint="eastAsia"/>
                                </w:rPr>
                                <w:t>（其中二甲苯0.</w:t>
                              </w:r>
                              <w:r>
                                <w:rPr>
                                  <w:rFonts w:hint="eastAsia"/>
                                  <w:lang w:val="en-US" w:eastAsia="zh-CN"/>
                                </w:rPr>
                                <w:t>121</w:t>
                              </w:r>
                              <w:r>
                                <w:rPr>
                                  <w:rFonts w:hint="eastAsia"/>
                                </w:rPr>
                                <w:t>）</w:t>
                              </w:r>
                            </w:p>
                          </w:txbxContent>
                        </v:textbox>
                      </v:shape>
                      <v:shape id="_x0000_s1026" o:spid="_x0000_s1026" o:spt="202" type="#_x0000_t202" style="position:absolute;left:16720;top:610463;height:1486;width:1388;" filled="f" stroked="t" coordsize="21600,21600" o:gfxdata="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LirNr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14:paraId="6EDBC372">
                              <w:r>
                                <w:rPr>
                                  <w:rFonts w:hint="eastAsia"/>
                                </w:rPr>
                                <w:t>经15m排气筒排放VOCs0.</w:t>
                              </w:r>
                              <w:r>
                                <w:rPr>
                                  <w:rFonts w:hint="eastAsia"/>
                                  <w:lang w:val="en-US" w:eastAsia="zh-CN"/>
                                </w:rPr>
                                <w:t>177</w:t>
                              </w:r>
                              <w:r>
                                <w:rPr>
                                  <w:rFonts w:hint="eastAsia"/>
                                </w:rPr>
                                <w:t>（其中二甲苯0.</w:t>
                              </w:r>
                              <w:r>
                                <w:rPr>
                                  <w:rFonts w:hint="eastAsia"/>
                                  <w:lang w:val="en-US" w:eastAsia="zh-CN"/>
                                </w:rPr>
                                <w:t>041</w:t>
                              </w:r>
                              <w:r>
                                <w:rPr>
                                  <w:rFonts w:hint="eastAsia"/>
                                </w:rPr>
                                <w:t>）</w:t>
                              </w:r>
                            </w:p>
                          </w:txbxContent>
                        </v:textbox>
                      </v:shape>
                      <v:shape id="_x0000_s1026" o:spid="_x0000_s1026" o:spt="202" type="#_x0000_t202" style="position:absolute;left:12202;top:614990;height:420;width:1388;" filled="f" stroked="t" coordsize="21600,21600" o:gfxdata="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QOrb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14:paraId="320C82A6">
                              <w:r>
                                <w:rPr>
                                  <w:rFonts w:hint="eastAsia"/>
                                </w:rPr>
                                <w:t>固体份2.872</w:t>
                              </w:r>
                            </w:p>
                          </w:txbxContent>
                        </v:textbox>
                      </v:shape>
                      <v:shape id="_x0000_s1026" o:spid="_x0000_s1026" o:spt="202" type="#_x0000_t202" style="position:absolute;left:14591;top:614105;height:682;width:1388;" filled="f" stroked="t" coordsize="21600,21600" o:gfxdata="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RqNUG8AAAA&#10;2wAAAA8AAAAAAAAAAQAgAAAAIgAAAGRycy9kb3ducmV2LnhtbFBLAQIUABQAAAAIAIdO4kAzLwWe&#10;OwAAADkAAAAQAAAAAAAAAAEAIAAAAAsBAABkcnMvc2hhcGV4bWwueG1sUEsFBgAAAAAGAAYAWwEA&#10;ALUDAAAAAA==&#10;">
                        <v:fill on="f" focussize="0,0"/>
                        <v:stroke color="#000000" joinstyle="miter"/>
                        <v:imagedata o:title=""/>
                        <o:lock v:ext="edit" aspectratio="f"/>
                        <v:textbox>
                          <w:txbxContent>
                            <w:p w14:paraId="13BF68B1">
                              <w:r>
                                <w:t>产品附着量</w:t>
                              </w:r>
                              <w:r>
                                <w:rPr>
                                  <w:bCs/>
                                  <w:color w:val="000000"/>
                                  <w:kern w:val="0"/>
                                  <w:szCs w:val="21"/>
                                  <w:lang w:bidi="ar"/>
                                </w:rPr>
                                <w:t>2.</w:t>
                              </w:r>
                              <w:r>
                                <w:rPr>
                                  <w:rFonts w:hint="eastAsia"/>
                                  <w:bCs/>
                                  <w:color w:val="000000"/>
                                  <w:kern w:val="0"/>
                                  <w:szCs w:val="21"/>
                                  <w:lang w:bidi="ar"/>
                                </w:rPr>
                                <w:t>298</w:t>
                              </w:r>
                            </w:p>
                          </w:txbxContent>
                        </v:textbox>
                      </v:shape>
                      <v:shape id="_x0000_s1026" o:spid="_x0000_s1026" o:spt="202" type="#_x0000_t202" style="position:absolute;left:14578;top:615638;height:442;width:1389;" filled="f" stroked="t" coordsize="21600,21600" o:gfxdata="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fWhM7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14:paraId="33220A47">
                              <w:r>
                                <w:rPr>
                                  <w:rFonts w:hint="eastAsia"/>
                                </w:rPr>
                                <w:t>漆雾</w:t>
                              </w:r>
                              <w:r>
                                <w:rPr>
                                  <w:rFonts w:hint="eastAsia"/>
                                  <w:bCs/>
                                  <w:color w:val="000000"/>
                                  <w:kern w:val="0"/>
                                  <w:szCs w:val="21"/>
                                  <w:lang w:bidi="ar"/>
                                </w:rPr>
                                <w:t>0.574</w:t>
                              </w:r>
                            </w:p>
                          </w:txbxContent>
                        </v:textbox>
                      </v:shape>
                      <v:line id="_x0000_s1026" o:spid="_x0000_s1026" o:spt="20" style="position:absolute;left:11804;top:611714;height:3477;width:1;" filled="f" stroked="t" coordsize="21600,21600" o:gfxdata="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YGeTW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14095;top:610636;flip:x;height:2237;width:13;" filled="f" stroked="t" coordsize="21600,21600" o:gfxdata="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heJD+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_x0000_s1026" o:spid="_x0000_s1026" o:spt="20" style="position:absolute;left:14169;top:614428;height:1472;width:1;" filled="f" stroked="t" coordsize="21600,21600" o:gfxdata="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Ycv46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11817;top:611727;height:1;width:382;" filled="f" stroked="t" coordsize="21600,21600" o:gfxdata="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hbDfq/&#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11811;top:615172;height:1;width:382;" filled="f" stroked="t" coordsize="21600,21600" o:gfxdata="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cXqGG/&#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14115;top:610631;height:1;width:382;" filled="f" stroked="t" coordsize="21600,21600" o:gfxdata="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gsrmK/&#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14116;top:612867;height:1;width:382;" filled="f" stroked="t" coordsize="21600,21600" o:gfxdata="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2Cmye/&#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14174;top:614437;height:1;width:382;" filled="f" stroked="t" coordsize="21600,21600" o:gfxdata="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s4+v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_x0000_s1026" o:spid="_x0000_s1026" o:spt="20" style="position:absolute;left:14173;top:615895;height:1;width:382;" filled="f" stroked="t" coordsize="21600,21600" o:gfxdata="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0npsi/&#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15970;top:612786;flip:y;height:13;width:764;" filled="f" stroked="t" coordsize="21600,21600" o:gfxdata="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iwJY+/&#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11416;top:613436;height:1;width:395;"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13585;top:611694;height:1;width:517;"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_x0000_s1026" o:spid="_x0000_s1026" o:spt="20" style="position:absolute;left:13585;top:615186;height:1;width:570;"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_x0000_s1026" o:spid="_x0000_s1026" o:spt="20" style="position:absolute;left:17422;top:611959;flip:y;height:464;width:13;" filled="f" stroked="t" coordsize="21600,21600" o:gfxdata="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9L4q/&#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w10:wrap type="none"/>
                      <w10:anchorlock/>
                    </v:group>
                  </w:pict>
                </mc:Fallback>
              </mc:AlternateContent>
            </w:r>
          </w:p>
          <w:p w14:paraId="2D506A67">
            <w:pPr>
              <w:spacing w:before="120" w:beforeLines="50" w:line="360" w:lineRule="auto"/>
              <w:jc w:val="center"/>
              <w:rPr>
                <w:rFonts w:hAnsi="宋体"/>
                <w:b/>
                <w:color w:val="auto"/>
                <w:szCs w:val="21"/>
                <w:u w:val="single"/>
              </w:rPr>
            </w:pPr>
            <w:r>
              <w:rPr>
                <w:rFonts w:hint="eastAsia" w:hAnsi="宋体"/>
                <w:b/>
                <w:color w:val="auto"/>
                <w:szCs w:val="21"/>
                <w:u w:val="single"/>
              </w:rPr>
              <w:t>图2-1 涂料</w:t>
            </w:r>
            <w:r>
              <w:rPr>
                <w:rFonts w:hAnsi="宋体"/>
                <w:b/>
                <w:color w:val="auto"/>
                <w:szCs w:val="21"/>
                <w:u w:val="single"/>
              </w:rPr>
              <w:t>物料平衡图</w:t>
            </w:r>
            <w:r>
              <w:rPr>
                <w:rFonts w:hint="eastAsia" w:hAnsi="宋体"/>
                <w:b/>
                <w:color w:val="auto"/>
                <w:szCs w:val="21"/>
                <w:u w:val="single"/>
              </w:rPr>
              <w:t>（t/a）</w:t>
            </w:r>
          </w:p>
          <w:p w14:paraId="010EABF1">
            <w:pPr>
              <w:spacing w:line="360" w:lineRule="auto"/>
              <w:rPr>
                <w:b/>
                <w:bCs/>
                <w:color w:val="auto"/>
                <w:sz w:val="24"/>
                <w:szCs w:val="32"/>
              </w:rPr>
            </w:pPr>
            <w:r>
              <w:rPr>
                <w:rFonts w:hint="eastAsia"/>
                <w:b/>
                <w:bCs/>
                <w:color w:val="auto"/>
                <w:sz w:val="24"/>
                <w:szCs w:val="32"/>
              </w:rPr>
              <w:t>2.5</w:t>
            </w:r>
            <w:r>
              <w:rPr>
                <w:b/>
                <w:bCs/>
                <w:color w:val="auto"/>
                <w:sz w:val="24"/>
                <w:szCs w:val="32"/>
              </w:rPr>
              <w:t>、主要生产设备</w:t>
            </w:r>
          </w:p>
          <w:p w14:paraId="2AE6EAB5">
            <w:pPr>
              <w:spacing w:line="360" w:lineRule="auto"/>
              <w:ind w:firstLine="480" w:firstLineChars="200"/>
              <w:rPr>
                <w:color w:val="auto"/>
                <w:sz w:val="24"/>
                <w:szCs w:val="32"/>
              </w:rPr>
            </w:pPr>
            <w:r>
              <w:rPr>
                <w:color w:val="auto"/>
                <w:sz w:val="24"/>
                <w:szCs w:val="32"/>
              </w:rPr>
              <w:t>本项目主要生产设备见下表。</w:t>
            </w:r>
          </w:p>
          <w:p w14:paraId="77C6F765">
            <w:pPr>
              <w:spacing w:line="360" w:lineRule="auto"/>
              <w:jc w:val="center"/>
              <w:rPr>
                <w:b/>
                <w:bCs/>
                <w:color w:val="auto"/>
              </w:rPr>
            </w:pPr>
            <w:r>
              <w:rPr>
                <w:b/>
                <w:bCs/>
                <w:color w:val="auto"/>
              </w:rPr>
              <w:t>表</w:t>
            </w:r>
            <w:r>
              <w:rPr>
                <w:rFonts w:hint="eastAsia"/>
                <w:b/>
                <w:bCs/>
                <w:color w:val="auto"/>
              </w:rPr>
              <w:t xml:space="preserve">2-7 </w:t>
            </w:r>
            <w:r>
              <w:rPr>
                <w:b/>
                <w:bCs/>
                <w:color w:val="auto"/>
              </w:rPr>
              <w:t xml:space="preserve"> 主要生产设备一览表</w:t>
            </w:r>
          </w:p>
          <w:tbl>
            <w:tblPr>
              <w:tblStyle w:val="3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3013"/>
              <w:gridCol w:w="2601"/>
              <w:gridCol w:w="1022"/>
              <w:gridCol w:w="1067"/>
            </w:tblGrid>
            <w:tr w14:paraId="60BC9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270DDAA3">
                  <w:pPr>
                    <w:pStyle w:val="76"/>
                    <w:autoSpaceDE w:val="0"/>
                    <w:autoSpaceDN w:val="0"/>
                    <w:jc w:val="center"/>
                    <w:rPr>
                      <w:rFonts w:ascii="Times New Roman" w:hAnsi="Times New Roman"/>
                      <w:color w:val="auto"/>
                      <w:szCs w:val="21"/>
                    </w:rPr>
                  </w:pPr>
                  <w:r>
                    <w:rPr>
                      <w:rFonts w:ascii="Times New Roman" w:hAnsi="Times New Roman"/>
                      <w:color w:val="auto"/>
                      <w:szCs w:val="21"/>
                    </w:rPr>
                    <w:t>序号</w:t>
                  </w:r>
                </w:p>
              </w:tc>
              <w:tc>
                <w:tcPr>
                  <w:tcW w:w="1798" w:type="pct"/>
                  <w:vAlign w:val="center"/>
                </w:tcPr>
                <w:p w14:paraId="59896186">
                  <w:pPr>
                    <w:pStyle w:val="76"/>
                    <w:autoSpaceDE w:val="0"/>
                    <w:autoSpaceDN w:val="0"/>
                    <w:jc w:val="center"/>
                    <w:rPr>
                      <w:rFonts w:ascii="Times New Roman" w:hAnsi="Times New Roman"/>
                      <w:color w:val="auto"/>
                      <w:szCs w:val="21"/>
                    </w:rPr>
                  </w:pPr>
                  <w:r>
                    <w:rPr>
                      <w:rFonts w:ascii="Times New Roman" w:hAnsi="Times New Roman"/>
                      <w:color w:val="auto"/>
                      <w:szCs w:val="21"/>
                    </w:rPr>
                    <w:t>名称</w:t>
                  </w:r>
                </w:p>
              </w:tc>
              <w:tc>
                <w:tcPr>
                  <w:tcW w:w="1552" w:type="pct"/>
                  <w:vAlign w:val="center"/>
                </w:tcPr>
                <w:p w14:paraId="066F485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规格、</w:t>
                  </w:r>
                  <w:r>
                    <w:rPr>
                      <w:rFonts w:ascii="Times New Roman" w:hAnsi="Times New Roman"/>
                      <w:color w:val="auto"/>
                      <w:szCs w:val="21"/>
                    </w:rPr>
                    <w:t>型号和生产能力</w:t>
                  </w:r>
                </w:p>
              </w:tc>
              <w:tc>
                <w:tcPr>
                  <w:tcW w:w="610" w:type="pct"/>
                  <w:vAlign w:val="center"/>
                </w:tcPr>
                <w:p w14:paraId="76380D32">
                  <w:pPr>
                    <w:pStyle w:val="76"/>
                    <w:autoSpaceDE w:val="0"/>
                    <w:autoSpaceDN w:val="0"/>
                    <w:jc w:val="center"/>
                    <w:rPr>
                      <w:rFonts w:ascii="Times New Roman" w:hAnsi="Times New Roman"/>
                      <w:color w:val="auto"/>
                      <w:szCs w:val="21"/>
                    </w:rPr>
                  </w:pPr>
                  <w:r>
                    <w:rPr>
                      <w:rFonts w:ascii="Times New Roman" w:hAnsi="Times New Roman"/>
                      <w:color w:val="auto"/>
                      <w:szCs w:val="21"/>
                    </w:rPr>
                    <w:t>数量（台</w:t>
                  </w:r>
                  <w:r>
                    <w:rPr>
                      <w:rFonts w:hint="eastAsia" w:ascii="Times New Roman" w:hAnsi="Times New Roman"/>
                      <w:color w:val="auto"/>
                      <w:szCs w:val="21"/>
                    </w:rPr>
                    <w:t>/套</w:t>
                  </w:r>
                  <w:r>
                    <w:rPr>
                      <w:rFonts w:ascii="Times New Roman" w:hAnsi="Times New Roman"/>
                      <w:color w:val="auto"/>
                      <w:szCs w:val="21"/>
                    </w:rPr>
                    <w:t>）</w:t>
                  </w:r>
                </w:p>
              </w:tc>
              <w:tc>
                <w:tcPr>
                  <w:tcW w:w="637" w:type="pct"/>
                  <w:vAlign w:val="center"/>
                </w:tcPr>
                <w:p w14:paraId="5F5F2934">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备注</w:t>
                  </w:r>
                </w:p>
              </w:tc>
            </w:tr>
            <w:tr w14:paraId="576C8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3EA2FE16">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1798" w:type="pct"/>
                  <w:vAlign w:val="center"/>
                </w:tcPr>
                <w:p w14:paraId="0DFA5DE6">
                  <w:pPr>
                    <w:pStyle w:val="76"/>
                    <w:autoSpaceDE w:val="0"/>
                    <w:autoSpaceDN w:val="0"/>
                    <w:jc w:val="center"/>
                    <w:rPr>
                      <w:rFonts w:ascii="Times New Roman" w:hAnsi="Times New Roman"/>
                      <w:color w:val="auto"/>
                      <w:szCs w:val="21"/>
                    </w:rPr>
                  </w:pPr>
                  <w:r>
                    <w:rPr>
                      <w:rFonts w:ascii="Times New Roman" w:hAnsi="Times New Roman"/>
                      <w:color w:val="auto"/>
                      <w:szCs w:val="21"/>
                    </w:rPr>
                    <w:t>间歇式预发泡机</w:t>
                  </w:r>
                </w:p>
              </w:tc>
              <w:tc>
                <w:tcPr>
                  <w:tcW w:w="1552" w:type="pct"/>
                  <w:vAlign w:val="center"/>
                </w:tcPr>
                <w:p w14:paraId="58F0F41B">
                  <w:pPr>
                    <w:pStyle w:val="76"/>
                    <w:autoSpaceDE w:val="0"/>
                    <w:autoSpaceDN w:val="0"/>
                    <w:jc w:val="center"/>
                    <w:rPr>
                      <w:rFonts w:ascii="Times New Roman" w:hAnsi="Times New Roman"/>
                      <w:color w:val="auto"/>
                      <w:szCs w:val="21"/>
                    </w:rPr>
                  </w:pPr>
                  <w:r>
                    <w:rPr>
                      <w:rFonts w:ascii="Times New Roman" w:hAnsi="Times New Roman"/>
                      <w:color w:val="auto"/>
                      <w:szCs w:val="21"/>
                    </w:rPr>
                    <w:t>25-30kg/h</w:t>
                  </w:r>
                </w:p>
              </w:tc>
              <w:tc>
                <w:tcPr>
                  <w:tcW w:w="610" w:type="pct"/>
                  <w:vAlign w:val="center"/>
                </w:tcPr>
                <w:p w14:paraId="2ED18873">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637" w:type="pct"/>
                  <w:vMerge w:val="restart"/>
                  <w:vAlign w:val="center"/>
                </w:tcPr>
                <w:p w14:paraId="376C790C">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制模设备</w:t>
                  </w:r>
                </w:p>
              </w:tc>
            </w:tr>
            <w:tr w14:paraId="1E2A5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7ADB9898">
                  <w:pPr>
                    <w:pStyle w:val="76"/>
                    <w:autoSpaceDE w:val="0"/>
                    <w:autoSpaceDN w:val="0"/>
                    <w:jc w:val="center"/>
                    <w:rPr>
                      <w:rFonts w:ascii="Times New Roman" w:hAnsi="Times New Roman"/>
                      <w:color w:val="auto"/>
                      <w:szCs w:val="21"/>
                    </w:rPr>
                  </w:pPr>
                  <w:r>
                    <w:rPr>
                      <w:rFonts w:ascii="Times New Roman" w:hAnsi="Times New Roman"/>
                      <w:color w:val="auto"/>
                      <w:szCs w:val="21"/>
                    </w:rPr>
                    <w:t>2</w:t>
                  </w:r>
                </w:p>
              </w:tc>
              <w:tc>
                <w:tcPr>
                  <w:tcW w:w="1798" w:type="pct"/>
                  <w:vAlign w:val="center"/>
                </w:tcPr>
                <w:p w14:paraId="557A0351">
                  <w:pPr>
                    <w:pStyle w:val="76"/>
                    <w:autoSpaceDE w:val="0"/>
                    <w:autoSpaceDN w:val="0"/>
                    <w:jc w:val="center"/>
                    <w:rPr>
                      <w:rFonts w:ascii="Times New Roman" w:hAnsi="Times New Roman"/>
                      <w:color w:val="auto"/>
                      <w:szCs w:val="21"/>
                    </w:rPr>
                  </w:pPr>
                  <w:r>
                    <w:rPr>
                      <w:rFonts w:ascii="Times New Roman" w:hAnsi="Times New Roman"/>
                      <w:color w:val="auto"/>
                      <w:szCs w:val="21"/>
                    </w:rPr>
                    <w:t>液压成型机</w:t>
                  </w:r>
                </w:p>
              </w:tc>
              <w:tc>
                <w:tcPr>
                  <w:tcW w:w="1552" w:type="pct"/>
                  <w:vAlign w:val="center"/>
                </w:tcPr>
                <w:p w14:paraId="44DE1D42">
                  <w:pPr>
                    <w:pStyle w:val="76"/>
                    <w:autoSpaceDE w:val="0"/>
                    <w:autoSpaceDN w:val="0"/>
                    <w:jc w:val="center"/>
                    <w:rPr>
                      <w:rFonts w:ascii="Times New Roman" w:hAnsi="Times New Roman"/>
                      <w:color w:val="auto"/>
                      <w:szCs w:val="21"/>
                    </w:rPr>
                  </w:pPr>
                  <w:r>
                    <w:rPr>
                      <w:rFonts w:ascii="Times New Roman" w:hAnsi="Times New Roman"/>
                      <w:color w:val="auto"/>
                      <w:szCs w:val="21"/>
                    </w:rPr>
                    <w:t>工作压力 0.6-0.8Mpa</w:t>
                  </w:r>
                </w:p>
              </w:tc>
              <w:tc>
                <w:tcPr>
                  <w:tcW w:w="610" w:type="pct"/>
                  <w:vAlign w:val="center"/>
                </w:tcPr>
                <w:p w14:paraId="181536DC">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6</w:t>
                  </w:r>
                </w:p>
              </w:tc>
              <w:tc>
                <w:tcPr>
                  <w:tcW w:w="637" w:type="pct"/>
                  <w:vMerge w:val="continue"/>
                  <w:vAlign w:val="center"/>
                </w:tcPr>
                <w:p w14:paraId="00E64D26">
                  <w:pPr>
                    <w:pStyle w:val="76"/>
                    <w:autoSpaceDE w:val="0"/>
                    <w:autoSpaceDN w:val="0"/>
                    <w:jc w:val="center"/>
                    <w:rPr>
                      <w:rFonts w:ascii="Times New Roman" w:hAnsi="Times New Roman"/>
                      <w:color w:val="auto"/>
                      <w:szCs w:val="21"/>
                    </w:rPr>
                  </w:pPr>
                </w:p>
              </w:tc>
            </w:tr>
            <w:tr w14:paraId="67556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59AF2A7E">
                  <w:pPr>
                    <w:pStyle w:val="76"/>
                    <w:autoSpaceDE w:val="0"/>
                    <w:autoSpaceDN w:val="0"/>
                    <w:jc w:val="center"/>
                    <w:rPr>
                      <w:rFonts w:ascii="Times New Roman" w:hAnsi="Times New Roman"/>
                      <w:color w:val="auto"/>
                      <w:szCs w:val="21"/>
                    </w:rPr>
                  </w:pPr>
                  <w:r>
                    <w:rPr>
                      <w:rFonts w:ascii="Times New Roman" w:hAnsi="Times New Roman"/>
                      <w:color w:val="auto"/>
                      <w:szCs w:val="21"/>
                    </w:rPr>
                    <w:t>3</w:t>
                  </w:r>
                </w:p>
              </w:tc>
              <w:tc>
                <w:tcPr>
                  <w:tcW w:w="1798" w:type="pct"/>
                  <w:vAlign w:val="center"/>
                </w:tcPr>
                <w:p w14:paraId="2FFE103C">
                  <w:pPr>
                    <w:pStyle w:val="76"/>
                    <w:autoSpaceDE w:val="0"/>
                    <w:autoSpaceDN w:val="0"/>
                    <w:jc w:val="center"/>
                    <w:rPr>
                      <w:rFonts w:ascii="Times New Roman" w:hAnsi="Times New Roman"/>
                      <w:color w:val="auto"/>
                      <w:szCs w:val="21"/>
                    </w:rPr>
                  </w:pPr>
                  <w:r>
                    <w:rPr>
                      <w:rFonts w:ascii="Times New Roman" w:hAnsi="Times New Roman"/>
                      <w:color w:val="auto"/>
                      <w:szCs w:val="21"/>
                    </w:rPr>
                    <w:t>白模干燥设备</w:t>
                  </w:r>
                </w:p>
              </w:tc>
              <w:tc>
                <w:tcPr>
                  <w:tcW w:w="1552" w:type="pct"/>
                  <w:vAlign w:val="center"/>
                </w:tcPr>
                <w:p w14:paraId="40C19188">
                  <w:pPr>
                    <w:pStyle w:val="76"/>
                    <w:autoSpaceDE w:val="0"/>
                    <w:autoSpaceDN w:val="0"/>
                    <w:jc w:val="center"/>
                    <w:rPr>
                      <w:rFonts w:ascii="Times New Roman" w:hAnsi="Times New Roman"/>
                      <w:color w:val="auto"/>
                      <w:szCs w:val="21"/>
                    </w:rPr>
                  </w:pPr>
                  <w:r>
                    <w:rPr>
                      <w:rFonts w:ascii="Times New Roman" w:hAnsi="Times New Roman"/>
                      <w:color w:val="auto"/>
                      <w:szCs w:val="21"/>
                    </w:rPr>
                    <w:t>烤房面积 8000*5</w:t>
                  </w:r>
                  <w:r>
                    <w:rPr>
                      <w:rFonts w:hint="eastAsia" w:ascii="Times New Roman" w:hAnsi="Times New Roman"/>
                      <w:color w:val="auto"/>
                      <w:szCs w:val="21"/>
                    </w:rPr>
                    <w:t>0</w:t>
                  </w:r>
                  <w:r>
                    <w:rPr>
                      <w:rFonts w:ascii="Times New Roman" w:hAnsi="Times New Roman"/>
                      <w:color w:val="auto"/>
                      <w:szCs w:val="21"/>
                    </w:rPr>
                    <w:t>00mm</w:t>
                  </w:r>
                </w:p>
              </w:tc>
              <w:tc>
                <w:tcPr>
                  <w:tcW w:w="610" w:type="pct"/>
                  <w:vAlign w:val="center"/>
                </w:tcPr>
                <w:p w14:paraId="5CF8F009">
                  <w:pPr>
                    <w:pStyle w:val="76"/>
                    <w:autoSpaceDE w:val="0"/>
                    <w:autoSpaceDN w:val="0"/>
                    <w:jc w:val="center"/>
                    <w:rPr>
                      <w:rFonts w:ascii="Times New Roman" w:hAnsi="Times New Roman"/>
                      <w:color w:val="auto"/>
                      <w:szCs w:val="21"/>
                    </w:rPr>
                  </w:pPr>
                  <w:r>
                    <w:rPr>
                      <w:rFonts w:ascii="Times New Roman" w:hAnsi="Times New Roman"/>
                      <w:color w:val="auto"/>
                      <w:szCs w:val="21"/>
                    </w:rPr>
                    <w:t>3</w:t>
                  </w:r>
                </w:p>
              </w:tc>
              <w:tc>
                <w:tcPr>
                  <w:tcW w:w="637" w:type="pct"/>
                  <w:vMerge w:val="continue"/>
                  <w:vAlign w:val="center"/>
                </w:tcPr>
                <w:p w14:paraId="551D7D1C">
                  <w:pPr>
                    <w:pStyle w:val="76"/>
                    <w:autoSpaceDE w:val="0"/>
                    <w:autoSpaceDN w:val="0"/>
                    <w:jc w:val="center"/>
                    <w:rPr>
                      <w:rFonts w:ascii="Times New Roman" w:hAnsi="Times New Roman"/>
                      <w:color w:val="auto"/>
                      <w:szCs w:val="21"/>
                    </w:rPr>
                  </w:pPr>
                </w:p>
              </w:tc>
            </w:tr>
            <w:tr w14:paraId="0BBE0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536891EB">
                  <w:pPr>
                    <w:pStyle w:val="76"/>
                    <w:autoSpaceDE w:val="0"/>
                    <w:autoSpaceDN w:val="0"/>
                    <w:jc w:val="center"/>
                    <w:rPr>
                      <w:rFonts w:ascii="Times New Roman" w:hAnsi="Times New Roman"/>
                      <w:color w:val="auto"/>
                      <w:szCs w:val="21"/>
                    </w:rPr>
                  </w:pPr>
                  <w:r>
                    <w:rPr>
                      <w:rFonts w:ascii="Times New Roman" w:hAnsi="Times New Roman"/>
                      <w:color w:val="auto"/>
                      <w:szCs w:val="21"/>
                    </w:rPr>
                    <w:t>4</w:t>
                  </w:r>
                </w:p>
              </w:tc>
              <w:tc>
                <w:tcPr>
                  <w:tcW w:w="1798" w:type="pct"/>
                  <w:vAlign w:val="center"/>
                </w:tcPr>
                <w:p w14:paraId="6DB2C181">
                  <w:pPr>
                    <w:pStyle w:val="76"/>
                    <w:autoSpaceDE w:val="0"/>
                    <w:autoSpaceDN w:val="0"/>
                    <w:jc w:val="center"/>
                    <w:rPr>
                      <w:rFonts w:ascii="Times New Roman" w:hAnsi="Times New Roman"/>
                      <w:color w:val="auto"/>
                      <w:szCs w:val="21"/>
                    </w:rPr>
                  </w:pPr>
                  <w:r>
                    <w:rPr>
                      <w:rFonts w:ascii="Times New Roman" w:hAnsi="Times New Roman"/>
                      <w:color w:val="auto"/>
                      <w:szCs w:val="21"/>
                    </w:rPr>
                    <w:t>蒸汽存储罐</w:t>
                  </w:r>
                </w:p>
              </w:tc>
              <w:tc>
                <w:tcPr>
                  <w:tcW w:w="1552" w:type="pct"/>
                  <w:vAlign w:val="center"/>
                </w:tcPr>
                <w:p w14:paraId="7DB66998">
                  <w:pPr>
                    <w:pStyle w:val="76"/>
                    <w:autoSpaceDE w:val="0"/>
                    <w:autoSpaceDN w:val="0"/>
                    <w:jc w:val="center"/>
                    <w:rPr>
                      <w:rFonts w:ascii="Times New Roman" w:hAnsi="Times New Roman"/>
                      <w:color w:val="auto"/>
                      <w:szCs w:val="21"/>
                    </w:rPr>
                  </w:pPr>
                  <w:r>
                    <w:rPr>
                      <w:rFonts w:ascii="Times New Roman" w:hAnsi="Times New Roman"/>
                      <w:color w:val="auto"/>
                      <w:szCs w:val="21"/>
                    </w:rPr>
                    <w:t>6-8m</w:t>
                  </w:r>
                  <w:r>
                    <w:rPr>
                      <w:rFonts w:ascii="Times New Roman" w:hAnsi="Times New Roman"/>
                      <w:color w:val="auto"/>
                      <w:szCs w:val="21"/>
                      <w:vertAlign w:val="superscript"/>
                    </w:rPr>
                    <w:t>3</w:t>
                  </w:r>
                </w:p>
              </w:tc>
              <w:tc>
                <w:tcPr>
                  <w:tcW w:w="610" w:type="pct"/>
                  <w:vAlign w:val="center"/>
                </w:tcPr>
                <w:p w14:paraId="59FDF69C">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637" w:type="pct"/>
                  <w:vMerge w:val="continue"/>
                  <w:vAlign w:val="center"/>
                </w:tcPr>
                <w:p w14:paraId="7EEAAB64">
                  <w:pPr>
                    <w:pStyle w:val="76"/>
                    <w:autoSpaceDE w:val="0"/>
                    <w:autoSpaceDN w:val="0"/>
                    <w:jc w:val="center"/>
                    <w:rPr>
                      <w:rFonts w:ascii="Times New Roman" w:hAnsi="Times New Roman"/>
                      <w:color w:val="auto"/>
                      <w:szCs w:val="21"/>
                    </w:rPr>
                  </w:pPr>
                </w:p>
              </w:tc>
            </w:tr>
            <w:tr w14:paraId="58F9D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14AC3F54">
                  <w:pPr>
                    <w:pStyle w:val="76"/>
                    <w:autoSpaceDE w:val="0"/>
                    <w:autoSpaceDN w:val="0"/>
                    <w:jc w:val="center"/>
                    <w:rPr>
                      <w:rFonts w:ascii="Times New Roman" w:hAnsi="Times New Roman"/>
                      <w:color w:val="auto"/>
                      <w:szCs w:val="21"/>
                    </w:rPr>
                  </w:pPr>
                  <w:r>
                    <w:rPr>
                      <w:rFonts w:ascii="Times New Roman" w:hAnsi="Times New Roman"/>
                      <w:color w:val="auto"/>
                      <w:szCs w:val="21"/>
                    </w:rPr>
                    <w:t>5</w:t>
                  </w:r>
                </w:p>
              </w:tc>
              <w:tc>
                <w:tcPr>
                  <w:tcW w:w="1798" w:type="pct"/>
                  <w:vAlign w:val="center"/>
                </w:tcPr>
                <w:p w14:paraId="2F064100">
                  <w:pPr>
                    <w:pStyle w:val="76"/>
                    <w:autoSpaceDE w:val="0"/>
                    <w:autoSpaceDN w:val="0"/>
                    <w:jc w:val="center"/>
                    <w:rPr>
                      <w:rFonts w:ascii="Times New Roman" w:hAnsi="Times New Roman"/>
                      <w:color w:val="auto"/>
                      <w:szCs w:val="21"/>
                    </w:rPr>
                  </w:pPr>
                  <w:r>
                    <w:rPr>
                      <w:rFonts w:ascii="Times New Roman" w:hAnsi="Times New Roman"/>
                      <w:color w:val="auto"/>
                      <w:szCs w:val="21"/>
                    </w:rPr>
                    <w:t>熟化仓</w:t>
                  </w:r>
                </w:p>
              </w:tc>
              <w:tc>
                <w:tcPr>
                  <w:tcW w:w="1552" w:type="pct"/>
                  <w:vAlign w:val="center"/>
                </w:tcPr>
                <w:p w14:paraId="1DF85B6B">
                  <w:pPr>
                    <w:pStyle w:val="76"/>
                    <w:autoSpaceDE w:val="0"/>
                    <w:autoSpaceDN w:val="0"/>
                    <w:jc w:val="center"/>
                    <w:rPr>
                      <w:rFonts w:ascii="Times New Roman" w:hAnsi="Times New Roman"/>
                      <w:color w:val="auto"/>
                      <w:szCs w:val="21"/>
                    </w:rPr>
                  </w:pPr>
                  <w:r>
                    <w:rPr>
                      <w:rFonts w:ascii="Times New Roman" w:hAnsi="Times New Roman"/>
                      <w:color w:val="auto"/>
                      <w:szCs w:val="21"/>
                    </w:rPr>
                    <w:t>1500*1500*3500mm</w:t>
                  </w:r>
                </w:p>
              </w:tc>
              <w:tc>
                <w:tcPr>
                  <w:tcW w:w="610" w:type="pct"/>
                  <w:vAlign w:val="center"/>
                </w:tcPr>
                <w:p w14:paraId="5BD7D71C">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w:t>
                  </w:r>
                </w:p>
              </w:tc>
              <w:tc>
                <w:tcPr>
                  <w:tcW w:w="637" w:type="pct"/>
                  <w:vMerge w:val="continue"/>
                  <w:vAlign w:val="center"/>
                </w:tcPr>
                <w:p w14:paraId="026432B4">
                  <w:pPr>
                    <w:pStyle w:val="76"/>
                    <w:autoSpaceDE w:val="0"/>
                    <w:autoSpaceDN w:val="0"/>
                    <w:jc w:val="center"/>
                    <w:rPr>
                      <w:rFonts w:ascii="Times New Roman" w:hAnsi="Times New Roman"/>
                      <w:color w:val="auto"/>
                      <w:szCs w:val="21"/>
                    </w:rPr>
                  </w:pPr>
                </w:p>
              </w:tc>
            </w:tr>
            <w:tr w14:paraId="7DADC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401" w:type="pct"/>
                  <w:vAlign w:val="center"/>
                </w:tcPr>
                <w:p w14:paraId="0469EC2E">
                  <w:pPr>
                    <w:pStyle w:val="76"/>
                    <w:autoSpaceDE w:val="0"/>
                    <w:autoSpaceDN w:val="0"/>
                    <w:jc w:val="center"/>
                    <w:rPr>
                      <w:rFonts w:ascii="Times New Roman" w:hAnsi="Times New Roman"/>
                      <w:color w:val="auto"/>
                      <w:szCs w:val="21"/>
                    </w:rPr>
                  </w:pPr>
                  <w:r>
                    <w:rPr>
                      <w:rFonts w:ascii="Times New Roman" w:hAnsi="Times New Roman"/>
                      <w:color w:val="auto"/>
                      <w:szCs w:val="21"/>
                    </w:rPr>
                    <w:t>6</w:t>
                  </w:r>
                </w:p>
              </w:tc>
              <w:tc>
                <w:tcPr>
                  <w:tcW w:w="1798" w:type="pct"/>
                  <w:vAlign w:val="center"/>
                </w:tcPr>
                <w:p w14:paraId="6E964D4A">
                  <w:pPr>
                    <w:pStyle w:val="76"/>
                    <w:autoSpaceDE w:val="0"/>
                    <w:autoSpaceDN w:val="0"/>
                    <w:jc w:val="center"/>
                    <w:rPr>
                      <w:rFonts w:ascii="Times New Roman" w:hAnsi="Times New Roman"/>
                      <w:color w:val="auto"/>
                      <w:szCs w:val="21"/>
                    </w:rPr>
                  </w:pPr>
                  <w:r>
                    <w:rPr>
                      <w:rFonts w:ascii="Times New Roman" w:hAnsi="Times New Roman"/>
                      <w:color w:val="auto"/>
                      <w:szCs w:val="21"/>
                    </w:rPr>
                    <w:t>离心式清水泵</w:t>
                  </w:r>
                </w:p>
              </w:tc>
              <w:tc>
                <w:tcPr>
                  <w:tcW w:w="1552" w:type="pct"/>
                  <w:vAlign w:val="center"/>
                </w:tcPr>
                <w:p w14:paraId="17201303">
                  <w:pPr>
                    <w:pStyle w:val="76"/>
                    <w:autoSpaceDE w:val="0"/>
                    <w:autoSpaceDN w:val="0"/>
                    <w:jc w:val="center"/>
                    <w:rPr>
                      <w:rFonts w:ascii="Times New Roman" w:hAnsi="Times New Roman"/>
                      <w:color w:val="auto"/>
                      <w:szCs w:val="21"/>
                    </w:rPr>
                  </w:pPr>
                  <w:r>
                    <w:rPr>
                      <w:rFonts w:ascii="Times New Roman" w:hAnsi="Times New Roman"/>
                      <w:color w:val="auto"/>
                      <w:w w:val="99"/>
                      <w:szCs w:val="21"/>
                    </w:rPr>
                    <w:t>/</w:t>
                  </w:r>
                </w:p>
              </w:tc>
              <w:tc>
                <w:tcPr>
                  <w:tcW w:w="610" w:type="pct"/>
                  <w:vAlign w:val="center"/>
                </w:tcPr>
                <w:p w14:paraId="448608C5">
                  <w:pPr>
                    <w:pStyle w:val="76"/>
                    <w:autoSpaceDE w:val="0"/>
                    <w:autoSpaceDN w:val="0"/>
                    <w:jc w:val="center"/>
                    <w:rPr>
                      <w:rFonts w:ascii="Times New Roman" w:hAnsi="Times New Roman"/>
                      <w:color w:val="auto"/>
                      <w:szCs w:val="21"/>
                    </w:rPr>
                  </w:pPr>
                  <w:r>
                    <w:rPr>
                      <w:rFonts w:ascii="Times New Roman" w:hAnsi="Times New Roman"/>
                      <w:color w:val="auto"/>
                      <w:szCs w:val="21"/>
                    </w:rPr>
                    <w:t>6</w:t>
                  </w:r>
                </w:p>
              </w:tc>
              <w:tc>
                <w:tcPr>
                  <w:tcW w:w="637" w:type="pct"/>
                  <w:vMerge w:val="continue"/>
                  <w:vAlign w:val="center"/>
                </w:tcPr>
                <w:p w14:paraId="650B4D9F">
                  <w:pPr>
                    <w:pStyle w:val="76"/>
                    <w:autoSpaceDE w:val="0"/>
                    <w:autoSpaceDN w:val="0"/>
                    <w:jc w:val="center"/>
                    <w:rPr>
                      <w:rFonts w:ascii="Times New Roman" w:hAnsi="Times New Roman"/>
                      <w:color w:val="auto"/>
                      <w:szCs w:val="21"/>
                    </w:rPr>
                  </w:pPr>
                </w:p>
              </w:tc>
            </w:tr>
            <w:tr w14:paraId="2D880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0ED3BA75">
                  <w:pPr>
                    <w:pStyle w:val="76"/>
                    <w:autoSpaceDE w:val="0"/>
                    <w:autoSpaceDN w:val="0"/>
                    <w:jc w:val="center"/>
                    <w:rPr>
                      <w:rFonts w:ascii="Times New Roman" w:hAnsi="Times New Roman"/>
                      <w:color w:val="auto"/>
                      <w:szCs w:val="21"/>
                    </w:rPr>
                  </w:pPr>
                  <w:r>
                    <w:rPr>
                      <w:rFonts w:ascii="Times New Roman" w:hAnsi="Times New Roman"/>
                      <w:color w:val="auto"/>
                      <w:szCs w:val="21"/>
                    </w:rPr>
                    <w:t>7</w:t>
                  </w:r>
                </w:p>
              </w:tc>
              <w:tc>
                <w:tcPr>
                  <w:tcW w:w="1798" w:type="pct"/>
                  <w:vAlign w:val="center"/>
                </w:tcPr>
                <w:p w14:paraId="6BA4E175">
                  <w:pPr>
                    <w:pStyle w:val="76"/>
                    <w:autoSpaceDE w:val="0"/>
                    <w:autoSpaceDN w:val="0"/>
                    <w:jc w:val="center"/>
                    <w:rPr>
                      <w:rFonts w:ascii="Times New Roman" w:hAnsi="Times New Roman"/>
                      <w:color w:val="auto"/>
                      <w:szCs w:val="21"/>
                    </w:rPr>
                  </w:pPr>
                  <w:r>
                    <w:rPr>
                      <w:rFonts w:ascii="Times New Roman" w:hAnsi="Times New Roman"/>
                      <w:color w:val="auto"/>
                      <w:szCs w:val="21"/>
                    </w:rPr>
                    <w:t>空压罐</w:t>
                  </w:r>
                </w:p>
              </w:tc>
              <w:tc>
                <w:tcPr>
                  <w:tcW w:w="1552" w:type="pct"/>
                  <w:vAlign w:val="center"/>
                </w:tcPr>
                <w:p w14:paraId="2F6A463B">
                  <w:pPr>
                    <w:pStyle w:val="76"/>
                    <w:autoSpaceDE w:val="0"/>
                    <w:autoSpaceDN w:val="0"/>
                    <w:jc w:val="center"/>
                    <w:rPr>
                      <w:rFonts w:ascii="Times New Roman" w:hAnsi="Times New Roman"/>
                      <w:color w:val="auto"/>
                      <w:szCs w:val="21"/>
                    </w:rPr>
                  </w:pPr>
                  <w:r>
                    <w:rPr>
                      <w:rFonts w:ascii="Times New Roman" w:hAnsi="Times New Roman"/>
                      <w:color w:val="auto"/>
                      <w:szCs w:val="21"/>
                    </w:rPr>
                    <w:t>3m</w:t>
                  </w:r>
                  <w:r>
                    <w:rPr>
                      <w:rFonts w:ascii="Times New Roman" w:hAnsi="Times New Roman"/>
                      <w:color w:val="auto"/>
                      <w:szCs w:val="21"/>
                      <w:vertAlign w:val="superscript"/>
                    </w:rPr>
                    <w:t>3</w:t>
                  </w:r>
                </w:p>
              </w:tc>
              <w:tc>
                <w:tcPr>
                  <w:tcW w:w="610" w:type="pct"/>
                  <w:vAlign w:val="center"/>
                </w:tcPr>
                <w:p w14:paraId="1B1521AC">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637" w:type="pct"/>
                  <w:vMerge w:val="continue"/>
                  <w:vAlign w:val="center"/>
                </w:tcPr>
                <w:p w14:paraId="14B98DF7">
                  <w:pPr>
                    <w:pStyle w:val="76"/>
                    <w:autoSpaceDE w:val="0"/>
                    <w:autoSpaceDN w:val="0"/>
                    <w:jc w:val="center"/>
                    <w:rPr>
                      <w:rFonts w:ascii="Times New Roman" w:hAnsi="Times New Roman"/>
                      <w:color w:val="auto"/>
                      <w:szCs w:val="21"/>
                    </w:rPr>
                  </w:pPr>
                </w:p>
              </w:tc>
            </w:tr>
            <w:tr w14:paraId="2DA93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56418E74">
                  <w:pPr>
                    <w:pStyle w:val="76"/>
                    <w:autoSpaceDE w:val="0"/>
                    <w:autoSpaceDN w:val="0"/>
                    <w:jc w:val="center"/>
                    <w:rPr>
                      <w:rFonts w:ascii="Times New Roman" w:hAnsi="Times New Roman"/>
                      <w:color w:val="auto"/>
                      <w:szCs w:val="21"/>
                    </w:rPr>
                  </w:pPr>
                  <w:r>
                    <w:rPr>
                      <w:rFonts w:ascii="Times New Roman" w:hAnsi="Times New Roman"/>
                      <w:color w:val="auto"/>
                      <w:szCs w:val="21"/>
                    </w:rPr>
                    <w:t>8</w:t>
                  </w:r>
                </w:p>
              </w:tc>
              <w:tc>
                <w:tcPr>
                  <w:tcW w:w="1798" w:type="pct"/>
                  <w:vAlign w:val="center"/>
                </w:tcPr>
                <w:p w14:paraId="2C02ECA8">
                  <w:pPr>
                    <w:pStyle w:val="76"/>
                    <w:autoSpaceDE w:val="0"/>
                    <w:autoSpaceDN w:val="0"/>
                    <w:jc w:val="center"/>
                    <w:rPr>
                      <w:rFonts w:ascii="Times New Roman" w:hAnsi="Times New Roman"/>
                      <w:color w:val="auto"/>
                      <w:szCs w:val="21"/>
                    </w:rPr>
                  </w:pPr>
                  <w:r>
                    <w:rPr>
                      <w:rFonts w:ascii="Times New Roman" w:hAnsi="Times New Roman"/>
                      <w:color w:val="auto"/>
                      <w:szCs w:val="21"/>
                    </w:rPr>
                    <w:t>蒸汽锅炉</w:t>
                  </w:r>
                </w:p>
              </w:tc>
              <w:tc>
                <w:tcPr>
                  <w:tcW w:w="1552" w:type="pct"/>
                  <w:vAlign w:val="center"/>
                </w:tcPr>
                <w:p w14:paraId="073DADD2">
                  <w:pPr>
                    <w:pStyle w:val="76"/>
                    <w:autoSpaceDE w:val="0"/>
                    <w:autoSpaceDN w:val="0"/>
                    <w:jc w:val="center"/>
                    <w:rPr>
                      <w:rFonts w:ascii="Times New Roman" w:hAnsi="Times New Roman"/>
                      <w:color w:val="auto"/>
                      <w:szCs w:val="21"/>
                    </w:rPr>
                  </w:pPr>
                  <w:r>
                    <w:rPr>
                      <w:rFonts w:ascii="Times New Roman" w:hAnsi="Times New Roman"/>
                      <w:color w:val="auto"/>
                      <w:szCs w:val="21"/>
                    </w:rPr>
                    <w:t>1t/h</w:t>
                  </w:r>
                </w:p>
              </w:tc>
              <w:tc>
                <w:tcPr>
                  <w:tcW w:w="610" w:type="pct"/>
                  <w:vAlign w:val="center"/>
                </w:tcPr>
                <w:p w14:paraId="6441FB06">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637" w:type="pct"/>
                  <w:vMerge w:val="continue"/>
                  <w:vAlign w:val="center"/>
                </w:tcPr>
                <w:p w14:paraId="5247F5B0">
                  <w:pPr>
                    <w:pStyle w:val="76"/>
                    <w:autoSpaceDE w:val="0"/>
                    <w:autoSpaceDN w:val="0"/>
                    <w:jc w:val="center"/>
                    <w:rPr>
                      <w:rFonts w:ascii="Times New Roman" w:hAnsi="Times New Roman"/>
                      <w:color w:val="auto"/>
                      <w:szCs w:val="21"/>
                    </w:rPr>
                  </w:pPr>
                </w:p>
              </w:tc>
            </w:tr>
            <w:tr w14:paraId="348C7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401" w:type="pct"/>
                  <w:vAlign w:val="center"/>
                </w:tcPr>
                <w:p w14:paraId="4FFBB911">
                  <w:pPr>
                    <w:pStyle w:val="76"/>
                    <w:autoSpaceDE w:val="0"/>
                    <w:autoSpaceDN w:val="0"/>
                    <w:jc w:val="center"/>
                    <w:rPr>
                      <w:rFonts w:ascii="Times New Roman" w:hAnsi="Times New Roman"/>
                      <w:color w:val="auto"/>
                      <w:szCs w:val="21"/>
                    </w:rPr>
                  </w:pPr>
                  <w:r>
                    <w:rPr>
                      <w:rFonts w:ascii="Times New Roman" w:hAnsi="Times New Roman"/>
                      <w:color w:val="auto"/>
                      <w:szCs w:val="21"/>
                    </w:rPr>
                    <w:t>9</w:t>
                  </w:r>
                </w:p>
              </w:tc>
              <w:tc>
                <w:tcPr>
                  <w:tcW w:w="1798" w:type="pct"/>
                  <w:vAlign w:val="center"/>
                </w:tcPr>
                <w:p w14:paraId="06F7B0BF">
                  <w:pPr>
                    <w:pStyle w:val="76"/>
                    <w:autoSpaceDE w:val="0"/>
                    <w:autoSpaceDN w:val="0"/>
                    <w:jc w:val="center"/>
                    <w:rPr>
                      <w:rFonts w:ascii="Times New Roman" w:hAnsi="Times New Roman"/>
                      <w:color w:val="auto"/>
                      <w:szCs w:val="21"/>
                    </w:rPr>
                  </w:pPr>
                  <w:r>
                    <w:rPr>
                      <w:rFonts w:ascii="Times New Roman" w:hAnsi="Times New Roman"/>
                      <w:color w:val="auto"/>
                      <w:szCs w:val="21"/>
                    </w:rPr>
                    <w:t>自动泡沫切割机</w:t>
                  </w:r>
                </w:p>
              </w:tc>
              <w:tc>
                <w:tcPr>
                  <w:tcW w:w="1552" w:type="pct"/>
                  <w:vAlign w:val="center"/>
                </w:tcPr>
                <w:p w14:paraId="6744549E">
                  <w:pPr>
                    <w:pStyle w:val="76"/>
                    <w:autoSpaceDE w:val="0"/>
                    <w:autoSpaceDN w:val="0"/>
                    <w:jc w:val="center"/>
                    <w:rPr>
                      <w:rFonts w:ascii="Times New Roman" w:hAnsi="Times New Roman"/>
                      <w:color w:val="auto"/>
                      <w:szCs w:val="21"/>
                    </w:rPr>
                  </w:pPr>
                  <w:r>
                    <w:rPr>
                      <w:rFonts w:ascii="Times New Roman" w:hAnsi="Times New Roman"/>
                      <w:color w:val="auto"/>
                      <w:szCs w:val="21"/>
                    </w:rPr>
                    <w:t>3m*1.3m*1.3m</w:t>
                  </w:r>
                </w:p>
              </w:tc>
              <w:tc>
                <w:tcPr>
                  <w:tcW w:w="610" w:type="pct"/>
                  <w:vAlign w:val="center"/>
                </w:tcPr>
                <w:p w14:paraId="436F2B4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w:t>
                  </w:r>
                </w:p>
              </w:tc>
              <w:tc>
                <w:tcPr>
                  <w:tcW w:w="637" w:type="pct"/>
                  <w:vMerge w:val="continue"/>
                  <w:vAlign w:val="center"/>
                </w:tcPr>
                <w:p w14:paraId="1ADD3D7C">
                  <w:pPr>
                    <w:pStyle w:val="76"/>
                    <w:autoSpaceDE w:val="0"/>
                    <w:autoSpaceDN w:val="0"/>
                    <w:jc w:val="center"/>
                    <w:rPr>
                      <w:rFonts w:ascii="Times New Roman" w:hAnsi="Times New Roman"/>
                      <w:color w:val="auto"/>
                      <w:szCs w:val="21"/>
                    </w:rPr>
                  </w:pPr>
                </w:p>
              </w:tc>
            </w:tr>
            <w:tr w14:paraId="0EE19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0AFD3294">
                  <w:pPr>
                    <w:pStyle w:val="76"/>
                    <w:autoSpaceDE w:val="0"/>
                    <w:autoSpaceDN w:val="0"/>
                    <w:jc w:val="center"/>
                    <w:rPr>
                      <w:rFonts w:ascii="Times New Roman" w:hAnsi="Times New Roman"/>
                      <w:color w:val="auto"/>
                      <w:szCs w:val="21"/>
                    </w:rPr>
                  </w:pPr>
                  <w:r>
                    <w:rPr>
                      <w:rFonts w:ascii="Times New Roman" w:hAnsi="Times New Roman"/>
                      <w:color w:val="auto"/>
                      <w:szCs w:val="21"/>
                    </w:rPr>
                    <w:t>10</w:t>
                  </w:r>
                </w:p>
              </w:tc>
              <w:tc>
                <w:tcPr>
                  <w:tcW w:w="1798" w:type="pct"/>
                  <w:vAlign w:val="center"/>
                </w:tcPr>
                <w:p w14:paraId="2E8A186E">
                  <w:pPr>
                    <w:pStyle w:val="76"/>
                    <w:autoSpaceDE w:val="0"/>
                    <w:autoSpaceDN w:val="0"/>
                    <w:jc w:val="center"/>
                    <w:rPr>
                      <w:rFonts w:ascii="Times New Roman" w:hAnsi="Times New Roman"/>
                      <w:color w:val="auto"/>
                      <w:szCs w:val="21"/>
                    </w:rPr>
                  </w:pPr>
                  <w:r>
                    <w:rPr>
                      <w:rFonts w:ascii="Times New Roman" w:hAnsi="Times New Roman"/>
                      <w:color w:val="auto"/>
                      <w:szCs w:val="21"/>
                    </w:rPr>
                    <w:t>涂料搅拌器</w:t>
                  </w:r>
                </w:p>
              </w:tc>
              <w:tc>
                <w:tcPr>
                  <w:tcW w:w="1552" w:type="pct"/>
                  <w:vAlign w:val="center"/>
                </w:tcPr>
                <w:p w14:paraId="02D80470">
                  <w:pPr>
                    <w:pStyle w:val="76"/>
                    <w:autoSpaceDE w:val="0"/>
                    <w:autoSpaceDN w:val="0"/>
                    <w:jc w:val="center"/>
                    <w:rPr>
                      <w:rFonts w:ascii="Times New Roman" w:hAnsi="Times New Roman"/>
                      <w:color w:val="auto"/>
                      <w:szCs w:val="21"/>
                    </w:rPr>
                  </w:pPr>
                  <w:r>
                    <w:rPr>
                      <w:rFonts w:ascii="Times New Roman" w:hAnsi="Times New Roman"/>
                      <w:color w:val="auto"/>
                      <w:szCs w:val="21"/>
                    </w:rPr>
                    <w:t>不锈钢桶圆 780*800</w:t>
                  </w:r>
                </w:p>
              </w:tc>
              <w:tc>
                <w:tcPr>
                  <w:tcW w:w="610" w:type="pct"/>
                  <w:vAlign w:val="center"/>
                </w:tcPr>
                <w:p w14:paraId="342EF350">
                  <w:pPr>
                    <w:pStyle w:val="76"/>
                    <w:autoSpaceDE w:val="0"/>
                    <w:autoSpaceDN w:val="0"/>
                    <w:jc w:val="center"/>
                    <w:rPr>
                      <w:rFonts w:ascii="Times New Roman" w:hAnsi="Times New Roman"/>
                      <w:color w:val="auto"/>
                      <w:szCs w:val="21"/>
                    </w:rPr>
                  </w:pPr>
                  <w:r>
                    <w:rPr>
                      <w:rFonts w:ascii="Times New Roman" w:hAnsi="Times New Roman"/>
                      <w:color w:val="auto"/>
                      <w:szCs w:val="21"/>
                    </w:rPr>
                    <w:t>2</w:t>
                  </w:r>
                </w:p>
              </w:tc>
              <w:tc>
                <w:tcPr>
                  <w:tcW w:w="637" w:type="pct"/>
                  <w:vMerge w:val="restart"/>
                  <w:vAlign w:val="center"/>
                </w:tcPr>
                <w:p w14:paraId="08390781">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涂层设备</w:t>
                  </w:r>
                </w:p>
              </w:tc>
            </w:tr>
            <w:tr w14:paraId="7633C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7F4E5D3B">
                  <w:pPr>
                    <w:pStyle w:val="76"/>
                    <w:autoSpaceDE w:val="0"/>
                    <w:autoSpaceDN w:val="0"/>
                    <w:jc w:val="center"/>
                    <w:rPr>
                      <w:rFonts w:ascii="Times New Roman" w:hAnsi="Times New Roman"/>
                      <w:color w:val="auto"/>
                      <w:szCs w:val="21"/>
                    </w:rPr>
                  </w:pPr>
                  <w:r>
                    <w:rPr>
                      <w:rFonts w:ascii="Times New Roman" w:hAnsi="Times New Roman"/>
                      <w:color w:val="auto"/>
                      <w:szCs w:val="21"/>
                    </w:rPr>
                    <w:t>11</w:t>
                  </w:r>
                </w:p>
              </w:tc>
              <w:tc>
                <w:tcPr>
                  <w:tcW w:w="1798" w:type="pct"/>
                  <w:vAlign w:val="center"/>
                </w:tcPr>
                <w:p w14:paraId="7C5B98EA">
                  <w:pPr>
                    <w:pStyle w:val="76"/>
                    <w:autoSpaceDE w:val="0"/>
                    <w:autoSpaceDN w:val="0"/>
                    <w:jc w:val="center"/>
                    <w:rPr>
                      <w:rFonts w:ascii="Times New Roman" w:hAnsi="Times New Roman"/>
                      <w:color w:val="auto"/>
                      <w:szCs w:val="21"/>
                    </w:rPr>
                  </w:pPr>
                  <w:r>
                    <w:rPr>
                      <w:rFonts w:ascii="Times New Roman" w:hAnsi="Times New Roman"/>
                      <w:color w:val="auto"/>
                      <w:szCs w:val="21"/>
                    </w:rPr>
                    <w:t>浸涂槽</w:t>
                  </w:r>
                </w:p>
              </w:tc>
              <w:tc>
                <w:tcPr>
                  <w:tcW w:w="1552" w:type="pct"/>
                  <w:vAlign w:val="center"/>
                </w:tcPr>
                <w:p w14:paraId="61064C35">
                  <w:pPr>
                    <w:pStyle w:val="76"/>
                    <w:autoSpaceDE w:val="0"/>
                    <w:autoSpaceDN w:val="0"/>
                    <w:jc w:val="center"/>
                    <w:rPr>
                      <w:rFonts w:ascii="Times New Roman" w:hAnsi="Times New Roman"/>
                      <w:color w:val="auto"/>
                      <w:szCs w:val="21"/>
                    </w:rPr>
                  </w:pPr>
                  <w:r>
                    <w:rPr>
                      <w:rFonts w:ascii="Times New Roman" w:hAnsi="Times New Roman"/>
                      <w:color w:val="auto"/>
                      <w:szCs w:val="21"/>
                    </w:rPr>
                    <w:t>2000*1100*800</w:t>
                  </w:r>
                </w:p>
              </w:tc>
              <w:tc>
                <w:tcPr>
                  <w:tcW w:w="610" w:type="pct"/>
                  <w:vAlign w:val="center"/>
                </w:tcPr>
                <w:p w14:paraId="49A66931">
                  <w:pPr>
                    <w:pStyle w:val="76"/>
                    <w:autoSpaceDE w:val="0"/>
                    <w:autoSpaceDN w:val="0"/>
                    <w:jc w:val="center"/>
                    <w:rPr>
                      <w:rFonts w:ascii="Times New Roman" w:hAnsi="Times New Roman"/>
                      <w:color w:val="auto"/>
                      <w:szCs w:val="21"/>
                    </w:rPr>
                  </w:pPr>
                  <w:r>
                    <w:rPr>
                      <w:rFonts w:ascii="Times New Roman" w:hAnsi="Times New Roman"/>
                      <w:color w:val="auto"/>
                      <w:szCs w:val="21"/>
                    </w:rPr>
                    <w:t>2</w:t>
                  </w:r>
                </w:p>
              </w:tc>
              <w:tc>
                <w:tcPr>
                  <w:tcW w:w="637" w:type="pct"/>
                  <w:vMerge w:val="continue"/>
                  <w:vAlign w:val="center"/>
                </w:tcPr>
                <w:p w14:paraId="101E51C6">
                  <w:pPr>
                    <w:pStyle w:val="76"/>
                    <w:autoSpaceDE w:val="0"/>
                    <w:autoSpaceDN w:val="0"/>
                    <w:jc w:val="center"/>
                    <w:rPr>
                      <w:rFonts w:ascii="Times New Roman" w:hAnsi="Times New Roman"/>
                      <w:color w:val="auto"/>
                      <w:szCs w:val="21"/>
                    </w:rPr>
                  </w:pPr>
                </w:p>
              </w:tc>
            </w:tr>
            <w:tr w14:paraId="102EF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3C18C4BF">
                  <w:pPr>
                    <w:pStyle w:val="76"/>
                    <w:autoSpaceDE w:val="0"/>
                    <w:autoSpaceDN w:val="0"/>
                    <w:jc w:val="center"/>
                    <w:rPr>
                      <w:rFonts w:ascii="Times New Roman" w:hAnsi="Times New Roman"/>
                      <w:color w:val="auto"/>
                      <w:szCs w:val="21"/>
                    </w:rPr>
                  </w:pPr>
                  <w:r>
                    <w:rPr>
                      <w:rFonts w:ascii="Times New Roman" w:hAnsi="Times New Roman"/>
                      <w:color w:val="auto"/>
                      <w:szCs w:val="21"/>
                    </w:rPr>
                    <w:t>12</w:t>
                  </w:r>
                </w:p>
              </w:tc>
              <w:tc>
                <w:tcPr>
                  <w:tcW w:w="1798" w:type="pct"/>
                  <w:vAlign w:val="center"/>
                </w:tcPr>
                <w:p w14:paraId="1D40AFA0">
                  <w:pPr>
                    <w:pStyle w:val="76"/>
                    <w:autoSpaceDE w:val="0"/>
                    <w:autoSpaceDN w:val="0"/>
                    <w:jc w:val="center"/>
                    <w:rPr>
                      <w:rFonts w:ascii="Times New Roman" w:hAnsi="Times New Roman"/>
                      <w:color w:val="auto"/>
                      <w:szCs w:val="21"/>
                    </w:rPr>
                  </w:pPr>
                  <w:r>
                    <w:rPr>
                      <w:rFonts w:ascii="Times New Roman" w:hAnsi="Times New Roman"/>
                      <w:color w:val="auto"/>
                      <w:szCs w:val="21"/>
                    </w:rPr>
                    <w:t>涂层干燥设备</w:t>
                  </w:r>
                </w:p>
              </w:tc>
              <w:tc>
                <w:tcPr>
                  <w:tcW w:w="1552" w:type="pct"/>
                  <w:vAlign w:val="center"/>
                </w:tcPr>
                <w:p w14:paraId="559E579A">
                  <w:pPr>
                    <w:pStyle w:val="76"/>
                    <w:autoSpaceDE w:val="0"/>
                    <w:autoSpaceDN w:val="0"/>
                    <w:jc w:val="center"/>
                    <w:rPr>
                      <w:rFonts w:ascii="Times New Roman" w:hAnsi="Times New Roman"/>
                      <w:color w:val="auto"/>
                      <w:szCs w:val="21"/>
                    </w:rPr>
                  </w:pPr>
                  <w:r>
                    <w:rPr>
                      <w:rFonts w:ascii="Times New Roman" w:hAnsi="Times New Roman"/>
                      <w:color w:val="auto"/>
                      <w:szCs w:val="21"/>
                    </w:rPr>
                    <w:t>烤房面积 8000*5</w:t>
                  </w:r>
                  <w:r>
                    <w:rPr>
                      <w:rFonts w:hint="eastAsia" w:ascii="Times New Roman" w:hAnsi="Times New Roman"/>
                      <w:color w:val="auto"/>
                      <w:szCs w:val="21"/>
                    </w:rPr>
                    <w:t>0</w:t>
                  </w:r>
                  <w:r>
                    <w:rPr>
                      <w:rFonts w:ascii="Times New Roman" w:hAnsi="Times New Roman"/>
                      <w:color w:val="auto"/>
                      <w:szCs w:val="21"/>
                    </w:rPr>
                    <w:t>00mm</w:t>
                  </w:r>
                </w:p>
              </w:tc>
              <w:tc>
                <w:tcPr>
                  <w:tcW w:w="610" w:type="pct"/>
                  <w:vAlign w:val="center"/>
                </w:tcPr>
                <w:p w14:paraId="36939DEA">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6</w:t>
                  </w:r>
                </w:p>
              </w:tc>
              <w:tc>
                <w:tcPr>
                  <w:tcW w:w="637" w:type="pct"/>
                  <w:vMerge w:val="continue"/>
                  <w:vAlign w:val="center"/>
                </w:tcPr>
                <w:p w14:paraId="581DF438">
                  <w:pPr>
                    <w:pStyle w:val="76"/>
                    <w:autoSpaceDE w:val="0"/>
                    <w:autoSpaceDN w:val="0"/>
                    <w:jc w:val="center"/>
                    <w:rPr>
                      <w:rFonts w:ascii="Times New Roman" w:hAnsi="Times New Roman"/>
                      <w:color w:val="auto"/>
                      <w:szCs w:val="21"/>
                    </w:rPr>
                  </w:pPr>
                </w:p>
              </w:tc>
            </w:tr>
            <w:tr w14:paraId="7ABFD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75A748B4">
                  <w:pPr>
                    <w:pStyle w:val="76"/>
                    <w:autoSpaceDE w:val="0"/>
                    <w:autoSpaceDN w:val="0"/>
                    <w:jc w:val="center"/>
                    <w:rPr>
                      <w:rFonts w:ascii="Times New Roman" w:hAnsi="Times New Roman"/>
                      <w:color w:val="auto"/>
                      <w:szCs w:val="21"/>
                    </w:rPr>
                  </w:pPr>
                  <w:r>
                    <w:rPr>
                      <w:rFonts w:ascii="Times New Roman" w:hAnsi="Times New Roman"/>
                      <w:color w:val="auto"/>
                      <w:szCs w:val="21"/>
                    </w:rPr>
                    <w:t>13</w:t>
                  </w:r>
                </w:p>
              </w:tc>
              <w:tc>
                <w:tcPr>
                  <w:tcW w:w="1798" w:type="pct"/>
                  <w:vAlign w:val="center"/>
                </w:tcPr>
                <w:p w14:paraId="2D9D17DB">
                  <w:pPr>
                    <w:pStyle w:val="76"/>
                    <w:autoSpaceDE w:val="0"/>
                    <w:autoSpaceDN w:val="0"/>
                    <w:jc w:val="center"/>
                    <w:rPr>
                      <w:rFonts w:ascii="Times New Roman" w:hAnsi="Times New Roman"/>
                      <w:color w:val="auto"/>
                      <w:szCs w:val="21"/>
                    </w:rPr>
                  </w:pPr>
                  <w:r>
                    <w:rPr>
                      <w:rFonts w:ascii="Times New Roman" w:hAnsi="Times New Roman"/>
                      <w:color w:val="auto"/>
                      <w:szCs w:val="21"/>
                    </w:rPr>
                    <w:t>涂料烘烤架</w:t>
                  </w:r>
                </w:p>
              </w:tc>
              <w:tc>
                <w:tcPr>
                  <w:tcW w:w="1552" w:type="pct"/>
                  <w:vAlign w:val="center"/>
                </w:tcPr>
                <w:p w14:paraId="7EA8E6C6">
                  <w:pPr>
                    <w:pStyle w:val="76"/>
                    <w:autoSpaceDE w:val="0"/>
                    <w:autoSpaceDN w:val="0"/>
                    <w:jc w:val="center"/>
                    <w:rPr>
                      <w:rFonts w:ascii="Times New Roman" w:hAnsi="Times New Roman"/>
                      <w:color w:val="auto"/>
                      <w:szCs w:val="21"/>
                    </w:rPr>
                  </w:pPr>
                  <w:r>
                    <w:rPr>
                      <w:rFonts w:ascii="Times New Roman" w:hAnsi="Times New Roman"/>
                      <w:color w:val="auto"/>
                      <w:w w:val="99"/>
                      <w:szCs w:val="21"/>
                    </w:rPr>
                    <w:t>/</w:t>
                  </w:r>
                </w:p>
              </w:tc>
              <w:tc>
                <w:tcPr>
                  <w:tcW w:w="610" w:type="pct"/>
                  <w:vAlign w:val="center"/>
                </w:tcPr>
                <w:p w14:paraId="30AA3F4E">
                  <w:pPr>
                    <w:pStyle w:val="76"/>
                    <w:autoSpaceDE w:val="0"/>
                    <w:autoSpaceDN w:val="0"/>
                    <w:jc w:val="center"/>
                    <w:rPr>
                      <w:rFonts w:ascii="Times New Roman" w:hAnsi="Times New Roman"/>
                      <w:color w:val="auto"/>
                      <w:szCs w:val="21"/>
                    </w:rPr>
                  </w:pPr>
                  <w:r>
                    <w:rPr>
                      <w:rFonts w:ascii="Times New Roman" w:hAnsi="Times New Roman"/>
                      <w:color w:val="auto"/>
                      <w:szCs w:val="21"/>
                    </w:rPr>
                    <w:t>若干</w:t>
                  </w:r>
                </w:p>
              </w:tc>
              <w:tc>
                <w:tcPr>
                  <w:tcW w:w="637" w:type="pct"/>
                  <w:vMerge w:val="continue"/>
                  <w:vAlign w:val="center"/>
                </w:tcPr>
                <w:p w14:paraId="0E4B531A">
                  <w:pPr>
                    <w:pStyle w:val="76"/>
                    <w:autoSpaceDE w:val="0"/>
                    <w:autoSpaceDN w:val="0"/>
                    <w:jc w:val="center"/>
                    <w:rPr>
                      <w:rFonts w:ascii="Times New Roman" w:hAnsi="Times New Roman"/>
                      <w:color w:val="auto"/>
                      <w:szCs w:val="21"/>
                    </w:rPr>
                  </w:pPr>
                </w:p>
              </w:tc>
            </w:tr>
            <w:tr w14:paraId="15A2C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2C828C42">
                  <w:pPr>
                    <w:pStyle w:val="76"/>
                    <w:autoSpaceDE w:val="0"/>
                    <w:autoSpaceDN w:val="0"/>
                    <w:jc w:val="center"/>
                    <w:rPr>
                      <w:rFonts w:ascii="Times New Roman" w:hAnsi="Times New Roman"/>
                      <w:color w:val="auto"/>
                      <w:szCs w:val="21"/>
                    </w:rPr>
                  </w:pPr>
                  <w:r>
                    <w:rPr>
                      <w:rFonts w:ascii="Times New Roman" w:hAnsi="Times New Roman"/>
                      <w:color w:val="auto"/>
                      <w:szCs w:val="21"/>
                    </w:rPr>
                    <w:t>14</w:t>
                  </w:r>
                </w:p>
              </w:tc>
              <w:tc>
                <w:tcPr>
                  <w:tcW w:w="1798" w:type="pct"/>
                  <w:vAlign w:val="center"/>
                </w:tcPr>
                <w:p w14:paraId="274B7EFE">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混砂机</w:t>
                  </w:r>
                </w:p>
              </w:tc>
              <w:tc>
                <w:tcPr>
                  <w:tcW w:w="1552" w:type="pct"/>
                  <w:vAlign w:val="center"/>
                </w:tcPr>
                <w:p w14:paraId="1653A6E6">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碾轮式</w:t>
                  </w:r>
                </w:p>
              </w:tc>
              <w:tc>
                <w:tcPr>
                  <w:tcW w:w="610" w:type="pct"/>
                  <w:vAlign w:val="center"/>
                </w:tcPr>
                <w:p w14:paraId="22368A1E">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w:t>
                  </w:r>
                </w:p>
              </w:tc>
              <w:tc>
                <w:tcPr>
                  <w:tcW w:w="637" w:type="pct"/>
                  <w:vMerge w:val="restart"/>
                  <w:vAlign w:val="center"/>
                </w:tcPr>
                <w:p w14:paraId="215D5C18">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造型设备</w:t>
                  </w:r>
                </w:p>
              </w:tc>
            </w:tr>
            <w:tr w14:paraId="26F04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215B46FD">
                  <w:pPr>
                    <w:pStyle w:val="76"/>
                    <w:autoSpaceDE w:val="0"/>
                    <w:autoSpaceDN w:val="0"/>
                    <w:jc w:val="center"/>
                    <w:rPr>
                      <w:rFonts w:ascii="Times New Roman" w:hAnsi="Times New Roman"/>
                      <w:color w:val="auto"/>
                      <w:szCs w:val="21"/>
                    </w:rPr>
                  </w:pPr>
                  <w:r>
                    <w:rPr>
                      <w:rFonts w:ascii="Times New Roman" w:hAnsi="Times New Roman"/>
                      <w:color w:val="auto"/>
                      <w:szCs w:val="21"/>
                    </w:rPr>
                    <w:t>15</w:t>
                  </w:r>
                </w:p>
              </w:tc>
              <w:tc>
                <w:tcPr>
                  <w:tcW w:w="1798" w:type="pct"/>
                  <w:vAlign w:val="center"/>
                </w:tcPr>
                <w:p w14:paraId="45BF265C">
                  <w:pPr>
                    <w:pStyle w:val="76"/>
                    <w:autoSpaceDE w:val="0"/>
                    <w:autoSpaceDN w:val="0"/>
                    <w:jc w:val="center"/>
                    <w:rPr>
                      <w:rFonts w:ascii="Times New Roman" w:hAnsi="Times New Roman"/>
                      <w:color w:val="auto"/>
                      <w:szCs w:val="21"/>
                    </w:rPr>
                  </w:pPr>
                  <w:r>
                    <w:rPr>
                      <w:rFonts w:ascii="Times New Roman" w:hAnsi="Times New Roman"/>
                      <w:color w:val="auto"/>
                      <w:szCs w:val="21"/>
                    </w:rPr>
                    <w:t>砂仓</w:t>
                  </w:r>
                </w:p>
              </w:tc>
              <w:tc>
                <w:tcPr>
                  <w:tcW w:w="1552" w:type="pct"/>
                  <w:vAlign w:val="center"/>
                </w:tcPr>
                <w:p w14:paraId="512F7814">
                  <w:pPr>
                    <w:pStyle w:val="76"/>
                    <w:autoSpaceDE w:val="0"/>
                    <w:autoSpaceDN w:val="0"/>
                    <w:jc w:val="center"/>
                    <w:rPr>
                      <w:rFonts w:ascii="Times New Roman" w:hAnsi="Times New Roman"/>
                      <w:color w:val="auto"/>
                      <w:szCs w:val="21"/>
                    </w:rPr>
                  </w:pPr>
                  <w:r>
                    <w:rPr>
                      <w:rFonts w:ascii="Times New Roman" w:hAnsi="Times New Roman"/>
                      <w:color w:val="auto"/>
                      <w:szCs w:val="21"/>
                    </w:rPr>
                    <w:t>最大存砂量 60t</w:t>
                  </w:r>
                </w:p>
              </w:tc>
              <w:tc>
                <w:tcPr>
                  <w:tcW w:w="610" w:type="pct"/>
                  <w:vAlign w:val="center"/>
                </w:tcPr>
                <w:p w14:paraId="251E7D3F">
                  <w:pPr>
                    <w:pStyle w:val="76"/>
                    <w:autoSpaceDE w:val="0"/>
                    <w:autoSpaceDN w:val="0"/>
                    <w:jc w:val="center"/>
                    <w:rPr>
                      <w:rFonts w:ascii="Times New Roman" w:hAnsi="Times New Roman"/>
                      <w:color w:val="auto"/>
                      <w:szCs w:val="21"/>
                    </w:rPr>
                  </w:pPr>
                  <w:r>
                    <w:rPr>
                      <w:rFonts w:ascii="Times New Roman" w:hAnsi="Times New Roman"/>
                      <w:color w:val="auto"/>
                      <w:szCs w:val="21"/>
                    </w:rPr>
                    <w:t>2</w:t>
                  </w:r>
                </w:p>
              </w:tc>
              <w:tc>
                <w:tcPr>
                  <w:tcW w:w="637" w:type="pct"/>
                  <w:vMerge w:val="continue"/>
                  <w:vAlign w:val="center"/>
                </w:tcPr>
                <w:p w14:paraId="1DB79588">
                  <w:pPr>
                    <w:pStyle w:val="76"/>
                    <w:autoSpaceDE w:val="0"/>
                    <w:autoSpaceDN w:val="0"/>
                    <w:jc w:val="center"/>
                    <w:rPr>
                      <w:rFonts w:ascii="Times New Roman" w:hAnsi="Times New Roman"/>
                      <w:color w:val="auto"/>
                      <w:szCs w:val="21"/>
                    </w:rPr>
                  </w:pPr>
                </w:p>
              </w:tc>
            </w:tr>
            <w:tr w14:paraId="7B176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6BAE49F9">
                  <w:pPr>
                    <w:pStyle w:val="76"/>
                    <w:autoSpaceDE w:val="0"/>
                    <w:autoSpaceDN w:val="0"/>
                    <w:jc w:val="center"/>
                    <w:rPr>
                      <w:rFonts w:ascii="Times New Roman" w:hAnsi="Times New Roman"/>
                      <w:color w:val="auto"/>
                      <w:szCs w:val="21"/>
                    </w:rPr>
                  </w:pPr>
                  <w:r>
                    <w:rPr>
                      <w:rFonts w:ascii="Times New Roman" w:hAnsi="Times New Roman"/>
                      <w:color w:val="auto"/>
                      <w:szCs w:val="21"/>
                    </w:rPr>
                    <w:t>16</w:t>
                  </w:r>
                </w:p>
              </w:tc>
              <w:tc>
                <w:tcPr>
                  <w:tcW w:w="1798" w:type="pct"/>
                  <w:vAlign w:val="center"/>
                </w:tcPr>
                <w:p w14:paraId="1858CC85">
                  <w:pPr>
                    <w:pStyle w:val="76"/>
                    <w:autoSpaceDE w:val="0"/>
                    <w:autoSpaceDN w:val="0"/>
                    <w:jc w:val="center"/>
                    <w:rPr>
                      <w:rFonts w:ascii="Times New Roman" w:hAnsi="Times New Roman"/>
                      <w:color w:val="auto"/>
                      <w:szCs w:val="21"/>
                    </w:rPr>
                  </w:pPr>
                  <w:r>
                    <w:rPr>
                      <w:rFonts w:ascii="Times New Roman" w:hAnsi="Times New Roman"/>
                      <w:color w:val="auto"/>
                      <w:szCs w:val="21"/>
                    </w:rPr>
                    <w:t>升降式震动紧实台</w:t>
                  </w:r>
                </w:p>
              </w:tc>
              <w:tc>
                <w:tcPr>
                  <w:tcW w:w="1552" w:type="pct"/>
                  <w:vAlign w:val="center"/>
                </w:tcPr>
                <w:p w14:paraId="21AAD5EC">
                  <w:pPr>
                    <w:pStyle w:val="76"/>
                    <w:autoSpaceDE w:val="0"/>
                    <w:autoSpaceDN w:val="0"/>
                    <w:jc w:val="center"/>
                    <w:rPr>
                      <w:rFonts w:ascii="Times New Roman" w:hAnsi="Times New Roman"/>
                      <w:color w:val="auto"/>
                      <w:szCs w:val="21"/>
                    </w:rPr>
                  </w:pPr>
                  <w:r>
                    <w:rPr>
                      <w:rFonts w:ascii="Times New Roman" w:hAnsi="Times New Roman"/>
                      <w:color w:val="auto"/>
                      <w:w w:val="99"/>
                      <w:szCs w:val="21"/>
                    </w:rPr>
                    <w:t>/</w:t>
                  </w:r>
                </w:p>
              </w:tc>
              <w:tc>
                <w:tcPr>
                  <w:tcW w:w="610" w:type="pct"/>
                  <w:vAlign w:val="center"/>
                </w:tcPr>
                <w:p w14:paraId="31DD7CC7">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637" w:type="pct"/>
                  <w:vMerge w:val="continue"/>
                  <w:vAlign w:val="center"/>
                </w:tcPr>
                <w:p w14:paraId="1908A10F">
                  <w:pPr>
                    <w:pStyle w:val="76"/>
                    <w:autoSpaceDE w:val="0"/>
                    <w:autoSpaceDN w:val="0"/>
                    <w:jc w:val="center"/>
                    <w:rPr>
                      <w:rFonts w:ascii="Times New Roman" w:hAnsi="Times New Roman"/>
                      <w:color w:val="auto"/>
                      <w:szCs w:val="21"/>
                    </w:rPr>
                  </w:pPr>
                </w:p>
              </w:tc>
            </w:tr>
            <w:tr w14:paraId="004D2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4C44D33F">
                  <w:pPr>
                    <w:pStyle w:val="76"/>
                    <w:autoSpaceDE w:val="0"/>
                    <w:autoSpaceDN w:val="0"/>
                    <w:jc w:val="center"/>
                    <w:rPr>
                      <w:rFonts w:ascii="Times New Roman" w:hAnsi="Times New Roman"/>
                      <w:color w:val="auto"/>
                      <w:szCs w:val="21"/>
                    </w:rPr>
                  </w:pPr>
                  <w:r>
                    <w:rPr>
                      <w:rFonts w:ascii="Times New Roman" w:hAnsi="Times New Roman"/>
                      <w:color w:val="auto"/>
                      <w:szCs w:val="21"/>
                    </w:rPr>
                    <w:t>17</w:t>
                  </w:r>
                </w:p>
              </w:tc>
              <w:tc>
                <w:tcPr>
                  <w:tcW w:w="1798" w:type="pct"/>
                  <w:vAlign w:val="center"/>
                </w:tcPr>
                <w:p w14:paraId="0768E5E4">
                  <w:pPr>
                    <w:pStyle w:val="76"/>
                    <w:autoSpaceDE w:val="0"/>
                    <w:autoSpaceDN w:val="0"/>
                    <w:jc w:val="center"/>
                    <w:rPr>
                      <w:rFonts w:ascii="Times New Roman" w:hAnsi="Times New Roman"/>
                      <w:color w:val="auto"/>
                      <w:szCs w:val="21"/>
                    </w:rPr>
                  </w:pPr>
                  <w:r>
                    <w:rPr>
                      <w:rFonts w:ascii="Times New Roman" w:hAnsi="Times New Roman"/>
                      <w:color w:val="auto"/>
                      <w:szCs w:val="21"/>
                    </w:rPr>
                    <w:t>可抽真空砂箱</w:t>
                  </w:r>
                </w:p>
              </w:tc>
              <w:tc>
                <w:tcPr>
                  <w:tcW w:w="1552" w:type="pct"/>
                  <w:vAlign w:val="center"/>
                </w:tcPr>
                <w:p w14:paraId="5E4812AD">
                  <w:pPr>
                    <w:pStyle w:val="76"/>
                    <w:autoSpaceDE w:val="0"/>
                    <w:autoSpaceDN w:val="0"/>
                    <w:jc w:val="center"/>
                    <w:rPr>
                      <w:rFonts w:ascii="Times New Roman" w:hAnsi="Times New Roman"/>
                      <w:color w:val="auto"/>
                      <w:szCs w:val="21"/>
                    </w:rPr>
                  </w:pPr>
                  <w:r>
                    <w:rPr>
                      <w:rFonts w:ascii="Times New Roman" w:hAnsi="Times New Roman"/>
                      <w:color w:val="auto"/>
                      <w:szCs w:val="21"/>
                    </w:rPr>
                    <w:t xml:space="preserve">1200*1200*1200  </w:t>
                  </w:r>
                  <w:r>
                    <w:rPr>
                      <w:rFonts w:hint="eastAsia" w:ascii="Times New Roman" w:hAnsi="Times New Roman"/>
                      <w:color w:val="auto"/>
                      <w:szCs w:val="21"/>
                    </w:rPr>
                    <w:t>6</w:t>
                  </w:r>
                  <w:r>
                    <w:rPr>
                      <w:rFonts w:ascii="Times New Roman" w:hAnsi="Times New Roman"/>
                      <w:color w:val="auto"/>
                      <w:szCs w:val="21"/>
                    </w:rPr>
                    <w:t>套</w:t>
                  </w:r>
                </w:p>
                <w:p w14:paraId="0E014F31">
                  <w:pPr>
                    <w:pStyle w:val="76"/>
                    <w:autoSpaceDE w:val="0"/>
                    <w:autoSpaceDN w:val="0"/>
                    <w:jc w:val="center"/>
                    <w:rPr>
                      <w:rFonts w:ascii="Times New Roman" w:hAnsi="Times New Roman"/>
                      <w:color w:val="auto"/>
                      <w:szCs w:val="21"/>
                    </w:rPr>
                  </w:pPr>
                  <w:r>
                    <w:rPr>
                      <w:rFonts w:ascii="Times New Roman" w:hAnsi="Times New Roman"/>
                      <w:color w:val="auto"/>
                      <w:szCs w:val="21"/>
                    </w:rPr>
                    <w:t xml:space="preserve">1500*1500*1200  </w:t>
                  </w:r>
                  <w:r>
                    <w:rPr>
                      <w:rFonts w:hint="eastAsia" w:ascii="Times New Roman" w:hAnsi="Times New Roman"/>
                      <w:color w:val="auto"/>
                      <w:szCs w:val="21"/>
                    </w:rPr>
                    <w:t>6</w:t>
                  </w:r>
                  <w:r>
                    <w:rPr>
                      <w:rFonts w:ascii="Times New Roman" w:hAnsi="Times New Roman"/>
                      <w:color w:val="auto"/>
                      <w:szCs w:val="21"/>
                    </w:rPr>
                    <w:t>套</w:t>
                  </w:r>
                </w:p>
                <w:p w14:paraId="6347C432">
                  <w:pPr>
                    <w:pStyle w:val="76"/>
                    <w:autoSpaceDE w:val="0"/>
                    <w:autoSpaceDN w:val="0"/>
                    <w:jc w:val="center"/>
                    <w:rPr>
                      <w:rFonts w:ascii="Times New Roman" w:hAnsi="Times New Roman"/>
                      <w:color w:val="auto"/>
                      <w:w w:val="99"/>
                      <w:szCs w:val="21"/>
                    </w:rPr>
                  </w:pPr>
                  <w:r>
                    <w:rPr>
                      <w:rFonts w:ascii="Times New Roman" w:hAnsi="Times New Roman"/>
                      <w:color w:val="auto"/>
                      <w:szCs w:val="21"/>
                    </w:rPr>
                    <w:t>1100*1250*1100</w:t>
                  </w:r>
                  <w:r>
                    <w:rPr>
                      <w:rFonts w:ascii="Times New Roman" w:hAnsi="Times New Roman"/>
                      <w:color w:val="auto"/>
                      <w:spacing w:val="-7"/>
                      <w:szCs w:val="21"/>
                    </w:rPr>
                    <w:t xml:space="preserve">  </w:t>
                  </w:r>
                  <w:r>
                    <w:rPr>
                      <w:rFonts w:hint="eastAsia" w:ascii="Times New Roman" w:hAnsi="Times New Roman"/>
                      <w:color w:val="auto"/>
                      <w:szCs w:val="21"/>
                    </w:rPr>
                    <w:t>50</w:t>
                  </w:r>
                  <w:r>
                    <w:rPr>
                      <w:rFonts w:ascii="Times New Roman" w:hAnsi="Times New Roman"/>
                      <w:color w:val="auto"/>
                      <w:szCs w:val="21"/>
                    </w:rPr>
                    <w:t>套</w:t>
                  </w:r>
                </w:p>
              </w:tc>
              <w:tc>
                <w:tcPr>
                  <w:tcW w:w="610" w:type="pct"/>
                  <w:vAlign w:val="center"/>
                </w:tcPr>
                <w:p w14:paraId="533E913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62</w:t>
                  </w:r>
                </w:p>
              </w:tc>
              <w:tc>
                <w:tcPr>
                  <w:tcW w:w="637" w:type="pct"/>
                  <w:vMerge w:val="continue"/>
                  <w:vAlign w:val="center"/>
                </w:tcPr>
                <w:p w14:paraId="22570AFC">
                  <w:pPr>
                    <w:pStyle w:val="76"/>
                    <w:autoSpaceDE w:val="0"/>
                    <w:autoSpaceDN w:val="0"/>
                    <w:jc w:val="center"/>
                    <w:rPr>
                      <w:rFonts w:ascii="Times New Roman" w:hAnsi="Times New Roman"/>
                      <w:color w:val="auto"/>
                      <w:szCs w:val="21"/>
                    </w:rPr>
                  </w:pPr>
                </w:p>
              </w:tc>
            </w:tr>
            <w:tr w14:paraId="7C7DA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2B77ADD1">
                  <w:pPr>
                    <w:pStyle w:val="76"/>
                    <w:autoSpaceDE w:val="0"/>
                    <w:autoSpaceDN w:val="0"/>
                    <w:jc w:val="center"/>
                    <w:rPr>
                      <w:rFonts w:ascii="Times New Roman" w:hAnsi="Times New Roman"/>
                      <w:color w:val="auto"/>
                      <w:szCs w:val="21"/>
                    </w:rPr>
                  </w:pPr>
                  <w:r>
                    <w:rPr>
                      <w:rFonts w:ascii="Times New Roman" w:hAnsi="Times New Roman"/>
                      <w:color w:val="auto"/>
                      <w:szCs w:val="21"/>
                    </w:rPr>
                    <w:t>18</w:t>
                  </w:r>
                </w:p>
              </w:tc>
              <w:tc>
                <w:tcPr>
                  <w:tcW w:w="1798" w:type="pct"/>
                  <w:vAlign w:val="center"/>
                </w:tcPr>
                <w:p w14:paraId="2953E659">
                  <w:pPr>
                    <w:pStyle w:val="76"/>
                    <w:autoSpaceDE w:val="0"/>
                    <w:autoSpaceDN w:val="0"/>
                    <w:jc w:val="center"/>
                    <w:rPr>
                      <w:rFonts w:ascii="Times New Roman" w:hAnsi="Times New Roman"/>
                      <w:color w:val="auto"/>
                      <w:szCs w:val="21"/>
                    </w:rPr>
                  </w:pPr>
                  <w:r>
                    <w:rPr>
                      <w:rFonts w:ascii="Times New Roman" w:hAnsi="Times New Roman"/>
                      <w:color w:val="auto"/>
                      <w:szCs w:val="21"/>
                    </w:rPr>
                    <w:t>型砂筛分设备</w:t>
                  </w:r>
                </w:p>
              </w:tc>
              <w:tc>
                <w:tcPr>
                  <w:tcW w:w="1552" w:type="pct"/>
                  <w:vAlign w:val="center"/>
                </w:tcPr>
                <w:p w14:paraId="12B8A7C5">
                  <w:pPr>
                    <w:pStyle w:val="76"/>
                    <w:autoSpaceDE w:val="0"/>
                    <w:autoSpaceDN w:val="0"/>
                    <w:jc w:val="center"/>
                    <w:rPr>
                      <w:rFonts w:ascii="Times New Roman" w:hAnsi="Times New Roman"/>
                      <w:color w:val="auto"/>
                      <w:w w:val="99"/>
                      <w:szCs w:val="21"/>
                    </w:rPr>
                  </w:pPr>
                  <w:r>
                    <w:rPr>
                      <w:rFonts w:ascii="Times New Roman" w:hAnsi="Times New Roman"/>
                      <w:color w:val="auto"/>
                      <w:szCs w:val="21"/>
                    </w:rPr>
                    <w:t>耐热振动筛</w:t>
                  </w:r>
                </w:p>
              </w:tc>
              <w:tc>
                <w:tcPr>
                  <w:tcW w:w="610" w:type="pct"/>
                  <w:vAlign w:val="center"/>
                </w:tcPr>
                <w:p w14:paraId="5108F653">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637" w:type="pct"/>
                  <w:vMerge w:val="restart"/>
                  <w:vAlign w:val="center"/>
                </w:tcPr>
                <w:p w14:paraId="5FDEAC1C">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砂处理设备</w:t>
                  </w:r>
                </w:p>
              </w:tc>
            </w:tr>
            <w:tr w14:paraId="3DB5C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7B4FB949">
                  <w:pPr>
                    <w:pStyle w:val="76"/>
                    <w:autoSpaceDE w:val="0"/>
                    <w:autoSpaceDN w:val="0"/>
                    <w:jc w:val="center"/>
                    <w:rPr>
                      <w:rFonts w:ascii="Times New Roman" w:hAnsi="Times New Roman"/>
                      <w:color w:val="auto"/>
                      <w:szCs w:val="21"/>
                    </w:rPr>
                  </w:pPr>
                  <w:r>
                    <w:rPr>
                      <w:rFonts w:ascii="Times New Roman" w:hAnsi="Times New Roman"/>
                      <w:color w:val="auto"/>
                      <w:szCs w:val="21"/>
                    </w:rPr>
                    <w:t>19</w:t>
                  </w:r>
                </w:p>
              </w:tc>
              <w:tc>
                <w:tcPr>
                  <w:tcW w:w="1798" w:type="pct"/>
                  <w:vAlign w:val="center"/>
                </w:tcPr>
                <w:p w14:paraId="3C842EB7">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立式冷却罐</w:t>
                  </w:r>
                </w:p>
              </w:tc>
              <w:tc>
                <w:tcPr>
                  <w:tcW w:w="1552" w:type="pct"/>
                  <w:vAlign w:val="center"/>
                </w:tcPr>
                <w:p w14:paraId="3600EC70">
                  <w:pPr>
                    <w:pStyle w:val="76"/>
                    <w:autoSpaceDE w:val="0"/>
                    <w:autoSpaceDN w:val="0"/>
                    <w:jc w:val="center"/>
                    <w:rPr>
                      <w:rFonts w:ascii="Times New Roman" w:hAnsi="Times New Roman"/>
                      <w:color w:val="auto"/>
                      <w:w w:val="99"/>
                      <w:szCs w:val="21"/>
                    </w:rPr>
                  </w:pPr>
                  <w:r>
                    <w:rPr>
                      <w:rFonts w:ascii="Times New Roman" w:hAnsi="Times New Roman"/>
                      <w:color w:val="auto"/>
                      <w:w w:val="99"/>
                      <w:szCs w:val="21"/>
                    </w:rPr>
                    <w:t>/</w:t>
                  </w:r>
                </w:p>
              </w:tc>
              <w:tc>
                <w:tcPr>
                  <w:tcW w:w="610" w:type="pct"/>
                  <w:vAlign w:val="center"/>
                </w:tcPr>
                <w:p w14:paraId="5C7B42E0">
                  <w:pPr>
                    <w:pStyle w:val="76"/>
                    <w:autoSpaceDE w:val="0"/>
                    <w:autoSpaceDN w:val="0"/>
                    <w:jc w:val="center"/>
                    <w:rPr>
                      <w:rFonts w:ascii="Times New Roman" w:hAnsi="Times New Roman"/>
                      <w:color w:val="auto"/>
                      <w:szCs w:val="21"/>
                    </w:rPr>
                  </w:pPr>
                  <w:r>
                    <w:rPr>
                      <w:rFonts w:ascii="Times New Roman" w:hAnsi="Times New Roman"/>
                      <w:color w:val="auto"/>
                      <w:szCs w:val="21"/>
                    </w:rPr>
                    <w:t>2</w:t>
                  </w:r>
                </w:p>
              </w:tc>
              <w:tc>
                <w:tcPr>
                  <w:tcW w:w="637" w:type="pct"/>
                  <w:vMerge w:val="continue"/>
                  <w:vAlign w:val="center"/>
                </w:tcPr>
                <w:p w14:paraId="7FC1826F">
                  <w:pPr>
                    <w:pStyle w:val="76"/>
                    <w:autoSpaceDE w:val="0"/>
                    <w:autoSpaceDN w:val="0"/>
                    <w:jc w:val="center"/>
                    <w:rPr>
                      <w:rFonts w:ascii="Times New Roman" w:hAnsi="Times New Roman"/>
                      <w:color w:val="auto"/>
                      <w:szCs w:val="21"/>
                    </w:rPr>
                  </w:pPr>
                </w:p>
              </w:tc>
            </w:tr>
            <w:tr w14:paraId="05DBE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401" w:type="pct"/>
                  <w:vAlign w:val="center"/>
                </w:tcPr>
                <w:p w14:paraId="02B4F16C">
                  <w:pPr>
                    <w:pStyle w:val="76"/>
                    <w:autoSpaceDE w:val="0"/>
                    <w:autoSpaceDN w:val="0"/>
                    <w:jc w:val="center"/>
                    <w:rPr>
                      <w:rFonts w:ascii="Times New Roman" w:hAnsi="Times New Roman"/>
                      <w:color w:val="auto"/>
                      <w:szCs w:val="21"/>
                    </w:rPr>
                  </w:pPr>
                  <w:r>
                    <w:rPr>
                      <w:rFonts w:ascii="Times New Roman" w:hAnsi="Times New Roman"/>
                      <w:color w:val="auto"/>
                      <w:szCs w:val="21"/>
                    </w:rPr>
                    <w:t>20</w:t>
                  </w:r>
                </w:p>
              </w:tc>
              <w:tc>
                <w:tcPr>
                  <w:tcW w:w="1798" w:type="pct"/>
                  <w:vAlign w:val="center"/>
                </w:tcPr>
                <w:p w14:paraId="729E5CC0">
                  <w:pPr>
                    <w:pStyle w:val="76"/>
                    <w:autoSpaceDE w:val="0"/>
                    <w:autoSpaceDN w:val="0"/>
                    <w:jc w:val="center"/>
                    <w:rPr>
                      <w:rFonts w:ascii="Times New Roman" w:hAnsi="Times New Roman"/>
                      <w:color w:val="auto"/>
                      <w:szCs w:val="21"/>
                    </w:rPr>
                  </w:pPr>
                  <w:r>
                    <w:rPr>
                      <w:rFonts w:ascii="Times New Roman" w:hAnsi="Times New Roman"/>
                      <w:color w:val="auto"/>
                      <w:szCs w:val="21"/>
                    </w:rPr>
                    <w:t>磁选设备</w:t>
                  </w:r>
                </w:p>
              </w:tc>
              <w:tc>
                <w:tcPr>
                  <w:tcW w:w="1552" w:type="pct"/>
                  <w:vAlign w:val="center"/>
                </w:tcPr>
                <w:p w14:paraId="40592B83">
                  <w:pPr>
                    <w:pStyle w:val="76"/>
                    <w:autoSpaceDE w:val="0"/>
                    <w:autoSpaceDN w:val="0"/>
                    <w:jc w:val="center"/>
                    <w:rPr>
                      <w:rFonts w:ascii="Times New Roman" w:hAnsi="Times New Roman"/>
                      <w:color w:val="auto"/>
                      <w:w w:val="99"/>
                      <w:szCs w:val="21"/>
                    </w:rPr>
                  </w:pPr>
                  <w:r>
                    <w:rPr>
                      <w:rFonts w:ascii="Times New Roman" w:hAnsi="Times New Roman"/>
                      <w:color w:val="auto"/>
                      <w:szCs w:val="21"/>
                    </w:rPr>
                    <w:t>永磁筛分</w:t>
                  </w:r>
                </w:p>
              </w:tc>
              <w:tc>
                <w:tcPr>
                  <w:tcW w:w="610" w:type="pct"/>
                  <w:vAlign w:val="center"/>
                </w:tcPr>
                <w:p w14:paraId="37E71170">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637" w:type="pct"/>
                  <w:vMerge w:val="continue"/>
                  <w:vAlign w:val="center"/>
                </w:tcPr>
                <w:p w14:paraId="3694CF27">
                  <w:pPr>
                    <w:pStyle w:val="76"/>
                    <w:autoSpaceDE w:val="0"/>
                    <w:autoSpaceDN w:val="0"/>
                    <w:jc w:val="center"/>
                    <w:rPr>
                      <w:rFonts w:ascii="Times New Roman" w:hAnsi="Times New Roman"/>
                      <w:color w:val="auto"/>
                      <w:szCs w:val="21"/>
                    </w:rPr>
                  </w:pPr>
                </w:p>
              </w:tc>
            </w:tr>
            <w:tr w14:paraId="07EE4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401" w:type="pct"/>
                  <w:vAlign w:val="center"/>
                </w:tcPr>
                <w:p w14:paraId="5F3B176A">
                  <w:pPr>
                    <w:pStyle w:val="76"/>
                    <w:autoSpaceDE w:val="0"/>
                    <w:autoSpaceDN w:val="0"/>
                    <w:jc w:val="center"/>
                    <w:rPr>
                      <w:rFonts w:ascii="Times New Roman" w:hAnsi="Times New Roman"/>
                      <w:color w:val="auto"/>
                      <w:szCs w:val="21"/>
                    </w:rPr>
                  </w:pPr>
                  <w:r>
                    <w:rPr>
                      <w:rFonts w:ascii="Times New Roman" w:hAnsi="Times New Roman"/>
                      <w:color w:val="auto"/>
                      <w:szCs w:val="21"/>
                    </w:rPr>
                    <w:t>21</w:t>
                  </w:r>
                </w:p>
              </w:tc>
              <w:tc>
                <w:tcPr>
                  <w:tcW w:w="1798" w:type="pct"/>
                  <w:vAlign w:val="center"/>
                </w:tcPr>
                <w:p w14:paraId="78FE3038">
                  <w:pPr>
                    <w:pStyle w:val="76"/>
                    <w:autoSpaceDE w:val="0"/>
                    <w:autoSpaceDN w:val="0"/>
                    <w:jc w:val="center"/>
                    <w:rPr>
                      <w:rFonts w:ascii="Times New Roman" w:hAnsi="Times New Roman"/>
                      <w:color w:val="auto"/>
                      <w:szCs w:val="21"/>
                    </w:rPr>
                  </w:pPr>
                  <w:r>
                    <w:rPr>
                      <w:rFonts w:ascii="Times New Roman" w:hAnsi="Times New Roman"/>
                      <w:color w:val="auto"/>
                      <w:szCs w:val="21"/>
                    </w:rPr>
                    <w:t>水冷落砂平台</w:t>
                  </w:r>
                </w:p>
              </w:tc>
              <w:tc>
                <w:tcPr>
                  <w:tcW w:w="1552" w:type="pct"/>
                  <w:vAlign w:val="center"/>
                </w:tcPr>
                <w:p w14:paraId="4A8CD811">
                  <w:pPr>
                    <w:pStyle w:val="76"/>
                    <w:autoSpaceDE w:val="0"/>
                    <w:autoSpaceDN w:val="0"/>
                    <w:jc w:val="center"/>
                    <w:rPr>
                      <w:rFonts w:ascii="Times New Roman" w:hAnsi="Times New Roman"/>
                      <w:color w:val="auto"/>
                      <w:w w:val="99"/>
                      <w:szCs w:val="21"/>
                    </w:rPr>
                  </w:pPr>
                  <w:r>
                    <w:rPr>
                      <w:rFonts w:ascii="Times New Roman" w:hAnsi="Times New Roman"/>
                      <w:color w:val="auto"/>
                      <w:szCs w:val="21"/>
                    </w:rPr>
                    <w:t>耐热落砂棚板</w:t>
                  </w:r>
                </w:p>
              </w:tc>
              <w:tc>
                <w:tcPr>
                  <w:tcW w:w="610" w:type="pct"/>
                  <w:vAlign w:val="center"/>
                </w:tcPr>
                <w:p w14:paraId="1849EA9B">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637" w:type="pct"/>
                  <w:vMerge w:val="continue"/>
                  <w:vAlign w:val="center"/>
                </w:tcPr>
                <w:p w14:paraId="66B9FB65">
                  <w:pPr>
                    <w:pStyle w:val="76"/>
                    <w:autoSpaceDE w:val="0"/>
                    <w:autoSpaceDN w:val="0"/>
                    <w:jc w:val="center"/>
                    <w:rPr>
                      <w:rFonts w:ascii="Times New Roman" w:hAnsi="Times New Roman"/>
                      <w:color w:val="auto"/>
                      <w:szCs w:val="21"/>
                    </w:rPr>
                  </w:pPr>
                </w:p>
              </w:tc>
            </w:tr>
            <w:tr w14:paraId="302D9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5C7253BE">
                  <w:pPr>
                    <w:pStyle w:val="76"/>
                    <w:autoSpaceDE w:val="0"/>
                    <w:autoSpaceDN w:val="0"/>
                    <w:jc w:val="center"/>
                    <w:rPr>
                      <w:rFonts w:ascii="Times New Roman" w:hAnsi="Times New Roman"/>
                      <w:color w:val="auto"/>
                      <w:szCs w:val="21"/>
                    </w:rPr>
                  </w:pPr>
                  <w:r>
                    <w:rPr>
                      <w:rFonts w:ascii="Times New Roman" w:hAnsi="Times New Roman"/>
                      <w:color w:val="auto"/>
                      <w:szCs w:val="21"/>
                    </w:rPr>
                    <w:t>22</w:t>
                  </w:r>
                </w:p>
              </w:tc>
              <w:tc>
                <w:tcPr>
                  <w:tcW w:w="1798" w:type="pct"/>
                  <w:vAlign w:val="center"/>
                </w:tcPr>
                <w:p w14:paraId="290381F5">
                  <w:pPr>
                    <w:pStyle w:val="76"/>
                    <w:autoSpaceDE w:val="0"/>
                    <w:autoSpaceDN w:val="0"/>
                    <w:jc w:val="center"/>
                    <w:rPr>
                      <w:rFonts w:ascii="Times New Roman" w:hAnsi="Times New Roman"/>
                      <w:color w:val="auto"/>
                      <w:szCs w:val="21"/>
                    </w:rPr>
                  </w:pPr>
                  <w:r>
                    <w:rPr>
                      <w:rFonts w:ascii="Times New Roman" w:hAnsi="Times New Roman"/>
                      <w:color w:val="auto"/>
                      <w:szCs w:val="21"/>
                    </w:rPr>
                    <w:t>冷却水系统</w:t>
                  </w:r>
                </w:p>
              </w:tc>
              <w:tc>
                <w:tcPr>
                  <w:tcW w:w="1552" w:type="pct"/>
                  <w:vAlign w:val="center"/>
                </w:tcPr>
                <w:p w14:paraId="069D56FE">
                  <w:pPr>
                    <w:pStyle w:val="76"/>
                    <w:autoSpaceDE w:val="0"/>
                    <w:autoSpaceDN w:val="0"/>
                    <w:jc w:val="center"/>
                    <w:rPr>
                      <w:rFonts w:ascii="Times New Roman" w:hAnsi="Times New Roman"/>
                      <w:color w:val="auto"/>
                      <w:w w:val="99"/>
                      <w:szCs w:val="21"/>
                    </w:rPr>
                  </w:pPr>
                  <w:r>
                    <w:rPr>
                      <w:rFonts w:ascii="Times New Roman" w:hAnsi="Times New Roman"/>
                      <w:color w:val="auto"/>
                      <w:w w:val="99"/>
                      <w:szCs w:val="21"/>
                    </w:rPr>
                    <w:t>/</w:t>
                  </w:r>
                </w:p>
              </w:tc>
              <w:tc>
                <w:tcPr>
                  <w:tcW w:w="610" w:type="pct"/>
                  <w:vAlign w:val="center"/>
                </w:tcPr>
                <w:p w14:paraId="5D1F1095">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637" w:type="pct"/>
                  <w:vMerge w:val="continue"/>
                  <w:vAlign w:val="center"/>
                </w:tcPr>
                <w:p w14:paraId="0BCC1AD2">
                  <w:pPr>
                    <w:pStyle w:val="76"/>
                    <w:autoSpaceDE w:val="0"/>
                    <w:autoSpaceDN w:val="0"/>
                    <w:jc w:val="center"/>
                    <w:rPr>
                      <w:rFonts w:ascii="Times New Roman" w:hAnsi="Times New Roman"/>
                      <w:color w:val="auto"/>
                      <w:szCs w:val="21"/>
                    </w:rPr>
                  </w:pPr>
                </w:p>
              </w:tc>
            </w:tr>
            <w:tr w14:paraId="5B9E9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401" w:type="pct"/>
                  <w:vAlign w:val="center"/>
                </w:tcPr>
                <w:p w14:paraId="5F6C4C7F">
                  <w:pPr>
                    <w:pStyle w:val="76"/>
                    <w:autoSpaceDE w:val="0"/>
                    <w:autoSpaceDN w:val="0"/>
                    <w:jc w:val="center"/>
                    <w:rPr>
                      <w:rFonts w:ascii="Times New Roman" w:hAnsi="Times New Roman"/>
                      <w:color w:val="auto"/>
                      <w:szCs w:val="21"/>
                    </w:rPr>
                  </w:pPr>
                  <w:r>
                    <w:rPr>
                      <w:rFonts w:ascii="Times New Roman" w:hAnsi="Times New Roman"/>
                      <w:color w:val="auto"/>
                      <w:szCs w:val="21"/>
                    </w:rPr>
                    <w:t>23</w:t>
                  </w:r>
                </w:p>
              </w:tc>
              <w:tc>
                <w:tcPr>
                  <w:tcW w:w="1798" w:type="pct"/>
                  <w:vAlign w:val="center"/>
                </w:tcPr>
                <w:p w14:paraId="58BF8F82">
                  <w:pPr>
                    <w:pStyle w:val="76"/>
                    <w:autoSpaceDE w:val="0"/>
                    <w:autoSpaceDN w:val="0"/>
                    <w:jc w:val="center"/>
                    <w:rPr>
                      <w:rFonts w:ascii="Times New Roman" w:hAnsi="Times New Roman"/>
                      <w:color w:val="auto"/>
                      <w:szCs w:val="21"/>
                    </w:rPr>
                  </w:pPr>
                  <w:r>
                    <w:rPr>
                      <w:rFonts w:ascii="Times New Roman" w:hAnsi="Times New Roman"/>
                      <w:color w:val="auto"/>
                      <w:szCs w:val="21"/>
                    </w:rPr>
                    <w:t>砂处理控制系统</w:t>
                  </w:r>
                </w:p>
              </w:tc>
              <w:tc>
                <w:tcPr>
                  <w:tcW w:w="1552" w:type="pct"/>
                  <w:vAlign w:val="center"/>
                </w:tcPr>
                <w:p w14:paraId="47F1533B">
                  <w:pPr>
                    <w:pStyle w:val="76"/>
                    <w:autoSpaceDE w:val="0"/>
                    <w:autoSpaceDN w:val="0"/>
                    <w:jc w:val="center"/>
                    <w:rPr>
                      <w:rFonts w:ascii="Times New Roman" w:hAnsi="Times New Roman"/>
                      <w:color w:val="auto"/>
                      <w:w w:val="99"/>
                      <w:szCs w:val="21"/>
                    </w:rPr>
                  </w:pPr>
                  <w:r>
                    <w:rPr>
                      <w:rFonts w:ascii="Times New Roman" w:hAnsi="Times New Roman"/>
                      <w:color w:val="auto"/>
                      <w:w w:val="99"/>
                      <w:szCs w:val="21"/>
                    </w:rPr>
                    <w:t>/</w:t>
                  </w:r>
                </w:p>
              </w:tc>
              <w:tc>
                <w:tcPr>
                  <w:tcW w:w="610" w:type="pct"/>
                  <w:vAlign w:val="center"/>
                </w:tcPr>
                <w:p w14:paraId="1012D295">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637" w:type="pct"/>
                  <w:vMerge w:val="continue"/>
                  <w:vAlign w:val="center"/>
                </w:tcPr>
                <w:p w14:paraId="3D2550EE">
                  <w:pPr>
                    <w:pStyle w:val="76"/>
                    <w:autoSpaceDE w:val="0"/>
                    <w:autoSpaceDN w:val="0"/>
                    <w:jc w:val="center"/>
                    <w:rPr>
                      <w:rFonts w:ascii="Times New Roman" w:hAnsi="Times New Roman"/>
                      <w:color w:val="auto"/>
                      <w:szCs w:val="21"/>
                    </w:rPr>
                  </w:pPr>
                </w:p>
              </w:tc>
            </w:tr>
            <w:tr w14:paraId="626DF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6E8C558E">
                  <w:pPr>
                    <w:pStyle w:val="76"/>
                    <w:autoSpaceDE w:val="0"/>
                    <w:autoSpaceDN w:val="0"/>
                    <w:jc w:val="center"/>
                    <w:rPr>
                      <w:rFonts w:ascii="Times New Roman" w:hAnsi="Times New Roman"/>
                      <w:color w:val="auto"/>
                      <w:szCs w:val="21"/>
                    </w:rPr>
                  </w:pPr>
                  <w:r>
                    <w:rPr>
                      <w:rFonts w:ascii="Times New Roman" w:hAnsi="Times New Roman"/>
                      <w:color w:val="auto"/>
                      <w:szCs w:val="21"/>
                    </w:rPr>
                    <w:t>24</w:t>
                  </w:r>
                </w:p>
              </w:tc>
              <w:tc>
                <w:tcPr>
                  <w:tcW w:w="1798" w:type="pct"/>
                  <w:vAlign w:val="center"/>
                </w:tcPr>
                <w:p w14:paraId="18BB19CE">
                  <w:pPr>
                    <w:pStyle w:val="76"/>
                    <w:autoSpaceDE w:val="0"/>
                    <w:autoSpaceDN w:val="0"/>
                    <w:jc w:val="center"/>
                    <w:rPr>
                      <w:rFonts w:ascii="Times New Roman" w:hAnsi="Times New Roman"/>
                      <w:color w:val="auto"/>
                      <w:szCs w:val="21"/>
                    </w:rPr>
                  </w:pPr>
                  <w:r>
                    <w:rPr>
                      <w:rFonts w:ascii="Times New Roman" w:hAnsi="Times New Roman"/>
                      <w:color w:val="auto"/>
                      <w:szCs w:val="21"/>
                    </w:rPr>
                    <w:t>垂直输送设备</w:t>
                  </w:r>
                </w:p>
              </w:tc>
              <w:tc>
                <w:tcPr>
                  <w:tcW w:w="1552" w:type="pct"/>
                  <w:vAlign w:val="center"/>
                </w:tcPr>
                <w:p w14:paraId="5CD9B8FE">
                  <w:pPr>
                    <w:pStyle w:val="76"/>
                    <w:autoSpaceDE w:val="0"/>
                    <w:autoSpaceDN w:val="0"/>
                    <w:jc w:val="center"/>
                    <w:rPr>
                      <w:rFonts w:ascii="Times New Roman" w:hAnsi="Times New Roman"/>
                      <w:color w:val="auto"/>
                      <w:w w:val="99"/>
                      <w:szCs w:val="21"/>
                    </w:rPr>
                  </w:pPr>
                  <w:r>
                    <w:rPr>
                      <w:rFonts w:ascii="Times New Roman" w:hAnsi="Times New Roman"/>
                      <w:color w:val="auto"/>
                      <w:szCs w:val="21"/>
                    </w:rPr>
                    <w:t>第一级需耐热板链子斗提</w:t>
                  </w:r>
                </w:p>
              </w:tc>
              <w:tc>
                <w:tcPr>
                  <w:tcW w:w="610" w:type="pct"/>
                  <w:vAlign w:val="center"/>
                </w:tcPr>
                <w:p w14:paraId="279ADB37">
                  <w:pPr>
                    <w:pStyle w:val="76"/>
                    <w:autoSpaceDE w:val="0"/>
                    <w:autoSpaceDN w:val="0"/>
                    <w:jc w:val="center"/>
                    <w:rPr>
                      <w:rFonts w:ascii="Times New Roman" w:hAnsi="Times New Roman"/>
                      <w:color w:val="auto"/>
                      <w:szCs w:val="21"/>
                    </w:rPr>
                  </w:pPr>
                  <w:r>
                    <w:rPr>
                      <w:rFonts w:ascii="Times New Roman" w:hAnsi="Times New Roman"/>
                      <w:color w:val="auto"/>
                      <w:szCs w:val="21"/>
                    </w:rPr>
                    <w:t>3</w:t>
                  </w:r>
                </w:p>
              </w:tc>
              <w:tc>
                <w:tcPr>
                  <w:tcW w:w="637" w:type="pct"/>
                  <w:vMerge w:val="continue"/>
                  <w:vAlign w:val="center"/>
                </w:tcPr>
                <w:p w14:paraId="7AD898E1">
                  <w:pPr>
                    <w:pStyle w:val="76"/>
                    <w:autoSpaceDE w:val="0"/>
                    <w:autoSpaceDN w:val="0"/>
                    <w:jc w:val="center"/>
                    <w:rPr>
                      <w:rFonts w:ascii="Times New Roman" w:hAnsi="Times New Roman"/>
                      <w:color w:val="auto"/>
                      <w:szCs w:val="21"/>
                    </w:rPr>
                  </w:pPr>
                </w:p>
              </w:tc>
            </w:tr>
            <w:tr w14:paraId="39137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2E9DA218">
                  <w:pPr>
                    <w:pStyle w:val="76"/>
                    <w:autoSpaceDE w:val="0"/>
                    <w:autoSpaceDN w:val="0"/>
                    <w:jc w:val="center"/>
                    <w:rPr>
                      <w:rFonts w:ascii="Times New Roman" w:hAnsi="Times New Roman"/>
                      <w:color w:val="auto"/>
                      <w:szCs w:val="21"/>
                    </w:rPr>
                  </w:pPr>
                  <w:r>
                    <w:rPr>
                      <w:rFonts w:ascii="Times New Roman" w:hAnsi="Times New Roman"/>
                      <w:color w:val="auto"/>
                      <w:szCs w:val="21"/>
                    </w:rPr>
                    <w:t>25</w:t>
                  </w:r>
                </w:p>
              </w:tc>
              <w:tc>
                <w:tcPr>
                  <w:tcW w:w="1798" w:type="pct"/>
                  <w:vAlign w:val="center"/>
                </w:tcPr>
                <w:p w14:paraId="706047FC">
                  <w:pPr>
                    <w:pStyle w:val="76"/>
                    <w:autoSpaceDE w:val="0"/>
                    <w:autoSpaceDN w:val="0"/>
                    <w:jc w:val="center"/>
                    <w:rPr>
                      <w:rFonts w:ascii="Times New Roman" w:hAnsi="Times New Roman"/>
                      <w:color w:val="auto"/>
                      <w:szCs w:val="21"/>
                    </w:rPr>
                  </w:pPr>
                  <w:r>
                    <w:rPr>
                      <w:rFonts w:ascii="Times New Roman" w:hAnsi="Times New Roman"/>
                      <w:color w:val="auto"/>
                      <w:szCs w:val="21"/>
                    </w:rPr>
                    <w:t>真空负压系统及配套管路</w:t>
                  </w:r>
                </w:p>
              </w:tc>
              <w:tc>
                <w:tcPr>
                  <w:tcW w:w="1552" w:type="pct"/>
                  <w:vAlign w:val="center"/>
                </w:tcPr>
                <w:p w14:paraId="38B68383">
                  <w:pPr>
                    <w:pStyle w:val="76"/>
                    <w:autoSpaceDE w:val="0"/>
                    <w:autoSpaceDN w:val="0"/>
                    <w:jc w:val="center"/>
                    <w:rPr>
                      <w:rFonts w:ascii="Times New Roman" w:hAnsi="Times New Roman"/>
                      <w:color w:val="auto"/>
                      <w:w w:val="99"/>
                      <w:szCs w:val="21"/>
                    </w:rPr>
                  </w:pPr>
                  <w:r>
                    <w:rPr>
                      <w:rFonts w:ascii="Times New Roman" w:hAnsi="Times New Roman"/>
                      <w:color w:val="auto"/>
                      <w:w w:val="99"/>
                      <w:szCs w:val="21"/>
                    </w:rPr>
                    <w:t>/</w:t>
                  </w:r>
                </w:p>
              </w:tc>
              <w:tc>
                <w:tcPr>
                  <w:tcW w:w="610" w:type="pct"/>
                  <w:vAlign w:val="center"/>
                </w:tcPr>
                <w:p w14:paraId="4CE000E5">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637" w:type="pct"/>
                  <w:vMerge w:val="restart"/>
                  <w:vAlign w:val="center"/>
                </w:tcPr>
                <w:p w14:paraId="488F35E5">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负压设备</w:t>
                  </w:r>
                </w:p>
              </w:tc>
            </w:tr>
            <w:tr w14:paraId="4BD71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39DC384D">
                  <w:pPr>
                    <w:pStyle w:val="76"/>
                    <w:autoSpaceDE w:val="0"/>
                    <w:autoSpaceDN w:val="0"/>
                    <w:jc w:val="center"/>
                    <w:rPr>
                      <w:rFonts w:ascii="Times New Roman" w:hAnsi="Times New Roman"/>
                      <w:color w:val="auto"/>
                      <w:szCs w:val="21"/>
                    </w:rPr>
                  </w:pPr>
                  <w:r>
                    <w:rPr>
                      <w:rFonts w:ascii="Times New Roman" w:hAnsi="Times New Roman"/>
                      <w:color w:val="auto"/>
                      <w:szCs w:val="21"/>
                    </w:rPr>
                    <w:t>26</w:t>
                  </w:r>
                </w:p>
              </w:tc>
              <w:tc>
                <w:tcPr>
                  <w:tcW w:w="1798" w:type="pct"/>
                  <w:vAlign w:val="center"/>
                </w:tcPr>
                <w:p w14:paraId="5068C028">
                  <w:pPr>
                    <w:pStyle w:val="76"/>
                    <w:autoSpaceDE w:val="0"/>
                    <w:autoSpaceDN w:val="0"/>
                    <w:jc w:val="center"/>
                    <w:rPr>
                      <w:rFonts w:ascii="Times New Roman" w:hAnsi="Times New Roman"/>
                      <w:color w:val="auto"/>
                      <w:szCs w:val="21"/>
                    </w:rPr>
                  </w:pPr>
                  <w:r>
                    <w:rPr>
                      <w:rFonts w:ascii="Times New Roman" w:hAnsi="Times New Roman"/>
                      <w:color w:val="auto"/>
                      <w:szCs w:val="21"/>
                    </w:rPr>
                    <w:t>真空分配器</w:t>
                  </w:r>
                </w:p>
              </w:tc>
              <w:tc>
                <w:tcPr>
                  <w:tcW w:w="1552" w:type="pct"/>
                  <w:vAlign w:val="center"/>
                </w:tcPr>
                <w:p w14:paraId="5DA0A4BB">
                  <w:pPr>
                    <w:pStyle w:val="76"/>
                    <w:autoSpaceDE w:val="0"/>
                    <w:autoSpaceDN w:val="0"/>
                    <w:jc w:val="center"/>
                    <w:rPr>
                      <w:rFonts w:ascii="Times New Roman" w:hAnsi="Times New Roman"/>
                      <w:color w:val="auto"/>
                      <w:w w:val="99"/>
                      <w:szCs w:val="21"/>
                    </w:rPr>
                  </w:pPr>
                  <w:r>
                    <w:rPr>
                      <w:rFonts w:ascii="Times New Roman" w:hAnsi="Times New Roman"/>
                      <w:color w:val="auto"/>
                      <w:w w:val="99"/>
                      <w:szCs w:val="21"/>
                    </w:rPr>
                    <w:t>/</w:t>
                  </w:r>
                </w:p>
              </w:tc>
              <w:tc>
                <w:tcPr>
                  <w:tcW w:w="610" w:type="pct"/>
                  <w:vAlign w:val="center"/>
                </w:tcPr>
                <w:p w14:paraId="76DC90D7">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637" w:type="pct"/>
                  <w:vMerge w:val="continue"/>
                  <w:vAlign w:val="center"/>
                </w:tcPr>
                <w:p w14:paraId="06AD926D">
                  <w:pPr>
                    <w:pStyle w:val="76"/>
                    <w:autoSpaceDE w:val="0"/>
                    <w:autoSpaceDN w:val="0"/>
                    <w:jc w:val="center"/>
                    <w:rPr>
                      <w:rFonts w:ascii="Times New Roman" w:hAnsi="Times New Roman"/>
                      <w:color w:val="auto"/>
                      <w:szCs w:val="21"/>
                    </w:rPr>
                  </w:pPr>
                </w:p>
              </w:tc>
            </w:tr>
            <w:tr w14:paraId="4D2A6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16CF7CE3">
                  <w:pPr>
                    <w:pStyle w:val="76"/>
                    <w:autoSpaceDE w:val="0"/>
                    <w:autoSpaceDN w:val="0"/>
                    <w:jc w:val="center"/>
                    <w:rPr>
                      <w:rFonts w:ascii="Times New Roman" w:hAnsi="Times New Roman"/>
                      <w:color w:val="auto"/>
                      <w:szCs w:val="21"/>
                    </w:rPr>
                  </w:pPr>
                  <w:r>
                    <w:rPr>
                      <w:rFonts w:ascii="Times New Roman" w:hAnsi="Times New Roman"/>
                      <w:color w:val="auto"/>
                      <w:szCs w:val="21"/>
                    </w:rPr>
                    <w:t>27</w:t>
                  </w:r>
                </w:p>
              </w:tc>
              <w:tc>
                <w:tcPr>
                  <w:tcW w:w="1798" w:type="pct"/>
                  <w:vAlign w:val="center"/>
                </w:tcPr>
                <w:p w14:paraId="30F6BC4D">
                  <w:pPr>
                    <w:pStyle w:val="76"/>
                    <w:autoSpaceDE w:val="0"/>
                    <w:autoSpaceDN w:val="0"/>
                    <w:jc w:val="center"/>
                    <w:rPr>
                      <w:rFonts w:ascii="Times New Roman" w:hAnsi="Times New Roman"/>
                      <w:color w:val="auto"/>
                      <w:szCs w:val="21"/>
                    </w:rPr>
                  </w:pPr>
                  <w:r>
                    <w:rPr>
                      <w:rFonts w:ascii="Times New Roman" w:hAnsi="Times New Roman"/>
                      <w:color w:val="auto"/>
                      <w:szCs w:val="21"/>
                    </w:rPr>
                    <w:t>电控柜</w:t>
                  </w:r>
                </w:p>
              </w:tc>
              <w:tc>
                <w:tcPr>
                  <w:tcW w:w="1552" w:type="pct"/>
                  <w:vAlign w:val="center"/>
                </w:tcPr>
                <w:p w14:paraId="04A2936B">
                  <w:pPr>
                    <w:pStyle w:val="76"/>
                    <w:autoSpaceDE w:val="0"/>
                    <w:autoSpaceDN w:val="0"/>
                    <w:jc w:val="center"/>
                    <w:rPr>
                      <w:rFonts w:ascii="Times New Roman" w:hAnsi="Times New Roman"/>
                      <w:color w:val="auto"/>
                      <w:w w:val="99"/>
                      <w:szCs w:val="21"/>
                    </w:rPr>
                  </w:pPr>
                  <w:r>
                    <w:rPr>
                      <w:rFonts w:ascii="Times New Roman" w:hAnsi="Times New Roman"/>
                      <w:color w:val="auto"/>
                      <w:w w:val="99"/>
                      <w:szCs w:val="21"/>
                    </w:rPr>
                    <w:t>/</w:t>
                  </w:r>
                </w:p>
              </w:tc>
              <w:tc>
                <w:tcPr>
                  <w:tcW w:w="610" w:type="pct"/>
                  <w:vAlign w:val="center"/>
                </w:tcPr>
                <w:p w14:paraId="6BFE213F">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637" w:type="pct"/>
                  <w:vMerge w:val="continue"/>
                  <w:vAlign w:val="center"/>
                </w:tcPr>
                <w:p w14:paraId="0F4E62A1">
                  <w:pPr>
                    <w:pStyle w:val="76"/>
                    <w:autoSpaceDE w:val="0"/>
                    <w:autoSpaceDN w:val="0"/>
                    <w:jc w:val="center"/>
                    <w:rPr>
                      <w:rFonts w:ascii="Times New Roman" w:hAnsi="Times New Roman"/>
                      <w:color w:val="auto"/>
                      <w:szCs w:val="21"/>
                    </w:rPr>
                  </w:pPr>
                </w:p>
              </w:tc>
            </w:tr>
            <w:tr w14:paraId="26EFC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shd w:val="clear" w:color="auto" w:fill="auto"/>
                  <w:vAlign w:val="center"/>
                </w:tcPr>
                <w:p w14:paraId="6FC96E66">
                  <w:pPr>
                    <w:pStyle w:val="76"/>
                    <w:autoSpaceDE w:val="0"/>
                    <w:autoSpaceDN w:val="0"/>
                    <w:jc w:val="center"/>
                    <w:rPr>
                      <w:rFonts w:ascii="Times New Roman" w:hAnsi="Times New Roman"/>
                      <w:color w:val="auto"/>
                      <w:szCs w:val="21"/>
                    </w:rPr>
                  </w:pPr>
                  <w:r>
                    <w:rPr>
                      <w:rFonts w:ascii="Times New Roman" w:hAnsi="Times New Roman"/>
                      <w:color w:val="auto"/>
                      <w:szCs w:val="21"/>
                    </w:rPr>
                    <w:t>28</w:t>
                  </w:r>
                </w:p>
              </w:tc>
              <w:tc>
                <w:tcPr>
                  <w:tcW w:w="1798" w:type="pct"/>
                  <w:vAlign w:val="center"/>
                </w:tcPr>
                <w:p w14:paraId="1D9D3ECF">
                  <w:pPr>
                    <w:pStyle w:val="76"/>
                    <w:autoSpaceDE w:val="0"/>
                    <w:autoSpaceDN w:val="0"/>
                    <w:jc w:val="center"/>
                    <w:rPr>
                      <w:rFonts w:ascii="Times New Roman" w:hAnsi="Times New Roman"/>
                      <w:color w:val="auto"/>
                      <w:szCs w:val="21"/>
                      <w:u w:val="single"/>
                    </w:rPr>
                  </w:pPr>
                  <w:r>
                    <w:rPr>
                      <w:rFonts w:hint="eastAsia" w:ascii="Times New Roman" w:hAnsi="Times New Roman"/>
                      <w:color w:val="auto"/>
                      <w:szCs w:val="21"/>
                      <w:u w:val="single"/>
                    </w:rPr>
                    <w:t>水环真空泵</w:t>
                  </w:r>
                </w:p>
              </w:tc>
              <w:tc>
                <w:tcPr>
                  <w:tcW w:w="1552" w:type="pct"/>
                  <w:vAlign w:val="center"/>
                </w:tcPr>
                <w:p w14:paraId="347F5980">
                  <w:pPr>
                    <w:pStyle w:val="76"/>
                    <w:autoSpaceDE w:val="0"/>
                    <w:autoSpaceDN w:val="0"/>
                    <w:jc w:val="center"/>
                    <w:rPr>
                      <w:rFonts w:ascii="Times New Roman" w:hAnsi="Times New Roman"/>
                      <w:color w:val="auto"/>
                      <w:w w:val="99"/>
                      <w:szCs w:val="21"/>
                      <w:u w:val="single"/>
                    </w:rPr>
                  </w:pPr>
                  <w:r>
                    <w:rPr>
                      <w:rFonts w:ascii="Times New Roman" w:hAnsi="Times New Roman"/>
                      <w:color w:val="auto"/>
                      <w:w w:val="99"/>
                      <w:szCs w:val="21"/>
                    </w:rPr>
                    <w:t>/</w:t>
                  </w:r>
                </w:p>
              </w:tc>
              <w:tc>
                <w:tcPr>
                  <w:tcW w:w="610" w:type="pct"/>
                  <w:vAlign w:val="center"/>
                </w:tcPr>
                <w:p w14:paraId="14995639">
                  <w:pPr>
                    <w:pStyle w:val="76"/>
                    <w:autoSpaceDE w:val="0"/>
                    <w:autoSpaceDN w:val="0"/>
                    <w:jc w:val="center"/>
                    <w:rPr>
                      <w:rFonts w:ascii="Times New Roman" w:hAnsi="Times New Roman"/>
                      <w:color w:val="auto"/>
                      <w:szCs w:val="21"/>
                      <w:u w:val="single"/>
                    </w:rPr>
                  </w:pPr>
                  <w:r>
                    <w:rPr>
                      <w:rFonts w:hint="eastAsia" w:ascii="Times New Roman" w:hAnsi="Times New Roman"/>
                      <w:color w:val="auto"/>
                      <w:szCs w:val="21"/>
                      <w:u w:val="single"/>
                    </w:rPr>
                    <w:t>2</w:t>
                  </w:r>
                </w:p>
              </w:tc>
              <w:tc>
                <w:tcPr>
                  <w:tcW w:w="637" w:type="pct"/>
                  <w:vAlign w:val="center"/>
                </w:tcPr>
                <w:p w14:paraId="598D9090">
                  <w:pPr>
                    <w:pStyle w:val="76"/>
                    <w:autoSpaceDE w:val="0"/>
                    <w:autoSpaceDN w:val="0"/>
                    <w:jc w:val="center"/>
                    <w:rPr>
                      <w:rFonts w:ascii="Times New Roman" w:hAnsi="Times New Roman"/>
                      <w:color w:val="auto"/>
                      <w:szCs w:val="21"/>
                      <w:u w:val="single"/>
                    </w:rPr>
                  </w:pPr>
                  <w:r>
                    <w:rPr>
                      <w:rFonts w:hint="eastAsia" w:ascii="Times New Roman" w:hAnsi="Times New Roman"/>
                      <w:color w:val="auto"/>
                      <w:szCs w:val="21"/>
                      <w:u w:val="single"/>
                    </w:rPr>
                    <w:t>一用一备</w:t>
                  </w:r>
                </w:p>
              </w:tc>
            </w:tr>
            <w:tr w14:paraId="3B059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shd w:val="clear" w:color="auto" w:fill="auto"/>
                  <w:vAlign w:val="center"/>
                </w:tcPr>
                <w:p w14:paraId="577B4309">
                  <w:pPr>
                    <w:pStyle w:val="76"/>
                    <w:autoSpaceDE w:val="0"/>
                    <w:autoSpaceDN w:val="0"/>
                    <w:jc w:val="center"/>
                    <w:rPr>
                      <w:rFonts w:ascii="Times New Roman" w:hAnsi="Times New Roman"/>
                      <w:color w:val="auto"/>
                      <w:szCs w:val="21"/>
                    </w:rPr>
                  </w:pPr>
                  <w:r>
                    <w:rPr>
                      <w:rFonts w:ascii="Times New Roman" w:hAnsi="Times New Roman"/>
                      <w:color w:val="auto"/>
                      <w:szCs w:val="21"/>
                    </w:rPr>
                    <w:t>29</w:t>
                  </w:r>
                </w:p>
              </w:tc>
              <w:tc>
                <w:tcPr>
                  <w:tcW w:w="1798" w:type="pct"/>
                  <w:vAlign w:val="center"/>
                </w:tcPr>
                <w:p w14:paraId="2EC797AC">
                  <w:pPr>
                    <w:pStyle w:val="76"/>
                    <w:autoSpaceDE w:val="0"/>
                    <w:autoSpaceDN w:val="0"/>
                    <w:jc w:val="center"/>
                    <w:rPr>
                      <w:rFonts w:ascii="Times New Roman" w:hAnsi="Times New Roman"/>
                      <w:color w:val="auto"/>
                      <w:szCs w:val="21"/>
                    </w:rPr>
                  </w:pPr>
                  <w:r>
                    <w:rPr>
                      <w:rFonts w:ascii="Times New Roman" w:hAnsi="Times New Roman"/>
                      <w:color w:val="auto"/>
                      <w:szCs w:val="21"/>
                    </w:rPr>
                    <w:t>变频微震浇注平台</w:t>
                  </w:r>
                </w:p>
              </w:tc>
              <w:tc>
                <w:tcPr>
                  <w:tcW w:w="1552" w:type="pct"/>
                  <w:vAlign w:val="center"/>
                </w:tcPr>
                <w:p w14:paraId="3A126E70">
                  <w:pPr>
                    <w:pStyle w:val="76"/>
                    <w:autoSpaceDE w:val="0"/>
                    <w:autoSpaceDN w:val="0"/>
                    <w:jc w:val="center"/>
                    <w:rPr>
                      <w:rFonts w:ascii="Times New Roman" w:hAnsi="Times New Roman"/>
                      <w:color w:val="auto"/>
                      <w:w w:val="99"/>
                      <w:szCs w:val="21"/>
                    </w:rPr>
                  </w:pPr>
                  <w:r>
                    <w:rPr>
                      <w:rFonts w:ascii="Times New Roman" w:hAnsi="Times New Roman"/>
                      <w:color w:val="auto"/>
                      <w:szCs w:val="21"/>
                    </w:rPr>
                    <w:t>升降式震实平台</w:t>
                  </w:r>
                </w:p>
              </w:tc>
              <w:tc>
                <w:tcPr>
                  <w:tcW w:w="610" w:type="pct"/>
                  <w:vAlign w:val="center"/>
                </w:tcPr>
                <w:p w14:paraId="70238711">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w:t>
                  </w:r>
                </w:p>
              </w:tc>
              <w:tc>
                <w:tcPr>
                  <w:tcW w:w="637" w:type="pct"/>
                  <w:vAlign w:val="center"/>
                </w:tcPr>
                <w:p w14:paraId="1E0182DA">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浇注设备</w:t>
                  </w:r>
                </w:p>
              </w:tc>
            </w:tr>
            <w:tr w14:paraId="2B963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shd w:val="clear" w:color="auto" w:fill="auto"/>
                  <w:vAlign w:val="center"/>
                </w:tcPr>
                <w:p w14:paraId="60DB8EDC">
                  <w:pPr>
                    <w:pStyle w:val="76"/>
                    <w:autoSpaceDE w:val="0"/>
                    <w:autoSpaceDN w:val="0"/>
                    <w:jc w:val="center"/>
                    <w:rPr>
                      <w:rFonts w:ascii="Times New Roman" w:hAnsi="Times New Roman"/>
                      <w:color w:val="auto"/>
                      <w:szCs w:val="21"/>
                    </w:rPr>
                  </w:pPr>
                  <w:r>
                    <w:rPr>
                      <w:rFonts w:ascii="Times New Roman" w:hAnsi="Times New Roman"/>
                      <w:color w:val="auto"/>
                      <w:szCs w:val="21"/>
                    </w:rPr>
                    <w:t>30</w:t>
                  </w:r>
                </w:p>
              </w:tc>
              <w:tc>
                <w:tcPr>
                  <w:tcW w:w="1798" w:type="pct"/>
                  <w:vAlign w:val="center"/>
                </w:tcPr>
                <w:p w14:paraId="62048AD3">
                  <w:pPr>
                    <w:pStyle w:val="76"/>
                    <w:autoSpaceDE w:val="0"/>
                    <w:autoSpaceDN w:val="0"/>
                    <w:jc w:val="center"/>
                    <w:rPr>
                      <w:rFonts w:ascii="Times New Roman" w:hAnsi="Times New Roman"/>
                      <w:color w:val="auto"/>
                      <w:szCs w:val="21"/>
                    </w:rPr>
                  </w:pPr>
                  <w:r>
                    <w:rPr>
                      <w:rFonts w:ascii="Times New Roman" w:hAnsi="Times New Roman"/>
                      <w:color w:val="auto"/>
                      <w:szCs w:val="21"/>
                    </w:rPr>
                    <w:t>半自动涂压循环线（含平台车）</w:t>
                  </w:r>
                </w:p>
              </w:tc>
              <w:tc>
                <w:tcPr>
                  <w:tcW w:w="1552" w:type="pct"/>
                  <w:vAlign w:val="center"/>
                </w:tcPr>
                <w:p w14:paraId="634EB8FC">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有</w:t>
                  </w:r>
                  <w:r>
                    <w:rPr>
                      <w:rFonts w:ascii="Times New Roman" w:hAnsi="Times New Roman"/>
                      <w:color w:val="auto"/>
                      <w:szCs w:val="21"/>
                    </w:rPr>
                    <w:t>箱翻机</w:t>
                  </w:r>
                </w:p>
              </w:tc>
              <w:tc>
                <w:tcPr>
                  <w:tcW w:w="610" w:type="pct"/>
                  <w:vAlign w:val="center"/>
                </w:tcPr>
                <w:p w14:paraId="5E1B90CF">
                  <w:pPr>
                    <w:pStyle w:val="76"/>
                    <w:autoSpaceDE w:val="0"/>
                    <w:autoSpaceDN w:val="0"/>
                    <w:jc w:val="center"/>
                    <w:rPr>
                      <w:rFonts w:ascii="Times New Roman" w:hAnsi="Times New Roman"/>
                      <w:color w:val="auto"/>
                      <w:szCs w:val="21"/>
                    </w:rPr>
                  </w:pPr>
                  <w:r>
                    <w:rPr>
                      <w:rFonts w:ascii="Times New Roman" w:hAnsi="Times New Roman"/>
                      <w:color w:val="auto"/>
                      <w:szCs w:val="21"/>
                    </w:rPr>
                    <w:t>1</w:t>
                  </w:r>
                </w:p>
              </w:tc>
              <w:tc>
                <w:tcPr>
                  <w:tcW w:w="637" w:type="pct"/>
                  <w:vAlign w:val="center"/>
                </w:tcPr>
                <w:p w14:paraId="628F394D">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循环系统</w:t>
                  </w:r>
                </w:p>
              </w:tc>
            </w:tr>
            <w:tr w14:paraId="6996A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shd w:val="clear" w:color="auto" w:fill="auto"/>
                  <w:vAlign w:val="center"/>
                </w:tcPr>
                <w:p w14:paraId="3C1F88BF">
                  <w:pPr>
                    <w:pStyle w:val="76"/>
                    <w:autoSpaceDE w:val="0"/>
                    <w:autoSpaceDN w:val="0"/>
                    <w:jc w:val="center"/>
                    <w:rPr>
                      <w:rFonts w:ascii="Times New Roman" w:hAnsi="Times New Roman"/>
                      <w:color w:val="auto"/>
                      <w:szCs w:val="21"/>
                    </w:rPr>
                  </w:pPr>
                  <w:r>
                    <w:rPr>
                      <w:rFonts w:ascii="Times New Roman" w:hAnsi="Times New Roman"/>
                      <w:color w:val="auto"/>
                      <w:szCs w:val="21"/>
                    </w:rPr>
                    <w:t>31</w:t>
                  </w:r>
                </w:p>
              </w:tc>
              <w:tc>
                <w:tcPr>
                  <w:tcW w:w="1798" w:type="pct"/>
                  <w:vAlign w:val="center"/>
                </w:tcPr>
                <w:p w14:paraId="20CDE294">
                  <w:pPr>
                    <w:pStyle w:val="76"/>
                    <w:autoSpaceDE w:val="0"/>
                    <w:autoSpaceDN w:val="0"/>
                    <w:jc w:val="center"/>
                    <w:rPr>
                      <w:rFonts w:ascii="Times New Roman" w:hAnsi="Times New Roman"/>
                      <w:color w:val="auto"/>
                      <w:szCs w:val="21"/>
                    </w:rPr>
                  </w:pPr>
                  <w:r>
                    <w:rPr>
                      <w:rFonts w:ascii="Times New Roman" w:hAnsi="Times New Roman"/>
                      <w:color w:val="auto"/>
                      <w:szCs w:val="21"/>
                    </w:rPr>
                    <w:t>中频炉</w:t>
                  </w:r>
                </w:p>
              </w:tc>
              <w:tc>
                <w:tcPr>
                  <w:tcW w:w="1552" w:type="pct"/>
                  <w:vAlign w:val="center"/>
                </w:tcPr>
                <w:p w14:paraId="1579FD6B">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w:t>
                  </w:r>
                  <w:r>
                    <w:rPr>
                      <w:rFonts w:ascii="Times New Roman" w:hAnsi="Times New Roman"/>
                      <w:color w:val="auto"/>
                      <w:szCs w:val="21"/>
                    </w:rPr>
                    <w:t>t/h</w:t>
                  </w:r>
                </w:p>
              </w:tc>
              <w:tc>
                <w:tcPr>
                  <w:tcW w:w="610" w:type="pct"/>
                  <w:vAlign w:val="center"/>
                </w:tcPr>
                <w:p w14:paraId="03FBA773">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6</w:t>
                  </w:r>
                </w:p>
              </w:tc>
              <w:tc>
                <w:tcPr>
                  <w:tcW w:w="637" w:type="pct"/>
                  <w:vAlign w:val="center"/>
                </w:tcPr>
                <w:p w14:paraId="68539561">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熔炼设备</w:t>
                  </w:r>
                </w:p>
              </w:tc>
            </w:tr>
            <w:tr w14:paraId="2FEAF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shd w:val="clear" w:color="auto" w:fill="auto"/>
                  <w:vAlign w:val="center"/>
                </w:tcPr>
                <w:p w14:paraId="53F8C404">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32</w:t>
                  </w:r>
                </w:p>
              </w:tc>
              <w:tc>
                <w:tcPr>
                  <w:tcW w:w="1798" w:type="pct"/>
                  <w:vAlign w:val="center"/>
                </w:tcPr>
                <w:p w14:paraId="0984A9B2">
                  <w:pPr>
                    <w:pStyle w:val="76"/>
                    <w:autoSpaceDE w:val="0"/>
                    <w:autoSpaceDN w:val="0"/>
                    <w:jc w:val="center"/>
                    <w:rPr>
                      <w:rFonts w:ascii="Times New Roman" w:hAnsi="Times New Roman"/>
                      <w:color w:val="auto"/>
                      <w:szCs w:val="21"/>
                    </w:rPr>
                  </w:pPr>
                  <w:r>
                    <w:rPr>
                      <w:rFonts w:ascii="Times New Roman" w:hAnsi="Times New Roman"/>
                      <w:color w:val="auto"/>
                      <w:szCs w:val="21"/>
                    </w:rPr>
                    <w:t>砂轮机</w:t>
                  </w:r>
                </w:p>
              </w:tc>
              <w:tc>
                <w:tcPr>
                  <w:tcW w:w="1552" w:type="pct"/>
                  <w:vAlign w:val="center"/>
                </w:tcPr>
                <w:p w14:paraId="416EB5C8">
                  <w:pPr>
                    <w:pStyle w:val="76"/>
                    <w:autoSpaceDE w:val="0"/>
                    <w:autoSpaceDN w:val="0"/>
                    <w:jc w:val="center"/>
                    <w:rPr>
                      <w:rFonts w:ascii="Times New Roman" w:hAnsi="Times New Roman"/>
                      <w:color w:val="auto"/>
                      <w:szCs w:val="21"/>
                    </w:rPr>
                  </w:pPr>
                  <w:r>
                    <w:rPr>
                      <w:rFonts w:ascii="Times New Roman" w:hAnsi="Times New Roman"/>
                      <w:color w:val="auto"/>
                      <w:szCs w:val="21"/>
                    </w:rPr>
                    <w:t>MQ250</w:t>
                  </w:r>
                </w:p>
              </w:tc>
              <w:tc>
                <w:tcPr>
                  <w:tcW w:w="610" w:type="pct"/>
                  <w:vAlign w:val="center"/>
                </w:tcPr>
                <w:p w14:paraId="4F408243">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5</w:t>
                  </w:r>
                </w:p>
              </w:tc>
              <w:tc>
                <w:tcPr>
                  <w:tcW w:w="637" w:type="pct"/>
                  <w:vAlign w:val="center"/>
                </w:tcPr>
                <w:p w14:paraId="78D21E8D">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打磨设备</w:t>
                  </w:r>
                </w:p>
              </w:tc>
            </w:tr>
            <w:tr w14:paraId="3D77E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shd w:val="clear" w:color="auto" w:fill="auto"/>
                  <w:vAlign w:val="center"/>
                </w:tcPr>
                <w:p w14:paraId="64C84684">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w:t>
                  </w:r>
                  <w:r>
                    <w:rPr>
                      <w:rFonts w:ascii="Times New Roman" w:hAnsi="Times New Roman"/>
                      <w:color w:val="auto"/>
                      <w:szCs w:val="21"/>
                    </w:rPr>
                    <w:t>3</w:t>
                  </w:r>
                </w:p>
              </w:tc>
              <w:tc>
                <w:tcPr>
                  <w:tcW w:w="1798" w:type="pct"/>
                  <w:vAlign w:val="center"/>
                </w:tcPr>
                <w:p w14:paraId="72463361">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抛丸机</w:t>
                  </w:r>
                </w:p>
              </w:tc>
              <w:tc>
                <w:tcPr>
                  <w:tcW w:w="1552" w:type="pct"/>
                  <w:vAlign w:val="center"/>
                </w:tcPr>
                <w:p w14:paraId="0A2E12FE">
                  <w:pPr>
                    <w:pStyle w:val="76"/>
                    <w:autoSpaceDE w:val="0"/>
                    <w:autoSpaceDN w:val="0"/>
                    <w:jc w:val="center"/>
                    <w:rPr>
                      <w:rFonts w:ascii="Times New Roman" w:hAnsi="Times New Roman"/>
                      <w:color w:val="auto"/>
                      <w:szCs w:val="21"/>
                    </w:rPr>
                  </w:pPr>
                </w:p>
              </w:tc>
              <w:tc>
                <w:tcPr>
                  <w:tcW w:w="610" w:type="pct"/>
                  <w:vAlign w:val="center"/>
                </w:tcPr>
                <w:p w14:paraId="249B4C67">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w:t>
                  </w:r>
                </w:p>
              </w:tc>
              <w:tc>
                <w:tcPr>
                  <w:tcW w:w="637" w:type="pct"/>
                  <w:vAlign w:val="center"/>
                </w:tcPr>
                <w:p w14:paraId="74CED2B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抛丸设备</w:t>
                  </w:r>
                </w:p>
              </w:tc>
            </w:tr>
            <w:tr w14:paraId="56EEC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shd w:val="clear" w:color="auto" w:fill="auto"/>
                  <w:vAlign w:val="center"/>
                </w:tcPr>
                <w:p w14:paraId="3BD61CC7">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w:t>
                  </w:r>
                  <w:r>
                    <w:rPr>
                      <w:rFonts w:ascii="Times New Roman" w:hAnsi="Times New Roman"/>
                      <w:color w:val="auto"/>
                      <w:szCs w:val="21"/>
                    </w:rPr>
                    <w:t>4</w:t>
                  </w:r>
                </w:p>
              </w:tc>
              <w:tc>
                <w:tcPr>
                  <w:tcW w:w="1798" w:type="pct"/>
                  <w:vAlign w:val="center"/>
                </w:tcPr>
                <w:p w14:paraId="201AC3AE">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喷漆房</w:t>
                  </w:r>
                </w:p>
              </w:tc>
              <w:tc>
                <w:tcPr>
                  <w:tcW w:w="1552" w:type="pct"/>
                  <w:vAlign w:val="center"/>
                </w:tcPr>
                <w:p w14:paraId="3DD1A554">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6*6*6</w:t>
                  </w:r>
                </w:p>
              </w:tc>
              <w:tc>
                <w:tcPr>
                  <w:tcW w:w="610" w:type="pct"/>
                  <w:vAlign w:val="center"/>
                </w:tcPr>
                <w:p w14:paraId="2EC06D6B">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w:t>
                  </w:r>
                </w:p>
              </w:tc>
              <w:tc>
                <w:tcPr>
                  <w:tcW w:w="637" w:type="pct"/>
                  <w:vAlign w:val="center"/>
                </w:tcPr>
                <w:p w14:paraId="27327CE9">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喷涂设备</w:t>
                  </w:r>
                </w:p>
              </w:tc>
            </w:tr>
            <w:tr w14:paraId="573C4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shd w:val="clear" w:color="auto" w:fill="auto"/>
                  <w:vAlign w:val="center"/>
                </w:tcPr>
                <w:p w14:paraId="20FDAB06">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w:t>
                  </w:r>
                  <w:r>
                    <w:rPr>
                      <w:rFonts w:ascii="Times New Roman" w:hAnsi="Times New Roman"/>
                      <w:color w:val="auto"/>
                      <w:szCs w:val="21"/>
                    </w:rPr>
                    <w:t>5</w:t>
                  </w:r>
                </w:p>
              </w:tc>
              <w:tc>
                <w:tcPr>
                  <w:tcW w:w="1798" w:type="pct"/>
                  <w:vAlign w:val="center"/>
                </w:tcPr>
                <w:p w14:paraId="3E96D966">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数控车床</w:t>
                  </w:r>
                </w:p>
              </w:tc>
              <w:tc>
                <w:tcPr>
                  <w:tcW w:w="1552" w:type="pct"/>
                  <w:vAlign w:val="center"/>
                </w:tcPr>
                <w:p w14:paraId="3C1EFE30">
                  <w:pPr>
                    <w:pStyle w:val="76"/>
                    <w:autoSpaceDE w:val="0"/>
                    <w:autoSpaceDN w:val="0"/>
                    <w:jc w:val="center"/>
                    <w:rPr>
                      <w:rFonts w:ascii="Times New Roman" w:hAnsi="Times New Roman"/>
                      <w:color w:val="auto"/>
                      <w:szCs w:val="21"/>
                    </w:rPr>
                  </w:pPr>
                </w:p>
              </w:tc>
              <w:tc>
                <w:tcPr>
                  <w:tcW w:w="610" w:type="pct"/>
                  <w:vAlign w:val="center"/>
                </w:tcPr>
                <w:p w14:paraId="0C0A5301">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7</w:t>
                  </w:r>
                </w:p>
              </w:tc>
              <w:tc>
                <w:tcPr>
                  <w:tcW w:w="637" w:type="pct"/>
                  <w:vMerge w:val="restart"/>
                  <w:vAlign w:val="center"/>
                </w:tcPr>
                <w:p w14:paraId="031EFF7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机加工设备</w:t>
                  </w:r>
                </w:p>
              </w:tc>
            </w:tr>
            <w:tr w14:paraId="3305B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shd w:val="clear" w:color="auto" w:fill="auto"/>
                  <w:vAlign w:val="center"/>
                </w:tcPr>
                <w:p w14:paraId="3F407EA7">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w:t>
                  </w:r>
                  <w:r>
                    <w:rPr>
                      <w:rFonts w:ascii="Times New Roman" w:hAnsi="Times New Roman"/>
                      <w:color w:val="auto"/>
                      <w:szCs w:val="21"/>
                    </w:rPr>
                    <w:t>6</w:t>
                  </w:r>
                </w:p>
              </w:tc>
              <w:tc>
                <w:tcPr>
                  <w:tcW w:w="1798" w:type="pct"/>
                  <w:vAlign w:val="center"/>
                </w:tcPr>
                <w:p w14:paraId="2847AB28">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普通车床</w:t>
                  </w:r>
                </w:p>
              </w:tc>
              <w:tc>
                <w:tcPr>
                  <w:tcW w:w="1552" w:type="pct"/>
                  <w:vAlign w:val="center"/>
                </w:tcPr>
                <w:p w14:paraId="607DD2E1">
                  <w:pPr>
                    <w:pStyle w:val="76"/>
                    <w:autoSpaceDE w:val="0"/>
                    <w:autoSpaceDN w:val="0"/>
                    <w:jc w:val="center"/>
                    <w:rPr>
                      <w:rFonts w:ascii="Times New Roman" w:hAnsi="Times New Roman"/>
                      <w:color w:val="auto"/>
                      <w:szCs w:val="21"/>
                    </w:rPr>
                  </w:pPr>
                </w:p>
              </w:tc>
              <w:tc>
                <w:tcPr>
                  <w:tcW w:w="610" w:type="pct"/>
                  <w:vAlign w:val="center"/>
                </w:tcPr>
                <w:p w14:paraId="560FE82A">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w:t>
                  </w:r>
                </w:p>
              </w:tc>
              <w:tc>
                <w:tcPr>
                  <w:tcW w:w="637" w:type="pct"/>
                  <w:vMerge w:val="continue"/>
                  <w:vAlign w:val="center"/>
                </w:tcPr>
                <w:p w14:paraId="3B4A78B6">
                  <w:pPr>
                    <w:pStyle w:val="76"/>
                    <w:autoSpaceDE w:val="0"/>
                    <w:autoSpaceDN w:val="0"/>
                    <w:jc w:val="center"/>
                    <w:rPr>
                      <w:rFonts w:ascii="Times New Roman" w:hAnsi="Times New Roman"/>
                      <w:color w:val="auto"/>
                      <w:szCs w:val="21"/>
                    </w:rPr>
                  </w:pPr>
                </w:p>
              </w:tc>
            </w:tr>
            <w:tr w14:paraId="31FFD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shd w:val="clear" w:color="auto" w:fill="auto"/>
                  <w:vAlign w:val="center"/>
                </w:tcPr>
                <w:p w14:paraId="7D18C78D">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w:t>
                  </w:r>
                  <w:r>
                    <w:rPr>
                      <w:rFonts w:ascii="Times New Roman" w:hAnsi="Times New Roman"/>
                      <w:color w:val="auto"/>
                      <w:szCs w:val="21"/>
                    </w:rPr>
                    <w:t>7</w:t>
                  </w:r>
                </w:p>
              </w:tc>
              <w:tc>
                <w:tcPr>
                  <w:tcW w:w="1798" w:type="pct"/>
                  <w:vAlign w:val="center"/>
                </w:tcPr>
                <w:p w14:paraId="3AAC7485">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立式车床</w:t>
                  </w:r>
                </w:p>
              </w:tc>
              <w:tc>
                <w:tcPr>
                  <w:tcW w:w="1552" w:type="pct"/>
                  <w:vAlign w:val="center"/>
                </w:tcPr>
                <w:p w14:paraId="04FED562">
                  <w:pPr>
                    <w:pStyle w:val="76"/>
                    <w:autoSpaceDE w:val="0"/>
                    <w:autoSpaceDN w:val="0"/>
                    <w:jc w:val="center"/>
                    <w:rPr>
                      <w:rFonts w:ascii="Times New Roman" w:hAnsi="Times New Roman"/>
                      <w:color w:val="auto"/>
                      <w:szCs w:val="21"/>
                    </w:rPr>
                  </w:pPr>
                </w:p>
              </w:tc>
              <w:tc>
                <w:tcPr>
                  <w:tcW w:w="610" w:type="pct"/>
                  <w:vAlign w:val="center"/>
                </w:tcPr>
                <w:p w14:paraId="3F4CB385">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w:t>
                  </w:r>
                </w:p>
              </w:tc>
              <w:tc>
                <w:tcPr>
                  <w:tcW w:w="637" w:type="pct"/>
                  <w:vMerge w:val="continue"/>
                  <w:vAlign w:val="center"/>
                </w:tcPr>
                <w:p w14:paraId="7C8FC184">
                  <w:pPr>
                    <w:pStyle w:val="76"/>
                    <w:autoSpaceDE w:val="0"/>
                    <w:autoSpaceDN w:val="0"/>
                    <w:jc w:val="center"/>
                    <w:rPr>
                      <w:rFonts w:ascii="Times New Roman" w:hAnsi="Times New Roman"/>
                      <w:color w:val="auto"/>
                      <w:szCs w:val="21"/>
                    </w:rPr>
                  </w:pPr>
                </w:p>
              </w:tc>
            </w:tr>
            <w:tr w14:paraId="11849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shd w:val="clear" w:color="auto" w:fill="auto"/>
                  <w:vAlign w:val="center"/>
                </w:tcPr>
                <w:p w14:paraId="3F77732E">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w:t>
                  </w:r>
                  <w:r>
                    <w:rPr>
                      <w:rFonts w:ascii="Times New Roman" w:hAnsi="Times New Roman"/>
                      <w:color w:val="auto"/>
                      <w:szCs w:val="21"/>
                    </w:rPr>
                    <w:t>8</w:t>
                  </w:r>
                </w:p>
              </w:tc>
              <w:tc>
                <w:tcPr>
                  <w:tcW w:w="1798" w:type="pct"/>
                  <w:vAlign w:val="center"/>
                </w:tcPr>
                <w:p w14:paraId="648A827A">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插床</w:t>
                  </w:r>
                </w:p>
              </w:tc>
              <w:tc>
                <w:tcPr>
                  <w:tcW w:w="1552" w:type="pct"/>
                  <w:vAlign w:val="center"/>
                </w:tcPr>
                <w:p w14:paraId="30BC6933">
                  <w:pPr>
                    <w:pStyle w:val="76"/>
                    <w:autoSpaceDE w:val="0"/>
                    <w:autoSpaceDN w:val="0"/>
                    <w:jc w:val="center"/>
                    <w:rPr>
                      <w:rFonts w:ascii="Times New Roman" w:hAnsi="Times New Roman"/>
                      <w:color w:val="auto"/>
                      <w:szCs w:val="21"/>
                    </w:rPr>
                  </w:pPr>
                </w:p>
              </w:tc>
              <w:tc>
                <w:tcPr>
                  <w:tcW w:w="610" w:type="pct"/>
                  <w:vAlign w:val="center"/>
                </w:tcPr>
                <w:p w14:paraId="471C8C10">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w:t>
                  </w:r>
                </w:p>
              </w:tc>
              <w:tc>
                <w:tcPr>
                  <w:tcW w:w="637" w:type="pct"/>
                  <w:vMerge w:val="continue"/>
                  <w:vAlign w:val="center"/>
                </w:tcPr>
                <w:p w14:paraId="2D36270B">
                  <w:pPr>
                    <w:pStyle w:val="76"/>
                    <w:autoSpaceDE w:val="0"/>
                    <w:autoSpaceDN w:val="0"/>
                    <w:jc w:val="center"/>
                    <w:rPr>
                      <w:rFonts w:ascii="Times New Roman" w:hAnsi="Times New Roman"/>
                      <w:color w:val="auto"/>
                      <w:szCs w:val="21"/>
                    </w:rPr>
                  </w:pPr>
                </w:p>
              </w:tc>
            </w:tr>
            <w:tr w14:paraId="65B7A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 w:type="pct"/>
                  <w:shd w:val="clear" w:color="auto" w:fill="auto"/>
                  <w:vAlign w:val="center"/>
                </w:tcPr>
                <w:p w14:paraId="26226D61">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3</w:t>
                  </w:r>
                  <w:r>
                    <w:rPr>
                      <w:rFonts w:ascii="Times New Roman" w:hAnsi="Times New Roman"/>
                      <w:color w:val="auto"/>
                      <w:szCs w:val="21"/>
                    </w:rPr>
                    <w:t>9</w:t>
                  </w:r>
                </w:p>
              </w:tc>
              <w:tc>
                <w:tcPr>
                  <w:tcW w:w="1798" w:type="pct"/>
                  <w:vAlign w:val="center"/>
                </w:tcPr>
                <w:p w14:paraId="11CADCA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钻床</w:t>
                  </w:r>
                </w:p>
              </w:tc>
              <w:tc>
                <w:tcPr>
                  <w:tcW w:w="1552" w:type="pct"/>
                  <w:vAlign w:val="center"/>
                </w:tcPr>
                <w:p w14:paraId="2E80F320">
                  <w:pPr>
                    <w:pStyle w:val="76"/>
                    <w:autoSpaceDE w:val="0"/>
                    <w:autoSpaceDN w:val="0"/>
                    <w:jc w:val="center"/>
                    <w:rPr>
                      <w:rFonts w:ascii="Times New Roman" w:hAnsi="Times New Roman"/>
                      <w:color w:val="auto"/>
                      <w:szCs w:val="21"/>
                    </w:rPr>
                  </w:pPr>
                </w:p>
              </w:tc>
              <w:tc>
                <w:tcPr>
                  <w:tcW w:w="610" w:type="pct"/>
                  <w:vAlign w:val="center"/>
                </w:tcPr>
                <w:p w14:paraId="23FBEC64">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w:t>
                  </w:r>
                </w:p>
              </w:tc>
              <w:tc>
                <w:tcPr>
                  <w:tcW w:w="637" w:type="pct"/>
                  <w:vMerge w:val="continue"/>
                  <w:vAlign w:val="center"/>
                </w:tcPr>
                <w:p w14:paraId="12A88309">
                  <w:pPr>
                    <w:pStyle w:val="76"/>
                    <w:autoSpaceDE w:val="0"/>
                    <w:autoSpaceDN w:val="0"/>
                    <w:jc w:val="center"/>
                    <w:rPr>
                      <w:rFonts w:ascii="Times New Roman" w:hAnsi="Times New Roman"/>
                      <w:color w:val="auto"/>
                      <w:szCs w:val="21"/>
                    </w:rPr>
                  </w:pPr>
                </w:p>
              </w:tc>
            </w:tr>
            <w:tr w14:paraId="2500F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shd w:val="clear" w:color="auto" w:fill="auto"/>
                  <w:vAlign w:val="center"/>
                </w:tcPr>
                <w:p w14:paraId="519E81B9">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40</w:t>
                  </w:r>
                </w:p>
              </w:tc>
              <w:tc>
                <w:tcPr>
                  <w:tcW w:w="1798" w:type="pct"/>
                  <w:vAlign w:val="center"/>
                </w:tcPr>
                <w:p w14:paraId="48E3657B">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龙门铣床</w:t>
                  </w:r>
                </w:p>
              </w:tc>
              <w:tc>
                <w:tcPr>
                  <w:tcW w:w="1552" w:type="pct"/>
                  <w:vAlign w:val="center"/>
                </w:tcPr>
                <w:p w14:paraId="56B90044">
                  <w:pPr>
                    <w:pStyle w:val="76"/>
                    <w:autoSpaceDE w:val="0"/>
                    <w:autoSpaceDN w:val="0"/>
                    <w:jc w:val="center"/>
                    <w:rPr>
                      <w:rFonts w:ascii="Times New Roman" w:hAnsi="Times New Roman"/>
                      <w:color w:val="auto"/>
                      <w:szCs w:val="21"/>
                    </w:rPr>
                  </w:pPr>
                </w:p>
              </w:tc>
              <w:tc>
                <w:tcPr>
                  <w:tcW w:w="610" w:type="pct"/>
                  <w:vAlign w:val="center"/>
                </w:tcPr>
                <w:p w14:paraId="124C0FB7">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w:t>
                  </w:r>
                </w:p>
              </w:tc>
              <w:tc>
                <w:tcPr>
                  <w:tcW w:w="637" w:type="pct"/>
                  <w:vMerge w:val="continue"/>
                  <w:vAlign w:val="center"/>
                </w:tcPr>
                <w:p w14:paraId="0B039F3F">
                  <w:pPr>
                    <w:pStyle w:val="76"/>
                    <w:autoSpaceDE w:val="0"/>
                    <w:autoSpaceDN w:val="0"/>
                    <w:jc w:val="center"/>
                    <w:rPr>
                      <w:rFonts w:ascii="Times New Roman" w:hAnsi="Times New Roman"/>
                      <w:color w:val="auto"/>
                      <w:szCs w:val="21"/>
                    </w:rPr>
                  </w:pPr>
                </w:p>
              </w:tc>
            </w:tr>
            <w:tr w14:paraId="291F9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shd w:val="clear" w:color="auto" w:fill="auto"/>
                  <w:vAlign w:val="center"/>
                </w:tcPr>
                <w:p w14:paraId="3208A64F">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41</w:t>
                  </w:r>
                </w:p>
              </w:tc>
              <w:tc>
                <w:tcPr>
                  <w:tcW w:w="1798" w:type="pct"/>
                  <w:vAlign w:val="center"/>
                </w:tcPr>
                <w:p w14:paraId="10E0E3A4">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立式铣床</w:t>
                  </w:r>
                </w:p>
              </w:tc>
              <w:tc>
                <w:tcPr>
                  <w:tcW w:w="1552" w:type="pct"/>
                  <w:vAlign w:val="center"/>
                </w:tcPr>
                <w:p w14:paraId="1E89D43C">
                  <w:pPr>
                    <w:pStyle w:val="76"/>
                    <w:autoSpaceDE w:val="0"/>
                    <w:autoSpaceDN w:val="0"/>
                    <w:jc w:val="center"/>
                    <w:rPr>
                      <w:rFonts w:ascii="Times New Roman" w:hAnsi="Times New Roman"/>
                      <w:color w:val="auto"/>
                      <w:szCs w:val="21"/>
                    </w:rPr>
                  </w:pPr>
                </w:p>
              </w:tc>
              <w:tc>
                <w:tcPr>
                  <w:tcW w:w="610" w:type="pct"/>
                  <w:vAlign w:val="center"/>
                </w:tcPr>
                <w:p w14:paraId="289FCA7B">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1</w:t>
                  </w:r>
                </w:p>
              </w:tc>
              <w:tc>
                <w:tcPr>
                  <w:tcW w:w="637" w:type="pct"/>
                  <w:vMerge w:val="continue"/>
                  <w:vAlign w:val="center"/>
                </w:tcPr>
                <w:p w14:paraId="15278B81">
                  <w:pPr>
                    <w:pStyle w:val="76"/>
                    <w:autoSpaceDE w:val="0"/>
                    <w:autoSpaceDN w:val="0"/>
                    <w:jc w:val="center"/>
                    <w:rPr>
                      <w:rFonts w:ascii="Times New Roman" w:hAnsi="Times New Roman"/>
                      <w:color w:val="auto"/>
                      <w:szCs w:val="21"/>
                    </w:rPr>
                  </w:pPr>
                </w:p>
              </w:tc>
            </w:tr>
            <w:tr w14:paraId="2976D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shd w:val="clear" w:color="auto" w:fill="auto"/>
                  <w:vAlign w:val="center"/>
                </w:tcPr>
                <w:p w14:paraId="3CF91F5A">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42</w:t>
                  </w:r>
                </w:p>
              </w:tc>
              <w:tc>
                <w:tcPr>
                  <w:tcW w:w="1798" w:type="pct"/>
                  <w:vAlign w:val="center"/>
                </w:tcPr>
                <w:p w14:paraId="3C348C46">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加工中心</w:t>
                  </w:r>
                </w:p>
              </w:tc>
              <w:tc>
                <w:tcPr>
                  <w:tcW w:w="1552" w:type="pct"/>
                  <w:vAlign w:val="center"/>
                </w:tcPr>
                <w:p w14:paraId="46F62555">
                  <w:pPr>
                    <w:pStyle w:val="76"/>
                    <w:autoSpaceDE w:val="0"/>
                    <w:autoSpaceDN w:val="0"/>
                    <w:jc w:val="center"/>
                    <w:rPr>
                      <w:rFonts w:ascii="Times New Roman" w:hAnsi="Times New Roman"/>
                      <w:color w:val="auto"/>
                      <w:szCs w:val="21"/>
                    </w:rPr>
                  </w:pPr>
                </w:p>
              </w:tc>
              <w:tc>
                <w:tcPr>
                  <w:tcW w:w="610" w:type="pct"/>
                  <w:vAlign w:val="center"/>
                </w:tcPr>
                <w:p w14:paraId="6C0307CA">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w:t>
                  </w:r>
                </w:p>
              </w:tc>
              <w:tc>
                <w:tcPr>
                  <w:tcW w:w="637" w:type="pct"/>
                  <w:vMerge w:val="continue"/>
                  <w:vAlign w:val="center"/>
                </w:tcPr>
                <w:p w14:paraId="4B4ECF63">
                  <w:pPr>
                    <w:pStyle w:val="76"/>
                    <w:autoSpaceDE w:val="0"/>
                    <w:autoSpaceDN w:val="0"/>
                    <w:jc w:val="center"/>
                    <w:rPr>
                      <w:rFonts w:ascii="Times New Roman" w:hAnsi="Times New Roman"/>
                      <w:color w:val="auto"/>
                      <w:szCs w:val="21"/>
                    </w:rPr>
                  </w:pPr>
                </w:p>
              </w:tc>
            </w:tr>
            <w:tr w14:paraId="74DF8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1" w:type="pct"/>
                  <w:vAlign w:val="center"/>
                </w:tcPr>
                <w:p w14:paraId="503B5244">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43</w:t>
                  </w:r>
                </w:p>
              </w:tc>
              <w:tc>
                <w:tcPr>
                  <w:tcW w:w="1798" w:type="pct"/>
                  <w:vAlign w:val="center"/>
                </w:tcPr>
                <w:p w14:paraId="0ECFE52E">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焊机</w:t>
                  </w:r>
                </w:p>
              </w:tc>
              <w:tc>
                <w:tcPr>
                  <w:tcW w:w="1552" w:type="pct"/>
                  <w:vAlign w:val="center"/>
                </w:tcPr>
                <w:p w14:paraId="5897CD75">
                  <w:pPr>
                    <w:pStyle w:val="76"/>
                    <w:autoSpaceDE w:val="0"/>
                    <w:autoSpaceDN w:val="0"/>
                    <w:jc w:val="center"/>
                    <w:rPr>
                      <w:rFonts w:ascii="Times New Roman" w:hAnsi="Times New Roman"/>
                      <w:color w:val="auto"/>
                      <w:szCs w:val="21"/>
                    </w:rPr>
                  </w:pPr>
                </w:p>
              </w:tc>
              <w:tc>
                <w:tcPr>
                  <w:tcW w:w="610" w:type="pct"/>
                  <w:vAlign w:val="center"/>
                </w:tcPr>
                <w:p w14:paraId="52B1E0BD">
                  <w:pPr>
                    <w:pStyle w:val="76"/>
                    <w:autoSpaceDE w:val="0"/>
                    <w:autoSpaceDN w:val="0"/>
                    <w:jc w:val="center"/>
                    <w:rPr>
                      <w:rFonts w:ascii="Times New Roman" w:hAnsi="Times New Roman"/>
                      <w:color w:val="auto"/>
                      <w:szCs w:val="21"/>
                    </w:rPr>
                  </w:pPr>
                  <w:r>
                    <w:rPr>
                      <w:rFonts w:hint="eastAsia" w:ascii="Times New Roman" w:hAnsi="Times New Roman"/>
                      <w:color w:val="auto"/>
                      <w:szCs w:val="21"/>
                    </w:rPr>
                    <w:t>2</w:t>
                  </w:r>
                </w:p>
              </w:tc>
              <w:tc>
                <w:tcPr>
                  <w:tcW w:w="637" w:type="pct"/>
                  <w:vMerge w:val="continue"/>
                  <w:vAlign w:val="center"/>
                </w:tcPr>
                <w:p w14:paraId="0D078755">
                  <w:pPr>
                    <w:pStyle w:val="76"/>
                    <w:autoSpaceDE w:val="0"/>
                    <w:autoSpaceDN w:val="0"/>
                    <w:jc w:val="center"/>
                    <w:rPr>
                      <w:rFonts w:ascii="Times New Roman" w:hAnsi="Times New Roman"/>
                      <w:color w:val="auto"/>
                      <w:szCs w:val="21"/>
                    </w:rPr>
                  </w:pPr>
                </w:p>
              </w:tc>
            </w:tr>
          </w:tbl>
          <w:p w14:paraId="3E01D2EB">
            <w:pPr>
              <w:rPr>
                <w:color w:val="auto"/>
              </w:rPr>
            </w:pPr>
          </w:p>
          <w:p w14:paraId="67055C1B">
            <w:pPr>
              <w:autoSpaceDE w:val="0"/>
              <w:autoSpaceDN w:val="0"/>
              <w:adjustRightInd w:val="0"/>
              <w:spacing w:before="120" w:beforeLines="50" w:line="360" w:lineRule="auto"/>
              <w:rPr>
                <w:b/>
                <w:bCs/>
                <w:color w:val="auto"/>
                <w:sz w:val="24"/>
                <w:szCs w:val="32"/>
              </w:rPr>
            </w:pPr>
            <w:r>
              <w:rPr>
                <w:rFonts w:hint="eastAsia"/>
                <w:b/>
                <w:bCs/>
                <w:color w:val="auto"/>
                <w:sz w:val="24"/>
                <w:szCs w:val="32"/>
              </w:rPr>
              <w:t>2.6</w:t>
            </w:r>
            <w:r>
              <w:rPr>
                <w:b/>
                <w:bCs/>
                <w:color w:val="auto"/>
                <w:sz w:val="24"/>
                <w:szCs w:val="32"/>
              </w:rPr>
              <w:t>、劳动定员及工作制度</w:t>
            </w:r>
          </w:p>
          <w:p w14:paraId="53AB76BC">
            <w:pPr>
              <w:autoSpaceDE w:val="0"/>
              <w:autoSpaceDN w:val="0"/>
              <w:adjustRightInd w:val="0"/>
              <w:spacing w:line="360" w:lineRule="auto"/>
              <w:ind w:firstLine="480" w:firstLineChars="200"/>
              <w:rPr>
                <w:color w:val="auto"/>
                <w:sz w:val="24"/>
                <w:szCs w:val="32"/>
              </w:rPr>
            </w:pPr>
            <w:r>
              <w:rPr>
                <w:color w:val="auto"/>
                <w:sz w:val="24"/>
                <w:szCs w:val="32"/>
              </w:rPr>
              <w:t>劳动定员：本项目员工约</w:t>
            </w:r>
            <w:r>
              <w:rPr>
                <w:rFonts w:hint="eastAsia"/>
                <w:color w:val="auto"/>
                <w:sz w:val="24"/>
                <w:szCs w:val="32"/>
              </w:rPr>
              <w:t>25人</w:t>
            </w:r>
            <w:r>
              <w:rPr>
                <w:color w:val="auto"/>
                <w:sz w:val="24"/>
                <w:szCs w:val="32"/>
              </w:rPr>
              <w:t>，均</w:t>
            </w:r>
            <w:r>
              <w:rPr>
                <w:rFonts w:hint="eastAsia"/>
                <w:color w:val="auto"/>
                <w:sz w:val="24"/>
                <w:szCs w:val="32"/>
              </w:rPr>
              <w:t>不</w:t>
            </w:r>
            <w:r>
              <w:rPr>
                <w:color w:val="auto"/>
                <w:sz w:val="24"/>
                <w:szCs w:val="32"/>
              </w:rPr>
              <w:t>在</w:t>
            </w:r>
            <w:r>
              <w:rPr>
                <w:rFonts w:hint="eastAsia"/>
                <w:color w:val="auto"/>
                <w:sz w:val="24"/>
                <w:szCs w:val="32"/>
              </w:rPr>
              <w:t>厂区</w:t>
            </w:r>
            <w:r>
              <w:rPr>
                <w:color w:val="auto"/>
                <w:sz w:val="24"/>
                <w:szCs w:val="32"/>
              </w:rPr>
              <w:t>内</w:t>
            </w:r>
            <w:r>
              <w:rPr>
                <w:rFonts w:hint="eastAsia"/>
                <w:color w:val="auto"/>
                <w:sz w:val="24"/>
                <w:szCs w:val="32"/>
              </w:rPr>
              <w:t>食宿</w:t>
            </w:r>
            <w:r>
              <w:rPr>
                <w:color w:val="auto"/>
                <w:sz w:val="24"/>
                <w:szCs w:val="32"/>
              </w:rPr>
              <w:t>。</w:t>
            </w:r>
          </w:p>
          <w:p w14:paraId="73F6FEF5">
            <w:pPr>
              <w:autoSpaceDE w:val="0"/>
              <w:autoSpaceDN w:val="0"/>
              <w:adjustRightInd w:val="0"/>
              <w:spacing w:line="360" w:lineRule="auto"/>
              <w:ind w:firstLine="480" w:firstLineChars="200"/>
              <w:rPr>
                <w:color w:val="auto"/>
                <w:sz w:val="24"/>
                <w:szCs w:val="32"/>
              </w:rPr>
            </w:pPr>
            <w:r>
              <w:rPr>
                <w:color w:val="auto"/>
                <w:sz w:val="24"/>
                <w:szCs w:val="32"/>
              </w:rPr>
              <w:t>工作制度：年工作约</w:t>
            </w:r>
            <w:r>
              <w:rPr>
                <w:rFonts w:hint="eastAsia"/>
                <w:color w:val="auto"/>
                <w:sz w:val="24"/>
                <w:szCs w:val="32"/>
              </w:rPr>
              <w:t>300</w:t>
            </w:r>
            <w:r>
              <w:rPr>
                <w:color w:val="auto"/>
                <w:sz w:val="24"/>
                <w:szCs w:val="32"/>
              </w:rPr>
              <w:t>天，实行</w:t>
            </w:r>
            <w:r>
              <w:rPr>
                <w:rFonts w:hint="eastAsia"/>
                <w:color w:val="auto"/>
                <w:sz w:val="24"/>
                <w:szCs w:val="32"/>
              </w:rPr>
              <w:t>二</w:t>
            </w:r>
            <w:r>
              <w:rPr>
                <w:color w:val="auto"/>
                <w:sz w:val="24"/>
                <w:szCs w:val="32"/>
              </w:rPr>
              <w:t>班制，每班工作时间</w:t>
            </w:r>
            <w:r>
              <w:rPr>
                <w:rFonts w:hint="eastAsia"/>
                <w:color w:val="auto"/>
                <w:sz w:val="24"/>
                <w:szCs w:val="32"/>
              </w:rPr>
              <w:t>8</w:t>
            </w:r>
            <w:r>
              <w:rPr>
                <w:color w:val="auto"/>
                <w:sz w:val="24"/>
                <w:szCs w:val="32"/>
              </w:rPr>
              <w:t>小时。</w:t>
            </w:r>
          </w:p>
          <w:p w14:paraId="659FF616">
            <w:pPr>
              <w:autoSpaceDE w:val="0"/>
              <w:autoSpaceDN w:val="0"/>
              <w:adjustRightInd w:val="0"/>
              <w:spacing w:line="360" w:lineRule="auto"/>
              <w:rPr>
                <w:b/>
                <w:bCs/>
                <w:color w:val="auto"/>
                <w:sz w:val="24"/>
                <w:szCs w:val="32"/>
              </w:rPr>
            </w:pPr>
            <w:r>
              <w:rPr>
                <w:rFonts w:hint="eastAsia"/>
                <w:b/>
                <w:bCs/>
                <w:color w:val="auto"/>
                <w:sz w:val="24"/>
                <w:szCs w:val="32"/>
              </w:rPr>
              <w:t>2.7</w:t>
            </w:r>
            <w:r>
              <w:rPr>
                <w:b/>
                <w:bCs/>
                <w:color w:val="auto"/>
                <w:sz w:val="24"/>
                <w:szCs w:val="32"/>
              </w:rPr>
              <w:t>、给排水及能源供给</w:t>
            </w:r>
          </w:p>
          <w:p w14:paraId="44B09836">
            <w:pPr>
              <w:spacing w:line="360" w:lineRule="auto"/>
              <w:ind w:firstLine="480" w:firstLineChars="200"/>
              <w:rPr>
                <w:color w:val="auto"/>
                <w:sz w:val="24"/>
                <w:szCs w:val="32"/>
              </w:rPr>
            </w:pPr>
            <w:r>
              <w:rPr>
                <w:rFonts w:hint="eastAsia"/>
                <w:color w:val="auto"/>
                <w:sz w:val="24"/>
                <w:szCs w:val="32"/>
              </w:rPr>
              <w:t>（1）供电</w:t>
            </w:r>
          </w:p>
          <w:p w14:paraId="45CC30E0">
            <w:pPr>
              <w:spacing w:line="360" w:lineRule="auto"/>
              <w:ind w:firstLine="480" w:firstLineChars="200"/>
              <w:rPr>
                <w:color w:val="auto"/>
                <w:sz w:val="24"/>
                <w:szCs w:val="32"/>
              </w:rPr>
            </w:pPr>
            <w:r>
              <w:rPr>
                <w:rFonts w:hint="eastAsia"/>
                <w:color w:val="auto"/>
                <w:sz w:val="24"/>
                <w:szCs w:val="32"/>
              </w:rPr>
              <w:t>由市政供电部门供电，年用电量约400万kW·h。</w:t>
            </w:r>
          </w:p>
          <w:p w14:paraId="457BD25F">
            <w:pPr>
              <w:spacing w:line="360" w:lineRule="auto"/>
              <w:ind w:firstLine="480" w:firstLineChars="200"/>
              <w:textAlignment w:val="baseline"/>
              <w:rPr>
                <w:color w:val="auto"/>
                <w:sz w:val="24"/>
                <w:szCs w:val="32"/>
              </w:rPr>
            </w:pPr>
            <w:r>
              <w:rPr>
                <w:rFonts w:hint="eastAsia"/>
                <w:color w:val="auto"/>
                <w:sz w:val="24"/>
                <w:szCs w:val="32"/>
              </w:rPr>
              <w:t>（2）供水</w:t>
            </w:r>
          </w:p>
          <w:p w14:paraId="3A426DEA">
            <w:pPr>
              <w:spacing w:line="360" w:lineRule="auto"/>
              <w:ind w:firstLine="480" w:firstLineChars="200"/>
              <w:rPr>
                <w:color w:val="auto"/>
                <w:sz w:val="24"/>
                <w:szCs w:val="32"/>
              </w:rPr>
            </w:pPr>
            <w:r>
              <w:rPr>
                <w:rFonts w:hint="eastAsia"/>
                <w:color w:val="auto"/>
                <w:sz w:val="24"/>
                <w:szCs w:val="32"/>
              </w:rPr>
              <w:t>1）生活用水</w:t>
            </w:r>
          </w:p>
          <w:p w14:paraId="217F76F6">
            <w:pPr>
              <w:spacing w:line="360" w:lineRule="auto"/>
              <w:ind w:firstLine="480" w:firstLineChars="200"/>
              <w:rPr>
                <w:color w:val="auto"/>
                <w:sz w:val="24"/>
                <w:szCs w:val="32"/>
              </w:rPr>
            </w:pPr>
            <w:r>
              <w:rPr>
                <w:rFonts w:hint="eastAsia"/>
                <w:color w:val="auto"/>
                <w:sz w:val="24"/>
                <w:szCs w:val="32"/>
              </w:rPr>
              <w:t>项目员工人数25人，均不在厂区内食宿，员工在工作和生活期间会产生一定量生活污水，主要污染物为COD、BOD</w:t>
            </w:r>
            <w:r>
              <w:rPr>
                <w:rFonts w:hint="eastAsia"/>
                <w:color w:val="auto"/>
                <w:sz w:val="24"/>
                <w:szCs w:val="32"/>
                <w:vertAlign w:val="subscript"/>
              </w:rPr>
              <w:t>5</w:t>
            </w:r>
            <w:r>
              <w:rPr>
                <w:rFonts w:hint="eastAsia"/>
                <w:color w:val="auto"/>
                <w:sz w:val="24"/>
                <w:szCs w:val="32"/>
              </w:rPr>
              <w:t>、SS、NH</w:t>
            </w:r>
            <w:r>
              <w:rPr>
                <w:rFonts w:hint="eastAsia"/>
                <w:color w:val="auto"/>
                <w:sz w:val="24"/>
                <w:szCs w:val="32"/>
                <w:vertAlign w:val="subscript"/>
              </w:rPr>
              <w:t>3</w:t>
            </w:r>
            <w:r>
              <w:rPr>
                <w:rFonts w:hint="eastAsia"/>
                <w:color w:val="auto"/>
                <w:sz w:val="24"/>
                <w:szCs w:val="32"/>
              </w:rPr>
              <w:t>-N等。根据《湖南省用水定额》（DB43/T 388-2020），</w:t>
            </w:r>
            <w:r>
              <w:rPr>
                <w:color w:val="auto"/>
                <w:sz w:val="24"/>
                <w:szCs w:val="32"/>
              </w:rPr>
              <w:t>用水定额</w:t>
            </w:r>
            <w:r>
              <w:rPr>
                <w:rFonts w:hint="eastAsia"/>
                <w:color w:val="auto"/>
                <w:sz w:val="24"/>
                <w:szCs w:val="32"/>
              </w:rPr>
              <w:t>取15m</w:t>
            </w:r>
            <w:r>
              <w:rPr>
                <w:rFonts w:hint="eastAsia"/>
                <w:color w:val="auto"/>
                <w:sz w:val="24"/>
                <w:szCs w:val="32"/>
                <w:vertAlign w:val="superscript"/>
              </w:rPr>
              <w:t>3</w:t>
            </w:r>
            <w:r>
              <w:rPr>
                <w:color w:val="auto"/>
                <w:sz w:val="24"/>
                <w:szCs w:val="32"/>
              </w:rPr>
              <w:t>/</w:t>
            </w:r>
            <w:r>
              <w:rPr>
                <w:rFonts w:hint="eastAsia"/>
                <w:color w:val="auto"/>
                <w:sz w:val="24"/>
                <w:szCs w:val="32"/>
              </w:rPr>
              <w:t>人.a</w:t>
            </w:r>
            <w:r>
              <w:rPr>
                <w:color w:val="auto"/>
                <w:sz w:val="24"/>
                <w:szCs w:val="32"/>
              </w:rPr>
              <w:t>计，</w:t>
            </w:r>
            <w:r>
              <w:rPr>
                <w:rFonts w:hint="eastAsia"/>
                <w:color w:val="auto"/>
                <w:sz w:val="24"/>
                <w:szCs w:val="32"/>
              </w:rPr>
              <w:t>则本项目生活用水量为375t/a，即1.25t/d。生活污水排放系数取0.8，项目生活污水总量为300t/a，1t/d。</w:t>
            </w:r>
          </w:p>
          <w:p w14:paraId="320383C0">
            <w:pPr>
              <w:spacing w:line="360" w:lineRule="auto"/>
              <w:ind w:firstLine="480" w:firstLineChars="200"/>
              <w:rPr>
                <w:color w:val="auto"/>
                <w:sz w:val="24"/>
                <w:szCs w:val="32"/>
              </w:rPr>
            </w:pPr>
            <w:r>
              <w:rPr>
                <w:rFonts w:hint="eastAsia"/>
                <w:color w:val="auto"/>
                <w:sz w:val="24"/>
                <w:szCs w:val="32"/>
              </w:rPr>
              <w:t>2）生产用水</w:t>
            </w:r>
          </w:p>
          <w:p w14:paraId="4BE2220F">
            <w:pPr>
              <w:spacing w:line="360" w:lineRule="auto"/>
              <w:ind w:firstLine="480" w:firstLineChars="200"/>
              <w:rPr>
                <w:color w:val="auto"/>
                <w:sz w:val="24"/>
                <w:szCs w:val="32"/>
                <w:u w:val="single"/>
              </w:rPr>
            </w:pPr>
            <w:r>
              <w:rPr>
                <w:rFonts w:hint="eastAsia"/>
                <w:color w:val="auto"/>
                <w:sz w:val="24"/>
                <w:szCs w:val="32"/>
                <w:u w:val="single"/>
              </w:rPr>
              <w:t>涂料调配用水：根据建设单位提供资料，项目使用水性粉末涂料，水：涂料比例为3：5，涂料年用量350t，则调配用水量为210t/a。</w:t>
            </w:r>
          </w:p>
          <w:p w14:paraId="3D4173F7">
            <w:pPr>
              <w:spacing w:line="360" w:lineRule="auto"/>
              <w:ind w:firstLine="480" w:firstLineChars="200"/>
              <w:rPr>
                <w:color w:val="auto"/>
                <w:sz w:val="24"/>
                <w:szCs w:val="32"/>
                <w:u w:val="single"/>
              </w:rPr>
            </w:pPr>
            <w:r>
              <w:rPr>
                <w:rFonts w:hint="eastAsia"/>
                <w:color w:val="auto"/>
                <w:sz w:val="24"/>
                <w:szCs w:val="32"/>
                <w:u w:val="single"/>
              </w:rPr>
              <w:t>水环真空泵用水：消失模浇注过程砂箱需保持一定负压，使用水环真空泵抽真空，水循环使用，每天补充损耗量约0.067t/d，则年补充新鲜用水量为20t/a。</w:t>
            </w:r>
          </w:p>
          <w:p w14:paraId="130A8E65">
            <w:pPr>
              <w:spacing w:line="360" w:lineRule="auto"/>
              <w:ind w:firstLine="480" w:firstLineChars="200"/>
              <w:rPr>
                <w:color w:val="auto"/>
                <w:sz w:val="24"/>
                <w:szCs w:val="32"/>
                <w:u w:val="single"/>
              </w:rPr>
            </w:pPr>
            <w:r>
              <w:rPr>
                <w:rFonts w:hint="eastAsia"/>
                <w:color w:val="auto"/>
                <w:sz w:val="24"/>
                <w:szCs w:val="32"/>
                <w:u w:val="single"/>
              </w:rPr>
              <w:t>冷却用水：项目对水玻璃砂铸件进行热处理后，随即进入冷却池进行冷却（采用水冷），冷却池定期补充损耗，该过程补充新鲜水量为0.05t/d，年补充量为15t/a。</w:t>
            </w:r>
          </w:p>
          <w:p w14:paraId="17056CFF">
            <w:pPr>
              <w:spacing w:line="360" w:lineRule="auto"/>
              <w:ind w:firstLine="480" w:firstLineChars="200"/>
              <w:rPr>
                <w:color w:val="auto"/>
                <w:sz w:val="24"/>
                <w:szCs w:val="32"/>
              </w:rPr>
            </w:pPr>
            <w:r>
              <w:rPr>
                <w:rFonts w:hint="eastAsia"/>
                <w:color w:val="auto"/>
                <w:sz w:val="24"/>
                <w:szCs w:val="32"/>
              </w:rPr>
              <w:t>本项目需要用到冷却水的工序还包括蒸压成型工序和浇注工序。根据建设单位提供资料，蒸压成型冷却水循环使用不外排，循环水量为10t/d，损耗量约5%左右，每天补充损耗量 0.5t/d，冷却水年补充量为150t；浇注工序冷却循环水量为100t/d，损耗量约5%左右，每天补充损耗量 5t/d，冷却水年补充量为1500t。</w:t>
            </w:r>
          </w:p>
          <w:p w14:paraId="46331DDF">
            <w:pPr>
              <w:spacing w:line="360" w:lineRule="auto"/>
              <w:ind w:firstLine="480" w:firstLineChars="200"/>
              <w:textAlignment w:val="baseline"/>
              <w:rPr>
                <w:color w:val="auto"/>
                <w:sz w:val="24"/>
                <w:szCs w:val="32"/>
              </w:rPr>
            </w:pPr>
            <w:r>
              <w:rPr>
                <w:rFonts w:hint="eastAsia"/>
                <w:color w:val="auto"/>
                <w:sz w:val="24"/>
                <w:szCs w:val="32"/>
              </w:rPr>
              <w:t>（3）排水</w:t>
            </w:r>
          </w:p>
          <w:p w14:paraId="320DC66F">
            <w:pPr>
              <w:spacing w:line="360" w:lineRule="auto"/>
              <w:ind w:firstLine="480" w:firstLineChars="200"/>
              <w:textAlignment w:val="baseline"/>
              <w:rPr>
                <w:color w:val="auto"/>
                <w:sz w:val="24"/>
                <w:szCs w:val="32"/>
              </w:rPr>
            </w:pPr>
            <w:r>
              <w:rPr>
                <w:rFonts w:hint="eastAsia"/>
                <w:color w:val="auto"/>
                <w:sz w:val="24"/>
                <w:szCs w:val="32"/>
              </w:rPr>
              <w:t>本项目所在地为雨污分流制，雨水接入市政雨水管。项目无生产废水外排，生活污水排放量为1t/d，300t/a，主要污染物为COD、BOD</w:t>
            </w:r>
            <w:r>
              <w:rPr>
                <w:rFonts w:hint="eastAsia"/>
                <w:color w:val="auto"/>
                <w:sz w:val="24"/>
                <w:szCs w:val="32"/>
                <w:vertAlign w:val="subscript"/>
              </w:rPr>
              <w:t>5</w:t>
            </w:r>
            <w:r>
              <w:rPr>
                <w:rFonts w:hint="eastAsia"/>
                <w:color w:val="auto"/>
                <w:sz w:val="24"/>
                <w:szCs w:val="32"/>
              </w:rPr>
              <w:t>、氨氮、SS、总磷。生活污水依托园区化粪池预处理后进入市政集污管网，纳入湘潭县第一污水处理厂处理。</w:t>
            </w:r>
          </w:p>
          <w:p w14:paraId="558262AB">
            <w:pPr>
              <w:spacing w:line="360" w:lineRule="auto"/>
              <w:jc w:val="center"/>
              <w:rPr>
                <w:color w:val="auto"/>
              </w:rPr>
            </w:pPr>
            <w:r>
              <w:rPr>
                <w:b/>
                <w:bCs/>
                <w:color w:val="auto"/>
              </w:rPr>
              <w:t>表</w:t>
            </w:r>
            <w:r>
              <w:rPr>
                <w:rFonts w:hint="eastAsia"/>
                <w:b/>
                <w:bCs/>
                <w:color w:val="auto"/>
              </w:rPr>
              <w:t xml:space="preserve">2-8 </w:t>
            </w:r>
            <w:r>
              <w:rPr>
                <w:b/>
                <w:bCs/>
                <w:color w:val="auto"/>
              </w:rPr>
              <w:t xml:space="preserve"> </w:t>
            </w:r>
            <w:r>
              <w:rPr>
                <w:rFonts w:hint="eastAsia"/>
                <w:b/>
                <w:bCs/>
                <w:color w:val="auto"/>
              </w:rPr>
              <w:t>项目排水</w:t>
            </w:r>
            <w:r>
              <w:rPr>
                <w:b/>
                <w:bCs/>
                <w:color w:val="auto"/>
              </w:rPr>
              <w:t>一览表</w:t>
            </w:r>
          </w:p>
          <w:tbl>
            <w:tblPr>
              <w:tblStyle w:val="30"/>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3"/>
              <w:gridCol w:w="1754"/>
              <w:gridCol w:w="1347"/>
              <w:gridCol w:w="1416"/>
              <w:gridCol w:w="1448"/>
              <w:gridCol w:w="1717"/>
            </w:tblGrid>
            <w:tr w14:paraId="19464C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Align w:val="center"/>
                </w:tcPr>
                <w:p w14:paraId="06102BDE">
                  <w:pPr>
                    <w:widowControl/>
                    <w:jc w:val="center"/>
                    <w:rPr>
                      <w:color w:val="auto"/>
                    </w:rPr>
                  </w:pPr>
                  <w:r>
                    <w:rPr>
                      <w:rFonts w:hint="eastAsia"/>
                      <w:color w:val="auto"/>
                    </w:rPr>
                    <w:t>序号</w:t>
                  </w:r>
                </w:p>
              </w:tc>
              <w:tc>
                <w:tcPr>
                  <w:tcW w:w="1045" w:type="pct"/>
                  <w:vAlign w:val="center"/>
                </w:tcPr>
                <w:p w14:paraId="356F8CC9">
                  <w:pPr>
                    <w:widowControl/>
                    <w:jc w:val="center"/>
                    <w:rPr>
                      <w:color w:val="auto"/>
                    </w:rPr>
                  </w:pPr>
                  <w:r>
                    <w:rPr>
                      <w:rFonts w:hint="eastAsia"/>
                      <w:color w:val="auto"/>
                    </w:rPr>
                    <w:t>类别</w:t>
                  </w:r>
                </w:p>
              </w:tc>
              <w:tc>
                <w:tcPr>
                  <w:tcW w:w="803" w:type="pct"/>
                  <w:vAlign w:val="center"/>
                </w:tcPr>
                <w:p w14:paraId="1378CA26">
                  <w:pPr>
                    <w:widowControl/>
                    <w:jc w:val="center"/>
                    <w:rPr>
                      <w:color w:val="auto"/>
                    </w:rPr>
                  </w:pPr>
                  <w:r>
                    <w:rPr>
                      <w:rFonts w:hint="eastAsia"/>
                      <w:color w:val="auto"/>
                    </w:rPr>
                    <w:t>用水量（t/a）</w:t>
                  </w:r>
                </w:p>
              </w:tc>
              <w:tc>
                <w:tcPr>
                  <w:tcW w:w="844" w:type="pct"/>
                  <w:vAlign w:val="center"/>
                </w:tcPr>
                <w:p w14:paraId="1BEFC017">
                  <w:pPr>
                    <w:widowControl/>
                    <w:jc w:val="center"/>
                    <w:rPr>
                      <w:color w:val="auto"/>
                    </w:rPr>
                  </w:pPr>
                  <w:r>
                    <w:rPr>
                      <w:rFonts w:hint="eastAsia"/>
                      <w:color w:val="auto"/>
                    </w:rPr>
                    <w:t>损耗量（t/a）</w:t>
                  </w:r>
                </w:p>
              </w:tc>
              <w:tc>
                <w:tcPr>
                  <w:tcW w:w="863" w:type="pct"/>
                  <w:vAlign w:val="center"/>
                </w:tcPr>
                <w:p w14:paraId="57A8F33E">
                  <w:pPr>
                    <w:widowControl/>
                    <w:jc w:val="center"/>
                    <w:rPr>
                      <w:color w:val="auto"/>
                    </w:rPr>
                  </w:pPr>
                  <w:r>
                    <w:rPr>
                      <w:rFonts w:hint="eastAsia"/>
                      <w:color w:val="auto"/>
                    </w:rPr>
                    <w:t>排水量（t/a）</w:t>
                  </w:r>
                </w:p>
              </w:tc>
              <w:tc>
                <w:tcPr>
                  <w:tcW w:w="1023" w:type="pct"/>
                  <w:vAlign w:val="center"/>
                </w:tcPr>
                <w:p w14:paraId="078876E8">
                  <w:pPr>
                    <w:widowControl/>
                    <w:jc w:val="center"/>
                    <w:rPr>
                      <w:color w:val="auto"/>
                    </w:rPr>
                  </w:pPr>
                  <w:r>
                    <w:rPr>
                      <w:rFonts w:hint="eastAsia"/>
                      <w:color w:val="auto"/>
                    </w:rPr>
                    <w:t>备注</w:t>
                  </w:r>
                </w:p>
              </w:tc>
            </w:tr>
            <w:tr w14:paraId="03A3FE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Align w:val="center"/>
                </w:tcPr>
                <w:p w14:paraId="38F3350E">
                  <w:pPr>
                    <w:widowControl/>
                    <w:jc w:val="center"/>
                    <w:rPr>
                      <w:color w:val="auto"/>
                    </w:rPr>
                  </w:pPr>
                  <w:r>
                    <w:rPr>
                      <w:rFonts w:hint="eastAsia"/>
                      <w:color w:val="auto"/>
                    </w:rPr>
                    <w:t>1</w:t>
                  </w:r>
                </w:p>
              </w:tc>
              <w:tc>
                <w:tcPr>
                  <w:tcW w:w="1045" w:type="pct"/>
                  <w:vAlign w:val="center"/>
                </w:tcPr>
                <w:p w14:paraId="65473BA4">
                  <w:pPr>
                    <w:widowControl/>
                    <w:jc w:val="center"/>
                    <w:rPr>
                      <w:color w:val="auto"/>
                    </w:rPr>
                  </w:pPr>
                  <w:r>
                    <w:rPr>
                      <w:rFonts w:hint="eastAsia"/>
                      <w:color w:val="auto"/>
                    </w:rPr>
                    <w:t>生活用水</w:t>
                  </w:r>
                </w:p>
              </w:tc>
              <w:tc>
                <w:tcPr>
                  <w:tcW w:w="803" w:type="pct"/>
                  <w:vAlign w:val="center"/>
                </w:tcPr>
                <w:p w14:paraId="78C7EF72">
                  <w:pPr>
                    <w:widowControl/>
                    <w:jc w:val="center"/>
                    <w:rPr>
                      <w:color w:val="auto"/>
                    </w:rPr>
                  </w:pPr>
                  <w:r>
                    <w:rPr>
                      <w:rFonts w:hint="eastAsia"/>
                      <w:color w:val="auto"/>
                    </w:rPr>
                    <w:t>375</w:t>
                  </w:r>
                </w:p>
              </w:tc>
              <w:tc>
                <w:tcPr>
                  <w:tcW w:w="844" w:type="pct"/>
                  <w:vAlign w:val="center"/>
                </w:tcPr>
                <w:p w14:paraId="2939E5B2">
                  <w:pPr>
                    <w:widowControl/>
                    <w:jc w:val="center"/>
                    <w:rPr>
                      <w:color w:val="auto"/>
                    </w:rPr>
                  </w:pPr>
                  <w:r>
                    <w:rPr>
                      <w:rFonts w:hint="eastAsia"/>
                      <w:color w:val="auto"/>
                    </w:rPr>
                    <w:t>75</w:t>
                  </w:r>
                </w:p>
              </w:tc>
              <w:tc>
                <w:tcPr>
                  <w:tcW w:w="863" w:type="pct"/>
                  <w:vAlign w:val="center"/>
                </w:tcPr>
                <w:p w14:paraId="2D2DAC1E">
                  <w:pPr>
                    <w:widowControl/>
                    <w:jc w:val="center"/>
                    <w:rPr>
                      <w:color w:val="auto"/>
                    </w:rPr>
                  </w:pPr>
                  <w:r>
                    <w:rPr>
                      <w:rFonts w:hint="eastAsia"/>
                      <w:color w:val="auto"/>
                    </w:rPr>
                    <w:t>300</w:t>
                  </w:r>
                </w:p>
              </w:tc>
              <w:tc>
                <w:tcPr>
                  <w:tcW w:w="1023" w:type="pct"/>
                  <w:vAlign w:val="center"/>
                </w:tcPr>
                <w:p w14:paraId="4C30B531">
                  <w:pPr>
                    <w:jc w:val="center"/>
                    <w:rPr>
                      <w:color w:val="auto"/>
                    </w:rPr>
                  </w:pPr>
                  <w:r>
                    <w:rPr>
                      <w:rFonts w:hint="eastAsia"/>
                      <w:color w:val="auto"/>
                    </w:rPr>
                    <w:t>纳入湘潭县第一污水处理厂</w:t>
                  </w:r>
                </w:p>
              </w:tc>
            </w:tr>
            <w:tr w14:paraId="542F1E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Align w:val="center"/>
                </w:tcPr>
                <w:p w14:paraId="4571FA4D">
                  <w:pPr>
                    <w:widowControl/>
                    <w:jc w:val="center"/>
                    <w:rPr>
                      <w:color w:val="auto"/>
                      <w:u w:val="single"/>
                    </w:rPr>
                  </w:pPr>
                  <w:r>
                    <w:rPr>
                      <w:rFonts w:hint="eastAsia"/>
                      <w:color w:val="auto"/>
                      <w:u w:val="single"/>
                    </w:rPr>
                    <w:t>2</w:t>
                  </w:r>
                </w:p>
              </w:tc>
              <w:tc>
                <w:tcPr>
                  <w:tcW w:w="1045" w:type="pct"/>
                  <w:vAlign w:val="center"/>
                </w:tcPr>
                <w:p w14:paraId="409C25ED">
                  <w:pPr>
                    <w:widowControl/>
                    <w:jc w:val="center"/>
                    <w:rPr>
                      <w:color w:val="auto"/>
                      <w:u w:val="single"/>
                    </w:rPr>
                  </w:pPr>
                  <w:r>
                    <w:rPr>
                      <w:rFonts w:hint="eastAsia"/>
                      <w:color w:val="auto"/>
                      <w:u w:val="single"/>
                    </w:rPr>
                    <w:t>涂料调配用水</w:t>
                  </w:r>
                </w:p>
              </w:tc>
              <w:tc>
                <w:tcPr>
                  <w:tcW w:w="803" w:type="pct"/>
                  <w:vAlign w:val="center"/>
                </w:tcPr>
                <w:p w14:paraId="4167D9A7">
                  <w:pPr>
                    <w:widowControl/>
                    <w:jc w:val="center"/>
                    <w:rPr>
                      <w:color w:val="auto"/>
                      <w:u w:val="single"/>
                    </w:rPr>
                  </w:pPr>
                  <w:r>
                    <w:rPr>
                      <w:rFonts w:hint="eastAsia"/>
                      <w:color w:val="auto"/>
                      <w:u w:val="single"/>
                    </w:rPr>
                    <w:t>210</w:t>
                  </w:r>
                </w:p>
              </w:tc>
              <w:tc>
                <w:tcPr>
                  <w:tcW w:w="844" w:type="pct"/>
                  <w:vAlign w:val="center"/>
                </w:tcPr>
                <w:p w14:paraId="4815AC5E">
                  <w:pPr>
                    <w:widowControl/>
                    <w:jc w:val="center"/>
                    <w:rPr>
                      <w:color w:val="auto"/>
                      <w:u w:val="single"/>
                    </w:rPr>
                  </w:pPr>
                  <w:r>
                    <w:rPr>
                      <w:rFonts w:hint="eastAsia"/>
                      <w:color w:val="auto"/>
                      <w:u w:val="single"/>
                    </w:rPr>
                    <w:t>210</w:t>
                  </w:r>
                </w:p>
              </w:tc>
              <w:tc>
                <w:tcPr>
                  <w:tcW w:w="863" w:type="pct"/>
                  <w:vAlign w:val="center"/>
                </w:tcPr>
                <w:p w14:paraId="02825DAE">
                  <w:pPr>
                    <w:widowControl/>
                    <w:jc w:val="center"/>
                    <w:rPr>
                      <w:color w:val="auto"/>
                      <w:u w:val="single"/>
                    </w:rPr>
                  </w:pPr>
                  <w:r>
                    <w:rPr>
                      <w:rFonts w:hint="eastAsia"/>
                      <w:color w:val="auto"/>
                      <w:u w:val="single"/>
                    </w:rPr>
                    <w:t>/</w:t>
                  </w:r>
                </w:p>
              </w:tc>
              <w:tc>
                <w:tcPr>
                  <w:tcW w:w="1023" w:type="pct"/>
                  <w:vAlign w:val="center"/>
                </w:tcPr>
                <w:p w14:paraId="5E509348">
                  <w:pPr>
                    <w:jc w:val="center"/>
                    <w:rPr>
                      <w:color w:val="auto"/>
                      <w:u w:val="single"/>
                    </w:rPr>
                  </w:pPr>
                </w:p>
              </w:tc>
            </w:tr>
            <w:tr w14:paraId="2E07C83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Align w:val="center"/>
                </w:tcPr>
                <w:p w14:paraId="2EAE3FD1">
                  <w:pPr>
                    <w:widowControl/>
                    <w:jc w:val="center"/>
                    <w:rPr>
                      <w:color w:val="auto"/>
                      <w:u w:val="single"/>
                    </w:rPr>
                  </w:pPr>
                  <w:r>
                    <w:rPr>
                      <w:rFonts w:hint="eastAsia"/>
                      <w:color w:val="auto"/>
                      <w:u w:val="single"/>
                    </w:rPr>
                    <w:t>3</w:t>
                  </w:r>
                </w:p>
              </w:tc>
              <w:tc>
                <w:tcPr>
                  <w:tcW w:w="1045" w:type="pct"/>
                  <w:vAlign w:val="center"/>
                </w:tcPr>
                <w:p w14:paraId="6DD30C11">
                  <w:pPr>
                    <w:widowControl/>
                    <w:jc w:val="center"/>
                    <w:rPr>
                      <w:color w:val="auto"/>
                      <w:u w:val="single"/>
                    </w:rPr>
                  </w:pPr>
                  <w:r>
                    <w:rPr>
                      <w:rFonts w:hint="eastAsia"/>
                      <w:color w:val="auto"/>
                      <w:u w:val="single"/>
                    </w:rPr>
                    <w:t>水环真空泵用水</w:t>
                  </w:r>
                </w:p>
              </w:tc>
              <w:tc>
                <w:tcPr>
                  <w:tcW w:w="803" w:type="pct"/>
                  <w:vAlign w:val="center"/>
                </w:tcPr>
                <w:p w14:paraId="5482CB88">
                  <w:pPr>
                    <w:widowControl/>
                    <w:jc w:val="center"/>
                    <w:rPr>
                      <w:color w:val="auto"/>
                      <w:u w:val="single"/>
                    </w:rPr>
                  </w:pPr>
                  <w:r>
                    <w:rPr>
                      <w:rFonts w:hint="eastAsia"/>
                      <w:color w:val="auto"/>
                      <w:u w:val="single"/>
                    </w:rPr>
                    <w:t>20</w:t>
                  </w:r>
                </w:p>
              </w:tc>
              <w:tc>
                <w:tcPr>
                  <w:tcW w:w="844" w:type="pct"/>
                  <w:vAlign w:val="center"/>
                </w:tcPr>
                <w:p w14:paraId="38C6F4DA">
                  <w:pPr>
                    <w:widowControl/>
                    <w:jc w:val="center"/>
                    <w:rPr>
                      <w:color w:val="auto"/>
                      <w:u w:val="single"/>
                    </w:rPr>
                  </w:pPr>
                  <w:r>
                    <w:rPr>
                      <w:rFonts w:hint="eastAsia"/>
                      <w:color w:val="auto"/>
                      <w:u w:val="single"/>
                    </w:rPr>
                    <w:t>20</w:t>
                  </w:r>
                </w:p>
              </w:tc>
              <w:tc>
                <w:tcPr>
                  <w:tcW w:w="863" w:type="pct"/>
                  <w:vAlign w:val="center"/>
                </w:tcPr>
                <w:p w14:paraId="43AC1DDF">
                  <w:pPr>
                    <w:widowControl/>
                    <w:jc w:val="center"/>
                    <w:rPr>
                      <w:color w:val="auto"/>
                      <w:u w:val="single"/>
                    </w:rPr>
                  </w:pPr>
                  <w:r>
                    <w:rPr>
                      <w:rFonts w:hint="eastAsia"/>
                      <w:color w:val="auto"/>
                      <w:u w:val="single"/>
                    </w:rPr>
                    <w:t>/</w:t>
                  </w:r>
                </w:p>
              </w:tc>
              <w:tc>
                <w:tcPr>
                  <w:tcW w:w="1023" w:type="pct"/>
                  <w:vAlign w:val="center"/>
                </w:tcPr>
                <w:p w14:paraId="3D02C336">
                  <w:pPr>
                    <w:jc w:val="center"/>
                    <w:rPr>
                      <w:color w:val="auto"/>
                      <w:u w:val="single"/>
                    </w:rPr>
                  </w:pPr>
                  <w:r>
                    <w:rPr>
                      <w:rFonts w:hint="eastAsia"/>
                      <w:color w:val="auto"/>
                      <w:u w:val="single"/>
                    </w:rPr>
                    <w:t>循环使用</w:t>
                  </w:r>
                </w:p>
              </w:tc>
            </w:tr>
            <w:tr w14:paraId="078F35C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Align w:val="center"/>
                </w:tcPr>
                <w:p w14:paraId="7B99628F">
                  <w:pPr>
                    <w:widowControl/>
                    <w:jc w:val="center"/>
                    <w:rPr>
                      <w:color w:val="auto"/>
                      <w:u w:val="single"/>
                    </w:rPr>
                  </w:pPr>
                  <w:r>
                    <w:rPr>
                      <w:rFonts w:hint="eastAsia"/>
                      <w:color w:val="auto"/>
                      <w:u w:val="single"/>
                    </w:rPr>
                    <w:t>4</w:t>
                  </w:r>
                </w:p>
              </w:tc>
              <w:tc>
                <w:tcPr>
                  <w:tcW w:w="1045" w:type="pct"/>
                  <w:vAlign w:val="center"/>
                </w:tcPr>
                <w:p w14:paraId="46671411">
                  <w:pPr>
                    <w:widowControl/>
                    <w:jc w:val="center"/>
                    <w:rPr>
                      <w:color w:val="auto"/>
                      <w:u w:val="single"/>
                    </w:rPr>
                  </w:pPr>
                  <w:r>
                    <w:rPr>
                      <w:rFonts w:hint="eastAsia"/>
                      <w:color w:val="auto"/>
                      <w:u w:val="single"/>
                    </w:rPr>
                    <w:t>冷却用水</w:t>
                  </w:r>
                </w:p>
              </w:tc>
              <w:tc>
                <w:tcPr>
                  <w:tcW w:w="803" w:type="pct"/>
                  <w:vAlign w:val="center"/>
                </w:tcPr>
                <w:p w14:paraId="7B799D6C">
                  <w:pPr>
                    <w:widowControl/>
                    <w:jc w:val="center"/>
                    <w:rPr>
                      <w:color w:val="auto"/>
                      <w:u w:val="single"/>
                    </w:rPr>
                  </w:pPr>
                  <w:r>
                    <w:rPr>
                      <w:rFonts w:hint="eastAsia"/>
                      <w:color w:val="auto"/>
                      <w:u w:val="single"/>
                    </w:rPr>
                    <w:t>1665</w:t>
                  </w:r>
                </w:p>
              </w:tc>
              <w:tc>
                <w:tcPr>
                  <w:tcW w:w="844" w:type="pct"/>
                  <w:vAlign w:val="center"/>
                </w:tcPr>
                <w:p w14:paraId="039942DB">
                  <w:pPr>
                    <w:widowControl/>
                    <w:jc w:val="center"/>
                    <w:rPr>
                      <w:color w:val="auto"/>
                      <w:u w:val="single"/>
                    </w:rPr>
                  </w:pPr>
                  <w:r>
                    <w:rPr>
                      <w:rFonts w:hint="eastAsia"/>
                      <w:color w:val="auto"/>
                      <w:u w:val="single"/>
                    </w:rPr>
                    <w:t>1665</w:t>
                  </w:r>
                </w:p>
              </w:tc>
              <w:tc>
                <w:tcPr>
                  <w:tcW w:w="863" w:type="pct"/>
                  <w:vAlign w:val="center"/>
                </w:tcPr>
                <w:p w14:paraId="29A68089">
                  <w:pPr>
                    <w:widowControl/>
                    <w:jc w:val="center"/>
                    <w:rPr>
                      <w:color w:val="auto"/>
                      <w:u w:val="single"/>
                    </w:rPr>
                  </w:pPr>
                  <w:r>
                    <w:rPr>
                      <w:rFonts w:hint="eastAsia"/>
                      <w:color w:val="auto"/>
                      <w:u w:val="single"/>
                    </w:rPr>
                    <w:t>/</w:t>
                  </w:r>
                </w:p>
              </w:tc>
              <w:tc>
                <w:tcPr>
                  <w:tcW w:w="1023" w:type="pct"/>
                  <w:vAlign w:val="center"/>
                </w:tcPr>
                <w:p w14:paraId="739DCB5A">
                  <w:pPr>
                    <w:widowControl/>
                    <w:jc w:val="center"/>
                    <w:rPr>
                      <w:color w:val="auto"/>
                      <w:u w:val="single"/>
                    </w:rPr>
                  </w:pPr>
                  <w:r>
                    <w:rPr>
                      <w:rFonts w:hint="eastAsia"/>
                      <w:color w:val="auto"/>
                      <w:u w:val="single"/>
                    </w:rPr>
                    <w:t>循环利用</w:t>
                  </w:r>
                </w:p>
              </w:tc>
            </w:tr>
          </w:tbl>
          <w:p w14:paraId="1C0E02E9">
            <w:pPr>
              <w:spacing w:line="360" w:lineRule="auto"/>
              <w:jc w:val="center"/>
              <w:textAlignment w:val="baseline"/>
              <w:rPr>
                <w:color w:val="auto"/>
              </w:rPr>
            </w:pPr>
            <w:r>
              <w:rPr>
                <w:rFonts w:hint="eastAsia"/>
                <w:color w:val="auto"/>
                <w:u w:val="single"/>
              </w:rPr>
              <w:object>
                <v:shape id="_x0000_i1025" o:spt="75" type="#_x0000_t75" style="height:355.45pt;width:376.4pt;" o:ole="t" filled="f" o:preferrelative="t" stroked="f" coordsize="21600,21600">
                  <v:path/>
                  <v:fill on="f" focussize="0,0"/>
                  <v:stroke on="f" joinstyle="miter"/>
                  <v:imagedata r:id="rId7" o:title=""/>
                  <o:lock v:ext="edit" aspectratio="t"/>
                  <w10:wrap type="none"/>
                  <w10:anchorlock/>
                </v:shape>
                <o:OLEObject Type="Embed" ProgID="Visio.Drawing.11" ShapeID="_x0000_i1025" DrawAspect="Content" ObjectID="_1468075725" r:id="rId6">
                  <o:LockedField>false</o:LockedField>
                </o:OLEObject>
              </w:object>
            </w:r>
          </w:p>
          <w:p w14:paraId="6092574B">
            <w:pPr>
              <w:jc w:val="center"/>
              <w:rPr>
                <w:b/>
                <w:bCs/>
                <w:color w:val="auto"/>
                <w:u w:val="single"/>
              </w:rPr>
            </w:pPr>
            <w:r>
              <w:rPr>
                <w:rFonts w:hint="eastAsia"/>
                <w:b/>
                <w:bCs/>
                <w:color w:val="auto"/>
                <w:u w:val="single"/>
              </w:rPr>
              <w:t>图2-2  水平衡图  单位：t/a</w:t>
            </w:r>
          </w:p>
          <w:p w14:paraId="692BD05B">
            <w:pPr>
              <w:autoSpaceDE w:val="0"/>
              <w:autoSpaceDN w:val="0"/>
              <w:adjustRightInd w:val="0"/>
              <w:spacing w:line="360" w:lineRule="auto"/>
              <w:rPr>
                <w:b/>
                <w:bCs/>
                <w:color w:val="auto"/>
                <w:sz w:val="24"/>
              </w:rPr>
            </w:pPr>
            <w:r>
              <w:rPr>
                <w:rFonts w:hint="eastAsia"/>
                <w:b/>
                <w:bCs/>
                <w:color w:val="auto"/>
                <w:sz w:val="24"/>
              </w:rPr>
              <w:t>2.8</w:t>
            </w:r>
            <w:r>
              <w:rPr>
                <w:b/>
                <w:bCs/>
                <w:color w:val="auto"/>
                <w:sz w:val="24"/>
              </w:rPr>
              <w:t>、项目</w:t>
            </w:r>
            <w:r>
              <w:rPr>
                <w:rFonts w:hint="eastAsia"/>
                <w:b/>
                <w:bCs/>
                <w:color w:val="auto"/>
                <w:sz w:val="24"/>
              </w:rPr>
              <w:t>平面布置及</w:t>
            </w:r>
            <w:r>
              <w:rPr>
                <w:b/>
                <w:bCs/>
                <w:color w:val="auto"/>
                <w:sz w:val="24"/>
              </w:rPr>
              <w:t>四邻关系</w:t>
            </w:r>
          </w:p>
          <w:p w14:paraId="50E5136A">
            <w:pPr>
              <w:spacing w:line="360" w:lineRule="auto"/>
              <w:ind w:firstLine="480" w:firstLineChars="200"/>
              <w:rPr>
                <w:color w:val="auto"/>
                <w:sz w:val="24"/>
              </w:rPr>
            </w:pPr>
            <w:r>
              <w:rPr>
                <w:rFonts w:hint="eastAsia"/>
                <w:color w:val="auto"/>
                <w:sz w:val="24"/>
              </w:rPr>
              <w:t>本项目位于湖南省湘潭市经济开发区湘潭国发重工有限公司已建车间内，根据本项目生产的特点，生产厂房总平面布置确定以下布置原则：合理组织功能分区，合理布置生产设施，合理布置工艺车间，工艺流程顺畅，合理组织交通运输，物料运输方便快捷；满足消防及其他国家规范要求。</w:t>
            </w:r>
          </w:p>
          <w:p w14:paraId="7F26B9F9">
            <w:pPr>
              <w:spacing w:line="360" w:lineRule="auto"/>
              <w:ind w:firstLine="472" w:firstLineChars="200"/>
              <w:rPr>
                <w:color w:val="auto"/>
                <w:sz w:val="24"/>
              </w:rPr>
            </w:pPr>
            <w:r>
              <w:rPr>
                <w:color w:val="auto"/>
                <w:spacing w:val="-2"/>
                <w:position w:val="-6"/>
                <w:sz w:val="24"/>
                <w:lang w:bidi="ar"/>
              </w:rPr>
              <w:t>本项目厂区泡沫模生产车间（包括发泡工序、成型工序、模具组装工序、模具烘干工序）设置在厂房</w:t>
            </w:r>
            <w:r>
              <w:rPr>
                <w:rFonts w:hint="eastAsia"/>
                <w:color w:val="auto"/>
                <w:spacing w:val="-2"/>
                <w:position w:val="-6"/>
                <w:sz w:val="24"/>
                <w:lang w:bidi="ar"/>
              </w:rPr>
              <w:t>东侧和东北</w:t>
            </w:r>
            <w:r>
              <w:rPr>
                <w:color w:val="auto"/>
                <w:spacing w:val="-2"/>
                <w:position w:val="-6"/>
                <w:sz w:val="24"/>
                <w:lang w:bidi="ar"/>
              </w:rPr>
              <w:t>侧，</w:t>
            </w:r>
            <w:r>
              <w:rPr>
                <w:rFonts w:hint="eastAsia"/>
                <w:color w:val="auto"/>
                <w:spacing w:val="-2"/>
                <w:position w:val="-6"/>
                <w:sz w:val="24"/>
                <w:lang w:bidi="ar"/>
              </w:rPr>
              <w:t>水玻璃工艺造型浇铸区和</w:t>
            </w:r>
            <w:r>
              <w:rPr>
                <w:color w:val="auto"/>
                <w:spacing w:val="-2"/>
                <w:position w:val="-6"/>
                <w:sz w:val="24"/>
                <w:lang w:bidi="ar"/>
              </w:rPr>
              <w:t>消失模砂处理造型浇铸车间（包括涂料刷涂工序、涂料烘干工序、砂造型工序、浇铸工序、砂处理工序）位于厂房中部，机加工车间位于厂房</w:t>
            </w:r>
            <w:r>
              <w:rPr>
                <w:rFonts w:hint="eastAsia"/>
                <w:color w:val="auto"/>
                <w:spacing w:val="-2"/>
                <w:position w:val="-6"/>
                <w:sz w:val="24"/>
                <w:lang w:bidi="ar"/>
              </w:rPr>
              <w:t>西</w:t>
            </w:r>
            <w:r>
              <w:rPr>
                <w:color w:val="auto"/>
                <w:spacing w:val="-2"/>
                <w:position w:val="-6"/>
                <w:sz w:val="24"/>
                <w:lang w:bidi="ar"/>
              </w:rPr>
              <w:t>侧。厂房</w:t>
            </w:r>
            <w:r>
              <w:rPr>
                <w:rFonts w:hint="eastAsia"/>
                <w:color w:val="auto"/>
                <w:spacing w:val="-2"/>
                <w:position w:val="-6"/>
                <w:sz w:val="24"/>
                <w:lang w:bidi="ar"/>
              </w:rPr>
              <w:t>东</w:t>
            </w:r>
            <w:r>
              <w:rPr>
                <w:color w:val="auto"/>
                <w:spacing w:val="-2"/>
                <w:position w:val="-6"/>
                <w:sz w:val="24"/>
                <w:lang w:bidi="ar"/>
              </w:rPr>
              <w:t>侧设置锅炉房、储气罐等公用辅助设施，往</w:t>
            </w:r>
            <w:r>
              <w:rPr>
                <w:rFonts w:hint="eastAsia"/>
                <w:color w:val="auto"/>
                <w:spacing w:val="-2"/>
                <w:position w:val="-6"/>
                <w:sz w:val="24"/>
                <w:lang w:bidi="ar"/>
              </w:rPr>
              <w:t>西</w:t>
            </w:r>
            <w:r>
              <w:rPr>
                <w:color w:val="auto"/>
                <w:spacing w:val="-2"/>
                <w:position w:val="-6"/>
                <w:sz w:val="24"/>
                <w:lang w:bidi="ar"/>
              </w:rPr>
              <w:t>为原料存放区。泡沫膜生产车间中预发泡区、蒸压成型区、白模粘接区主要分布在</w:t>
            </w:r>
            <w:r>
              <w:rPr>
                <w:rFonts w:hint="eastAsia"/>
                <w:color w:val="auto"/>
                <w:spacing w:val="-2"/>
                <w:position w:val="-6"/>
                <w:sz w:val="24"/>
                <w:lang w:bidi="ar"/>
              </w:rPr>
              <w:t>东北</w:t>
            </w:r>
            <w:r>
              <w:rPr>
                <w:color w:val="auto"/>
                <w:spacing w:val="-2"/>
                <w:position w:val="-6"/>
                <w:sz w:val="24"/>
                <w:lang w:bidi="ar"/>
              </w:rPr>
              <w:t>侧，烘干区在其</w:t>
            </w:r>
            <w:r>
              <w:rPr>
                <w:rFonts w:hint="eastAsia"/>
                <w:color w:val="auto"/>
                <w:spacing w:val="-2"/>
                <w:position w:val="-6"/>
                <w:sz w:val="24"/>
                <w:lang w:bidi="ar"/>
              </w:rPr>
              <w:t>南</w:t>
            </w:r>
            <w:r>
              <w:rPr>
                <w:color w:val="auto"/>
                <w:spacing w:val="-2"/>
                <w:position w:val="-6"/>
                <w:sz w:val="24"/>
                <w:lang w:bidi="ar"/>
              </w:rPr>
              <w:t>侧；</w:t>
            </w:r>
            <w:r>
              <w:rPr>
                <w:rFonts w:hint="eastAsia"/>
                <w:color w:val="auto"/>
                <w:spacing w:val="-2"/>
                <w:position w:val="-6"/>
                <w:sz w:val="24"/>
                <w:lang w:bidi="ar"/>
              </w:rPr>
              <w:t>中部设置水玻璃工艺造型</w:t>
            </w:r>
            <w:r>
              <w:rPr>
                <w:color w:val="auto"/>
                <w:spacing w:val="-2"/>
                <w:position w:val="-6"/>
                <w:sz w:val="24"/>
                <w:lang w:bidi="ar"/>
              </w:rPr>
              <w:t>浇铸</w:t>
            </w:r>
            <w:r>
              <w:rPr>
                <w:rFonts w:hint="eastAsia"/>
                <w:color w:val="auto"/>
                <w:spacing w:val="-2"/>
                <w:position w:val="-6"/>
                <w:sz w:val="24"/>
                <w:lang w:bidi="ar"/>
              </w:rPr>
              <w:t>区，</w:t>
            </w:r>
            <w:r>
              <w:rPr>
                <w:color w:val="auto"/>
                <w:spacing w:val="-2"/>
                <w:position w:val="-6"/>
                <w:sz w:val="24"/>
                <w:lang w:bidi="ar"/>
              </w:rPr>
              <w:t>消失模砂处理造型浇铸车间由</w:t>
            </w:r>
            <w:r>
              <w:rPr>
                <w:rFonts w:hint="eastAsia"/>
                <w:color w:val="auto"/>
                <w:spacing w:val="-2"/>
                <w:position w:val="-6"/>
                <w:sz w:val="24"/>
                <w:lang w:bidi="ar"/>
              </w:rPr>
              <w:t>东</w:t>
            </w:r>
            <w:r>
              <w:rPr>
                <w:color w:val="auto"/>
                <w:spacing w:val="-2"/>
                <w:position w:val="-6"/>
                <w:sz w:val="24"/>
                <w:lang w:bidi="ar"/>
              </w:rPr>
              <w:t>至</w:t>
            </w:r>
            <w:r>
              <w:rPr>
                <w:rFonts w:hint="eastAsia"/>
                <w:color w:val="auto"/>
                <w:spacing w:val="-2"/>
                <w:position w:val="-6"/>
                <w:sz w:val="24"/>
                <w:lang w:bidi="ar"/>
              </w:rPr>
              <w:t>西</w:t>
            </w:r>
            <w:r>
              <w:rPr>
                <w:color w:val="auto"/>
                <w:spacing w:val="-2"/>
                <w:position w:val="-6"/>
                <w:sz w:val="24"/>
                <w:lang w:bidi="ar"/>
              </w:rPr>
              <w:t>分别为</w:t>
            </w:r>
            <w:r>
              <w:rPr>
                <w:rFonts w:hint="eastAsia"/>
                <w:color w:val="auto"/>
                <w:spacing w:val="-2"/>
                <w:position w:val="-6"/>
                <w:sz w:val="24"/>
                <w:lang w:bidi="ar"/>
              </w:rPr>
              <w:t>粉</w:t>
            </w:r>
            <w:r>
              <w:rPr>
                <w:color w:val="auto"/>
                <w:spacing w:val="-2"/>
                <w:position w:val="-6"/>
                <w:sz w:val="24"/>
                <w:lang w:bidi="ar"/>
              </w:rPr>
              <w:t>料刷涂及烘干区-消失模砂处理造型浇铸区，往</w:t>
            </w:r>
            <w:r>
              <w:rPr>
                <w:rFonts w:hint="eastAsia"/>
                <w:color w:val="auto"/>
                <w:spacing w:val="-2"/>
                <w:position w:val="-6"/>
                <w:sz w:val="24"/>
                <w:lang w:bidi="ar"/>
              </w:rPr>
              <w:t>西</w:t>
            </w:r>
            <w:r>
              <w:rPr>
                <w:color w:val="auto"/>
                <w:spacing w:val="-2"/>
                <w:position w:val="-6"/>
                <w:sz w:val="24"/>
                <w:lang w:bidi="ar"/>
              </w:rPr>
              <w:t>设置抛丸打磨区</w:t>
            </w:r>
            <w:r>
              <w:rPr>
                <w:rFonts w:hint="eastAsia"/>
                <w:color w:val="auto"/>
                <w:spacing w:val="-2"/>
                <w:position w:val="-6"/>
                <w:sz w:val="24"/>
                <w:lang w:bidi="ar"/>
              </w:rPr>
              <w:t>和喷漆房</w:t>
            </w:r>
            <w:r>
              <w:rPr>
                <w:color w:val="auto"/>
                <w:spacing w:val="-2"/>
                <w:position w:val="-6"/>
                <w:sz w:val="24"/>
                <w:lang w:bidi="ar"/>
              </w:rPr>
              <w:t>，打磨区</w:t>
            </w:r>
            <w:r>
              <w:rPr>
                <w:rFonts w:hint="eastAsia"/>
                <w:color w:val="auto"/>
                <w:spacing w:val="-2"/>
                <w:position w:val="-6"/>
                <w:sz w:val="24"/>
                <w:lang w:bidi="ar"/>
              </w:rPr>
              <w:t>北</w:t>
            </w:r>
            <w:r>
              <w:rPr>
                <w:color w:val="auto"/>
                <w:spacing w:val="-2"/>
                <w:position w:val="-6"/>
                <w:sz w:val="24"/>
                <w:lang w:bidi="ar"/>
              </w:rPr>
              <w:t>侧为铸件存放区；厂房最西侧为仓库区和机加工区。</w:t>
            </w:r>
          </w:p>
          <w:p w14:paraId="0BB977F3">
            <w:pPr>
              <w:spacing w:line="360" w:lineRule="auto"/>
              <w:ind w:firstLine="480" w:firstLineChars="200"/>
              <w:rPr>
                <w:color w:val="auto"/>
                <w:sz w:val="24"/>
              </w:rPr>
            </w:pPr>
            <w:r>
              <w:rPr>
                <w:rFonts w:hint="eastAsia"/>
                <w:color w:val="auto"/>
                <w:sz w:val="24"/>
              </w:rPr>
              <w:t>本项目生产设备总体上按工艺顺序进行布置，物料运输距离小，布局紧凑，工艺流程顺畅，功能分区明确，能够满足生产和加强环境管理要求。平面布置在满足工艺流程顺畅的基础上，可最大限度减小项目污染物对外环境的影响。因此本项目厂区平面布置较为合理。厂房平面布置示意图见附图 2。</w:t>
            </w:r>
          </w:p>
          <w:p w14:paraId="653B6DBB">
            <w:pPr>
              <w:spacing w:line="360" w:lineRule="auto"/>
              <w:ind w:firstLine="480" w:firstLineChars="200"/>
              <w:rPr>
                <w:color w:val="auto"/>
                <w:sz w:val="24"/>
              </w:rPr>
            </w:pPr>
            <w:r>
              <w:rPr>
                <w:rFonts w:hint="eastAsia"/>
                <w:color w:val="auto"/>
                <w:sz w:val="24"/>
              </w:rPr>
              <w:t>本项目位于湘潭天易经开区海鸥东路370号，项目所在厂房位置四邻关系如下：项目与湖南中润科技发展有限公司共用厂房，北面为湘潭国发重工有限公司自有厂房，北临海鸥东路，东面为湖南五子醉食品有限公司三期项目，南面为湖南五子醉集团有限公司，西面为空置土地，西北面为湖南新向维科技有限公司。</w:t>
            </w:r>
          </w:p>
          <w:p w14:paraId="33ED9193">
            <w:pPr>
              <w:autoSpaceDE w:val="0"/>
              <w:autoSpaceDN w:val="0"/>
              <w:adjustRightInd w:val="0"/>
              <w:spacing w:line="360" w:lineRule="auto"/>
              <w:rPr>
                <w:b/>
                <w:bCs/>
                <w:color w:val="auto"/>
                <w:sz w:val="24"/>
              </w:rPr>
            </w:pPr>
            <w:r>
              <w:rPr>
                <w:rFonts w:hint="eastAsia"/>
                <w:b/>
                <w:bCs/>
                <w:color w:val="auto"/>
                <w:sz w:val="24"/>
              </w:rPr>
              <w:t>2.9依托工程</w:t>
            </w:r>
          </w:p>
          <w:p w14:paraId="3BF68ACC">
            <w:pPr>
              <w:adjustRightInd w:val="0"/>
              <w:snapToGrid w:val="0"/>
              <w:spacing w:line="360" w:lineRule="auto"/>
              <w:ind w:firstLine="422" w:firstLineChars="200"/>
              <w:jc w:val="center"/>
              <w:rPr>
                <w:b/>
                <w:color w:val="auto"/>
                <w:szCs w:val="21"/>
                <w:lang w:val="en-GB"/>
              </w:rPr>
            </w:pPr>
            <w:r>
              <w:rPr>
                <w:rFonts w:hint="eastAsia"/>
                <w:b/>
                <w:color w:val="auto"/>
                <w:szCs w:val="21"/>
                <w:lang w:val="en-GB"/>
              </w:rPr>
              <w:t>表</w:t>
            </w:r>
            <w:r>
              <w:rPr>
                <w:rFonts w:hint="eastAsia"/>
                <w:b/>
                <w:color w:val="auto"/>
                <w:szCs w:val="21"/>
              </w:rPr>
              <w:t xml:space="preserve">2-9  </w:t>
            </w:r>
            <w:r>
              <w:rPr>
                <w:rFonts w:hint="eastAsia"/>
                <w:b/>
                <w:color w:val="auto"/>
                <w:szCs w:val="21"/>
                <w:lang w:val="en-GB"/>
              </w:rPr>
              <w:t>本项目与</w:t>
            </w:r>
            <w:r>
              <w:rPr>
                <w:rFonts w:hint="eastAsia"/>
                <w:b/>
                <w:color w:val="auto"/>
                <w:szCs w:val="21"/>
              </w:rPr>
              <w:t>租赁单位</w:t>
            </w:r>
            <w:r>
              <w:rPr>
                <w:rFonts w:hint="eastAsia"/>
                <w:b/>
                <w:color w:val="auto"/>
                <w:szCs w:val="21"/>
                <w:lang w:val="en-GB"/>
              </w:rPr>
              <w:t>的依托关系</w:t>
            </w:r>
          </w:p>
          <w:tbl>
            <w:tblPr>
              <w:tblStyle w:val="30"/>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724"/>
              <w:gridCol w:w="933"/>
              <w:gridCol w:w="5980"/>
            </w:tblGrid>
            <w:tr w14:paraId="4DB58E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30" w:type="pct"/>
                  <w:tcBorders>
                    <w:tl2br w:val="nil"/>
                    <w:tr2bl w:val="nil"/>
                  </w:tcBorders>
                  <w:vAlign w:val="center"/>
                </w:tcPr>
                <w:p w14:paraId="7C377824">
                  <w:pPr>
                    <w:jc w:val="center"/>
                    <w:rPr>
                      <w:color w:val="auto"/>
                      <w:szCs w:val="21"/>
                      <w:lang w:val="en-GB"/>
                    </w:rPr>
                  </w:pPr>
                  <w:r>
                    <w:rPr>
                      <w:color w:val="auto"/>
                      <w:szCs w:val="21"/>
                      <w:lang w:val="en-GB"/>
                    </w:rPr>
                    <w:t>序号</w:t>
                  </w:r>
                </w:p>
              </w:tc>
              <w:tc>
                <w:tcPr>
                  <w:tcW w:w="991" w:type="pct"/>
                  <w:gridSpan w:val="2"/>
                  <w:tcBorders>
                    <w:tl2br w:val="nil"/>
                    <w:tr2bl w:val="nil"/>
                  </w:tcBorders>
                  <w:vAlign w:val="center"/>
                </w:tcPr>
                <w:p w14:paraId="7708FA94">
                  <w:pPr>
                    <w:jc w:val="center"/>
                    <w:rPr>
                      <w:color w:val="auto"/>
                      <w:szCs w:val="21"/>
                      <w:lang w:val="en-GB"/>
                    </w:rPr>
                  </w:pPr>
                  <w:r>
                    <w:rPr>
                      <w:color w:val="auto"/>
                      <w:szCs w:val="21"/>
                      <w:lang w:val="en-GB"/>
                    </w:rPr>
                    <w:t>工程内容</w:t>
                  </w:r>
                </w:p>
              </w:tc>
              <w:tc>
                <w:tcPr>
                  <w:tcW w:w="3578" w:type="pct"/>
                  <w:tcBorders>
                    <w:tl2br w:val="nil"/>
                    <w:tr2bl w:val="nil"/>
                  </w:tcBorders>
                  <w:vAlign w:val="center"/>
                </w:tcPr>
                <w:p w14:paraId="2E82098F">
                  <w:pPr>
                    <w:jc w:val="center"/>
                    <w:rPr>
                      <w:color w:val="auto"/>
                      <w:szCs w:val="21"/>
                      <w:lang w:val="en-GB"/>
                    </w:rPr>
                  </w:pPr>
                  <w:r>
                    <w:rPr>
                      <w:color w:val="auto"/>
                      <w:szCs w:val="21"/>
                      <w:lang w:val="en-GB"/>
                    </w:rPr>
                    <w:t>依托关系</w:t>
                  </w:r>
                </w:p>
              </w:tc>
            </w:tr>
            <w:tr w14:paraId="451CDE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30" w:type="pct"/>
                  <w:tcBorders>
                    <w:tl2br w:val="nil"/>
                    <w:tr2bl w:val="nil"/>
                  </w:tcBorders>
                  <w:vAlign w:val="center"/>
                </w:tcPr>
                <w:p w14:paraId="49207078">
                  <w:pPr>
                    <w:jc w:val="center"/>
                    <w:rPr>
                      <w:color w:val="auto"/>
                      <w:szCs w:val="21"/>
                      <w:lang w:val="en-GB"/>
                    </w:rPr>
                  </w:pPr>
                  <w:r>
                    <w:rPr>
                      <w:color w:val="auto"/>
                      <w:szCs w:val="21"/>
                      <w:lang w:val="en-GB"/>
                    </w:rPr>
                    <w:t>1</w:t>
                  </w:r>
                </w:p>
              </w:tc>
              <w:tc>
                <w:tcPr>
                  <w:tcW w:w="433" w:type="pct"/>
                  <w:vMerge w:val="restart"/>
                  <w:tcBorders>
                    <w:tl2br w:val="nil"/>
                    <w:tr2bl w:val="nil"/>
                  </w:tcBorders>
                  <w:vAlign w:val="center"/>
                </w:tcPr>
                <w:p w14:paraId="7C877F49">
                  <w:pPr>
                    <w:pStyle w:val="76"/>
                    <w:jc w:val="center"/>
                    <w:rPr>
                      <w:rFonts w:ascii="Times New Roman" w:hAnsi="Times New Roman"/>
                      <w:color w:val="auto"/>
                      <w:szCs w:val="21"/>
                    </w:rPr>
                  </w:pPr>
                  <w:r>
                    <w:rPr>
                      <w:rFonts w:hint="eastAsia" w:ascii="Times New Roman" w:hAnsi="Times New Roman"/>
                      <w:color w:val="auto"/>
                      <w:szCs w:val="21"/>
                    </w:rPr>
                    <w:t>公用工程</w:t>
                  </w:r>
                </w:p>
              </w:tc>
              <w:tc>
                <w:tcPr>
                  <w:tcW w:w="557" w:type="pct"/>
                  <w:tcBorders>
                    <w:tl2br w:val="nil"/>
                    <w:tr2bl w:val="nil"/>
                  </w:tcBorders>
                  <w:vAlign w:val="center"/>
                </w:tcPr>
                <w:p w14:paraId="752B0F99">
                  <w:pPr>
                    <w:pStyle w:val="76"/>
                    <w:jc w:val="center"/>
                    <w:rPr>
                      <w:rFonts w:ascii="Times New Roman" w:hAnsi="Times New Roman"/>
                      <w:color w:val="auto"/>
                      <w:szCs w:val="21"/>
                    </w:rPr>
                  </w:pPr>
                  <w:r>
                    <w:rPr>
                      <w:rFonts w:ascii="Times New Roman" w:hAnsi="Times New Roman"/>
                      <w:color w:val="auto"/>
                      <w:szCs w:val="21"/>
                    </w:rPr>
                    <w:t>供电</w:t>
                  </w:r>
                </w:p>
              </w:tc>
              <w:tc>
                <w:tcPr>
                  <w:tcW w:w="3578" w:type="pct"/>
                  <w:tcBorders>
                    <w:tl2br w:val="nil"/>
                    <w:tr2bl w:val="nil"/>
                  </w:tcBorders>
                  <w:vAlign w:val="center"/>
                </w:tcPr>
                <w:p w14:paraId="100258FF">
                  <w:pPr>
                    <w:jc w:val="center"/>
                    <w:rPr>
                      <w:color w:val="auto"/>
                      <w:szCs w:val="21"/>
                      <w:lang w:val="en-GB"/>
                    </w:rPr>
                  </w:pPr>
                  <w:r>
                    <w:rPr>
                      <w:color w:val="auto"/>
                      <w:szCs w:val="21"/>
                      <w:lang w:val="en-GB"/>
                    </w:rPr>
                    <w:t>依托</w:t>
                  </w:r>
                  <w:r>
                    <w:rPr>
                      <w:color w:val="auto"/>
                      <w:szCs w:val="21"/>
                    </w:rPr>
                    <w:t>湘潭国发重工有限公司</w:t>
                  </w:r>
                  <w:r>
                    <w:rPr>
                      <w:color w:val="auto"/>
                      <w:szCs w:val="21"/>
                      <w:lang w:val="en-GB"/>
                    </w:rPr>
                    <w:t>的供电设施，市政电网供给</w:t>
                  </w:r>
                </w:p>
              </w:tc>
            </w:tr>
            <w:tr w14:paraId="555D68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30" w:type="pct"/>
                  <w:tcBorders>
                    <w:tl2br w:val="nil"/>
                    <w:tr2bl w:val="nil"/>
                  </w:tcBorders>
                  <w:vAlign w:val="center"/>
                </w:tcPr>
                <w:p w14:paraId="7F85CAEE">
                  <w:pPr>
                    <w:jc w:val="center"/>
                    <w:rPr>
                      <w:color w:val="auto"/>
                      <w:szCs w:val="21"/>
                      <w:lang w:val="en-GB"/>
                    </w:rPr>
                  </w:pPr>
                  <w:r>
                    <w:rPr>
                      <w:color w:val="auto"/>
                      <w:szCs w:val="21"/>
                      <w:lang w:val="en-GB"/>
                    </w:rPr>
                    <w:t>2</w:t>
                  </w:r>
                </w:p>
              </w:tc>
              <w:tc>
                <w:tcPr>
                  <w:tcW w:w="433" w:type="pct"/>
                  <w:vMerge w:val="continue"/>
                  <w:tcBorders>
                    <w:tl2br w:val="nil"/>
                    <w:tr2bl w:val="nil"/>
                  </w:tcBorders>
                  <w:vAlign w:val="center"/>
                </w:tcPr>
                <w:p w14:paraId="4AC6FC54">
                  <w:pPr>
                    <w:pStyle w:val="76"/>
                    <w:jc w:val="center"/>
                    <w:rPr>
                      <w:rFonts w:ascii="Times New Roman" w:hAnsi="Times New Roman"/>
                      <w:color w:val="auto"/>
                      <w:szCs w:val="21"/>
                    </w:rPr>
                  </w:pPr>
                </w:p>
              </w:tc>
              <w:tc>
                <w:tcPr>
                  <w:tcW w:w="557" w:type="pct"/>
                  <w:tcBorders>
                    <w:tl2br w:val="nil"/>
                    <w:tr2bl w:val="nil"/>
                  </w:tcBorders>
                  <w:vAlign w:val="center"/>
                </w:tcPr>
                <w:p w14:paraId="4ECB03B2">
                  <w:pPr>
                    <w:pStyle w:val="76"/>
                    <w:jc w:val="center"/>
                    <w:rPr>
                      <w:rFonts w:ascii="Times New Roman" w:hAnsi="Times New Roman"/>
                      <w:color w:val="auto"/>
                      <w:szCs w:val="21"/>
                    </w:rPr>
                  </w:pPr>
                  <w:r>
                    <w:rPr>
                      <w:rFonts w:ascii="Times New Roman" w:hAnsi="Times New Roman"/>
                      <w:color w:val="auto"/>
                      <w:szCs w:val="21"/>
                    </w:rPr>
                    <w:t>供水</w:t>
                  </w:r>
                </w:p>
              </w:tc>
              <w:tc>
                <w:tcPr>
                  <w:tcW w:w="3578" w:type="pct"/>
                  <w:tcBorders>
                    <w:tl2br w:val="nil"/>
                    <w:tr2bl w:val="nil"/>
                  </w:tcBorders>
                  <w:vAlign w:val="center"/>
                </w:tcPr>
                <w:p w14:paraId="5D59B40E">
                  <w:pPr>
                    <w:jc w:val="center"/>
                    <w:rPr>
                      <w:color w:val="auto"/>
                      <w:szCs w:val="21"/>
                      <w:lang w:val="en-GB"/>
                    </w:rPr>
                  </w:pPr>
                  <w:r>
                    <w:rPr>
                      <w:color w:val="auto"/>
                      <w:szCs w:val="21"/>
                      <w:lang w:val="en-GB"/>
                    </w:rPr>
                    <w:t>依托</w:t>
                  </w:r>
                  <w:r>
                    <w:rPr>
                      <w:color w:val="auto"/>
                      <w:szCs w:val="21"/>
                    </w:rPr>
                    <w:t>湘潭国发重工有限公司</w:t>
                  </w:r>
                  <w:r>
                    <w:rPr>
                      <w:color w:val="auto"/>
                      <w:szCs w:val="21"/>
                      <w:lang w:val="en-GB"/>
                    </w:rPr>
                    <w:t>的供水设施，市政自来水供给</w:t>
                  </w:r>
                </w:p>
              </w:tc>
            </w:tr>
            <w:tr w14:paraId="5F3D92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30" w:type="pct"/>
                  <w:tcBorders>
                    <w:tl2br w:val="nil"/>
                    <w:tr2bl w:val="nil"/>
                  </w:tcBorders>
                  <w:vAlign w:val="center"/>
                </w:tcPr>
                <w:p w14:paraId="7B82F53F">
                  <w:pPr>
                    <w:jc w:val="center"/>
                    <w:rPr>
                      <w:color w:val="auto"/>
                      <w:szCs w:val="21"/>
                    </w:rPr>
                  </w:pPr>
                  <w:r>
                    <w:rPr>
                      <w:color w:val="auto"/>
                      <w:szCs w:val="21"/>
                    </w:rPr>
                    <w:t>3</w:t>
                  </w:r>
                </w:p>
              </w:tc>
              <w:tc>
                <w:tcPr>
                  <w:tcW w:w="433" w:type="pct"/>
                  <w:vMerge w:val="continue"/>
                  <w:tcBorders>
                    <w:tl2br w:val="nil"/>
                    <w:tr2bl w:val="nil"/>
                  </w:tcBorders>
                  <w:vAlign w:val="center"/>
                </w:tcPr>
                <w:p w14:paraId="6A076426">
                  <w:pPr>
                    <w:pStyle w:val="76"/>
                    <w:jc w:val="center"/>
                    <w:rPr>
                      <w:rFonts w:ascii="Times New Roman" w:hAnsi="Times New Roman"/>
                      <w:color w:val="auto"/>
                      <w:szCs w:val="21"/>
                    </w:rPr>
                  </w:pPr>
                </w:p>
              </w:tc>
              <w:tc>
                <w:tcPr>
                  <w:tcW w:w="557" w:type="pct"/>
                  <w:tcBorders>
                    <w:tl2br w:val="nil"/>
                    <w:tr2bl w:val="nil"/>
                  </w:tcBorders>
                  <w:vAlign w:val="center"/>
                </w:tcPr>
                <w:p w14:paraId="389A0628">
                  <w:pPr>
                    <w:pStyle w:val="76"/>
                    <w:jc w:val="center"/>
                    <w:rPr>
                      <w:rFonts w:ascii="Times New Roman" w:hAnsi="Times New Roman"/>
                      <w:color w:val="auto"/>
                      <w:szCs w:val="21"/>
                    </w:rPr>
                  </w:pPr>
                  <w:r>
                    <w:rPr>
                      <w:rFonts w:hint="eastAsia" w:ascii="Times New Roman" w:hAnsi="Times New Roman"/>
                      <w:color w:val="auto"/>
                      <w:szCs w:val="21"/>
                    </w:rPr>
                    <w:t>天然气</w:t>
                  </w:r>
                </w:p>
              </w:tc>
              <w:tc>
                <w:tcPr>
                  <w:tcW w:w="3578" w:type="pct"/>
                  <w:tcBorders>
                    <w:tl2br w:val="nil"/>
                    <w:tr2bl w:val="nil"/>
                  </w:tcBorders>
                  <w:vAlign w:val="center"/>
                </w:tcPr>
                <w:p w14:paraId="07EB0C25">
                  <w:pPr>
                    <w:jc w:val="center"/>
                    <w:rPr>
                      <w:color w:val="auto"/>
                      <w:szCs w:val="21"/>
                      <w:lang w:val="en-GB"/>
                    </w:rPr>
                  </w:pPr>
                  <w:r>
                    <w:rPr>
                      <w:color w:val="auto"/>
                      <w:szCs w:val="21"/>
                      <w:lang w:val="en-GB"/>
                    </w:rPr>
                    <w:t>依托</w:t>
                  </w:r>
                  <w:r>
                    <w:rPr>
                      <w:color w:val="auto"/>
                      <w:szCs w:val="21"/>
                    </w:rPr>
                    <w:t>湘潭国发重工有限公司</w:t>
                  </w:r>
                  <w:r>
                    <w:rPr>
                      <w:rFonts w:hint="eastAsia"/>
                      <w:color w:val="auto"/>
                      <w:szCs w:val="21"/>
                    </w:rPr>
                    <w:t>（园区）</w:t>
                  </w:r>
                  <w:r>
                    <w:rPr>
                      <w:color w:val="auto"/>
                      <w:szCs w:val="21"/>
                      <w:lang w:val="en-GB"/>
                    </w:rPr>
                    <w:t>的天然气</w:t>
                  </w:r>
                  <w:r>
                    <w:rPr>
                      <w:rFonts w:hint="eastAsia"/>
                      <w:color w:val="auto"/>
                      <w:szCs w:val="21"/>
                    </w:rPr>
                    <w:t>管网</w:t>
                  </w:r>
                </w:p>
              </w:tc>
            </w:tr>
            <w:tr w14:paraId="6F8CA3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30" w:type="pct"/>
                  <w:vMerge w:val="restart"/>
                  <w:tcBorders>
                    <w:tl2br w:val="nil"/>
                    <w:tr2bl w:val="nil"/>
                  </w:tcBorders>
                  <w:vAlign w:val="center"/>
                </w:tcPr>
                <w:p w14:paraId="581F8A0B">
                  <w:pPr>
                    <w:jc w:val="center"/>
                    <w:rPr>
                      <w:color w:val="auto"/>
                      <w:szCs w:val="21"/>
                      <w:lang w:val="en-GB"/>
                    </w:rPr>
                  </w:pPr>
                  <w:r>
                    <w:rPr>
                      <w:color w:val="auto"/>
                      <w:szCs w:val="21"/>
                    </w:rPr>
                    <w:t>4</w:t>
                  </w:r>
                </w:p>
              </w:tc>
              <w:tc>
                <w:tcPr>
                  <w:tcW w:w="433" w:type="pct"/>
                  <w:vMerge w:val="restart"/>
                  <w:tcBorders>
                    <w:tl2br w:val="nil"/>
                    <w:tr2bl w:val="nil"/>
                  </w:tcBorders>
                  <w:vAlign w:val="center"/>
                </w:tcPr>
                <w:p w14:paraId="4CFFB311">
                  <w:pPr>
                    <w:jc w:val="center"/>
                    <w:rPr>
                      <w:color w:val="auto"/>
                      <w:szCs w:val="21"/>
                    </w:rPr>
                  </w:pPr>
                  <w:r>
                    <w:rPr>
                      <w:rFonts w:hint="eastAsia"/>
                      <w:color w:val="auto"/>
                      <w:szCs w:val="21"/>
                    </w:rPr>
                    <w:t>环保工程</w:t>
                  </w:r>
                </w:p>
              </w:tc>
              <w:tc>
                <w:tcPr>
                  <w:tcW w:w="557" w:type="pct"/>
                  <w:vMerge w:val="restart"/>
                  <w:tcBorders>
                    <w:tl2br w:val="nil"/>
                    <w:tr2bl w:val="nil"/>
                  </w:tcBorders>
                  <w:vAlign w:val="center"/>
                </w:tcPr>
                <w:p w14:paraId="088582AC">
                  <w:pPr>
                    <w:jc w:val="center"/>
                    <w:rPr>
                      <w:color w:val="auto"/>
                      <w:szCs w:val="21"/>
                    </w:rPr>
                  </w:pPr>
                  <w:r>
                    <w:rPr>
                      <w:rFonts w:hint="eastAsia"/>
                      <w:color w:val="auto"/>
                      <w:szCs w:val="21"/>
                    </w:rPr>
                    <w:t>废水</w:t>
                  </w:r>
                </w:p>
              </w:tc>
              <w:tc>
                <w:tcPr>
                  <w:tcW w:w="3578" w:type="pct"/>
                  <w:tcBorders>
                    <w:tl2br w:val="nil"/>
                    <w:tr2bl w:val="nil"/>
                  </w:tcBorders>
                  <w:vAlign w:val="center"/>
                </w:tcPr>
                <w:p w14:paraId="04F2BEC1">
                  <w:pPr>
                    <w:jc w:val="center"/>
                    <w:rPr>
                      <w:color w:val="auto"/>
                      <w:szCs w:val="21"/>
                      <w:lang w:val="en-GB"/>
                    </w:rPr>
                  </w:pPr>
                  <w:r>
                    <w:rPr>
                      <w:color w:val="auto"/>
                      <w:szCs w:val="21"/>
                      <w:lang w:val="en-GB"/>
                    </w:rPr>
                    <w:t>本项目排水采用雨污分流制，雨水依托</w:t>
                  </w:r>
                  <w:r>
                    <w:rPr>
                      <w:color w:val="auto"/>
                      <w:szCs w:val="21"/>
                    </w:rPr>
                    <w:t>湘潭国发重工有限公司</w:t>
                  </w:r>
                  <w:r>
                    <w:rPr>
                      <w:color w:val="auto"/>
                      <w:szCs w:val="21"/>
                      <w:lang w:val="en-GB"/>
                    </w:rPr>
                    <w:t>雨水排水系统。</w:t>
                  </w:r>
                </w:p>
              </w:tc>
            </w:tr>
            <w:tr w14:paraId="213CAD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30" w:type="pct"/>
                  <w:vMerge w:val="continue"/>
                  <w:tcBorders>
                    <w:tl2br w:val="nil"/>
                    <w:tr2bl w:val="nil"/>
                  </w:tcBorders>
                  <w:vAlign w:val="center"/>
                </w:tcPr>
                <w:p w14:paraId="01660748">
                  <w:pPr>
                    <w:jc w:val="center"/>
                    <w:rPr>
                      <w:color w:val="auto"/>
                      <w:szCs w:val="21"/>
                      <w:lang w:val="en-GB"/>
                    </w:rPr>
                  </w:pPr>
                </w:p>
              </w:tc>
              <w:tc>
                <w:tcPr>
                  <w:tcW w:w="433" w:type="pct"/>
                  <w:vMerge w:val="continue"/>
                  <w:tcBorders>
                    <w:tl2br w:val="nil"/>
                    <w:tr2bl w:val="nil"/>
                  </w:tcBorders>
                  <w:vAlign w:val="center"/>
                </w:tcPr>
                <w:p w14:paraId="42320CAE">
                  <w:pPr>
                    <w:jc w:val="center"/>
                    <w:rPr>
                      <w:color w:val="auto"/>
                      <w:szCs w:val="21"/>
                      <w:lang w:val="en-GB"/>
                    </w:rPr>
                  </w:pPr>
                </w:p>
              </w:tc>
              <w:tc>
                <w:tcPr>
                  <w:tcW w:w="557" w:type="pct"/>
                  <w:vMerge w:val="continue"/>
                  <w:tcBorders>
                    <w:tl2br w:val="nil"/>
                    <w:tr2bl w:val="nil"/>
                  </w:tcBorders>
                  <w:vAlign w:val="center"/>
                </w:tcPr>
                <w:p w14:paraId="151D398B">
                  <w:pPr>
                    <w:jc w:val="center"/>
                    <w:rPr>
                      <w:color w:val="auto"/>
                      <w:szCs w:val="21"/>
                      <w:lang w:val="en-GB"/>
                    </w:rPr>
                  </w:pPr>
                </w:p>
              </w:tc>
              <w:tc>
                <w:tcPr>
                  <w:tcW w:w="3578" w:type="pct"/>
                  <w:tcBorders>
                    <w:tl2br w:val="nil"/>
                    <w:tr2bl w:val="nil"/>
                  </w:tcBorders>
                  <w:vAlign w:val="center"/>
                </w:tcPr>
                <w:p w14:paraId="1D354FA2">
                  <w:pPr>
                    <w:jc w:val="center"/>
                    <w:rPr>
                      <w:color w:val="auto"/>
                      <w:szCs w:val="21"/>
                    </w:rPr>
                  </w:pPr>
                  <w:r>
                    <w:rPr>
                      <w:rFonts w:hint="eastAsia"/>
                      <w:color w:val="auto"/>
                      <w:szCs w:val="21"/>
                    </w:rPr>
                    <w:t>项目无生产废水外排。</w:t>
                  </w:r>
                  <w:r>
                    <w:rPr>
                      <w:color w:val="auto"/>
                      <w:szCs w:val="21"/>
                    </w:rPr>
                    <w:t>生活污水</w:t>
                  </w:r>
                  <w:r>
                    <w:rPr>
                      <w:rFonts w:hint="eastAsia"/>
                      <w:color w:val="auto"/>
                      <w:szCs w:val="21"/>
                    </w:rPr>
                    <w:t>依托</w:t>
                  </w:r>
                  <w:r>
                    <w:rPr>
                      <w:color w:val="auto"/>
                      <w:szCs w:val="21"/>
                    </w:rPr>
                    <w:t>湘潭国发重工有限公司化粪池处理后，达到《污水综合排放标准》表4中三级标准及湘潭县第</w:t>
                  </w:r>
                  <w:r>
                    <w:rPr>
                      <w:rFonts w:hint="eastAsia"/>
                      <w:color w:val="auto"/>
                      <w:szCs w:val="21"/>
                    </w:rPr>
                    <w:t>一</w:t>
                  </w:r>
                  <w:r>
                    <w:rPr>
                      <w:color w:val="auto"/>
                      <w:szCs w:val="21"/>
                    </w:rPr>
                    <w:t>污水处理厂进水水质接纳标准后排入城市污水管网。</w:t>
                  </w:r>
                </w:p>
              </w:tc>
            </w:tr>
          </w:tbl>
          <w:p w14:paraId="2FE94027">
            <w:pPr>
              <w:pStyle w:val="5"/>
              <w:rPr>
                <w:color w:val="auto"/>
              </w:rPr>
            </w:pPr>
          </w:p>
          <w:p w14:paraId="224EF6F4">
            <w:pPr>
              <w:pStyle w:val="5"/>
              <w:rPr>
                <w:color w:val="auto"/>
              </w:rPr>
            </w:pPr>
          </w:p>
        </w:tc>
      </w:tr>
      <w:tr w14:paraId="33941A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48" w:hRule="atLeast"/>
          <w:jc w:val="center"/>
        </w:trPr>
        <w:tc>
          <w:tcPr>
            <w:tcW w:w="823" w:type="dxa"/>
            <w:vAlign w:val="center"/>
          </w:tcPr>
          <w:p w14:paraId="1621573B">
            <w:pPr>
              <w:pStyle w:val="26"/>
              <w:adjustRightInd w:val="0"/>
              <w:snapToGrid w:val="0"/>
              <w:spacing w:before="0" w:beforeAutospacing="0" w:after="0" w:afterAutospacing="0"/>
              <w:jc w:val="center"/>
              <w:rPr>
                <w:rFonts w:cs="宋体"/>
                <w:color w:val="auto"/>
                <w:sz w:val="21"/>
                <w:szCs w:val="21"/>
              </w:rPr>
            </w:pPr>
            <w:r>
              <w:rPr>
                <w:rFonts w:hint="eastAsia" w:cs="宋体"/>
                <w:color w:val="auto"/>
                <w:szCs w:val="24"/>
              </w:rPr>
              <w:t>工艺流程和产排污环节</w:t>
            </w:r>
          </w:p>
        </w:tc>
        <w:tc>
          <w:tcPr>
            <w:tcW w:w="8161" w:type="dxa"/>
          </w:tcPr>
          <w:p w14:paraId="181C3306">
            <w:pPr>
              <w:spacing w:line="360" w:lineRule="auto"/>
              <w:jc w:val="left"/>
              <w:rPr>
                <w:b/>
                <w:bCs/>
                <w:color w:val="auto"/>
                <w:sz w:val="24"/>
              </w:rPr>
            </w:pPr>
            <w:r>
              <w:rPr>
                <w:rFonts w:hint="eastAsia"/>
                <w:b/>
                <w:bCs/>
                <w:color w:val="auto"/>
                <w:sz w:val="24"/>
              </w:rPr>
              <w:t>1、施工期</w:t>
            </w:r>
          </w:p>
          <w:p w14:paraId="0CDE36B0">
            <w:pPr>
              <w:spacing w:line="360" w:lineRule="auto"/>
              <w:ind w:firstLine="480" w:firstLineChars="200"/>
              <w:rPr>
                <w:color w:val="auto"/>
              </w:rPr>
            </w:pPr>
            <w:r>
              <w:rPr>
                <w:rFonts w:hint="eastAsia"/>
                <w:color w:val="auto"/>
                <w:sz w:val="24"/>
              </w:rPr>
              <w:t>本项目租赁空置厂房进行生产，不进行土建工程，施工期主要进行设备安装，及对厂房内部进行局部调整，主要产生粉尘、噪声和固废等，施工期较短，对外环境产生影响较小。本环评不再对其进行环境影响评价。</w:t>
            </w:r>
          </w:p>
          <w:p w14:paraId="43E4B8AE">
            <w:pPr>
              <w:spacing w:line="360" w:lineRule="auto"/>
              <w:jc w:val="left"/>
              <w:rPr>
                <w:b/>
                <w:bCs/>
                <w:color w:val="auto"/>
                <w:sz w:val="24"/>
              </w:rPr>
            </w:pPr>
            <w:r>
              <w:rPr>
                <w:rFonts w:hint="eastAsia"/>
                <w:b/>
                <w:bCs/>
                <w:color w:val="auto"/>
                <w:sz w:val="24"/>
              </w:rPr>
              <w:t>2、营运期</w:t>
            </w:r>
          </w:p>
          <w:p w14:paraId="58DBDFEF">
            <w:pPr>
              <w:spacing w:line="360" w:lineRule="auto"/>
              <w:ind w:firstLine="480" w:firstLineChars="200"/>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本项目主要产品为水泵和电机，铸造工艺主要采用消失模铸造工艺和水玻璃铸造工艺，每种产品生产均使用两种工艺。</w:t>
            </w:r>
          </w:p>
          <w:p w14:paraId="24E483AA">
            <w:pPr>
              <w:spacing w:line="360" w:lineRule="auto"/>
              <w:ind w:firstLine="482" w:firstLineChars="200"/>
              <w:rPr>
                <w:rFonts w:hint="default" w:ascii="Times New Roman" w:hAnsi="Times New Roman" w:eastAsia="宋体" w:cs="Times New Roman"/>
                <w:b/>
                <w:bCs/>
                <w:color w:val="auto"/>
                <w:sz w:val="24"/>
                <w:lang w:val="en-US" w:eastAsia="zh-CN"/>
              </w:rPr>
            </w:pPr>
            <w:r>
              <w:rPr>
                <w:rFonts w:hint="eastAsia" w:ascii="Times New Roman" w:hAnsi="Times New Roman" w:cs="Times New Roman"/>
                <w:b/>
                <w:bCs/>
                <w:color w:val="auto"/>
                <w:sz w:val="24"/>
                <w:lang w:val="en-US" w:eastAsia="zh-CN"/>
              </w:rPr>
              <w:t>（1）消失模铸造工艺</w:t>
            </w:r>
          </w:p>
          <w:p w14:paraId="2B8B0F86">
            <w:pPr>
              <w:spacing w:line="360" w:lineRule="auto"/>
              <w:ind w:firstLine="480" w:firstLineChars="200"/>
              <w:rPr>
                <w:rFonts w:hint="default" w:eastAsia="宋体"/>
                <w:b/>
                <w:bCs/>
                <w:color w:val="auto"/>
                <w:sz w:val="24"/>
                <w:lang w:val="en-US" w:eastAsia="zh-CN"/>
              </w:rPr>
            </w:pPr>
            <w:r>
              <w:rPr>
                <w:rFonts w:hint="eastAsia" w:ascii="Times New Roman" w:hAnsi="Times New Roman" w:cs="Times New Roman"/>
                <w:color w:val="auto"/>
                <w:sz w:val="24"/>
              </w:rPr>
              <w:t>消失模铸造是一种利用泡沫塑料制作与铸件形状一致的模型，在砂箱中填干砂振动紧实后，直接浇注金属液。高温下泡沫模型气化消失，金属液填充型腔，冷却后形成铸件。</w:t>
            </w:r>
          </w:p>
          <w:p w14:paraId="388DD4A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b w:val="0"/>
                <w:bCs w:val="0"/>
                <w:color w:val="auto"/>
                <w:sz w:val="24"/>
              </w:rPr>
            </w:pPr>
            <w:r>
              <w:rPr>
                <w:rFonts w:hint="eastAsia"/>
                <w:b w:val="0"/>
                <w:bCs w:val="0"/>
                <w:color w:val="auto"/>
                <w:sz w:val="24"/>
                <w:lang w:val="en-US" w:eastAsia="zh-CN"/>
              </w:rPr>
              <w:t>A、</w:t>
            </w:r>
            <w:r>
              <w:rPr>
                <w:b w:val="0"/>
                <w:bCs w:val="0"/>
                <w:color w:val="auto"/>
                <w:sz w:val="24"/>
              </w:rPr>
              <w:t>泡沫模具生产工艺流程</w:t>
            </w:r>
          </w:p>
          <w:p w14:paraId="34233A7F">
            <w:pPr>
              <w:jc w:val="center"/>
              <w:rPr>
                <w:b/>
                <w:bCs/>
                <w:color w:val="auto"/>
              </w:rPr>
            </w:pPr>
            <w:r>
              <w:rPr>
                <w:rFonts w:hint="eastAsia"/>
                <w:b/>
                <w:bCs/>
                <w:color w:val="auto"/>
              </w:rPr>
              <w:drawing>
                <wp:inline distT="0" distB="0" distL="114300" distR="114300">
                  <wp:extent cx="5286375" cy="1990725"/>
                  <wp:effectExtent l="0" t="0" r="9525" b="9525"/>
                  <wp:docPr id="11" name="图片 11"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2"/>
                          <pic:cNvPicPr>
                            <a:picLocks noChangeAspect="1"/>
                          </pic:cNvPicPr>
                        </pic:nvPicPr>
                        <pic:blipFill>
                          <a:blip r:embed="rId8"/>
                          <a:stretch>
                            <a:fillRect/>
                          </a:stretch>
                        </pic:blipFill>
                        <pic:spPr>
                          <a:xfrm>
                            <a:off x="0" y="0"/>
                            <a:ext cx="5286375" cy="1990725"/>
                          </a:xfrm>
                          <a:prstGeom prst="rect">
                            <a:avLst/>
                          </a:prstGeom>
                        </pic:spPr>
                      </pic:pic>
                    </a:graphicData>
                  </a:graphic>
                </wp:inline>
              </w:drawing>
            </w:r>
          </w:p>
          <w:p w14:paraId="4687E657">
            <w:pPr>
              <w:jc w:val="center"/>
              <w:rPr>
                <w:b/>
                <w:bCs/>
                <w:color w:val="auto"/>
              </w:rPr>
            </w:pPr>
            <w:r>
              <w:rPr>
                <w:rFonts w:hint="eastAsia"/>
                <w:b/>
                <w:bCs/>
                <w:color w:val="auto"/>
              </w:rPr>
              <w:t xml:space="preserve">附图2-3   </w:t>
            </w:r>
            <w:r>
              <w:rPr>
                <w:b/>
                <w:bCs/>
                <w:color w:val="auto"/>
                <w:sz w:val="20"/>
              </w:rPr>
              <w:t>泡沫模具生产工艺流程及产污节点图</w:t>
            </w:r>
          </w:p>
          <w:p w14:paraId="19296611">
            <w:pPr>
              <w:spacing w:line="360" w:lineRule="auto"/>
              <w:ind w:firstLine="480" w:firstLineChars="200"/>
              <w:rPr>
                <w:color w:val="auto"/>
                <w:sz w:val="24"/>
              </w:rPr>
            </w:pPr>
            <w:r>
              <w:rPr>
                <w:color w:val="auto"/>
                <w:sz w:val="24"/>
              </w:rPr>
              <w:t>预发泡：将 EPS 珠粒和共聚料珠粒预发到适当密度，通过蒸汽快速加热来进行，此阶段称为预发泡。</w:t>
            </w:r>
          </w:p>
          <w:p w14:paraId="643D4A94">
            <w:pPr>
              <w:spacing w:line="360" w:lineRule="auto"/>
              <w:ind w:firstLine="480" w:firstLineChars="200"/>
              <w:rPr>
                <w:color w:val="auto"/>
                <w:sz w:val="24"/>
              </w:rPr>
            </w:pPr>
            <w:r>
              <w:rPr>
                <w:color w:val="auto"/>
                <w:sz w:val="24"/>
              </w:rPr>
              <w:t>熟化工序：预发泡之后，必须存放适当时间使其熟化稳定，模型熟化稳定后，可进行蒸压成型工序。</w:t>
            </w:r>
          </w:p>
          <w:p w14:paraId="1E62F6A5">
            <w:pPr>
              <w:spacing w:line="360" w:lineRule="auto"/>
              <w:ind w:firstLine="480" w:firstLineChars="200"/>
              <w:rPr>
                <w:color w:val="auto"/>
                <w:sz w:val="24"/>
              </w:rPr>
            </w:pPr>
            <w:r>
              <w:rPr>
                <w:color w:val="auto"/>
                <w:sz w:val="24"/>
              </w:rPr>
              <w:t>蒸压成型：经过预发泡的珠粒送到成型机的料斗中，通过加料孔进行加料，模具型腔充满预发的珠粒后，开始通入蒸汽，使珠粒软化、膨胀，挤满所有空隙并且粘合成一体，这样就完成了泡沫模型的制造过程，此阶段称为蒸压成型。成型后，在模具的水冷腔内通过大流量水流对模型进行冷却，然后打开模具取出模型。</w:t>
            </w:r>
          </w:p>
          <w:p w14:paraId="559CDA7A">
            <w:pPr>
              <w:spacing w:line="360" w:lineRule="auto"/>
              <w:ind w:firstLine="480" w:firstLineChars="200"/>
              <w:rPr>
                <w:color w:val="auto"/>
                <w:sz w:val="24"/>
              </w:rPr>
            </w:pPr>
            <w:r>
              <w:rPr>
                <w:color w:val="auto"/>
                <w:sz w:val="24"/>
              </w:rPr>
              <w:t>泡沫模具</w:t>
            </w:r>
            <w:r>
              <w:rPr>
                <w:rFonts w:hint="eastAsia"/>
                <w:color w:val="auto"/>
                <w:sz w:val="24"/>
              </w:rPr>
              <w:t>切割</w:t>
            </w:r>
            <w:r>
              <w:rPr>
                <w:color w:val="auto"/>
                <w:sz w:val="24"/>
              </w:rPr>
              <w:t>粘接：将发泡完成的泡沫模具及外购而来的消失模用泡沫板</w:t>
            </w:r>
            <w:r>
              <w:rPr>
                <w:rFonts w:hint="eastAsia"/>
                <w:color w:val="auto"/>
                <w:sz w:val="24"/>
              </w:rPr>
              <w:t>切割后</w:t>
            </w:r>
            <w:r>
              <w:rPr>
                <w:color w:val="auto"/>
                <w:sz w:val="24"/>
              </w:rPr>
              <w:t>进行胶粘结合，采用</w:t>
            </w:r>
            <w:r>
              <w:rPr>
                <w:rFonts w:hint="eastAsia"/>
                <w:color w:val="auto"/>
                <w:sz w:val="24"/>
              </w:rPr>
              <w:t>电热丝进行切割，</w:t>
            </w:r>
            <w:r>
              <w:rPr>
                <w:color w:val="auto"/>
                <w:sz w:val="24"/>
              </w:rPr>
              <w:t>冷粘胶手工粘合，胶合面接缝处应密封牢固，以减少产生铸造缺陷的可能性。</w:t>
            </w:r>
          </w:p>
          <w:p w14:paraId="7D765F8C">
            <w:pPr>
              <w:spacing w:line="360" w:lineRule="auto"/>
              <w:ind w:firstLine="480" w:firstLineChars="200"/>
              <w:rPr>
                <w:b/>
                <w:bCs/>
                <w:color w:val="auto"/>
                <w:sz w:val="24"/>
              </w:rPr>
            </w:pPr>
            <w:r>
              <w:rPr>
                <w:color w:val="auto"/>
                <w:sz w:val="24"/>
              </w:rPr>
              <w:t>烘干：泡沫模具胶粘后需烘干其中水蒸气，烘干后备用。</w:t>
            </w:r>
          </w:p>
          <w:p w14:paraId="4544C59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b w:val="0"/>
                <w:bCs w:val="0"/>
                <w:color w:val="auto"/>
                <w:sz w:val="24"/>
              </w:rPr>
            </w:pPr>
            <w:r>
              <w:rPr>
                <w:rFonts w:hint="eastAsia"/>
                <w:b w:val="0"/>
                <w:bCs w:val="0"/>
                <w:color w:val="auto"/>
                <w:sz w:val="24"/>
                <w:lang w:val="en-US" w:eastAsia="zh-CN"/>
              </w:rPr>
              <w:t>B、</w:t>
            </w:r>
            <w:r>
              <w:rPr>
                <w:b w:val="0"/>
                <w:bCs w:val="0"/>
                <w:color w:val="auto"/>
                <w:sz w:val="24"/>
              </w:rPr>
              <w:t>消失模铸造生产工艺流程</w:t>
            </w:r>
          </w:p>
          <w:p w14:paraId="7A5D46F6">
            <w:pPr>
              <w:jc w:val="center"/>
              <w:rPr>
                <w:b/>
                <w:bCs/>
                <w:color w:val="auto"/>
                <w:sz w:val="20"/>
              </w:rPr>
            </w:pPr>
            <w:r>
              <w:rPr>
                <w:rFonts w:hint="eastAsia"/>
                <w:b/>
                <w:bCs/>
                <w:color w:val="auto"/>
                <w:sz w:val="20"/>
              </w:rPr>
              <w:drawing>
                <wp:inline distT="0" distB="0" distL="114300" distR="114300">
                  <wp:extent cx="5323840" cy="2146300"/>
                  <wp:effectExtent l="0" t="0" r="10160" b="6350"/>
                  <wp:docPr id="2" name="图片 2"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3"/>
                          <pic:cNvPicPr>
                            <a:picLocks noChangeAspect="1"/>
                          </pic:cNvPicPr>
                        </pic:nvPicPr>
                        <pic:blipFill>
                          <a:blip r:embed="rId9"/>
                          <a:stretch>
                            <a:fillRect/>
                          </a:stretch>
                        </pic:blipFill>
                        <pic:spPr>
                          <a:xfrm>
                            <a:off x="0" y="0"/>
                            <a:ext cx="5323840" cy="2146300"/>
                          </a:xfrm>
                          <a:prstGeom prst="rect">
                            <a:avLst/>
                          </a:prstGeom>
                        </pic:spPr>
                      </pic:pic>
                    </a:graphicData>
                  </a:graphic>
                </wp:inline>
              </w:drawing>
            </w:r>
          </w:p>
          <w:p w14:paraId="67783709">
            <w:pPr>
              <w:jc w:val="center"/>
              <w:rPr>
                <w:b/>
                <w:bCs/>
                <w:color w:val="auto"/>
                <w:sz w:val="24"/>
              </w:rPr>
            </w:pPr>
            <w:r>
              <w:rPr>
                <w:rFonts w:hint="eastAsia"/>
                <w:b/>
                <w:bCs/>
                <w:color w:val="auto"/>
                <w:sz w:val="20"/>
              </w:rPr>
              <w:t xml:space="preserve">图2-4 </w:t>
            </w:r>
            <w:r>
              <w:rPr>
                <w:b/>
                <w:bCs/>
                <w:color w:val="auto"/>
                <w:sz w:val="20"/>
              </w:rPr>
              <w:t>消失模铸造生产工艺流程及产污节点图</w:t>
            </w:r>
          </w:p>
          <w:p w14:paraId="09E4553A">
            <w:pPr>
              <w:spacing w:line="360" w:lineRule="auto"/>
              <w:ind w:firstLine="480" w:firstLineChars="200"/>
              <w:rPr>
                <w:color w:val="auto"/>
                <w:sz w:val="24"/>
              </w:rPr>
            </w:pPr>
            <w:r>
              <w:rPr>
                <w:color w:val="auto"/>
                <w:sz w:val="24"/>
              </w:rPr>
              <w:t>上涂料：把泡沫模具浸入耐火涂料中。</w:t>
            </w:r>
            <w:r>
              <w:rPr>
                <w:rFonts w:hint="eastAsia"/>
                <w:color w:val="auto"/>
                <w:sz w:val="24"/>
              </w:rPr>
              <w:t>涂料采用成品粉末涂料，加水即可。</w:t>
            </w:r>
          </w:p>
          <w:p w14:paraId="17A63657">
            <w:pPr>
              <w:spacing w:line="360" w:lineRule="auto"/>
              <w:ind w:firstLine="480" w:firstLineChars="200"/>
              <w:rPr>
                <w:color w:val="auto"/>
                <w:sz w:val="24"/>
              </w:rPr>
            </w:pPr>
            <w:r>
              <w:rPr>
                <w:color w:val="auto"/>
                <w:sz w:val="24"/>
              </w:rPr>
              <w:t>涂料烘干：浸过耐火涂料的泡沫模具需在 30-</w:t>
            </w:r>
            <w:r>
              <w:rPr>
                <w:rFonts w:hint="eastAsia"/>
                <w:color w:val="auto"/>
                <w:sz w:val="24"/>
              </w:rPr>
              <w:t>5</w:t>
            </w:r>
            <w:r>
              <w:rPr>
                <w:color w:val="auto"/>
                <w:sz w:val="24"/>
              </w:rPr>
              <w:t xml:space="preserve">0℃下烘干 </w:t>
            </w:r>
            <w:r>
              <w:rPr>
                <w:rFonts w:hint="eastAsia"/>
                <w:color w:val="auto"/>
                <w:sz w:val="24"/>
              </w:rPr>
              <w:t>1</w:t>
            </w:r>
            <w:r>
              <w:rPr>
                <w:color w:val="auto"/>
                <w:sz w:val="24"/>
              </w:rPr>
              <w:t>2-3</w:t>
            </w:r>
            <w:r>
              <w:rPr>
                <w:rFonts w:hint="eastAsia"/>
                <w:color w:val="auto"/>
                <w:sz w:val="24"/>
              </w:rPr>
              <w:t>6</w:t>
            </w:r>
            <w:r>
              <w:rPr>
                <w:color w:val="auto"/>
                <w:sz w:val="24"/>
              </w:rPr>
              <w:t xml:space="preserve"> 小时。</w:t>
            </w:r>
          </w:p>
          <w:p w14:paraId="5E7F57C8">
            <w:pPr>
              <w:spacing w:line="360" w:lineRule="auto"/>
              <w:ind w:firstLine="480" w:firstLineChars="200"/>
              <w:rPr>
                <w:color w:val="auto"/>
                <w:sz w:val="24"/>
              </w:rPr>
            </w:pPr>
            <w:r>
              <w:rPr>
                <w:color w:val="auto"/>
                <w:sz w:val="24"/>
              </w:rPr>
              <w:t>砂造型、振动紧实：将烘干涂料后的泡沫模具放入砂箱中，填入干砂振动紧实，必须使所有模型簇内部孔腔和外围的干砂都得到紧实和支撑。</w:t>
            </w:r>
          </w:p>
          <w:p w14:paraId="56578BFD">
            <w:pPr>
              <w:spacing w:line="360" w:lineRule="auto"/>
              <w:ind w:firstLine="480" w:firstLineChars="200"/>
              <w:rPr>
                <w:color w:val="auto"/>
                <w:sz w:val="24"/>
              </w:rPr>
            </w:pPr>
            <w:r>
              <w:rPr>
                <w:color w:val="auto"/>
                <w:sz w:val="24"/>
              </w:rPr>
              <w:t>负压浇铸：模型簇在砂箱内通过干砂振动充填坚实后，抽真空形成负压加强紧实度，铸型就可浇注，</w:t>
            </w:r>
            <w:r>
              <w:rPr>
                <w:rFonts w:hint="eastAsia"/>
                <w:color w:val="auto"/>
                <w:sz w:val="24"/>
              </w:rPr>
              <w:t>将</w:t>
            </w:r>
            <w:r>
              <w:rPr>
                <w:rFonts w:ascii="宋体" w:hAnsi="宋体" w:cs="宋体"/>
                <w:color w:val="auto"/>
                <w:sz w:val="24"/>
              </w:rPr>
              <w:t>感应炉</w:t>
            </w:r>
            <w:r>
              <w:rPr>
                <w:rFonts w:hint="eastAsia" w:ascii="宋体" w:hAnsi="宋体" w:cs="宋体"/>
                <w:color w:val="auto"/>
                <w:sz w:val="24"/>
              </w:rPr>
              <w:t>中的</w:t>
            </w:r>
            <w:r>
              <w:rPr>
                <w:color w:val="auto"/>
                <w:sz w:val="24"/>
              </w:rPr>
              <w:t xml:space="preserve">熔融金属浇入铸型后，模型气化被金属所取代形成铸件。 </w:t>
            </w:r>
          </w:p>
          <w:p w14:paraId="77A25E2B">
            <w:pPr>
              <w:spacing w:line="360" w:lineRule="auto"/>
              <w:ind w:firstLine="480" w:firstLineChars="200"/>
              <w:rPr>
                <w:color w:val="auto"/>
                <w:sz w:val="24"/>
              </w:rPr>
            </w:pPr>
            <w:r>
              <w:rPr>
                <w:color w:val="auto"/>
                <w:sz w:val="24"/>
              </w:rPr>
              <w:t>冷却解除真空：浇注之后，负压保持一段时间后释放真空，铸件在砂箱中凝固和冷却。</w:t>
            </w:r>
          </w:p>
          <w:p w14:paraId="2B03A217">
            <w:pPr>
              <w:spacing w:line="360" w:lineRule="auto"/>
              <w:ind w:firstLine="480" w:firstLineChars="200"/>
              <w:rPr>
                <w:color w:val="auto"/>
                <w:sz w:val="24"/>
              </w:rPr>
            </w:pPr>
            <w:r>
              <w:rPr>
                <w:rFonts w:hint="eastAsia"/>
                <w:color w:val="auto"/>
                <w:sz w:val="24"/>
              </w:rPr>
              <w:t>砂处理</w:t>
            </w:r>
            <w:r>
              <w:rPr>
                <w:color w:val="auto"/>
                <w:sz w:val="24"/>
              </w:rPr>
              <w:t>：冷却并解除真空后进行翻箱落砂，倾翻砂箱铸件就从松散的干砂中掉出。随后将铸件进行自动分离、清理、检查并放到铸件箱中运走。干砂经砂处理系统处理冷却后可重新使用。</w:t>
            </w:r>
          </w:p>
          <w:p w14:paraId="456E199B">
            <w:pPr>
              <w:spacing w:line="360" w:lineRule="auto"/>
              <w:ind w:firstLine="480" w:firstLineChars="200"/>
              <w:jc w:val="left"/>
              <w:rPr>
                <w:color w:val="auto"/>
                <w:sz w:val="24"/>
              </w:rPr>
            </w:pPr>
            <w:r>
              <w:rPr>
                <w:color w:val="auto"/>
                <w:sz w:val="24"/>
              </w:rPr>
              <w:t>打磨：</w:t>
            </w:r>
            <w:r>
              <w:rPr>
                <w:rFonts w:hint="eastAsia"/>
                <w:color w:val="auto"/>
                <w:sz w:val="24"/>
              </w:rPr>
              <w:t>部分</w:t>
            </w:r>
            <w:r>
              <w:rPr>
                <w:color w:val="auto"/>
                <w:sz w:val="24"/>
              </w:rPr>
              <w:t>浇铸成品可能存在瑕疵，</w:t>
            </w:r>
            <w:r>
              <w:rPr>
                <w:rFonts w:hint="eastAsia"/>
                <w:color w:val="auto"/>
                <w:sz w:val="24"/>
              </w:rPr>
              <w:t>利用砂轮机和抛丸机</w:t>
            </w:r>
            <w:r>
              <w:rPr>
                <w:color w:val="auto"/>
                <w:sz w:val="24"/>
              </w:rPr>
              <w:t>进行打磨。</w:t>
            </w:r>
          </w:p>
          <w:p w14:paraId="2BD93390">
            <w:pPr>
              <w:spacing w:line="360" w:lineRule="auto"/>
              <w:ind w:firstLine="480" w:firstLineChars="200"/>
              <w:jc w:val="left"/>
              <w:rPr>
                <w:color w:val="auto"/>
                <w:sz w:val="24"/>
              </w:rPr>
            </w:pPr>
            <w:r>
              <w:rPr>
                <w:rFonts w:hint="eastAsia"/>
                <w:color w:val="auto"/>
                <w:sz w:val="24"/>
              </w:rPr>
              <w:t>喷涂：部分产品根据客户需求需要进行喷涂，在厂房喷漆房内进行喷漆，自然晾干。</w:t>
            </w:r>
          </w:p>
          <w:p w14:paraId="469BF680">
            <w:pPr>
              <w:spacing w:line="360" w:lineRule="auto"/>
              <w:ind w:firstLine="480" w:firstLineChars="200"/>
              <w:jc w:val="left"/>
              <w:rPr>
                <w:color w:val="auto"/>
                <w:sz w:val="24"/>
              </w:rPr>
            </w:pPr>
            <w:r>
              <w:rPr>
                <w:rFonts w:hint="eastAsia"/>
                <w:color w:val="auto"/>
                <w:sz w:val="24"/>
              </w:rPr>
              <w:t>机加工：主要为钻孔、成型，使用车床、铣床、钻床、加工中心对工件进行折弯、制孔等加工，须符合图纸规定并达到质量要求。此外，水泵底座需要进行焊接。</w:t>
            </w:r>
          </w:p>
          <w:p w14:paraId="62C0F288">
            <w:pPr>
              <w:spacing w:line="360" w:lineRule="auto"/>
              <w:ind w:firstLine="482" w:firstLineChars="200"/>
              <w:rPr>
                <w:rFonts w:hint="eastAsia"/>
                <w:b/>
                <w:bCs/>
                <w:color w:val="auto"/>
                <w:sz w:val="24"/>
              </w:rPr>
            </w:pPr>
            <w:r>
              <w:rPr>
                <w:rFonts w:hint="eastAsia"/>
                <w:b/>
                <w:bCs/>
                <w:color w:val="auto"/>
                <w:sz w:val="24"/>
              </w:rPr>
              <w:t>（</w:t>
            </w:r>
            <w:r>
              <w:rPr>
                <w:rFonts w:hint="eastAsia"/>
                <w:b/>
                <w:bCs/>
                <w:color w:val="auto"/>
                <w:sz w:val="24"/>
                <w:lang w:val="en-US" w:eastAsia="zh-CN"/>
              </w:rPr>
              <w:t>2</w:t>
            </w:r>
            <w:r>
              <w:rPr>
                <w:rFonts w:hint="eastAsia"/>
                <w:b/>
                <w:bCs/>
                <w:color w:val="auto"/>
                <w:sz w:val="24"/>
              </w:rPr>
              <w:t>）水玻璃铸造工艺</w:t>
            </w:r>
          </w:p>
          <w:p w14:paraId="1B52D9E1">
            <w:pPr>
              <w:spacing w:line="360" w:lineRule="auto"/>
              <w:ind w:firstLine="480" w:firstLineChars="200"/>
              <w:rPr>
                <w:rFonts w:hint="default" w:ascii="Times New Roman" w:hAnsi="Times New Roman" w:eastAsia="宋体" w:cs="Times New Roman"/>
                <w:color w:val="auto"/>
                <w:sz w:val="24"/>
                <w:lang w:val="en-US" w:eastAsia="zh-CN"/>
              </w:rPr>
            </w:pPr>
            <w:r>
              <w:rPr>
                <w:rFonts w:ascii="Segoe UI" w:hAnsi="Segoe UI" w:eastAsia="Segoe UI" w:cs="Segoe UI"/>
                <w:i w:val="0"/>
                <w:iCs w:val="0"/>
                <w:caps w:val="0"/>
                <w:color w:val="auto"/>
                <w:spacing w:val="0"/>
                <w:sz w:val="24"/>
                <w:szCs w:val="24"/>
                <w:shd w:val="clear" w:fill="FFFFFF"/>
              </w:rPr>
              <w:t>水玻璃铸造是一种以硅酸钠（俗称水玻璃）为粘结剂的砂型铸造工艺。通过将水玻璃与石英砂混合制成型砂，利用化学或物理方法使水玻璃硬化，形成高强度的铸型</w:t>
            </w:r>
            <w:r>
              <w:rPr>
                <w:rFonts w:hint="eastAsia" w:ascii="Segoe UI" w:hAnsi="Segoe UI" w:eastAsia="宋体" w:cs="Segoe UI"/>
                <w:i w:val="0"/>
                <w:iCs w:val="0"/>
                <w:caps w:val="0"/>
                <w:color w:val="auto"/>
                <w:spacing w:val="0"/>
                <w:sz w:val="24"/>
                <w:szCs w:val="24"/>
                <w:shd w:val="clear" w:fill="FFFFFF"/>
                <w:lang w:eastAsia="zh-CN"/>
              </w:rPr>
              <w:t>，</w:t>
            </w:r>
            <w:r>
              <w:rPr>
                <w:rFonts w:hint="eastAsia" w:ascii="Segoe UI" w:hAnsi="Segoe UI" w:eastAsia="宋体" w:cs="Segoe UI"/>
                <w:i w:val="0"/>
                <w:iCs w:val="0"/>
                <w:caps w:val="0"/>
                <w:color w:val="auto"/>
                <w:spacing w:val="0"/>
                <w:sz w:val="24"/>
                <w:szCs w:val="24"/>
                <w:shd w:val="clear" w:fill="FFFFFF"/>
                <w:lang w:val="en-US" w:eastAsia="zh-CN"/>
              </w:rPr>
              <w:t>再进行金属液浇注，冷却分离后得到铸件。</w:t>
            </w:r>
          </w:p>
          <w:p w14:paraId="56524587">
            <w:pPr>
              <w:spacing w:line="360" w:lineRule="auto"/>
              <w:jc w:val="center"/>
              <w:rPr>
                <w:b/>
                <w:bCs/>
                <w:color w:val="auto"/>
                <w:sz w:val="24"/>
                <w:highlight w:val="yellow"/>
              </w:rPr>
            </w:pPr>
            <w:r>
              <w:rPr>
                <w:b/>
                <w:color w:val="auto"/>
                <w:szCs w:val="21"/>
              </w:rPr>
              <w:object>
                <v:shape id="_x0000_i1026" o:spt="75" type="#_x0000_t75" style="height:226.95pt;width:325.8pt;" o:ole="t" filled="f" o:preferrelative="t" stroked="f" coordsize="21600,21600">
                  <v:path/>
                  <v:fill on="f" focussize="0,0"/>
                  <v:stroke on="f" joinstyle="miter"/>
                  <v:imagedata r:id="rId11" o:title=""/>
                  <o:lock v:ext="edit" aspectratio="f"/>
                  <w10:wrap type="none"/>
                  <w10:anchorlock/>
                </v:shape>
                <o:OLEObject Type="Embed" ProgID="Visio.Drawing.11" ShapeID="_x0000_i1026" DrawAspect="Content" ObjectID="_1468075726" r:id="rId10">
                  <o:LockedField>false</o:LockedField>
                </o:OLEObject>
              </w:object>
            </w:r>
          </w:p>
          <w:p w14:paraId="2D422103">
            <w:pPr>
              <w:spacing w:after="120" w:afterLines="50"/>
              <w:jc w:val="center"/>
              <w:rPr>
                <w:b/>
                <w:bCs/>
                <w:color w:val="auto"/>
                <w:sz w:val="20"/>
              </w:rPr>
            </w:pPr>
            <w:r>
              <w:rPr>
                <w:rFonts w:hint="eastAsia"/>
                <w:b/>
                <w:bCs/>
                <w:color w:val="auto"/>
                <w:sz w:val="20"/>
              </w:rPr>
              <w:t>附图2-5 水玻璃砂铸造工艺流程及产排污节点</w:t>
            </w:r>
          </w:p>
          <w:p w14:paraId="5CF9492E">
            <w:pPr>
              <w:spacing w:line="360" w:lineRule="auto"/>
              <w:ind w:firstLine="480" w:firstLineChars="200"/>
              <w:jc w:val="left"/>
              <w:rPr>
                <w:color w:val="auto"/>
                <w:sz w:val="24"/>
              </w:rPr>
            </w:pPr>
            <w:r>
              <w:rPr>
                <w:rFonts w:hint="eastAsia"/>
                <w:color w:val="auto"/>
                <w:sz w:val="24"/>
              </w:rPr>
              <w:t xml:space="preserve"> 造型：</w:t>
            </w:r>
            <w:r>
              <w:rPr>
                <w:rFonts w:ascii="宋体" w:hAnsi="宋体" w:cs="宋体"/>
                <w:color w:val="auto"/>
                <w:sz w:val="24"/>
              </w:rPr>
              <w:t>造型是指用型砂形成铸件的型腔。</w:t>
            </w:r>
            <w:r>
              <w:rPr>
                <w:rFonts w:hint="eastAsia"/>
                <w:color w:val="auto"/>
                <w:sz w:val="24"/>
              </w:rPr>
              <w:t>水玻璃</w:t>
            </w:r>
            <w:r>
              <w:rPr>
                <w:rFonts w:hint="eastAsia"/>
                <w:color w:val="auto"/>
                <w:sz w:val="24"/>
                <w:lang w:val="en-US" w:eastAsia="zh-CN"/>
              </w:rPr>
              <w:t>与石英砂</w:t>
            </w:r>
            <w:r>
              <w:rPr>
                <w:rFonts w:hint="eastAsia"/>
                <w:color w:val="auto"/>
                <w:sz w:val="24"/>
              </w:rPr>
              <w:t>硬</w:t>
            </w:r>
            <w:r>
              <w:rPr>
                <w:rFonts w:hint="eastAsia"/>
                <w:color w:val="auto"/>
                <w:sz w:val="24"/>
                <w:lang w:val="en-US" w:eastAsia="zh-CN"/>
              </w:rPr>
              <w:t>化</w:t>
            </w:r>
            <w:r>
              <w:rPr>
                <w:rFonts w:hint="eastAsia"/>
                <w:color w:val="auto"/>
                <w:sz w:val="24"/>
              </w:rPr>
              <w:t>造型工艺使用砂箱造型，砂型质量检查合格后合箱。</w:t>
            </w:r>
          </w:p>
          <w:p w14:paraId="6279426D">
            <w:pPr>
              <w:spacing w:line="360" w:lineRule="auto"/>
              <w:ind w:firstLine="480" w:firstLineChars="200"/>
              <w:jc w:val="left"/>
              <w:rPr>
                <w:color w:val="auto"/>
                <w:sz w:val="24"/>
              </w:rPr>
            </w:pPr>
            <w:r>
              <w:rPr>
                <w:rFonts w:hint="eastAsia" w:ascii="宋体" w:hAnsi="宋体" w:cs="宋体"/>
                <w:color w:val="auto"/>
                <w:sz w:val="24"/>
              </w:rPr>
              <w:t>熔炼、浇注：</w:t>
            </w:r>
            <w:r>
              <w:rPr>
                <w:rFonts w:ascii="宋体" w:hAnsi="宋体" w:cs="宋体"/>
                <w:color w:val="auto"/>
                <w:sz w:val="24"/>
              </w:rPr>
              <w:t>感应炉的主要部件有感应器、炉体、电源、电容和控制系统等，在感应炉中的交变电磁场作用下，金属表面产生涡流使金属发热熔化。将原料</w:t>
            </w:r>
            <w:r>
              <w:rPr>
                <w:rFonts w:hint="eastAsia" w:ascii="宋体" w:hAnsi="宋体" w:cs="宋体"/>
                <w:color w:val="auto"/>
                <w:sz w:val="24"/>
              </w:rPr>
              <w:t>加入</w:t>
            </w:r>
            <w:r>
              <w:rPr>
                <w:rFonts w:ascii="宋体" w:hAnsi="宋体" w:cs="宋体"/>
                <w:color w:val="auto"/>
                <w:sz w:val="24"/>
              </w:rPr>
              <w:t>中频感应炉</w:t>
            </w:r>
            <w:r>
              <w:rPr>
                <w:rFonts w:hint="eastAsia" w:ascii="宋体" w:hAnsi="宋体" w:cs="宋体"/>
                <w:color w:val="auto"/>
                <w:sz w:val="24"/>
              </w:rPr>
              <w:t>，</w:t>
            </w:r>
            <w:r>
              <w:rPr>
                <w:rFonts w:ascii="宋体" w:hAnsi="宋体" w:cs="宋体"/>
                <w:color w:val="auto"/>
                <w:sz w:val="24"/>
              </w:rPr>
              <w:t>生产合格钢水，将中频感应炉</w:t>
            </w:r>
            <w:r>
              <w:rPr>
                <w:rFonts w:hint="eastAsia" w:ascii="宋体" w:hAnsi="宋体" w:cs="宋体"/>
                <w:color w:val="auto"/>
                <w:sz w:val="24"/>
              </w:rPr>
              <w:t>中融化的</w:t>
            </w:r>
            <w:r>
              <w:rPr>
                <w:rFonts w:ascii="宋体" w:hAnsi="宋体" w:cs="宋体"/>
                <w:color w:val="auto"/>
                <w:sz w:val="24"/>
              </w:rPr>
              <w:t>钢水倒入砂箱中进行浇注。</w:t>
            </w:r>
          </w:p>
          <w:p w14:paraId="60F62BD5">
            <w:pPr>
              <w:spacing w:line="360" w:lineRule="auto"/>
              <w:ind w:firstLine="480" w:firstLineChars="200"/>
              <w:rPr>
                <w:color w:val="auto"/>
                <w:sz w:val="24"/>
              </w:rPr>
            </w:pPr>
            <w:r>
              <w:rPr>
                <w:rFonts w:hint="eastAsia"/>
                <w:color w:val="auto"/>
                <w:sz w:val="24"/>
              </w:rPr>
              <w:t>砂处理</w:t>
            </w:r>
            <w:r>
              <w:rPr>
                <w:color w:val="auto"/>
                <w:sz w:val="24"/>
              </w:rPr>
              <w:t>：</w:t>
            </w:r>
            <w:r>
              <w:rPr>
                <w:rFonts w:hint="eastAsia"/>
                <w:color w:val="auto"/>
                <w:sz w:val="24"/>
              </w:rPr>
              <w:t>浇注冷却后，铸型开箱</w:t>
            </w:r>
            <w:r>
              <w:rPr>
                <w:color w:val="auto"/>
                <w:sz w:val="24"/>
              </w:rPr>
              <w:t>进行翻箱落砂，倾翻砂箱铸件就从松散的干砂中掉出。随后将铸件进行自动分离、清理、检查并放到铸件箱中运走。干砂经砂处理系统处理冷却后</w:t>
            </w:r>
            <w:r>
              <w:rPr>
                <w:rFonts w:hint="eastAsia"/>
                <w:color w:val="auto"/>
                <w:sz w:val="24"/>
              </w:rPr>
              <w:t>回收</w:t>
            </w:r>
            <w:r>
              <w:rPr>
                <w:color w:val="auto"/>
                <w:sz w:val="24"/>
              </w:rPr>
              <w:t>。</w:t>
            </w:r>
          </w:p>
          <w:p w14:paraId="5EFC7B38">
            <w:pPr>
              <w:spacing w:line="360" w:lineRule="auto"/>
              <w:ind w:firstLine="480" w:firstLineChars="200"/>
              <w:jc w:val="left"/>
              <w:rPr>
                <w:color w:val="auto"/>
                <w:sz w:val="24"/>
              </w:rPr>
            </w:pPr>
            <w:r>
              <w:rPr>
                <w:rFonts w:hint="eastAsia"/>
                <w:color w:val="auto"/>
                <w:sz w:val="24"/>
              </w:rPr>
              <w:t>去浇冒口：落砂后的部分铸件将浇冒口和铸钢件主体分离，分离下来的浇冒口作为原料回炉熔炼后浇注使用。</w:t>
            </w:r>
          </w:p>
          <w:p w14:paraId="17100251">
            <w:pPr>
              <w:spacing w:line="360" w:lineRule="auto"/>
              <w:ind w:firstLine="480" w:firstLineChars="200"/>
              <w:jc w:val="left"/>
              <w:rPr>
                <w:color w:val="auto"/>
                <w:sz w:val="24"/>
              </w:rPr>
            </w:pPr>
            <w:r>
              <w:rPr>
                <w:rFonts w:hint="eastAsia"/>
                <w:color w:val="auto"/>
                <w:sz w:val="24"/>
              </w:rPr>
              <w:t>抛丸：采用抛丸机对铸件进行表面打磨处理，将工件放入料斗，将工件送入抛丸机内，铸件在抛丸机内作回转运动，钢丸与工件表面充分的撞击，使铸件表面的砂粒、毛刺、毛边被清除，完成对表面的清理。</w:t>
            </w:r>
          </w:p>
          <w:p w14:paraId="5C359146">
            <w:pPr>
              <w:spacing w:line="360" w:lineRule="auto"/>
              <w:ind w:firstLine="480" w:firstLineChars="200"/>
              <w:jc w:val="left"/>
              <w:rPr>
                <w:color w:val="auto"/>
                <w:sz w:val="24"/>
              </w:rPr>
            </w:pPr>
            <w:r>
              <w:rPr>
                <w:rFonts w:hint="eastAsia"/>
                <w:color w:val="auto"/>
                <w:sz w:val="24"/>
              </w:rPr>
              <w:t>机加工：主要为钻孔、成型，使用车床、铣床、钻床、加工中心对工件进行折弯、制孔等加工，须符合图纸规定并达到质量要求。</w:t>
            </w:r>
          </w:p>
          <w:p w14:paraId="0E131EF2">
            <w:pPr>
              <w:spacing w:line="360" w:lineRule="auto"/>
              <w:ind w:firstLine="480" w:firstLineChars="200"/>
              <w:jc w:val="left"/>
              <w:rPr>
                <w:color w:val="auto"/>
                <w:sz w:val="24"/>
              </w:rPr>
            </w:pPr>
            <w:r>
              <w:rPr>
                <w:rFonts w:hint="eastAsia"/>
                <w:color w:val="auto"/>
                <w:sz w:val="24"/>
              </w:rPr>
              <w:t>热处理：</w:t>
            </w:r>
            <w:r>
              <w:rPr>
                <w:rFonts w:ascii="宋体" w:hAnsi="宋体" w:cs="宋体"/>
                <w:color w:val="auto"/>
                <w:sz w:val="24"/>
              </w:rPr>
              <w:t>采用电热处理炉对铸钢件进行退火热处理。</w:t>
            </w:r>
            <w:r>
              <w:rPr>
                <w:rFonts w:hint="eastAsia"/>
                <w:color w:val="auto"/>
                <w:sz w:val="24"/>
              </w:rPr>
              <w:t xml:space="preserve">退火是将金属缓慢加热到一定温度，保持足够时间，然后以适宜速度冷却的一种金属热处理工艺。本项目为去应力退火，使用热处理炉，以电能为能源，可以改善或消除钢铁在铸造过程中所造成的各种组织缺陷以及残余应力，防止工件变形、开裂。 </w:t>
            </w:r>
          </w:p>
          <w:p w14:paraId="0E96EEB4">
            <w:pPr>
              <w:spacing w:line="360" w:lineRule="auto"/>
              <w:ind w:firstLine="480" w:firstLineChars="200"/>
              <w:jc w:val="left"/>
              <w:rPr>
                <w:color w:val="auto"/>
                <w:sz w:val="24"/>
              </w:rPr>
            </w:pPr>
            <w:r>
              <w:rPr>
                <w:rFonts w:hint="eastAsia"/>
                <w:color w:val="auto"/>
                <w:sz w:val="24"/>
              </w:rPr>
              <w:t>检验、包装入库：对每一批次形成的铸钢件进行力学性能检验。检验合格后包装入库。</w:t>
            </w:r>
          </w:p>
          <w:p w14:paraId="4F501920">
            <w:pPr>
              <w:spacing w:line="360" w:lineRule="auto"/>
              <w:ind w:firstLine="480" w:firstLineChars="200"/>
              <w:jc w:val="left"/>
              <w:rPr>
                <w:color w:val="auto"/>
                <w:sz w:val="24"/>
              </w:rPr>
            </w:pPr>
            <w:r>
              <w:rPr>
                <w:rFonts w:hint="eastAsia"/>
                <w:color w:val="auto"/>
                <w:sz w:val="24"/>
              </w:rPr>
              <w:t>主要产污环节见下表。</w:t>
            </w:r>
          </w:p>
          <w:p w14:paraId="4EE0C122">
            <w:pPr>
              <w:pStyle w:val="86"/>
              <w:spacing w:line="240" w:lineRule="auto"/>
              <w:ind w:firstLine="0" w:firstLineChars="0"/>
              <w:jc w:val="center"/>
              <w:rPr>
                <w:rFonts w:cs="Times New Roman"/>
                <w:b/>
                <w:bCs/>
                <w:color w:val="auto"/>
                <w:sz w:val="21"/>
                <w:szCs w:val="21"/>
              </w:rPr>
            </w:pPr>
            <w:r>
              <w:rPr>
                <w:rFonts w:cs="Times New Roman"/>
                <w:b/>
                <w:bCs/>
                <w:color w:val="auto"/>
                <w:sz w:val="21"/>
                <w:szCs w:val="21"/>
              </w:rPr>
              <w:t>表</w:t>
            </w:r>
            <w:r>
              <w:rPr>
                <w:rFonts w:hint="eastAsia" w:cs="Times New Roman"/>
                <w:b/>
                <w:bCs/>
                <w:color w:val="auto"/>
                <w:sz w:val="21"/>
                <w:szCs w:val="21"/>
              </w:rPr>
              <w:t>2-10</w:t>
            </w:r>
            <w:r>
              <w:rPr>
                <w:rFonts w:cs="Times New Roman"/>
                <w:b/>
                <w:bCs/>
                <w:color w:val="auto"/>
                <w:sz w:val="21"/>
                <w:szCs w:val="21"/>
              </w:rPr>
              <w:t xml:space="preserve">   项目主要</w:t>
            </w:r>
            <w:r>
              <w:rPr>
                <w:rFonts w:hint="eastAsia" w:cs="Times New Roman"/>
                <w:b/>
                <w:bCs/>
                <w:color w:val="auto"/>
                <w:sz w:val="21"/>
                <w:szCs w:val="21"/>
              </w:rPr>
              <w:t>产污环节及污染因子</w:t>
            </w:r>
          </w:p>
          <w:tbl>
            <w:tblPr>
              <w:tblStyle w:val="31"/>
              <w:tblW w:w="83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1900"/>
              <w:gridCol w:w="2868"/>
              <w:gridCol w:w="2856"/>
            </w:tblGrid>
            <w:tr w14:paraId="63962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Align w:val="center"/>
                </w:tcPr>
                <w:p w14:paraId="1F5E0D65">
                  <w:pPr>
                    <w:pStyle w:val="76"/>
                    <w:jc w:val="center"/>
                    <w:rPr>
                      <w:rFonts w:ascii="Times New Roman" w:hAnsi="Times New Roman"/>
                      <w:color w:val="auto"/>
                      <w:kern w:val="0"/>
                      <w:szCs w:val="21"/>
                    </w:rPr>
                  </w:pPr>
                  <w:r>
                    <w:rPr>
                      <w:rFonts w:ascii="Times New Roman" w:hAnsi="Times New Roman"/>
                      <w:color w:val="auto"/>
                      <w:kern w:val="0"/>
                      <w:szCs w:val="21"/>
                    </w:rPr>
                    <w:t>污染</w:t>
                  </w:r>
                </w:p>
                <w:p w14:paraId="76349F93">
                  <w:pPr>
                    <w:pStyle w:val="76"/>
                    <w:jc w:val="center"/>
                    <w:rPr>
                      <w:rFonts w:ascii="Times New Roman" w:hAnsi="Times New Roman"/>
                      <w:color w:val="auto"/>
                      <w:kern w:val="0"/>
                      <w:szCs w:val="21"/>
                    </w:rPr>
                  </w:pPr>
                  <w:r>
                    <w:rPr>
                      <w:rFonts w:ascii="Times New Roman" w:hAnsi="Times New Roman"/>
                      <w:color w:val="auto"/>
                      <w:kern w:val="0"/>
                      <w:szCs w:val="21"/>
                    </w:rPr>
                    <w:t>类别</w:t>
                  </w:r>
                </w:p>
              </w:tc>
              <w:tc>
                <w:tcPr>
                  <w:tcW w:w="1900" w:type="dxa"/>
                  <w:vAlign w:val="center"/>
                </w:tcPr>
                <w:p w14:paraId="5BDAB9F8">
                  <w:pPr>
                    <w:pStyle w:val="76"/>
                    <w:jc w:val="center"/>
                    <w:rPr>
                      <w:rFonts w:ascii="Times New Roman" w:hAnsi="Times New Roman"/>
                      <w:color w:val="auto"/>
                      <w:kern w:val="0"/>
                      <w:szCs w:val="21"/>
                    </w:rPr>
                  </w:pPr>
                  <w:r>
                    <w:rPr>
                      <w:rFonts w:ascii="Times New Roman" w:hAnsi="Times New Roman"/>
                      <w:color w:val="auto"/>
                      <w:kern w:val="0"/>
                      <w:szCs w:val="21"/>
                    </w:rPr>
                    <w:t>污染源名称</w:t>
                  </w:r>
                </w:p>
              </w:tc>
              <w:tc>
                <w:tcPr>
                  <w:tcW w:w="2868" w:type="dxa"/>
                  <w:vAlign w:val="center"/>
                </w:tcPr>
                <w:p w14:paraId="711D4AC3">
                  <w:pPr>
                    <w:pStyle w:val="76"/>
                    <w:jc w:val="center"/>
                    <w:rPr>
                      <w:rFonts w:ascii="Times New Roman" w:hAnsi="Times New Roman"/>
                      <w:color w:val="auto"/>
                      <w:kern w:val="0"/>
                      <w:szCs w:val="21"/>
                    </w:rPr>
                  </w:pPr>
                  <w:r>
                    <w:rPr>
                      <w:rFonts w:ascii="Times New Roman" w:hAnsi="Times New Roman"/>
                      <w:color w:val="auto"/>
                      <w:kern w:val="0"/>
                      <w:szCs w:val="21"/>
                    </w:rPr>
                    <w:t>产</w:t>
                  </w:r>
                  <w:r>
                    <w:rPr>
                      <w:rFonts w:hint="eastAsia" w:ascii="Times New Roman" w:hAnsi="Times New Roman"/>
                      <w:color w:val="auto"/>
                      <w:kern w:val="0"/>
                      <w:szCs w:val="21"/>
                    </w:rPr>
                    <w:t>污环节</w:t>
                  </w:r>
                </w:p>
              </w:tc>
              <w:tc>
                <w:tcPr>
                  <w:tcW w:w="2856" w:type="dxa"/>
                  <w:vAlign w:val="center"/>
                </w:tcPr>
                <w:p w14:paraId="0BCA1BB8">
                  <w:pPr>
                    <w:pStyle w:val="76"/>
                    <w:jc w:val="center"/>
                    <w:rPr>
                      <w:rFonts w:ascii="Times New Roman" w:hAnsi="Times New Roman"/>
                      <w:color w:val="auto"/>
                      <w:kern w:val="0"/>
                      <w:szCs w:val="21"/>
                    </w:rPr>
                  </w:pPr>
                  <w:r>
                    <w:rPr>
                      <w:rFonts w:ascii="Times New Roman" w:hAnsi="Times New Roman"/>
                      <w:color w:val="auto"/>
                      <w:kern w:val="0"/>
                      <w:szCs w:val="21"/>
                    </w:rPr>
                    <w:t>主要污染因子</w:t>
                  </w:r>
                </w:p>
              </w:tc>
            </w:tr>
            <w:tr w14:paraId="2CFA5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restart"/>
                  <w:vAlign w:val="center"/>
                </w:tcPr>
                <w:p w14:paraId="1229A088">
                  <w:pPr>
                    <w:pStyle w:val="76"/>
                    <w:jc w:val="center"/>
                    <w:rPr>
                      <w:rFonts w:ascii="Times New Roman" w:hAnsi="Times New Roman"/>
                      <w:color w:val="auto"/>
                      <w:kern w:val="0"/>
                      <w:szCs w:val="21"/>
                    </w:rPr>
                  </w:pPr>
                  <w:r>
                    <w:rPr>
                      <w:rFonts w:ascii="Times New Roman" w:hAnsi="Times New Roman"/>
                      <w:color w:val="auto"/>
                      <w:kern w:val="0"/>
                      <w:szCs w:val="21"/>
                    </w:rPr>
                    <w:t>废气</w:t>
                  </w:r>
                </w:p>
              </w:tc>
              <w:tc>
                <w:tcPr>
                  <w:tcW w:w="1900" w:type="dxa"/>
                  <w:vAlign w:val="center"/>
                </w:tcPr>
                <w:p w14:paraId="62002CA3">
                  <w:pPr>
                    <w:pStyle w:val="76"/>
                    <w:jc w:val="center"/>
                    <w:rPr>
                      <w:rFonts w:ascii="Times New Roman" w:hAnsi="Times New Roman"/>
                      <w:color w:val="auto"/>
                      <w:kern w:val="0"/>
                      <w:szCs w:val="21"/>
                    </w:rPr>
                  </w:pPr>
                  <w:r>
                    <w:rPr>
                      <w:rFonts w:ascii="Times New Roman" w:hAnsi="Times New Roman"/>
                      <w:color w:val="auto"/>
                      <w:kern w:val="0"/>
                      <w:szCs w:val="21"/>
                    </w:rPr>
                    <w:t>锅炉燃烧废气</w:t>
                  </w:r>
                </w:p>
              </w:tc>
              <w:tc>
                <w:tcPr>
                  <w:tcW w:w="2868" w:type="dxa"/>
                  <w:vAlign w:val="center"/>
                </w:tcPr>
                <w:p w14:paraId="3BBD6200">
                  <w:pPr>
                    <w:pStyle w:val="76"/>
                    <w:jc w:val="center"/>
                    <w:rPr>
                      <w:rFonts w:ascii="Times New Roman" w:hAnsi="Times New Roman"/>
                      <w:color w:val="auto"/>
                      <w:kern w:val="0"/>
                      <w:szCs w:val="21"/>
                    </w:rPr>
                  </w:pPr>
                  <w:r>
                    <w:rPr>
                      <w:rFonts w:ascii="Times New Roman" w:hAnsi="Times New Roman"/>
                      <w:color w:val="auto"/>
                      <w:kern w:val="0"/>
                      <w:szCs w:val="21"/>
                    </w:rPr>
                    <w:t>锅炉燃烧废气</w:t>
                  </w:r>
                </w:p>
              </w:tc>
              <w:tc>
                <w:tcPr>
                  <w:tcW w:w="2856" w:type="dxa"/>
                  <w:vAlign w:val="center"/>
                </w:tcPr>
                <w:p w14:paraId="6B656C58">
                  <w:pPr>
                    <w:pStyle w:val="76"/>
                    <w:jc w:val="center"/>
                    <w:rPr>
                      <w:rFonts w:ascii="Times New Roman" w:hAnsi="Times New Roman"/>
                      <w:color w:val="auto"/>
                      <w:kern w:val="0"/>
                      <w:szCs w:val="21"/>
                    </w:rPr>
                  </w:pPr>
                  <w:r>
                    <w:rPr>
                      <w:rFonts w:ascii="Times New Roman" w:hAnsi="Times New Roman"/>
                      <w:color w:val="auto"/>
                      <w:kern w:val="0"/>
                      <w:szCs w:val="21"/>
                    </w:rPr>
                    <w:t>颗粒物、SO</w:t>
                  </w:r>
                  <w:r>
                    <w:rPr>
                      <w:rFonts w:ascii="Times New Roman" w:hAnsi="Times New Roman"/>
                      <w:color w:val="auto"/>
                      <w:kern w:val="0"/>
                      <w:szCs w:val="21"/>
                      <w:vertAlign w:val="subscript"/>
                    </w:rPr>
                    <w:t>2</w:t>
                  </w:r>
                  <w:r>
                    <w:rPr>
                      <w:rFonts w:ascii="Times New Roman" w:hAnsi="Times New Roman"/>
                      <w:color w:val="auto"/>
                      <w:kern w:val="0"/>
                      <w:szCs w:val="21"/>
                    </w:rPr>
                    <w:t>、NOx</w:t>
                  </w:r>
                </w:p>
              </w:tc>
            </w:tr>
            <w:tr w14:paraId="12B68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1BE9DEC5">
                  <w:pPr>
                    <w:pStyle w:val="76"/>
                    <w:jc w:val="center"/>
                    <w:rPr>
                      <w:rFonts w:ascii="Times New Roman" w:hAnsi="Times New Roman"/>
                      <w:color w:val="auto"/>
                      <w:kern w:val="0"/>
                      <w:szCs w:val="21"/>
                    </w:rPr>
                  </w:pPr>
                </w:p>
              </w:tc>
              <w:tc>
                <w:tcPr>
                  <w:tcW w:w="1900" w:type="dxa"/>
                  <w:vAlign w:val="center"/>
                </w:tcPr>
                <w:p w14:paraId="7613E243">
                  <w:pPr>
                    <w:pStyle w:val="76"/>
                    <w:jc w:val="center"/>
                    <w:rPr>
                      <w:rFonts w:ascii="Times New Roman" w:hAnsi="Times New Roman"/>
                      <w:color w:val="auto"/>
                      <w:kern w:val="0"/>
                      <w:szCs w:val="21"/>
                    </w:rPr>
                  </w:pPr>
                  <w:r>
                    <w:rPr>
                      <w:rFonts w:ascii="Times New Roman" w:hAnsi="Times New Roman"/>
                      <w:color w:val="auto"/>
                      <w:kern w:val="0"/>
                      <w:szCs w:val="21"/>
                    </w:rPr>
                    <w:t>发泡废气</w:t>
                  </w:r>
                </w:p>
              </w:tc>
              <w:tc>
                <w:tcPr>
                  <w:tcW w:w="2868" w:type="dxa"/>
                  <w:vAlign w:val="center"/>
                </w:tcPr>
                <w:p w14:paraId="73DC151B">
                  <w:pPr>
                    <w:pStyle w:val="76"/>
                    <w:jc w:val="center"/>
                    <w:rPr>
                      <w:rFonts w:ascii="Times New Roman" w:hAnsi="Times New Roman"/>
                      <w:color w:val="auto"/>
                      <w:kern w:val="0"/>
                      <w:szCs w:val="21"/>
                    </w:rPr>
                  </w:pPr>
                  <w:r>
                    <w:rPr>
                      <w:rFonts w:ascii="Times New Roman" w:hAnsi="Times New Roman"/>
                      <w:color w:val="auto"/>
                      <w:kern w:val="0"/>
                      <w:szCs w:val="21"/>
                    </w:rPr>
                    <w:t>预发泡工序、蒸压成型工序、熟化工序</w:t>
                  </w:r>
                </w:p>
              </w:tc>
              <w:tc>
                <w:tcPr>
                  <w:tcW w:w="2856" w:type="dxa"/>
                  <w:vAlign w:val="center"/>
                </w:tcPr>
                <w:p w14:paraId="5D2294E2">
                  <w:pPr>
                    <w:pStyle w:val="76"/>
                    <w:jc w:val="center"/>
                    <w:rPr>
                      <w:rFonts w:ascii="Times New Roman" w:hAnsi="Times New Roman"/>
                      <w:color w:val="auto"/>
                      <w:kern w:val="0"/>
                      <w:szCs w:val="21"/>
                    </w:rPr>
                  </w:pPr>
                  <w:r>
                    <w:rPr>
                      <w:rFonts w:ascii="Times New Roman" w:hAnsi="Times New Roman"/>
                      <w:color w:val="auto"/>
                      <w:kern w:val="0"/>
                      <w:szCs w:val="21"/>
                    </w:rPr>
                    <w:t>非甲烷总烃</w:t>
                  </w:r>
                  <w:r>
                    <w:rPr>
                      <w:rFonts w:hint="eastAsia" w:ascii="Times New Roman" w:hAnsi="Times New Roman"/>
                      <w:color w:val="auto"/>
                      <w:kern w:val="0"/>
                      <w:szCs w:val="21"/>
                    </w:rPr>
                    <w:t>、苯乙烯</w:t>
                  </w:r>
                </w:p>
              </w:tc>
            </w:tr>
            <w:tr w14:paraId="1DEA5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7F784A4E">
                  <w:pPr>
                    <w:pStyle w:val="76"/>
                    <w:jc w:val="center"/>
                    <w:rPr>
                      <w:rFonts w:ascii="Times New Roman" w:hAnsi="Times New Roman"/>
                      <w:color w:val="auto"/>
                      <w:kern w:val="0"/>
                      <w:szCs w:val="21"/>
                    </w:rPr>
                  </w:pPr>
                </w:p>
              </w:tc>
              <w:tc>
                <w:tcPr>
                  <w:tcW w:w="1900" w:type="dxa"/>
                  <w:shd w:val="clear" w:color="auto" w:fill="auto"/>
                  <w:vAlign w:val="center"/>
                </w:tcPr>
                <w:p w14:paraId="44C77D42">
                  <w:pPr>
                    <w:pStyle w:val="76"/>
                    <w:jc w:val="center"/>
                    <w:rPr>
                      <w:rFonts w:ascii="Times New Roman" w:hAnsi="Times New Roman"/>
                      <w:color w:val="auto"/>
                      <w:kern w:val="0"/>
                      <w:szCs w:val="21"/>
                    </w:rPr>
                  </w:pPr>
                  <w:r>
                    <w:rPr>
                      <w:rFonts w:hint="eastAsia" w:ascii="Times New Roman" w:hAnsi="Times New Roman"/>
                      <w:color w:val="auto"/>
                      <w:kern w:val="0"/>
                      <w:szCs w:val="21"/>
                    </w:rPr>
                    <w:t>切割</w:t>
                  </w:r>
                  <w:r>
                    <w:rPr>
                      <w:rFonts w:ascii="Times New Roman" w:hAnsi="Times New Roman"/>
                      <w:color w:val="auto"/>
                      <w:kern w:val="0"/>
                      <w:szCs w:val="21"/>
                    </w:rPr>
                    <w:t>废气</w:t>
                  </w:r>
                </w:p>
              </w:tc>
              <w:tc>
                <w:tcPr>
                  <w:tcW w:w="2868" w:type="dxa"/>
                  <w:shd w:val="clear" w:color="auto" w:fill="auto"/>
                  <w:vAlign w:val="center"/>
                </w:tcPr>
                <w:p w14:paraId="341D2E9C">
                  <w:pPr>
                    <w:pStyle w:val="76"/>
                    <w:jc w:val="center"/>
                    <w:rPr>
                      <w:rFonts w:ascii="Times New Roman" w:hAnsi="Times New Roman"/>
                      <w:color w:val="auto"/>
                      <w:kern w:val="0"/>
                      <w:szCs w:val="21"/>
                    </w:rPr>
                  </w:pPr>
                  <w:r>
                    <w:rPr>
                      <w:rFonts w:ascii="Times New Roman" w:hAnsi="Times New Roman"/>
                      <w:color w:val="auto"/>
                      <w:kern w:val="0"/>
                      <w:szCs w:val="21"/>
                    </w:rPr>
                    <w:t>泡沫模具</w:t>
                  </w:r>
                  <w:r>
                    <w:rPr>
                      <w:rFonts w:hint="eastAsia" w:ascii="Times New Roman" w:hAnsi="Times New Roman"/>
                      <w:color w:val="auto"/>
                      <w:kern w:val="0"/>
                      <w:szCs w:val="21"/>
                    </w:rPr>
                    <w:t>切割</w:t>
                  </w:r>
                  <w:r>
                    <w:rPr>
                      <w:rFonts w:ascii="Times New Roman" w:hAnsi="Times New Roman"/>
                      <w:color w:val="auto"/>
                      <w:kern w:val="0"/>
                      <w:szCs w:val="21"/>
                    </w:rPr>
                    <w:t>工序</w:t>
                  </w:r>
                </w:p>
              </w:tc>
              <w:tc>
                <w:tcPr>
                  <w:tcW w:w="2856" w:type="dxa"/>
                  <w:shd w:val="clear" w:color="auto" w:fill="auto"/>
                  <w:vAlign w:val="center"/>
                </w:tcPr>
                <w:p w14:paraId="5E91E425">
                  <w:pPr>
                    <w:pStyle w:val="76"/>
                    <w:jc w:val="center"/>
                    <w:rPr>
                      <w:rFonts w:ascii="Times New Roman" w:hAnsi="Times New Roman"/>
                      <w:color w:val="auto"/>
                      <w:kern w:val="0"/>
                      <w:szCs w:val="21"/>
                    </w:rPr>
                  </w:pPr>
                  <w:r>
                    <w:rPr>
                      <w:rFonts w:ascii="Times New Roman" w:hAnsi="Times New Roman"/>
                      <w:color w:val="auto"/>
                      <w:kern w:val="0"/>
                      <w:szCs w:val="21"/>
                    </w:rPr>
                    <w:t>非甲烷总烃</w:t>
                  </w:r>
                </w:p>
              </w:tc>
            </w:tr>
            <w:tr w14:paraId="7F32D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4255DAC5">
                  <w:pPr>
                    <w:pStyle w:val="86"/>
                    <w:spacing w:line="240" w:lineRule="auto"/>
                    <w:ind w:firstLine="0" w:firstLineChars="0"/>
                    <w:jc w:val="center"/>
                    <w:rPr>
                      <w:rFonts w:cs="Times New Roman"/>
                      <w:color w:val="auto"/>
                      <w:kern w:val="0"/>
                      <w:sz w:val="21"/>
                      <w:szCs w:val="21"/>
                    </w:rPr>
                  </w:pPr>
                </w:p>
              </w:tc>
              <w:tc>
                <w:tcPr>
                  <w:tcW w:w="1900" w:type="dxa"/>
                  <w:vAlign w:val="center"/>
                </w:tcPr>
                <w:p w14:paraId="72B694B3">
                  <w:pPr>
                    <w:pStyle w:val="76"/>
                    <w:jc w:val="center"/>
                    <w:rPr>
                      <w:rFonts w:ascii="Times New Roman" w:hAnsi="Times New Roman"/>
                      <w:color w:val="auto"/>
                      <w:kern w:val="0"/>
                      <w:szCs w:val="21"/>
                    </w:rPr>
                  </w:pPr>
                  <w:r>
                    <w:rPr>
                      <w:rFonts w:ascii="Times New Roman" w:hAnsi="Times New Roman"/>
                      <w:color w:val="auto"/>
                      <w:kern w:val="0"/>
                      <w:szCs w:val="21"/>
                    </w:rPr>
                    <w:t>胶粘废气</w:t>
                  </w:r>
                </w:p>
              </w:tc>
              <w:tc>
                <w:tcPr>
                  <w:tcW w:w="2868" w:type="dxa"/>
                  <w:vAlign w:val="center"/>
                </w:tcPr>
                <w:p w14:paraId="61738EC3">
                  <w:pPr>
                    <w:pStyle w:val="76"/>
                    <w:jc w:val="center"/>
                    <w:rPr>
                      <w:rFonts w:ascii="Times New Roman" w:hAnsi="Times New Roman"/>
                      <w:color w:val="auto"/>
                      <w:kern w:val="0"/>
                      <w:szCs w:val="21"/>
                    </w:rPr>
                  </w:pPr>
                  <w:r>
                    <w:rPr>
                      <w:rFonts w:ascii="Times New Roman" w:hAnsi="Times New Roman"/>
                      <w:color w:val="auto"/>
                      <w:kern w:val="0"/>
                      <w:szCs w:val="21"/>
                    </w:rPr>
                    <w:t>泡沫模具粘接工序</w:t>
                  </w:r>
                </w:p>
              </w:tc>
              <w:tc>
                <w:tcPr>
                  <w:tcW w:w="2856" w:type="dxa"/>
                  <w:vAlign w:val="center"/>
                </w:tcPr>
                <w:p w14:paraId="2938B2DF">
                  <w:pPr>
                    <w:pStyle w:val="76"/>
                    <w:jc w:val="center"/>
                    <w:rPr>
                      <w:rFonts w:ascii="Times New Roman" w:hAnsi="Times New Roman"/>
                      <w:color w:val="auto"/>
                      <w:kern w:val="0"/>
                      <w:szCs w:val="21"/>
                    </w:rPr>
                  </w:pPr>
                  <w:r>
                    <w:rPr>
                      <w:rFonts w:ascii="Times New Roman" w:hAnsi="Times New Roman"/>
                      <w:color w:val="auto"/>
                      <w:kern w:val="0"/>
                      <w:szCs w:val="21"/>
                    </w:rPr>
                    <w:t>非甲烷总烃</w:t>
                  </w:r>
                </w:p>
              </w:tc>
            </w:tr>
            <w:tr w14:paraId="6C214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5D13B49F">
                  <w:pPr>
                    <w:pStyle w:val="86"/>
                    <w:spacing w:line="240" w:lineRule="auto"/>
                    <w:ind w:firstLine="0" w:firstLineChars="0"/>
                    <w:jc w:val="center"/>
                    <w:rPr>
                      <w:rFonts w:cs="Times New Roman"/>
                      <w:color w:val="auto"/>
                      <w:kern w:val="0"/>
                      <w:sz w:val="21"/>
                      <w:szCs w:val="21"/>
                    </w:rPr>
                  </w:pPr>
                </w:p>
              </w:tc>
              <w:tc>
                <w:tcPr>
                  <w:tcW w:w="1900" w:type="dxa"/>
                  <w:vAlign w:val="center"/>
                </w:tcPr>
                <w:p w14:paraId="580512A6">
                  <w:pPr>
                    <w:jc w:val="center"/>
                    <w:rPr>
                      <w:color w:val="auto"/>
                      <w:szCs w:val="21"/>
                    </w:rPr>
                  </w:pPr>
                  <w:r>
                    <w:rPr>
                      <w:rFonts w:hint="eastAsia"/>
                      <w:color w:val="auto"/>
                      <w:szCs w:val="21"/>
                    </w:rPr>
                    <w:t>熔炼废气</w:t>
                  </w:r>
                </w:p>
              </w:tc>
              <w:tc>
                <w:tcPr>
                  <w:tcW w:w="2868" w:type="dxa"/>
                  <w:vAlign w:val="center"/>
                </w:tcPr>
                <w:p w14:paraId="55A950CE">
                  <w:pPr>
                    <w:jc w:val="center"/>
                    <w:rPr>
                      <w:color w:val="auto"/>
                      <w:szCs w:val="21"/>
                    </w:rPr>
                  </w:pPr>
                  <w:r>
                    <w:rPr>
                      <w:rFonts w:hint="eastAsia"/>
                      <w:color w:val="auto"/>
                      <w:szCs w:val="21"/>
                    </w:rPr>
                    <w:t>熔炼工序</w:t>
                  </w:r>
                </w:p>
              </w:tc>
              <w:tc>
                <w:tcPr>
                  <w:tcW w:w="2856" w:type="dxa"/>
                  <w:vAlign w:val="center"/>
                </w:tcPr>
                <w:p w14:paraId="5B8DDB41">
                  <w:pPr>
                    <w:pStyle w:val="76"/>
                    <w:jc w:val="center"/>
                    <w:rPr>
                      <w:rFonts w:ascii="Times New Roman" w:hAnsi="Times New Roman"/>
                      <w:color w:val="auto"/>
                      <w:kern w:val="0"/>
                      <w:szCs w:val="21"/>
                    </w:rPr>
                  </w:pPr>
                  <w:r>
                    <w:rPr>
                      <w:color w:val="auto"/>
                      <w:szCs w:val="21"/>
                    </w:rPr>
                    <w:t>颗粒物</w:t>
                  </w:r>
                </w:p>
              </w:tc>
            </w:tr>
            <w:tr w14:paraId="2CFFA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53986A97">
                  <w:pPr>
                    <w:pStyle w:val="86"/>
                    <w:spacing w:line="240" w:lineRule="auto"/>
                    <w:ind w:firstLine="0" w:firstLineChars="0"/>
                    <w:jc w:val="center"/>
                    <w:rPr>
                      <w:rFonts w:cs="Times New Roman"/>
                      <w:color w:val="auto"/>
                      <w:kern w:val="0"/>
                      <w:sz w:val="21"/>
                      <w:szCs w:val="21"/>
                    </w:rPr>
                  </w:pPr>
                </w:p>
              </w:tc>
              <w:tc>
                <w:tcPr>
                  <w:tcW w:w="1900" w:type="dxa"/>
                  <w:vAlign w:val="center"/>
                </w:tcPr>
                <w:p w14:paraId="193E0158">
                  <w:pPr>
                    <w:pStyle w:val="76"/>
                    <w:jc w:val="center"/>
                    <w:rPr>
                      <w:rFonts w:ascii="Times New Roman" w:hAnsi="Times New Roman"/>
                      <w:color w:val="auto"/>
                      <w:kern w:val="0"/>
                      <w:szCs w:val="21"/>
                    </w:rPr>
                  </w:pPr>
                  <w:r>
                    <w:rPr>
                      <w:rFonts w:ascii="Times New Roman" w:hAnsi="Times New Roman"/>
                      <w:color w:val="auto"/>
                      <w:kern w:val="0"/>
                      <w:szCs w:val="21"/>
                    </w:rPr>
                    <w:t>浇铸废气</w:t>
                  </w:r>
                </w:p>
              </w:tc>
              <w:tc>
                <w:tcPr>
                  <w:tcW w:w="2868" w:type="dxa"/>
                  <w:vAlign w:val="center"/>
                </w:tcPr>
                <w:p w14:paraId="7AC64250">
                  <w:pPr>
                    <w:pStyle w:val="76"/>
                    <w:jc w:val="center"/>
                    <w:rPr>
                      <w:rFonts w:ascii="Times New Roman" w:hAnsi="Times New Roman"/>
                      <w:color w:val="auto"/>
                      <w:kern w:val="0"/>
                      <w:szCs w:val="21"/>
                    </w:rPr>
                  </w:pPr>
                  <w:r>
                    <w:rPr>
                      <w:rFonts w:ascii="Times New Roman" w:hAnsi="Times New Roman"/>
                      <w:color w:val="auto"/>
                      <w:kern w:val="0"/>
                      <w:szCs w:val="21"/>
                    </w:rPr>
                    <w:t>负压浇铸工序</w:t>
                  </w:r>
                </w:p>
              </w:tc>
              <w:tc>
                <w:tcPr>
                  <w:tcW w:w="2856" w:type="dxa"/>
                  <w:vAlign w:val="center"/>
                </w:tcPr>
                <w:p w14:paraId="22EB03DB">
                  <w:pPr>
                    <w:pStyle w:val="76"/>
                    <w:jc w:val="center"/>
                    <w:rPr>
                      <w:rFonts w:ascii="Times New Roman" w:hAnsi="Times New Roman"/>
                      <w:color w:val="auto"/>
                      <w:kern w:val="0"/>
                      <w:szCs w:val="21"/>
                    </w:rPr>
                  </w:pPr>
                  <w:r>
                    <w:rPr>
                      <w:rFonts w:ascii="Times New Roman" w:hAnsi="Times New Roman"/>
                      <w:color w:val="auto"/>
                      <w:kern w:val="0"/>
                      <w:szCs w:val="21"/>
                    </w:rPr>
                    <w:t>颗粒物、非甲烷总烃</w:t>
                  </w:r>
                </w:p>
              </w:tc>
            </w:tr>
            <w:tr w14:paraId="3204C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66D242C4">
                  <w:pPr>
                    <w:pStyle w:val="86"/>
                    <w:spacing w:line="240" w:lineRule="auto"/>
                    <w:ind w:firstLine="0" w:firstLineChars="0"/>
                    <w:jc w:val="center"/>
                    <w:rPr>
                      <w:rFonts w:cs="Times New Roman"/>
                      <w:color w:val="auto"/>
                      <w:kern w:val="0"/>
                      <w:sz w:val="21"/>
                      <w:szCs w:val="21"/>
                    </w:rPr>
                  </w:pPr>
                </w:p>
              </w:tc>
              <w:tc>
                <w:tcPr>
                  <w:tcW w:w="1900" w:type="dxa"/>
                  <w:vAlign w:val="center"/>
                </w:tcPr>
                <w:p w14:paraId="2B583BE3">
                  <w:pPr>
                    <w:jc w:val="center"/>
                    <w:rPr>
                      <w:color w:val="auto"/>
                      <w:szCs w:val="21"/>
                    </w:rPr>
                  </w:pPr>
                  <w:r>
                    <w:rPr>
                      <w:rFonts w:hint="eastAsia"/>
                      <w:color w:val="auto"/>
                      <w:szCs w:val="21"/>
                    </w:rPr>
                    <w:t>落砂粉尘</w:t>
                  </w:r>
                </w:p>
              </w:tc>
              <w:tc>
                <w:tcPr>
                  <w:tcW w:w="2868" w:type="dxa"/>
                  <w:vAlign w:val="center"/>
                </w:tcPr>
                <w:p w14:paraId="72FE2F68">
                  <w:pPr>
                    <w:jc w:val="center"/>
                    <w:rPr>
                      <w:color w:val="auto"/>
                      <w:szCs w:val="21"/>
                    </w:rPr>
                  </w:pPr>
                  <w:r>
                    <w:rPr>
                      <w:rFonts w:hint="eastAsia"/>
                      <w:color w:val="auto"/>
                      <w:szCs w:val="21"/>
                    </w:rPr>
                    <w:t>落砂工序</w:t>
                  </w:r>
                </w:p>
              </w:tc>
              <w:tc>
                <w:tcPr>
                  <w:tcW w:w="2856" w:type="dxa"/>
                  <w:vAlign w:val="center"/>
                </w:tcPr>
                <w:p w14:paraId="1C6D8E9C">
                  <w:pPr>
                    <w:pStyle w:val="76"/>
                    <w:jc w:val="center"/>
                    <w:rPr>
                      <w:rFonts w:ascii="Times New Roman" w:hAnsi="Times New Roman"/>
                      <w:color w:val="auto"/>
                      <w:kern w:val="0"/>
                      <w:szCs w:val="21"/>
                    </w:rPr>
                  </w:pPr>
                  <w:r>
                    <w:rPr>
                      <w:rFonts w:ascii="Times New Roman" w:hAnsi="Times New Roman"/>
                      <w:color w:val="auto"/>
                      <w:kern w:val="0"/>
                      <w:szCs w:val="21"/>
                    </w:rPr>
                    <w:t>颗粒物</w:t>
                  </w:r>
                </w:p>
              </w:tc>
            </w:tr>
            <w:tr w14:paraId="20E5B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7CE58D16">
                  <w:pPr>
                    <w:pStyle w:val="86"/>
                    <w:spacing w:line="240" w:lineRule="auto"/>
                    <w:ind w:firstLine="0" w:firstLineChars="0"/>
                    <w:jc w:val="center"/>
                    <w:rPr>
                      <w:rFonts w:cs="Times New Roman"/>
                      <w:color w:val="auto"/>
                      <w:kern w:val="0"/>
                      <w:sz w:val="21"/>
                      <w:szCs w:val="21"/>
                    </w:rPr>
                  </w:pPr>
                </w:p>
              </w:tc>
              <w:tc>
                <w:tcPr>
                  <w:tcW w:w="1900" w:type="dxa"/>
                  <w:vAlign w:val="center"/>
                </w:tcPr>
                <w:p w14:paraId="0D628B0B">
                  <w:pPr>
                    <w:pStyle w:val="76"/>
                    <w:jc w:val="center"/>
                    <w:rPr>
                      <w:rFonts w:ascii="Times New Roman" w:hAnsi="Times New Roman"/>
                      <w:color w:val="auto"/>
                      <w:kern w:val="0"/>
                      <w:szCs w:val="21"/>
                    </w:rPr>
                  </w:pPr>
                  <w:r>
                    <w:rPr>
                      <w:rFonts w:ascii="Times New Roman" w:hAnsi="Times New Roman"/>
                      <w:color w:val="auto"/>
                      <w:kern w:val="0"/>
                      <w:szCs w:val="21"/>
                    </w:rPr>
                    <w:t>砂</w:t>
                  </w:r>
                  <w:r>
                    <w:rPr>
                      <w:rFonts w:hint="eastAsia" w:ascii="Times New Roman" w:hAnsi="Times New Roman"/>
                      <w:color w:val="auto"/>
                      <w:kern w:val="0"/>
                      <w:szCs w:val="21"/>
                    </w:rPr>
                    <w:t>处理</w:t>
                  </w:r>
                  <w:r>
                    <w:rPr>
                      <w:rFonts w:ascii="Times New Roman" w:hAnsi="Times New Roman"/>
                      <w:color w:val="auto"/>
                      <w:kern w:val="0"/>
                      <w:szCs w:val="21"/>
                    </w:rPr>
                    <w:t>废气</w:t>
                  </w:r>
                </w:p>
              </w:tc>
              <w:tc>
                <w:tcPr>
                  <w:tcW w:w="2868" w:type="dxa"/>
                  <w:vAlign w:val="center"/>
                </w:tcPr>
                <w:p w14:paraId="187CD6D3">
                  <w:pPr>
                    <w:pStyle w:val="76"/>
                    <w:jc w:val="center"/>
                    <w:rPr>
                      <w:rFonts w:ascii="Times New Roman" w:hAnsi="Times New Roman"/>
                      <w:color w:val="auto"/>
                      <w:kern w:val="0"/>
                      <w:szCs w:val="21"/>
                    </w:rPr>
                  </w:pPr>
                  <w:r>
                    <w:rPr>
                      <w:rFonts w:ascii="Times New Roman" w:hAnsi="Times New Roman"/>
                      <w:color w:val="auto"/>
                      <w:kern w:val="0"/>
                      <w:szCs w:val="21"/>
                    </w:rPr>
                    <w:t>砂处理工序</w:t>
                  </w:r>
                </w:p>
              </w:tc>
              <w:tc>
                <w:tcPr>
                  <w:tcW w:w="2856" w:type="dxa"/>
                  <w:vAlign w:val="center"/>
                </w:tcPr>
                <w:p w14:paraId="084A2E7A">
                  <w:pPr>
                    <w:pStyle w:val="76"/>
                    <w:jc w:val="center"/>
                    <w:rPr>
                      <w:rFonts w:ascii="Times New Roman" w:hAnsi="Times New Roman"/>
                      <w:color w:val="auto"/>
                      <w:kern w:val="0"/>
                      <w:szCs w:val="21"/>
                    </w:rPr>
                  </w:pPr>
                  <w:r>
                    <w:rPr>
                      <w:rFonts w:ascii="Times New Roman" w:hAnsi="Times New Roman"/>
                      <w:color w:val="auto"/>
                      <w:kern w:val="0"/>
                      <w:szCs w:val="21"/>
                    </w:rPr>
                    <w:t>颗粒物</w:t>
                  </w:r>
                </w:p>
              </w:tc>
            </w:tr>
            <w:tr w14:paraId="0D226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28E81981">
                  <w:pPr>
                    <w:pStyle w:val="86"/>
                    <w:spacing w:line="240" w:lineRule="auto"/>
                    <w:ind w:firstLine="0" w:firstLineChars="0"/>
                    <w:jc w:val="center"/>
                    <w:rPr>
                      <w:rFonts w:cs="Times New Roman"/>
                      <w:color w:val="auto"/>
                      <w:kern w:val="0"/>
                      <w:sz w:val="21"/>
                      <w:szCs w:val="21"/>
                    </w:rPr>
                  </w:pPr>
                </w:p>
              </w:tc>
              <w:tc>
                <w:tcPr>
                  <w:tcW w:w="1900" w:type="dxa"/>
                  <w:vAlign w:val="center"/>
                </w:tcPr>
                <w:p w14:paraId="6B27365D">
                  <w:pPr>
                    <w:pStyle w:val="76"/>
                    <w:jc w:val="center"/>
                    <w:rPr>
                      <w:rFonts w:ascii="Times New Roman" w:hAnsi="Times New Roman"/>
                      <w:color w:val="auto"/>
                      <w:kern w:val="0"/>
                      <w:szCs w:val="21"/>
                    </w:rPr>
                  </w:pPr>
                  <w:r>
                    <w:rPr>
                      <w:rFonts w:ascii="Times New Roman" w:hAnsi="Times New Roman"/>
                      <w:color w:val="auto"/>
                      <w:kern w:val="0"/>
                      <w:szCs w:val="21"/>
                    </w:rPr>
                    <w:t>泡沫模具烘干废气</w:t>
                  </w:r>
                </w:p>
              </w:tc>
              <w:tc>
                <w:tcPr>
                  <w:tcW w:w="2868" w:type="dxa"/>
                  <w:vAlign w:val="center"/>
                </w:tcPr>
                <w:p w14:paraId="5A5D7915">
                  <w:pPr>
                    <w:pStyle w:val="76"/>
                    <w:jc w:val="center"/>
                    <w:rPr>
                      <w:rFonts w:ascii="Times New Roman" w:hAnsi="Times New Roman"/>
                      <w:color w:val="auto"/>
                      <w:kern w:val="0"/>
                      <w:szCs w:val="21"/>
                    </w:rPr>
                  </w:pPr>
                  <w:r>
                    <w:rPr>
                      <w:rFonts w:ascii="Times New Roman" w:hAnsi="Times New Roman"/>
                      <w:color w:val="auto"/>
                      <w:kern w:val="0"/>
                      <w:szCs w:val="21"/>
                    </w:rPr>
                    <w:t>泡沫模具烘干工序</w:t>
                  </w:r>
                </w:p>
              </w:tc>
              <w:tc>
                <w:tcPr>
                  <w:tcW w:w="2856" w:type="dxa"/>
                  <w:vAlign w:val="center"/>
                </w:tcPr>
                <w:p w14:paraId="4EFAF8AA">
                  <w:pPr>
                    <w:pStyle w:val="76"/>
                    <w:jc w:val="center"/>
                    <w:rPr>
                      <w:rFonts w:ascii="Times New Roman" w:hAnsi="Times New Roman"/>
                      <w:color w:val="auto"/>
                      <w:kern w:val="0"/>
                      <w:szCs w:val="21"/>
                    </w:rPr>
                  </w:pPr>
                  <w:r>
                    <w:rPr>
                      <w:rFonts w:ascii="Times New Roman" w:hAnsi="Times New Roman"/>
                      <w:color w:val="auto"/>
                      <w:kern w:val="0"/>
                      <w:szCs w:val="21"/>
                    </w:rPr>
                    <w:t>水蒸气</w:t>
                  </w:r>
                </w:p>
              </w:tc>
            </w:tr>
            <w:tr w14:paraId="25651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7C4A40F7">
                  <w:pPr>
                    <w:pStyle w:val="86"/>
                    <w:spacing w:line="240" w:lineRule="auto"/>
                    <w:ind w:firstLine="0" w:firstLineChars="0"/>
                    <w:jc w:val="center"/>
                    <w:rPr>
                      <w:rFonts w:cs="Times New Roman"/>
                      <w:color w:val="auto"/>
                      <w:kern w:val="0"/>
                      <w:sz w:val="21"/>
                      <w:szCs w:val="21"/>
                    </w:rPr>
                  </w:pPr>
                </w:p>
              </w:tc>
              <w:tc>
                <w:tcPr>
                  <w:tcW w:w="1900" w:type="dxa"/>
                  <w:vAlign w:val="center"/>
                </w:tcPr>
                <w:p w14:paraId="47AB4D4C">
                  <w:pPr>
                    <w:pStyle w:val="76"/>
                    <w:jc w:val="center"/>
                    <w:rPr>
                      <w:rFonts w:ascii="Times New Roman" w:hAnsi="Times New Roman"/>
                      <w:color w:val="auto"/>
                      <w:kern w:val="0"/>
                      <w:szCs w:val="21"/>
                    </w:rPr>
                  </w:pPr>
                  <w:r>
                    <w:rPr>
                      <w:rFonts w:ascii="Times New Roman" w:hAnsi="Times New Roman"/>
                      <w:color w:val="auto"/>
                      <w:kern w:val="0"/>
                      <w:szCs w:val="21"/>
                    </w:rPr>
                    <w:t>水性粉末涂料调制</w:t>
                  </w:r>
                </w:p>
                <w:p w14:paraId="11C14955">
                  <w:pPr>
                    <w:pStyle w:val="76"/>
                    <w:jc w:val="center"/>
                    <w:rPr>
                      <w:rFonts w:ascii="Times New Roman" w:hAnsi="Times New Roman"/>
                      <w:color w:val="auto"/>
                      <w:kern w:val="0"/>
                      <w:szCs w:val="21"/>
                    </w:rPr>
                  </w:pPr>
                  <w:r>
                    <w:rPr>
                      <w:rFonts w:ascii="Times New Roman" w:hAnsi="Times New Roman"/>
                      <w:color w:val="auto"/>
                      <w:kern w:val="0"/>
                      <w:szCs w:val="21"/>
                    </w:rPr>
                    <w:t>废气</w:t>
                  </w:r>
                </w:p>
              </w:tc>
              <w:tc>
                <w:tcPr>
                  <w:tcW w:w="2868" w:type="dxa"/>
                  <w:vAlign w:val="center"/>
                </w:tcPr>
                <w:p w14:paraId="3F270ADC">
                  <w:pPr>
                    <w:pStyle w:val="76"/>
                    <w:jc w:val="center"/>
                    <w:rPr>
                      <w:rFonts w:ascii="Times New Roman" w:hAnsi="Times New Roman"/>
                      <w:color w:val="auto"/>
                      <w:kern w:val="0"/>
                      <w:szCs w:val="21"/>
                    </w:rPr>
                  </w:pPr>
                  <w:r>
                    <w:rPr>
                      <w:rFonts w:ascii="Times New Roman" w:hAnsi="Times New Roman"/>
                      <w:color w:val="auto"/>
                      <w:kern w:val="0"/>
                      <w:szCs w:val="21"/>
                    </w:rPr>
                    <w:t>水性粉末涂料调制工序</w:t>
                  </w:r>
                </w:p>
              </w:tc>
              <w:tc>
                <w:tcPr>
                  <w:tcW w:w="2856" w:type="dxa"/>
                  <w:vAlign w:val="center"/>
                </w:tcPr>
                <w:p w14:paraId="57D8709D">
                  <w:pPr>
                    <w:pStyle w:val="76"/>
                    <w:jc w:val="center"/>
                    <w:rPr>
                      <w:rFonts w:ascii="Times New Roman" w:hAnsi="Times New Roman"/>
                      <w:color w:val="auto"/>
                      <w:kern w:val="0"/>
                      <w:szCs w:val="21"/>
                    </w:rPr>
                  </w:pPr>
                  <w:r>
                    <w:rPr>
                      <w:rFonts w:ascii="Times New Roman" w:hAnsi="Times New Roman"/>
                      <w:color w:val="auto"/>
                      <w:kern w:val="0"/>
                      <w:szCs w:val="21"/>
                    </w:rPr>
                    <w:t>颗粒物</w:t>
                  </w:r>
                </w:p>
              </w:tc>
            </w:tr>
            <w:tr w14:paraId="74EC3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322E0893">
                  <w:pPr>
                    <w:pStyle w:val="86"/>
                    <w:spacing w:line="240" w:lineRule="auto"/>
                    <w:ind w:firstLine="0" w:firstLineChars="0"/>
                    <w:jc w:val="center"/>
                    <w:rPr>
                      <w:rFonts w:cs="Times New Roman"/>
                      <w:color w:val="auto"/>
                      <w:kern w:val="0"/>
                      <w:sz w:val="21"/>
                      <w:szCs w:val="21"/>
                    </w:rPr>
                  </w:pPr>
                </w:p>
              </w:tc>
              <w:tc>
                <w:tcPr>
                  <w:tcW w:w="1900" w:type="dxa"/>
                  <w:vAlign w:val="center"/>
                </w:tcPr>
                <w:p w14:paraId="2B0BADE5">
                  <w:pPr>
                    <w:pStyle w:val="76"/>
                    <w:jc w:val="center"/>
                    <w:rPr>
                      <w:rFonts w:ascii="Times New Roman" w:hAnsi="Times New Roman"/>
                      <w:color w:val="auto"/>
                      <w:kern w:val="0"/>
                      <w:szCs w:val="21"/>
                    </w:rPr>
                  </w:pPr>
                  <w:r>
                    <w:rPr>
                      <w:rFonts w:ascii="Times New Roman" w:hAnsi="Times New Roman"/>
                      <w:color w:val="auto"/>
                      <w:kern w:val="0"/>
                      <w:szCs w:val="21"/>
                    </w:rPr>
                    <w:t>涂料烘干废气</w:t>
                  </w:r>
                </w:p>
              </w:tc>
              <w:tc>
                <w:tcPr>
                  <w:tcW w:w="2868" w:type="dxa"/>
                  <w:vAlign w:val="center"/>
                </w:tcPr>
                <w:p w14:paraId="7A1AF065">
                  <w:pPr>
                    <w:pStyle w:val="76"/>
                    <w:jc w:val="center"/>
                    <w:rPr>
                      <w:rFonts w:ascii="Times New Roman" w:hAnsi="Times New Roman"/>
                      <w:color w:val="auto"/>
                      <w:kern w:val="0"/>
                      <w:szCs w:val="21"/>
                    </w:rPr>
                  </w:pPr>
                  <w:r>
                    <w:rPr>
                      <w:rFonts w:ascii="Times New Roman" w:hAnsi="Times New Roman"/>
                      <w:color w:val="auto"/>
                      <w:kern w:val="0"/>
                      <w:szCs w:val="21"/>
                    </w:rPr>
                    <w:t>涂料烘干废气</w:t>
                  </w:r>
                </w:p>
              </w:tc>
              <w:tc>
                <w:tcPr>
                  <w:tcW w:w="2856" w:type="dxa"/>
                  <w:vAlign w:val="center"/>
                </w:tcPr>
                <w:p w14:paraId="76855A75">
                  <w:pPr>
                    <w:pStyle w:val="76"/>
                    <w:jc w:val="center"/>
                    <w:rPr>
                      <w:rFonts w:ascii="Times New Roman" w:hAnsi="Times New Roman"/>
                      <w:color w:val="auto"/>
                      <w:kern w:val="0"/>
                      <w:szCs w:val="21"/>
                    </w:rPr>
                  </w:pPr>
                  <w:r>
                    <w:rPr>
                      <w:rFonts w:ascii="Times New Roman" w:hAnsi="Times New Roman"/>
                      <w:color w:val="auto"/>
                      <w:kern w:val="0"/>
                      <w:szCs w:val="21"/>
                    </w:rPr>
                    <w:t>水蒸气</w:t>
                  </w:r>
                </w:p>
              </w:tc>
            </w:tr>
            <w:tr w14:paraId="38482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26587AB5">
                  <w:pPr>
                    <w:pStyle w:val="86"/>
                    <w:spacing w:line="240" w:lineRule="auto"/>
                    <w:ind w:firstLine="0" w:firstLineChars="0"/>
                    <w:jc w:val="center"/>
                    <w:rPr>
                      <w:rFonts w:cs="Times New Roman"/>
                      <w:color w:val="auto"/>
                      <w:kern w:val="0"/>
                      <w:sz w:val="21"/>
                      <w:szCs w:val="21"/>
                    </w:rPr>
                  </w:pPr>
                </w:p>
              </w:tc>
              <w:tc>
                <w:tcPr>
                  <w:tcW w:w="1900" w:type="dxa"/>
                  <w:vAlign w:val="center"/>
                </w:tcPr>
                <w:p w14:paraId="2B684680">
                  <w:pPr>
                    <w:jc w:val="center"/>
                    <w:rPr>
                      <w:color w:val="auto"/>
                      <w:szCs w:val="21"/>
                    </w:rPr>
                  </w:pPr>
                  <w:r>
                    <w:rPr>
                      <w:rFonts w:hint="eastAsia"/>
                      <w:color w:val="auto"/>
                      <w:szCs w:val="21"/>
                    </w:rPr>
                    <w:t>去冒口废气</w:t>
                  </w:r>
                </w:p>
              </w:tc>
              <w:tc>
                <w:tcPr>
                  <w:tcW w:w="2868" w:type="dxa"/>
                  <w:vAlign w:val="center"/>
                </w:tcPr>
                <w:p w14:paraId="5A6560AF">
                  <w:pPr>
                    <w:jc w:val="center"/>
                    <w:rPr>
                      <w:color w:val="auto"/>
                      <w:szCs w:val="21"/>
                    </w:rPr>
                  </w:pPr>
                  <w:r>
                    <w:rPr>
                      <w:rFonts w:hint="eastAsia"/>
                      <w:color w:val="auto"/>
                      <w:szCs w:val="21"/>
                    </w:rPr>
                    <w:t>切割去冒口工序</w:t>
                  </w:r>
                </w:p>
              </w:tc>
              <w:tc>
                <w:tcPr>
                  <w:tcW w:w="2856" w:type="dxa"/>
                  <w:vAlign w:val="center"/>
                </w:tcPr>
                <w:p w14:paraId="7E3AFEA6">
                  <w:pPr>
                    <w:pStyle w:val="76"/>
                    <w:jc w:val="center"/>
                    <w:rPr>
                      <w:rFonts w:ascii="Times New Roman" w:hAnsi="Times New Roman"/>
                      <w:color w:val="auto"/>
                      <w:kern w:val="0"/>
                      <w:szCs w:val="21"/>
                    </w:rPr>
                  </w:pPr>
                  <w:r>
                    <w:rPr>
                      <w:rFonts w:ascii="Times New Roman" w:hAnsi="Times New Roman"/>
                      <w:color w:val="auto"/>
                      <w:kern w:val="0"/>
                      <w:szCs w:val="21"/>
                    </w:rPr>
                    <w:t>颗粒物</w:t>
                  </w:r>
                </w:p>
              </w:tc>
            </w:tr>
            <w:tr w14:paraId="71958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432AF8B3">
                  <w:pPr>
                    <w:pStyle w:val="86"/>
                    <w:spacing w:line="240" w:lineRule="auto"/>
                    <w:ind w:firstLine="0" w:firstLineChars="0"/>
                    <w:jc w:val="center"/>
                    <w:rPr>
                      <w:rFonts w:cs="Times New Roman"/>
                      <w:color w:val="auto"/>
                      <w:kern w:val="0"/>
                      <w:sz w:val="21"/>
                      <w:szCs w:val="21"/>
                    </w:rPr>
                  </w:pPr>
                </w:p>
              </w:tc>
              <w:tc>
                <w:tcPr>
                  <w:tcW w:w="1900" w:type="dxa"/>
                  <w:vAlign w:val="center"/>
                </w:tcPr>
                <w:p w14:paraId="6293CB15">
                  <w:pPr>
                    <w:pStyle w:val="76"/>
                    <w:jc w:val="center"/>
                    <w:rPr>
                      <w:rFonts w:ascii="Times New Roman" w:hAnsi="Times New Roman"/>
                      <w:color w:val="auto"/>
                      <w:kern w:val="0"/>
                      <w:szCs w:val="21"/>
                    </w:rPr>
                  </w:pPr>
                  <w:r>
                    <w:rPr>
                      <w:rFonts w:ascii="Times New Roman" w:hAnsi="Times New Roman"/>
                      <w:color w:val="auto"/>
                      <w:kern w:val="0"/>
                      <w:szCs w:val="21"/>
                    </w:rPr>
                    <w:t>打磨废气</w:t>
                  </w:r>
                </w:p>
              </w:tc>
              <w:tc>
                <w:tcPr>
                  <w:tcW w:w="2868" w:type="dxa"/>
                  <w:vAlign w:val="center"/>
                </w:tcPr>
                <w:p w14:paraId="5AE2DF96">
                  <w:pPr>
                    <w:pStyle w:val="76"/>
                    <w:jc w:val="center"/>
                    <w:rPr>
                      <w:rFonts w:ascii="Times New Roman" w:hAnsi="Times New Roman"/>
                      <w:color w:val="auto"/>
                      <w:kern w:val="0"/>
                      <w:szCs w:val="21"/>
                    </w:rPr>
                  </w:pPr>
                  <w:r>
                    <w:rPr>
                      <w:rFonts w:ascii="Times New Roman" w:hAnsi="Times New Roman"/>
                      <w:color w:val="auto"/>
                      <w:kern w:val="0"/>
                      <w:szCs w:val="21"/>
                    </w:rPr>
                    <w:t>打磨工序</w:t>
                  </w:r>
                </w:p>
              </w:tc>
              <w:tc>
                <w:tcPr>
                  <w:tcW w:w="2856" w:type="dxa"/>
                  <w:vAlign w:val="center"/>
                </w:tcPr>
                <w:p w14:paraId="4CA85A1A">
                  <w:pPr>
                    <w:pStyle w:val="76"/>
                    <w:jc w:val="center"/>
                    <w:rPr>
                      <w:rFonts w:ascii="Times New Roman" w:hAnsi="Times New Roman"/>
                      <w:color w:val="auto"/>
                      <w:kern w:val="0"/>
                      <w:szCs w:val="21"/>
                    </w:rPr>
                  </w:pPr>
                  <w:r>
                    <w:rPr>
                      <w:rFonts w:ascii="Times New Roman" w:hAnsi="Times New Roman"/>
                      <w:color w:val="auto"/>
                      <w:kern w:val="0"/>
                      <w:szCs w:val="21"/>
                    </w:rPr>
                    <w:t>颗粒物</w:t>
                  </w:r>
                </w:p>
              </w:tc>
            </w:tr>
            <w:tr w14:paraId="5AFA0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10132D92">
                  <w:pPr>
                    <w:pStyle w:val="86"/>
                    <w:spacing w:line="240" w:lineRule="auto"/>
                    <w:ind w:firstLine="0" w:firstLineChars="0"/>
                    <w:jc w:val="center"/>
                    <w:rPr>
                      <w:rFonts w:cs="Times New Roman"/>
                      <w:color w:val="auto"/>
                      <w:kern w:val="0"/>
                      <w:sz w:val="21"/>
                      <w:szCs w:val="21"/>
                    </w:rPr>
                  </w:pPr>
                </w:p>
              </w:tc>
              <w:tc>
                <w:tcPr>
                  <w:tcW w:w="1900" w:type="dxa"/>
                  <w:vAlign w:val="center"/>
                </w:tcPr>
                <w:p w14:paraId="4AC7EFEA">
                  <w:pPr>
                    <w:jc w:val="center"/>
                    <w:rPr>
                      <w:color w:val="auto"/>
                      <w:szCs w:val="21"/>
                    </w:rPr>
                  </w:pPr>
                  <w:r>
                    <w:rPr>
                      <w:rFonts w:hint="eastAsia"/>
                      <w:color w:val="auto"/>
                      <w:szCs w:val="21"/>
                    </w:rPr>
                    <w:t>抛丸粉尘</w:t>
                  </w:r>
                </w:p>
              </w:tc>
              <w:tc>
                <w:tcPr>
                  <w:tcW w:w="2868" w:type="dxa"/>
                  <w:vAlign w:val="center"/>
                </w:tcPr>
                <w:p w14:paraId="734BAE7C">
                  <w:pPr>
                    <w:jc w:val="center"/>
                    <w:rPr>
                      <w:color w:val="auto"/>
                      <w:szCs w:val="21"/>
                    </w:rPr>
                  </w:pPr>
                  <w:r>
                    <w:rPr>
                      <w:rFonts w:hint="eastAsia"/>
                      <w:color w:val="auto"/>
                      <w:szCs w:val="21"/>
                    </w:rPr>
                    <w:t>抛丸工序</w:t>
                  </w:r>
                </w:p>
              </w:tc>
              <w:tc>
                <w:tcPr>
                  <w:tcW w:w="2856" w:type="dxa"/>
                  <w:vAlign w:val="center"/>
                </w:tcPr>
                <w:p w14:paraId="3971BA04">
                  <w:pPr>
                    <w:pStyle w:val="76"/>
                    <w:jc w:val="center"/>
                    <w:rPr>
                      <w:rFonts w:ascii="Times New Roman" w:hAnsi="Times New Roman"/>
                      <w:color w:val="auto"/>
                      <w:kern w:val="0"/>
                      <w:szCs w:val="21"/>
                    </w:rPr>
                  </w:pPr>
                  <w:r>
                    <w:rPr>
                      <w:rFonts w:ascii="Times New Roman" w:hAnsi="Times New Roman"/>
                      <w:color w:val="auto"/>
                      <w:kern w:val="0"/>
                      <w:szCs w:val="21"/>
                    </w:rPr>
                    <w:t>颗粒物</w:t>
                  </w:r>
                </w:p>
              </w:tc>
            </w:tr>
            <w:tr w14:paraId="09158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44BB1F24">
                  <w:pPr>
                    <w:pStyle w:val="86"/>
                    <w:spacing w:line="240" w:lineRule="auto"/>
                    <w:ind w:firstLine="0" w:firstLineChars="0"/>
                    <w:jc w:val="center"/>
                    <w:rPr>
                      <w:rFonts w:cs="Times New Roman"/>
                      <w:color w:val="auto"/>
                      <w:kern w:val="0"/>
                      <w:sz w:val="21"/>
                      <w:szCs w:val="21"/>
                    </w:rPr>
                  </w:pPr>
                </w:p>
              </w:tc>
              <w:tc>
                <w:tcPr>
                  <w:tcW w:w="1900" w:type="dxa"/>
                  <w:vAlign w:val="center"/>
                </w:tcPr>
                <w:p w14:paraId="59A68F1A">
                  <w:pPr>
                    <w:jc w:val="center"/>
                    <w:rPr>
                      <w:color w:val="auto"/>
                      <w:szCs w:val="21"/>
                    </w:rPr>
                  </w:pPr>
                  <w:r>
                    <w:rPr>
                      <w:rFonts w:hint="eastAsia"/>
                      <w:color w:val="auto"/>
                      <w:szCs w:val="21"/>
                    </w:rPr>
                    <w:t>焊接废气</w:t>
                  </w:r>
                </w:p>
              </w:tc>
              <w:tc>
                <w:tcPr>
                  <w:tcW w:w="2868" w:type="dxa"/>
                  <w:vAlign w:val="center"/>
                </w:tcPr>
                <w:p w14:paraId="65CCCF48">
                  <w:pPr>
                    <w:jc w:val="center"/>
                    <w:rPr>
                      <w:color w:val="auto"/>
                      <w:szCs w:val="21"/>
                    </w:rPr>
                  </w:pPr>
                  <w:r>
                    <w:rPr>
                      <w:rFonts w:hint="eastAsia"/>
                      <w:color w:val="auto"/>
                      <w:szCs w:val="21"/>
                    </w:rPr>
                    <w:t>焊接工序</w:t>
                  </w:r>
                </w:p>
              </w:tc>
              <w:tc>
                <w:tcPr>
                  <w:tcW w:w="2856" w:type="dxa"/>
                  <w:vAlign w:val="center"/>
                </w:tcPr>
                <w:p w14:paraId="7D38DA24">
                  <w:pPr>
                    <w:pStyle w:val="76"/>
                    <w:jc w:val="center"/>
                    <w:rPr>
                      <w:rFonts w:ascii="Times New Roman" w:hAnsi="Times New Roman"/>
                      <w:color w:val="auto"/>
                      <w:kern w:val="0"/>
                      <w:szCs w:val="21"/>
                    </w:rPr>
                  </w:pPr>
                  <w:r>
                    <w:rPr>
                      <w:rFonts w:ascii="Times New Roman" w:hAnsi="Times New Roman"/>
                      <w:color w:val="auto"/>
                      <w:kern w:val="0"/>
                      <w:szCs w:val="21"/>
                    </w:rPr>
                    <w:t>颗粒物</w:t>
                  </w:r>
                </w:p>
              </w:tc>
            </w:tr>
            <w:tr w14:paraId="2CF1B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18FDFD80">
                  <w:pPr>
                    <w:pStyle w:val="86"/>
                    <w:spacing w:line="240" w:lineRule="auto"/>
                    <w:ind w:firstLine="0" w:firstLineChars="0"/>
                    <w:jc w:val="center"/>
                    <w:rPr>
                      <w:rFonts w:cs="Times New Roman"/>
                      <w:color w:val="auto"/>
                      <w:kern w:val="0"/>
                      <w:sz w:val="21"/>
                      <w:szCs w:val="21"/>
                    </w:rPr>
                  </w:pPr>
                </w:p>
              </w:tc>
              <w:tc>
                <w:tcPr>
                  <w:tcW w:w="1900" w:type="dxa"/>
                  <w:vAlign w:val="center"/>
                </w:tcPr>
                <w:p w14:paraId="62F2CF18">
                  <w:pPr>
                    <w:jc w:val="center"/>
                    <w:rPr>
                      <w:color w:val="auto"/>
                      <w:szCs w:val="21"/>
                    </w:rPr>
                  </w:pPr>
                  <w:r>
                    <w:rPr>
                      <w:rFonts w:hint="eastAsia"/>
                      <w:color w:val="auto"/>
                      <w:szCs w:val="21"/>
                    </w:rPr>
                    <w:t>喷涂废气</w:t>
                  </w:r>
                </w:p>
              </w:tc>
              <w:tc>
                <w:tcPr>
                  <w:tcW w:w="2868" w:type="dxa"/>
                  <w:vAlign w:val="center"/>
                </w:tcPr>
                <w:p w14:paraId="17FFC362">
                  <w:pPr>
                    <w:jc w:val="center"/>
                    <w:rPr>
                      <w:color w:val="auto"/>
                      <w:szCs w:val="21"/>
                    </w:rPr>
                  </w:pPr>
                  <w:r>
                    <w:rPr>
                      <w:rFonts w:hint="eastAsia"/>
                      <w:color w:val="auto"/>
                      <w:szCs w:val="21"/>
                    </w:rPr>
                    <w:t>调漆、喷漆、晾干工序</w:t>
                  </w:r>
                </w:p>
              </w:tc>
              <w:tc>
                <w:tcPr>
                  <w:tcW w:w="2856" w:type="dxa"/>
                  <w:vAlign w:val="center"/>
                </w:tcPr>
                <w:p w14:paraId="49F73D26">
                  <w:pPr>
                    <w:pStyle w:val="76"/>
                    <w:jc w:val="center"/>
                    <w:rPr>
                      <w:rFonts w:ascii="Times New Roman" w:hAnsi="Times New Roman"/>
                      <w:color w:val="auto"/>
                      <w:kern w:val="0"/>
                      <w:szCs w:val="21"/>
                    </w:rPr>
                  </w:pPr>
                  <w:r>
                    <w:rPr>
                      <w:rFonts w:ascii="Times New Roman" w:hAnsi="Times New Roman"/>
                      <w:color w:val="auto"/>
                      <w:kern w:val="0"/>
                      <w:szCs w:val="21"/>
                    </w:rPr>
                    <w:t>非甲烷总烃</w:t>
                  </w:r>
                  <w:r>
                    <w:rPr>
                      <w:rFonts w:hint="eastAsia" w:ascii="Times New Roman" w:hAnsi="Times New Roman"/>
                      <w:color w:val="auto"/>
                      <w:kern w:val="0"/>
                      <w:szCs w:val="21"/>
                    </w:rPr>
                    <w:t>、二甲苯、颗粒物</w:t>
                  </w:r>
                </w:p>
              </w:tc>
            </w:tr>
            <w:tr w14:paraId="16DEB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Align w:val="center"/>
                </w:tcPr>
                <w:p w14:paraId="5104E018">
                  <w:pPr>
                    <w:pStyle w:val="86"/>
                    <w:spacing w:line="240" w:lineRule="auto"/>
                    <w:ind w:firstLine="0" w:firstLineChars="0"/>
                    <w:jc w:val="center"/>
                    <w:rPr>
                      <w:rFonts w:cs="Times New Roman"/>
                      <w:color w:val="auto"/>
                      <w:kern w:val="0"/>
                      <w:sz w:val="21"/>
                      <w:szCs w:val="21"/>
                    </w:rPr>
                  </w:pPr>
                  <w:r>
                    <w:rPr>
                      <w:rFonts w:cs="Times New Roman"/>
                      <w:color w:val="auto"/>
                      <w:kern w:val="0"/>
                      <w:sz w:val="21"/>
                      <w:szCs w:val="21"/>
                    </w:rPr>
                    <w:t>废水</w:t>
                  </w:r>
                </w:p>
              </w:tc>
              <w:tc>
                <w:tcPr>
                  <w:tcW w:w="1900" w:type="dxa"/>
                  <w:vAlign w:val="center"/>
                </w:tcPr>
                <w:p w14:paraId="4315D64E">
                  <w:pPr>
                    <w:pStyle w:val="76"/>
                    <w:jc w:val="center"/>
                    <w:rPr>
                      <w:rFonts w:ascii="Times New Roman" w:hAnsi="Times New Roman"/>
                      <w:color w:val="auto"/>
                      <w:kern w:val="0"/>
                      <w:szCs w:val="21"/>
                    </w:rPr>
                  </w:pPr>
                  <w:r>
                    <w:rPr>
                      <w:rFonts w:ascii="Times New Roman" w:hAnsi="Times New Roman"/>
                      <w:color w:val="auto"/>
                      <w:kern w:val="0"/>
                      <w:szCs w:val="21"/>
                    </w:rPr>
                    <w:t>生活污水</w:t>
                  </w:r>
                </w:p>
              </w:tc>
              <w:tc>
                <w:tcPr>
                  <w:tcW w:w="2868" w:type="dxa"/>
                  <w:vAlign w:val="center"/>
                </w:tcPr>
                <w:p w14:paraId="37CB4328">
                  <w:pPr>
                    <w:pStyle w:val="76"/>
                    <w:jc w:val="center"/>
                    <w:rPr>
                      <w:rFonts w:ascii="Times New Roman" w:hAnsi="Times New Roman"/>
                      <w:color w:val="auto"/>
                      <w:kern w:val="0"/>
                      <w:szCs w:val="21"/>
                    </w:rPr>
                  </w:pPr>
                  <w:r>
                    <w:rPr>
                      <w:rFonts w:ascii="Times New Roman" w:hAnsi="Times New Roman"/>
                      <w:color w:val="auto"/>
                      <w:kern w:val="0"/>
                      <w:szCs w:val="21"/>
                    </w:rPr>
                    <w:t>生活、办公</w:t>
                  </w:r>
                </w:p>
              </w:tc>
              <w:tc>
                <w:tcPr>
                  <w:tcW w:w="2856" w:type="dxa"/>
                  <w:vAlign w:val="center"/>
                </w:tcPr>
                <w:p w14:paraId="0BDC20B0">
                  <w:pPr>
                    <w:pStyle w:val="76"/>
                    <w:jc w:val="center"/>
                    <w:rPr>
                      <w:rFonts w:ascii="Times New Roman" w:hAnsi="Times New Roman"/>
                      <w:color w:val="auto"/>
                      <w:kern w:val="0"/>
                      <w:szCs w:val="21"/>
                    </w:rPr>
                  </w:pPr>
                  <w:r>
                    <w:rPr>
                      <w:rFonts w:ascii="Times New Roman" w:hAnsi="Times New Roman"/>
                      <w:color w:val="auto"/>
                      <w:kern w:val="0"/>
                      <w:szCs w:val="21"/>
                    </w:rPr>
                    <w:t>COD、BOD</w:t>
                  </w:r>
                  <w:r>
                    <w:rPr>
                      <w:rFonts w:ascii="Times New Roman" w:hAnsi="Times New Roman"/>
                      <w:color w:val="auto"/>
                      <w:kern w:val="0"/>
                      <w:szCs w:val="21"/>
                      <w:vertAlign w:val="subscript"/>
                    </w:rPr>
                    <w:t>5</w:t>
                  </w:r>
                  <w:r>
                    <w:rPr>
                      <w:rFonts w:ascii="Times New Roman" w:hAnsi="Times New Roman"/>
                      <w:color w:val="auto"/>
                      <w:kern w:val="0"/>
                      <w:szCs w:val="21"/>
                    </w:rPr>
                    <w:t>、NH</w:t>
                  </w:r>
                  <w:r>
                    <w:rPr>
                      <w:rFonts w:ascii="Times New Roman" w:hAnsi="Times New Roman"/>
                      <w:color w:val="auto"/>
                      <w:kern w:val="0"/>
                      <w:szCs w:val="21"/>
                      <w:vertAlign w:val="subscript"/>
                    </w:rPr>
                    <w:t>3</w:t>
                  </w:r>
                  <w:r>
                    <w:rPr>
                      <w:rFonts w:ascii="Times New Roman" w:hAnsi="Times New Roman"/>
                      <w:color w:val="auto"/>
                      <w:kern w:val="0"/>
                      <w:szCs w:val="21"/>
                    </w:rPr>
                    <w:t>-N、SS</w:t>
                  </w:r>
                </w:p>
              </w:tc>
            </w:tr>
            <w:tr w14:paraId="4F48B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Align w:val="center"/>
                </w:tcPr>
                <w:p w14:paraId="79A6CEE4">
                  <w:pPr>
                    <w:pStyle w:val="86"/>
                    <w:spacing w:line="240" w:lineRule="auto"/>
                    <w:ind w:firstLine="0" w:firstLineChars="0"/>
                    <w:jc w:val="center"/>
                    <w:rPr>
                      <w:rFonts w:cs="Times New Roman"/>
                      <w:color w:val="auto"/>
                      <w:kern w:val="0"/>
                      <w:sz w:val="21"/>
                      <w:szCs w:val="21"/>
                    </w:rPr>
                  </w:pPr>
                  <w:r>
                    <w:rPr>
                      <w:rFonts w:cs="Times New Roman"/>
                      <w:color w:val="auto"/>
                      <w:kern w:val="0"/>
                      <w:sz w:val="21"/>
                      <w:szCs w:val="21"/>
                    </w:rPr>
                    <w:t>噪声</w:t>
                  </w:r>
                </w:p>
              </w:tc>
              <w:tc>
                <w:tcPr>
                  <w:tcW w:w="1900" w:type="dxa"/>
                  <w:vAlign w:val="center"/>
                </w:tcPr>
                <w:p w14:paraId="0F5BF8B7">
                  <w:pPr>
                    <w:pStyle w:val="76"/>
                    <w:jc w:val="center"/>
                    <w:rPr>
                      <w:rFonts w:ascii="Times New Roman" w:hAnsi="Times New Roman"/>
                      <w:color w:val="auto"/>
                      <w:kern w:val="0"/>
                      <w:szCs w:val="21"/>
                    </w:rPr>
                  </w:pPr>
                  <w:r>
                    <w:rPr>
                      <w:rFonts w:ascii="Times New Roman" w:hAnsi="Times New Roman"/>
                      <w:color w:val="auto"/>
                      <w:kern w:val="0"/>
                      <w:szCs w:val="21"/>
                    </w:rPr>
                    <w:t>设备噪声</w:t>
                  </w:r>
                </w:p>
              </w:tc>
              <w:tc>
                <w:tcPr>
                  <w:tcW w:w="2868" w:type="dxa"/>
                  <w:vAlign w:val="center"/>
                </w:tcPr>
                <w:p w14:paraId="56614FEF">
                  <w:pPr>
                    <w:pStyle w:val="76"/>
                    <w:jc w:val="center"/>
                    <w:rPr>
                      <w:rFonts w:ascii="Times New Roman" w:hAnsi="Times New Roman"/>
                      <w:color w:val="auto"/>
                      <w:kern w:val="0"/>
                      <w:szCs w:val="21"/>
                    </w:rPr>
                  </w:pPr>
                  <w:r>
                    <w:rPr>
                      <w:rFonts w:ascii="Times New Roman" w:hAnsi="Times New Roman"/>
                      <w:color w:val="auto"/>
                      <w:kern w:val="0"/>
                      <w:szCs w:val="21"/>
                    </w:rPr>
                    <w:t>各类生产设备</w:t>
                  </w:r>
                </w:p>
              </w:tc>
              <w:tc>
                <w:tcPr>
                  <w:tcW w:w="2856" w:type="dxa"/>
                  <w:vAlign w:val="center"/>
                </w:tcPr>
                <w:p w14:paraId="6E445A4A">
                  <w:pPr>
                    <w:pStyle w:val="76"/>
                    <w:jc w:val="center"/>
                    <w:rPr>
                      <w:rFonts w:ascii="Times New Roman" w:hAnsi="Times New Roman"/>
                      <w:color w:val="auto"/>
                      <w:kern w:val="0"/>
                      <w:szCs w:val="21"/>
                    </w:rPr>
                  </w:pPr>
                  <w:r>
                    <w:rPr>
                      <w:rFonts w:ascii="Times New Roman" w:hAnsi="Times New Roman"/>
                      <w:color w:val="auto"/>
                      <w:kern w:val="0"/>
                      <w:szCs w:val="21"/>
                    </w:rPr>
                    <w:t>噪声</w:t>
                  </w:r>
                </w:p>
              </w:tc>
            </w:tr>
            <w:tr w14:paraId="01EA3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restart"/>
                  <w:vAlign w:val="center"/>
                </w:tcPr>
                <w:p w14:paraId="341DFC59">
                  <w:pPr>
                    <w:pStyle w:val="86"/>
                    <w:spacing w:line="240" w:lineRule="auto"/>
                    <w:ind w:firstLine="0" w:firstLineChars="0"/>
                    <w:jc w:val="center"/>
                    <w:rPr>
                      <w:rFonts w:cs="Times New Roman"/>
                      <w:color w:val="auto"/>
                      <w:kern w:val="0"/>
                      <w:sz w:val="21"/>
                      <w:szCs w:val="21"/>
                    </w:rPr>
                  </w:pPr>
                  <w:r>
                    <w:rPr>
                      <w:rFonts w:cs="Times New Roman"/>
                      <w:color w:val="auto"/>
                      <w:kern w:val="0"/>
                      <w:sz w:val="21"/>
                      <w:szCs w:val="21"/>
                    </w:rPr>
                    <w:t>固废</w:t>
                  </w:r>
                </w:p>
              </w:tc>
              <w:tc>
                <w:tcPr>
                  <w:tcW w:w="1900" w:type="dxa"/>
                  <w:vAlign w:val="center"/>
                </w:tcPr>
                <w:p w14:paraId="7D66A6AA">
                  <w:pPr>
                    <w:adjustRightInd w:val="0"/>
                    <w:snapToGrid w:val="0"/>
                    <w:jc w:val="center"/>
                    <w:rPr>
                      <w:color w:val="auto"/>
                      <w:szCs w:val="21"/>
                    </w:rPr>
                  </w:pPr>
                  <w:r>
                    <w:rPr>
                      <w:rFonts w:hint="eastAsia"/>
                      <w:color w:val="auto"/>
                      <w:szCs w:val="21"/>
                    </w:rPr>
                    <w:t>普通</w:t>
                  </w:r>
                  <w:r>
                    <w:rPr>
                      <w:color w:val="auto"/>
                      <w:szCs w:val="21"/>
                    </w:rPr>
                    <w:t>废包装材料</w:t>
                  </w:r>
                </w:p>
              </w:tc>
              <w:tc>
                <w:tcPr>
                  <w:tcW w:w="2868" w:type="dxa"/>
                  <w:vAlign w:val="center"/>
                </w:tcPr>
                <w:p w14:paraId="6614BAC5">
                  <w:pPr>
                    <w:jc w:val="center"/>
                    <w:rPr>
                      <w:color w:val="auto"/>
                      <w:szCs w:val="21"/>
                    </w:rPr>
                  </w:pPr>
                  <w:r>
                    <w:rPr>
                      <w:color w:val="auto"/>
                      <w:szCs w:val="21"/>
                    </w:rPr>
                    <w:t>普通包装物</w:t>
                  </w:r>
                  <w:r>
                    <w:rPr>
                      <w:rFonts w:hint="eastAsia"/>
                      <w:color w:val="auto"/>
                      <w:szCs w:val="21"/>
                    </w:rPr>
                    <w:t>、塑料</w:t>
                  </w:r>
                </w:p>
              </w:tc>
              <w:tc>
                <w:tcPr>
                  <w:tcW w:w="2856" w:type="dxa"/>
                  <w:vAlign w:val="center"/>
                </w:tcPr>
                <w:p w14:paraId="444E10E0">
                  <w:pPr>
                    <w:pStyle w:val="76"/>
                    <w:jc w:val="center"/>
                    <w:rPr>
                      <w:rFonts w:ascii="Times New Roman" w:hAnsi="Times New Roman"/>
                      <w:color w:val="auto"/>
                      <w:kern w:val="0"/>
                      <w:szCs w:val="21"/>
                    </w:rPr>
                  </w:pPr>
                  <w:r>
                    <w:rPr>
                      <w:color w:val="auto"/>
                      <w:szCs w:val="21"/>
                    </w:rPr>
                    <w:t>普通包装物</w:t>
                  </w:r>
                </w:p>
              </w:tc>
            </w:tr>
            <w:tr w14:paraId="23185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125E999D">
                  <w:pPr>
                    <w:pStyle w:val="86"/>
                    <w:spacing w:line="240" w:lineRule="auto"/>
                    <w:ind w:firstLine="0" w:firstLineChars="0"/>
                    <w:jc w:val="center"/>
                    <w:rPr>
                      <w:rFonts w:cs="Times New Roman"/>
                      <w:color w:val="auto"/>
                      <w:kern w:val="0"/>
                      <w:sz w:val="21"/>
                      <w:szCs w:val="21"/>
                    </w:rPr>
                  </w:pPr>
                </w:p>
              </w:tc>
              <w:tc>
                <w:tcPr>
                  <w:tcW w:w="1900" w:type="dxa"/>
                  <w:vAlign w:val="center"/>
                </w:tcPr>
                <w:p w14:paraId="5237C7CB">
                  <w:pPr>
                    <w:pStyle w:val="76"/>
                    <w:jc w:val="center"/>
                    <w:rPr>
                      <w:rFonts w:ascii="Times New Roman" w:hAnsi="Times New Roman"/>
                      <w:color w:val="auto"/>
                      <w:kern w:val="0"/>
                      <w:szCs w:val="21"/>
                    </w:rPr>
                  </w:pPr>
                  <w:r>
                    <w:rPr>
                      <w:rFonts w:ascii="Times New Roman" w:hAnsi="Times New Roman"/>
                      <w:color w:val="auto"/>
                      <w:kern w:val="0"/>
                      <w:szCs w:val="21"/>
                    </w:rPr>
                    <w:t>废泡沫模具</w:t>
                  </w:r>
                </w:p>
              </w:tc>
              <w:tc>
                <w:tcPr>
                  <w:tcW w:w="2868" w:type="dxa"/>
                  <w:vAlign w:val="center"/>
                </w:tcPr>
                <w:p w14:paraId="40F8AA96">
                  <w:pPr>
                    <w:pStyle w:val="76"/>
                    <w:jc w:val="center"/>
                    <w:rPr>
                      <w:rFonts w:ascii="Times New Roman" w:hAnsi="Times New Roman"/>
                      <w:color w:val="auto"/>
                      <w:kern w:val="0"/>
                      <w:szCs w:val="21"/>
                    </w:rPr>
                  </w:pPr>
                  <w:r>
                    <w:rPr>
                      <w:rFonts w:ascii="Times New Roman" w:hAnsi="Times New Roman"/>
                      <w:color w:val="auto"/>
                      <w:kern w:val="0"/>
                      <w:szCs w:val="21"/>
                    </w:rPr>
                    <w:t>发泡工序、</w:t>
                  </w:r>
                  <w:r>
                    <w:rPr>
                      <w:rFonts w:hint="eastAsia" w:ascii="Times New Roman" w:hAnsi="Times New Roman"/>
                      <w:color w:val="auto"/>
                      <w:kern w:val="0"/>
                      <w:szCs w:val="21"/>
                    </w:rPr>
                    <w:t>切割</w:t>
                  </w:r>
                  <w:r>
                    <w:rPr>
                      <w:rFonts w:ascii="Times New Roman" w:hAnsi="Times New Roman"/>
                      <w:color w:val="auto"/>
                      <w:kern w:val="0"/>
                      <w:szCs w:val="21"/>
                    </w:rPr>
                    <w:t>工序</w:t>
                  </w:r>
                </w:p>
              </w:tc>
              <w:tc>
                <w:tcPr>
                  <w:tcW w:w="2856" w:type="dxa"/>
                  <w:vAlign w:val="center"/>
                </w:tcPr>
                <w:p w14:paraId="1EB50F4A">
                  <w:pPr>
                    <w:pStyle w:val="76"/>
                    <w:jc w:val="center"/>
                    <w:rPr>
                      <w:rFonts w:ascii="Times New Roman" w:hAnsi="Times New Roman"/>
                      <w:color w:val="auto"/>
                      <w:kern w:val="0"/>
                      <w:szCs w:val="21"/>
                    </w:rPr>
                  </w:pPr>
                  <w:r>
                    <w:rPr>
                      <w:rFonts w:ascii="Times New Roman" w:hAnsi="Times New Roman"/>
                      <w:color w:val="auto"/>
                      <w:kern w:val="0"/>
                      <w:szCs w:val="21"/>
                    </w:rPr>
                    <w:t>泡沫模具</w:t>
                  </w:r>
                </w:p>
              </w:tc>
            </w:tr>
            <w:tr w14:paraId="4EBE8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780FF4E3">
                  <w:pPr>
                    <w:pStyle w:val="86"/>
                    <w:spacing w:line="240" w:lineRule="auto"/>
                    <w:ind w:firstLine="0" w:firstLineChars="0"/>
                    <w:jc w:val="center"/>
                    <w:rPr>
                      <w:rFonts w:cs="Times New Roman"/>
                      <w:color w:val="auto"/>
                      <w:kern w:val="0"/>
                      <w:sz w:val="21"/>
                      <w:szCs w:val="21"/>
                    </w:rPr>
                  </w:pPr>
                </w:p>
              </w:tc>
              <w:tc>
                <w:tcPr>
                  <w:tcW w:w="1900" w:type="dxa"/>
                  <w:vAlign w:val="center"/>
                </w:tcPr>
                <w:p w14:paraId="1732A034">
                  <w:pPr>
                    <w:adjustRightInd w:val="0"/>
                    <w:snapToGrid w:val="0"/>
                    <w:jc w:val="center"/>
                    <w:rPr>
                      <w:color w:val="auto"/>
                      <w:szCs w:val="21"/>
                    </w:rPr>
                  </w:pPr>
                  <w:r>
                    <w:rPr>
                      <w:rFonts w:hint="eastAsia"/>
                      <w:color w:val="auto"/>
                      <w:szCs w:val="21"/>
                    </w:rPr>
                    <w:t>熔炼废渣</w:t>
                  </w:r>
                </w:p>
              </w:tc>
              <w:tc>
                <w:tcPr>
                  <w:tcW w:w="2868" w:type="dxa"/>
                  <w:vAlign w:val="center"/>
                </w:tcPr>
                <w:p w14:paraId="0C38A88F">
                  <w:pPr>
                    <w:jc w:val="center"/>
                    <w:rPr>
                      <w:color w:val="auto"/>
                      <w:szCs w:val="21"/>
                    </w:rPr>
                  </w:pPr>
                  <w:r>
                    <w:rPr>
                      <w:rFonts w:hint="eastAsia"/>
                      <w:color w:val="auto"/>
                      <w:szCs w:val="21"/>
                    </w:rPr>
                    <w:t>熔炼工序</w:t>
                  </w:r>
                </w:p>
              </w:tc>
              <w:tc>
                <w:tcPr>
                  <w:tcW w:w="2856" w:type="dxa"/>
                  <w:vAlign w:val="center"/>
                </w:tcPr>
                <w:p w14:paraId="74A73C3B">
                  <w:pPr>
                    <w:pStyle w:val="76"/>
                    <w:jc w:val="center"/>
                    <w:rPr>
                      <w:rFonts w:ascii="Times New Roman" w:hAnsi="Times New Roman"/>
                      <w:color w:val="auto"/>
                      <w:kern w:val="0"/>
                      <w:szCs w:val="21"/>
                    </w:rPr>
                  </w:pPr>
                  <w:r>
                    <w:rPr>
                      <w:rFonts w:hint="eastAsia"/>
                      <w:color w:val="auto"/>
                      <w:szCs w:val="21"/>
                    </w:rPr>
                    <w:t>炉渣</w:t>
                  </w:r>
                </w:p>
              </w:tc>
            </w:tr>
            <w:tr w14:paraId="7768E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7F065F15">
                  <w:pPr>
                    <w:pStyle w:val="86"/>
                    <w:spacing w:line="240" w:lineRule="auto"/>
                    <w:ind w:firstLine="0" w:firstLineChars="0"/>
                    <w:jc w:val="center"/>
                    <w:rPr>
                      <w:rFonts w:cs="Times New Roman"/>
                      <w:color w:val="auto"/>
                      <w:kern w:val="0"/>
                      <w:sz w:val="21"/>
                      <w:szCs w:val="21"/>
                    </w:rPr>
                  </w:pPr>
                </w:p>
              </w:tc>
              <w:tc>
                <w:tcPr>
                  <w:tcW w:w="1900" w:type="dxa"/>
                  <w:vAlign w:val="center"/>
                </w:tcPr>
                <w:p w14:paraId="327AB57F">
                  <w:pPr>
                    <w:pStyle w:val="76"/>
                    <w:jc w:val="center"/>
                    <w:rPr>
                      <w:rFonts w:ascii="Times New Roman" w:hAnsi="Times New Roman"/>
                      <w:color w:val="auto"/>
                      <w:kern w:val="0"/>
                      <w:szCs w:val="21"/>
                    </w:rPr>
                  </w:pPr>
                  <w:r>
                    <w:rPr>
                      <w:rFonts w:hint="eastAsia" w:ascii="Times New Roman" w:hAnsi="Times New Roman"/>
                      <w:color w:val="auto"/>
                      <w:kern w:val="0"/>
                      <w:szCs w:val="21"/>
                    </w:rPr>
                    <w:t>不合格品</w:t>
                  </w:r>
                </w:p>
              </w:tc>
              <w:tc>
                <w:tcPr>
                  <w:tcW w:w="2868" w:type="dxa"/>
                  <w:vAlign w:val="center"/>
                </w:tcPr>
                <w:p w14:paraId="28918F32">
                  <w:pPr>
                    <w:pStyle w:val="76"/>
                    <w:jc w:val="center"/>
                    <w:rPr>
                      <w:rFonts w:ascii="Times New Roman" w:hAnsi="Times New Roman"/>
                      <w:color w:val="auto"/>
                      <w:kern w:val="0"/>
                      <w:szCs w:val="21"/>
                    </w:rPr>
                  </w:pPr>
                  <w:r>
                    <w:rPr>
                      <w:rFonts w:hint="eastAsia" w:ascii="Times New Roman" w:hAnsi="Times New Roman"/>
                      <w:color w:val="auto"/>
                      <w:kern w:val="0"/>
                      <w:szCs w:val="21"/>
                    </w:rPr>
                    <w:t>浇铸工序、机加工工序</w:t>
                  </w:r>
                </w:p>
              </w:tc>
              <w:tc>
                <w:tcPr>
                  <w:tcW w:w="2856" w:type="dxa"/>
                  <w:vAlign w:val="center"/>
                </w:tcPr>
                <w:p w14:paraId="732F44A2">
                  <w:pPr>
                    <w:pStyle w:val="76"/>
                    <w:jc w:val="center"/>
                    <w:rPr>
                      <w:rFonts w:ascii="Times New Roman" w:hAnsi="Times New Roman"/>
                      <w:color w:val="auto"/>
                      <w:kern w:val="0"/>
                      <w:szCs w:val="21"/>
                    </w:rPr>
                  </w:pPr>
                  <w:r>
                    <w:rPr>
                      <w:rFonts w:hint="eastAsia" w:ascii="Times New Roman" w:hAnsi="Times New Roman"/>
                      <w:color w:val="auto"/>
                      <w:kern w:val="0"/>
                      <w:szCs w:val="21"/>
                    </w:rPr>
                    <w:t>铸件</w:t>
                  </w:r>
                </w:p>
              </w:tc>
            </w:tr>
            <w:tr w14:paraId="47F08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0DB40508">
                  <w:pPr>
                    <w:pStyle w:val="86"/>
                    <w:spacing w:line="240" w:lineRule="auto"/>
                    <w:ind w:firstLine="0" w:firstLineChars="0"/>
                    <w:jc w:val="center"/>
                    <w:rPr>
                      <w:rFonts w:cs="Times New Roman"/>
                      <w:color w:val="auto"/>
                      <w:kern w:val="0"/>
                      <w:sz w:val="21"/>
                      <w:szCs w:val="21"/>
                    </w:rPr>
                  </w:pPr>
                </w:p>
              </w:tc>
              <w:tc>
                <w:tcPr>
                  <w:tcW w:w="1900" w:type="dxa"/>
                  <w:vAlign w:val="center"/>
                </w:tcPr>
                <w:p w14:paraId="4E31B954">
                  <w:pPr>
                    <w:pStyle w:val="76"/>
                    <w:jc w:val="center"/>
                    <w:rPr>
                      <w:rFonts w:ascii="Times New Roman" w:hAnsi="Times New Roman"/>
                      <w:color w:val="auto"/>
                      <w:kern w:val="0"/>
                      <w:szCs w:val="21"/>
                    </w:rPr>
                  </w:pPr>
                  <w:r>
                    <w:rPr>
                      <w:rFonts w:ascii="Times New Roman" w:hAnsi="Times New Roman"/>
                      <w:color w:val="auto"/>
                      <w:kern w:val="0"/>
                      <w:szCs w:val="21"/>
                    </w:rPr>
                    <w:t>废砂</w:t>
                  </w:r>
                </w:p>
              </w:tc>
              <w:tc>
                <w:tcPr>
                  <w:tcW w:w="2868" w:type="dxa"/>
                  <w:vAlign w:val="center"/>
                </w:tcPr>
                <w:p w14:paraId="649FB8E9">
                  <w:pPr>
                    <w:pStyle w:val="76"/>
                    <w:jc w:val="center"/>
                    <w:rPr>
                      <w:rFonts w:ascii="Times New Roman" w:hAnsi="Times New Roman"/>
                      <w:color w:val="auto"/>
                      <w:kern w:val="0"/>
                      <w:szCs w:val="21"/>
                    </w:rPr>
                  </w:pPr>
                  <w:r>
                    <w:rPr>
                      <w:rFonts w:ascii="Times New Roman" w:hAnsi="Times New Roman"/>
                      <w:color w:val="auto"/>
                      <w:kern w:val="0"/>
                      <w:szCs w:val="21"/>
                    </w:rPr>
                    <w:t>砂处理工序</w:t>
                  </w:r>
                </w:p>
              </w:tc>
              <w:tc>
                <w:tcPr>
                  <w:tcW w:w="2856" w:type="dxa"/>
                  <w:vAlign w:val="center"/>
                </w:tcPr>
                <w:p w14:paraId="5E85A3FA">
                  <w:pPr>
                    <w:pStyle w:val="76"/>
                    <w:jc w:val="center"/>
                    <w:rPr>
                      <w:rFonts w:ascii="Times New Roman" w:hAnsi="Times New Roman"/>
                      <w:color w:val="auto"/>
                      <w:kern w:val="0"/>
                      <w:szCs w:val="21"/>
                    </w:rPr>
                  </w:pPr>
                  <w:r>
                    <w:rPr>
                      <w:rFonts w:hint="eastAsia" w:ascii="Times New Roman" w:hAnsi="Times New Roman"/>
                      <w:color w:val="auto"/>
                      <w:kern w:val="0"/>
                      <w:szCs w:val="21"/>
                    </w:rPr>
                    <w:t>石英砂</w:t>
                  </w:r>
                </w:p>
              </w:tc>
            </w:tr>
            <w:tr w14:paraId="268B1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7149534C">
                  <w:pPr>
                    <w:pStyle w:val="86"/>
                    <w:spacing w:line="240" w:lineRule="auto"/>
                    <w:ind w:firstLine="0" w:firstLineChars="0"/>
                    <w:jc w:val="center"/>
                    <w:rPr>
                      <w:rFonts w:cs="Times New Roman"/>
                      <w:color w:val="auto"/>
                      <w:kern w:val="0"/>
                      <w:sz w:val="21"/>
                      <w:szCs w:val="21"/>
                    </w:rPr>
                  </w:pPr>
                </w:p>
              </w:tc>
              <w:tc>
                <w:tcPr>
                  <w:tcW w:w="1900" w:type="dxa"/>
                  <w:vAlign w:val="center"/>
                </w:tcPr>
                <w:p w14:paraId="250D7E4D">
                  <w:pPr>
                    <w:pStyle w:val="76"/>
                    <w:jc w:val="center"/>
                    <w:rPr>
                      <w:rFonts w:ascii="Times New Roman" w:hAnsi="Times New Roman"/>
                      <w:color w:val="auto"/>
                      <w:kern w:val="0"/>
                      <w:szCs w:val="21"/>
                    </w:rPr>
                  </w:pPr>
                  <w:r>
                    <w:rPr>
                      <w:rFonts w:hint="eastAsia" w:ascii="Times New Roman" w:hAnsi="Times New Roman"/>
                      <w:color w:val="auto"/>
                      <w:kern w:val="0"/>
                      <w:szCs w:val="21"/>
                    </w:rPr>
                    <w:t>废金属碎屑</w:t>
                  </w:r>
                </w:p>
              </w:tc>
              <w:tc>
                <w:tcPr>
                  <w:tcW w:w="2868" w:type="dxa"/>
                  <w:vAlign w:val="center"/>
                </w:tcPr>
                <w:p w14:paraId="11B314D6">
                  <w:pPr>
                    <w:pStyle w:val="76"/>
                    <w:jc w:val="center"/>
                    <w:rPr>
                      <w:rFonts w:ascii="Times New Roman" w:hAnsi="Times New Roman"/>
                      <w:color w:val="auto"/>
                      <w:kern w:val="0"/>
                      <w:szCs w:val="21"/>
                    </w:rPr>
                  </w:pPr>
                  <w:r>
                    <w:rPr>
                      <w:rFonts w:hint="eastAsia" w:ascii="Times New Roman" w:hAnsi="Times New Roman"/>
                      <w:color w:val="auto"/>
                      <w:kern w:val="0"/>
                      <w:szCs w:val="21"/>
                    </w:rPr>
                    <w:t>机加工工序</w:t>
                  </w:r>
                </w:p>
              </w:tc>
              <w:tc>
                <w:tcPr>
                  <w:tcW w:w="2856" w:type="dxa"/>
                  <w:vAlign w:val="center"/>
                </w:tcPr>
                <w:p w14:paraId="1E330673">
                  <w:pPr>
                    <w:pStyle w:val="76"/>
                    <w:jc w:val="center"/>
                    <w:rPr>
                      <w:rFonts w:ascii="Times New Roman" w:hAnsi="Times New Roman"/>
                      <w:color w:val="auto"/>
                      <w:kern w:val="0"/>
                      <w:szCs w:val="21"/>
                    </w:rPr>
                  </w:pPr>
                  <w:r>
                    <w:rPr>
                      <w:rFonts w:hint="eastAsia" w:ascii="Times New Roman" w:hAnsi="Times New Roman"/>
                      <w:color w:val="auto"/>
                      <w:kern w:val="0"/>
                      <w:szCs w:val="21"/>
                    </w:rPr>
                    <w:t>金属碎屑</w:t>
                  </w:r>
                </w:p>
              </w:tc>
            </w:tr>
            <w:tr w14:paraId="3664A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424FD3E3">
                  <w:pPr>
                    <w:pStyle w:val="86"/>
                    <w:spacing w:line="240" w:lineRule="auto"/>
                    <w:ind w:firstLine="0" w:firstLineChars="0"/>
                    <w:jc w:val="center"/>
                    <w:rPr>
                      <w:rFonts w:cs="Times New Roman"/>
                      <w:color w:val="auto"/>
                      <w:kern w:val="0"/>
                      <w:sz w:val="21"/>
                      <w:szCs w:val="21"/>
                    </w:rPr>
                  </w:pPr>
                </w:p>
              </w:tc>
              <w:tc>
                <w:tcPr>
                  <w:tcW w:w="1900" w:type="dxa"/>
                  <w:vAlign w:val="center"/>
                </w:tcPr>
                <w:p w14:paraId="0B809232">
                  <w:pPr>
                    <w:pStyle w:val="76"/>
                    <w:jc w:val="center"/>
                    <w:rPr>
                      <w:rFonts w:ascii="Times New Roman" w:hAnsi="Times New Roman"/>
                      <w:color w:val="auto"/>
                      <w:kern w:val="0"/>
                      <w:szCs w:val="21"/>
                    </w:rPr>
                  </w:pPr>
                  <w:r>
                    <w:rPr>
                      <w:rFonts w:ascii="Times New Roman" w:hAnsi="Times New Roman"/>
                      <w:color w:val="auto"/>
                      <w:kern w:val="0"/>
                      <w:szCs w:val="21"/>
                    </w:rPr>
                    <w:t>除尘器收集粉尘</w:t>
                  </w:r>
                </w:p>
              </w:tc>
              <w:tc>
                <w:tcPr>
                  <w:tcW w:w="2868" w:type="dxa"/>
                  <w:vAlign w:val="center"/>
                </w:tcPr>
                <w:p w14:paraId="5E753CC3">
                  <w:pPr>
                    <w:pStyle w:val="76"/>
                    <w:jc w:val="center"/>
                    <w:rPr>
                      <w:rFonts w:ascii="Times New Roman" w:hAnsi="Times New Roman"/>
                      <w:color w:val="auto"/>
                      <w:kern w:val="0"/>
                      <w:szCs w:val="21"/>
                    </w:rPr>
                  </w:pPr>
                  <w:r>
                    <w:rPr>
                      <w:rFonts w:ascii="Times New Roman" w:hAnsi="Times New Roman"/>
                      <w:color w:val="auto"/>
                      <w:kern w:val="0"/>
                      <w:szCs w:val="21"/>
                    </w:rPr>
                    <w:t>砂造型工序、浇铸工序</w:t>
                  </w:r>
                </w:p>
              </w:tc>
              <w:tc>
                <w:tcPr>
                  <w:tcW w:w="2856" w:type="dxa"/>
                  <w:vAlign w:val="center"/>
                </w:tcPr>
                <w:p w14:paraId="52A8F24F">
                  <w:pPr>
                    <w:pStyle w:val="76"/>
                    <w:jc w:val="center"/>
                    <w:rPr>
                      <w:rFonts w:ascii="Times New Roman" w:hAnsi="Times New Roman"/>
                      <w:color w:val="auto"/>
                      <w:kern w:val="0"/>
                      <w:szCs w:val="21"/>
                    </w:rPr>
                  </w:pPr>
                  <w:r>
                    <w:rPr>
                      <w:rFonts w:hint="eastAsia" w:ascii="Times New Roman" w:hAnsi="Times New Roman"/>
                      <w:color w:val="auto"/>
                      <w:kern w:val="0"/>
                      <w:szCs w:val="21"/>
                    </w:rPr>
                    <w:t>粉尘</w:t>
                  </w:r>
                </w:p>
              </w:tc>
            </w:tr>
            <w:tr w14:paraId="42E3A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4EB438D8">
                  <w:pPr>
                    <w:pStyle w:val="86"/>
                    <w:spacing w:line="240" w:lineRule="auto"/>
                    <w:ind w:firstLine="0" w:firstLineChars="0"/>
                    <w:jc w:val="center"/>
                    <w:rPr>
                      <w:rFonts w:cs="Times New Roman"/>
                      <w:color w:val="auto"/>
                      <w:kern w:val="0"/>
                      <w:sz w:val="21"/>
                      <w:szCs w:val="21"/>
                    </w:rPr>
                  </w:pPr>
                </w:p>
              </w:tc>
              <w:tc>
                <w:tcPr>
                  <w:tcW w:w="1900" w:type="dxa"/>
                  <w:vAlign w:val="center"/>
                </w:tcPr>
                <w:p w14:paraId="72F59A1F">
                  <w:pPr>
                    <w:widowControl/>
                    <w:jc w:val="center"/>
                    <w:rPr>
                      <w:rFonts w:cs="宋体"/>
                      <w:color w:val="auto"/>
                      <w:szCs w:val="21"/>
                    </w:rPr>
                  </w:pPr>
                  <w:r>
                    <w:rPr>
                      <w:rFonts w:hint="eastAsia" w:cs="宋体"/>
                      <w:color w:val="auto"/>
                      <w:szCs w:val="21"/>
                    </w:rPr>
                    <w:t>含油废抹布和手套</w:t>
                  </w:r>
                </w:p>
              </w:tc>
              <w:tc>
                <w:tcPr>
                  <w:tcW w:w="2868" w:type="dxa"/>
                  <w:vAlign w:val="center"/>
                </w:tcPr>
                <w:p w14:paraId="5326876E">
                  <w:pPr>
                    <w:pStyle w:val="76"/>
                    <w:jc w:val="center"/>
                    <w:rPr>
                      <w:rFonts w:ascii="Times New Roman" w:hAnsi="Times New Roman"/>
                      <w:color w:val="auto"/>
                      <w:kern w:val="0"/>
                      <w:szCs w:val="21"/>
                    </w:rPr>
                  </w:pPr>
                  <w:r>
                    <w:rPr>
                      <w:rFonts w:ascii="Times New Roman" w:hAnsi="Times New Roman"/>
                      <w:color w:val="auto"/>
                      <w:kern w:val="0"/>
                      <w:szCs w:val="21"/>
                    </w:rPr>
                    <w:t>设备检修及润滑</w:t>
                  </w:r>
                </w:p>
              </w:tc>
              <w:tc>
                <w:tcPr>
                  <w:tcW w:w="2856" w:type="dxa"/>
                  <w:vAlign w:val="center"/>
                </w:tcPr>
                <w:p w14:paraId="08265DA8">
                  <w:pPr>
                    <w:pStyle w:val="76"/>
                    <w:jc w:val="center"/>
                    <w:rPr>
                      <w:rFonts w:ascii="Times New Roman" w:hAnsi="Times New Roman"/>
                      <w:color w:val="auto"/>
                      <w:kern w:val="0"/>
                      <w:szCs w:val="21"/>
                    </w:rPr>
                  </w:pPr>
                  <w:r>
                    <w:rPr>
                      <w:rFonts w:hint="eastAsia" w:ascii="Times New Roman" w:hAnsi="Times New Roman"/>
                      <w:color w:val="auto"/>
                      <w:kern w:val="0"/>
                      <w:szCs w:val="21"/>
                    </w:rPr>
                    <w:t>矿物油</w:t>
                  </w:r>
                </w:p>
              </w:tc>
            </w:tr>
            <w:tr w14:paraId="1B528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33D3876D">
                  <w:pPr>
                    <w:pStyle w:val="86"/>
                    <w:spacing w:line="240" w:lineRule="auto"/>
                    <w:ind w:firstLine="0" w:firstLineChars="0"/>
                    <w:jc w:val="center"/>
                    <w:rPr>
                      <w:rFonts w:cs="Times New Roman"/>
                      <w:color w:val="auto"/>
                      <w:kern w:val="0"/>
                      <w:sz w:val="21"/>
                      <w:szCs w:val="21"/>
                    </w:rPr>
                  </w:pPr>
                </w:p>
              </w:tc>
              <w:tc>
                <w:tcPr>
                  <w:tcW w:w="1900" w:type="dxa"/>
                  <w:vAlign w:val="center"/>
                </w:tcPr>
                <w:p w14:paraId="54FF1F16">
                  <w:pPr>
                    <w:widowControl/>
                    <w:jc w:val="center"/>
                    <w:rPr>
                      <w:rFonts w:cs="宋体"/>
                      <w:color w:val="auto"/>
                      <w:szCs w:val="21"/>
                    </w:rPr>
                  </w:pPr>
                  <w:r>
                    <w:rPr>
                      <w:rFonts w:hint="eastAsia" w:cs="宋体"/>
                      <w:color w:val="auto"/>
                      <w:szCs w:val="21"/>
                    </w:rPr>
                    <w:t>废机油</w:t>
                  </w:r>
                </w:p>
              </w:tc>
              <w:tc>
                <w:tcPr>
                  <w:tcW w:w="2868" w:type="dxa"/>
                  <w:vAlign w:val="center"/>
                </w:tcPr>
                <w:p w14:paraId="5A587B90">
                  <w:pPr>
                    <w:pStyle w:val="76"/>
                    <w:jc w:val="center"/>
                    <w:rPr>
                      <w:rFonts w:ascii="Times New Roman" w:hAnsi="Times New Roman"/>
                      <w:color w:val="auto"/>
                      <w:kern w:val="0"/>
                      <w:szCs w:val="21"/>
                    </w:rPr>
                  </w:pPr>
                  <w:r>
                    <w:rPr>
                      <w:rFonts w:ascii="Times New Roman" w:hAnsi="Times New Roman"/>
                      <w:color w:val="auto"/>
                      <w:kern w:val="0"/>
                      <w:szCs w:val="21"/>
                    </w:rPr>
                    <w:t>设备检修及润滑</w:t>
                  </w:r>
                </w:p>
              </w:tc>
              <w:tc>
                <w:tcPr>
                  <w:tcW w:w="2856" w:type="dxa"/>
                  <w:vAlign w:val="center"/>
                </w:tcPr>
                <w:p w14:paraId="0F8924B9">
                  <w:pPr>
                    <w:pStyle w:val="76"/>
                    <w:jc w:val="center"/>
                    <w:rPr>
                      <w:rFonts w:ascii="Times New Roman" w:hAnsi="Times New Roman"/>
                      <w:color w:val="auto"/>
                      <w:kern w:val="0"/>
                      <w:szCs w:val="21"/>
                    </w:rPr>
                  </w:pPr>
                  <w:r>
                    <w:rPr>
                      <w:rFonts w:hint="eastAsia" w:ascii="Times New Roman" w:hAnsi="Times New Roman"/>
                      <w:color w:val="auto"/>
                      <w:kern w:val="0"/>
                      <w:szCs w:val="21"/>
                    </w:rPr>
                    <w:t>矿物油</w:t>
                  </w:r>
                </w:p>
              </w:tc>
            </w:tr>
            <w:tr w14:paraId="60596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47E30274">
                  <w:pPr>
                    <w:pStyle w:val="86"/>
                    <w:spacing w:line="240" w:lineRule="auto"/>
                    <w:ind w:firstLine="0" w:firstLineChars="0"/>
                    <w:jc w:val="center"/>
                    <w:rPr>
                      <w:rFonts w:cs="Times New Roman"/>
                      <w:color w:val="auto"/>
                      <w:kern w:val="0"/>
                      <w:sz w:val="21"/>
                      <w:szCs w:val="21"/>
                    </w:rPr>
                  </w:pPr>
                </w:p>
              </w:tc>
              <w:tc>
                <w:tcPr>
                  <w:tcW w:w="1900" w:type="dxa"/>
                  <w:vAlign w:val="center"/>
                </w:tcPr>
                <w:p w14:paraId="6AE1E9D7">
                  <w:pPr>
                    <w:pStyle w:val="76"/>
                    <w:jc w:val="center"/>
                    <w:rPr>
                      <w:rFonts w:ascii="Times New Roman" w:hAnsi="Times New Roman"/>
                      <w:color w:val="auto"/>
                      <w:kern w:val="0"/>
                      <w:szCs w:val="21"/>
                    </w:rPr>
                  </w:pPr>
                  <w:r>
                    <w:rPr>
                      <w:rFonts w:ascii="Times New Roman" w:hAnsi="Times New Roman"/>
                      <w:color w:val="auto"/>
                      <w:kern w:val="0"/>
                      <w:szCs w:val="21"/>
                    </w:rPr>
                    <w:t>废</w:t>
                  </w:r>
                  <w:r>
                    <w:rPr>
                      <w:rFonts w:hint="eastAsia" w:ascii="Times New Roman" w:hAnsi="Times New Roman"/>
                      <w:color w:val="auto"/>
                      <w:kern w:val="0"/>
                      <w:szCs w:val="21"/>
                    </w:rPr>
                    <w:t>油漆</w:t>
                  </w:r>
                  <w:r>
                    <w:rPr>
                      <w:rFonts w:ascii="Times New Roman" w:hAnsi="Times New Roman"/>
                      <w:color w:val="auto"/>
                      <w:kern w:val="0"/>
                      <w:szCs w:val="21"/>
                    </w:rPr>
                    <w:t>桶</w:t>
                  </w:r>
                </w:p>
              </w:tc>
              <w:tc>
                <w:tcPr>
                  <w:tcW w:w="2868" w:type="dxa"/>
                  <w:vAlign w:val="center"/>
                </w:tcPr>
                <w:p w14:paraId="77D4C4CE">
                  <w:pPr>
                    <w:pStyle w:val="76"/>
                    <w:jc w:val="center"/>
                    <w:rPr>
                      <w:rFonts w:ascii="Times New Roman" w:hAnsi="Times New Roman"/>
                      <w:color w:val="auto"/>
                      <w:kern w:val="0"/>
                      <w:szCs w:val="21"/>
                    </w:rPr>
                  </w:pPr>
                  <w:r>
                    <w:rPr>
                      <w:rFonts w:hint="eastAsia" w:ascii="Times New Roman" w:hAnsi="Times New Roman"/>
                      <w:color w:val="auto"/>
                      <w:kern w:val="0"/>
                      <w:szCs w:val="21"/>
                    </w:rPr>
                    <w:t>原辅材料</w:t>
                  </w:r>
                </w:p>
              </w:tc>
              <w:tc>
                <w:tcPr>
                  <w:tcW w:w="2856" w:type="dxa"/>
                  <w:vAlign w:val="center"/>
                </w:tcPr>
                <w:p w14:paraId="388EFBA9">
                  <w:pPr>
                    <w:pStyle w:val="76"/>
                    <w:jc w:val="center"/>
                    <w:rPr>
                      <w:rFonts w:ascii="Times New Roman" w:hAnsi="Times New Roman"/>
                      <w:color w:val="auto"/>
                      <w:kern w:val="0"/>
                      <w:szCs w:val="21"/>
                    </w:rPr>
                  </w:pPr>
                  <w:r>
                    <w:rPr>
                      <w:rFonts w:hint="eastAsia" w:ascii="Times New Roman" w:hAnsi="Times New Roman"/>
                      <w:color w:val="auto"/>
                      <w:kern w:val="0"/>
                      <w:szCs w:val="21"/>
                    </w:rPr>
                    <w:t>矿物油</w:t>
                  </w:r>
                </w:p>
              </w:tc>
            </w:tr>
            <w:tr w14:paraId="14921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5FE0B3B5">
                  <w:pPr>
                    <w:pStyle w:val="86"/>
                    <w:spacing w:line="240" w:lineRule="auto"/>
                    <w:ind w:firstLine="0" w:firstLineChars="0"/>
                    <w:jc w:val="center"/>
                    <w:rPr>
                      <w:rFonts w:cs="Times New Roman"/>
                      <w:color w:val="auto"/>
                      <w:kern w:val="0"/>
                      <w:sz w:val="21"/>
                      <w:szCs w:val="21"/>
                    </w:rPr>
                  </w:pPr>
                </w:p>
              </w:tc>
              <w:tc>
                <w:tcPr>
                  <w:tcW w:w="1900" w:type="dxa"/>
                  <w:vAlign w:val="center"/>
                </w:tcPr>
                <w:p w14:paraId="4A5B156C">
                  <w:pPr>
                    <w:pStyle w:val="76"/>
                    <w:jc w:val="center"/>
                    <w:rPr>
                      <w:rFonts w:ascii="Times New Roman" w:hAnsi="Times New Roman"/>
                      <w:color w:val="auto"/>
                      <w:kern w:val="0"/>
                      <w:szCs w:val="21"/>
                    </w:rPr>
                  </w:pPr>
                  <w:r>
                    <w:rPr>
                      <w:rFonts w:hint="eastAsia" w:ascii="Times New Roman" w:hAnsi="Times New Roman"/>
                      <w:color w:val="auto"/>
                      <w:kern w:val="0"/>
                      <w:szCs w:val="21"/>
                    </w:rPr>
                    <w:t>漆渣</w:t>
                  </w:r>
                </w:p>
              </w:tc>
              <w:tc>
                <w:tcPr>
                  <w:tcW w:w="2868" w:type="dxa"/>
                  <w:vAlign w:val="center"/>
                </w:tcPr>
                <w:p w14:paraId="2351B4F1">
                  <w:pPr>
                    <w:pStyle w:val="76"/>
                    <w:jc w:val="center"/>
                    <w:rPr>
                      <w:rFonts w:ascii="Times New Roman" w:hAnsi="Times New Roman"/>
                      <w:color w:val="auto"/>
                      <w:kern w:val="0"/>
                      <w:szCs w:val="21"/>
                    </w:rPr>
                  </w:pPr>
                  <w:r>
                    <w:rPr>
                      <w:rFonts w:hint="eastAsia" w:ascii="Times New Roman" w:hAnsi="Times New Roman"/>
                      <w:color w:val="auto"/>
                      <w:kern w:val="0"/>
                      <w:szCs w:val="21"/>
                    </w:rPr>
                    <w:t>喷涂工序</w:t>
                  </w:r>
                </w:p>
              </w:tc>
              <w:tc>
                <w:tcPr>
                  <w:tcW w:w="2856" w:type="dxa"/>
                  <w:vAlign w:val="center"/>
                </w:tcPr>
                <w:p w14:paraId="109739D3">
                  <w:pPr>
                    <w:pStyle w:val="76"/>
                    <w:jc w:val="center"/>
                    <w:rPr>
                      <w:rFonts w:ascii="Times New Roman" w:hAnsi="Times New Roman"/>
                      <w:color w:val="auto"/>
                      <w:kern w:val="0"/>
                      <w:szCs w:val="21"/>
                    </w:rPr>
                  </w:pPr>
                  <w:r>
                    <w:rPr>
                      <w:rFonts w:hint="eastAsia" w:ascii="Times New Roman" w:hAnsi="Times New Roman"/>
                      <w:color w:val="auto"/>
                      <w:kern w:val="0"/>
                      <w:szCs w:val="21"/>
                    </w:rPr>
                    <w:t>油漆</w:t>
                  </w:r>
                </w:p>
              </w:tc>
            </w:tr>
            <w:tr w14:paraId="0B7FE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4386D35F">
                  <w:pPr>
                    <w:pStyle w:val="86"/>
                    <w:spacing w:line="240" w:lineRule="auto"/>
                    <w:ind w:firstLine="0" w:firstLineChars="0"/>
                    <w:jc w:val="center"/>
                    <w:rPr>
                      <w:rFonts w:cs="Times New Roman"/>
                      <w:color w:val="auto"/>
                      <w:kern w:val="0"/>
                      <w:sz w:val="21"/>
                      <w:szCs w:val="21"/>
                    </w:rPr>
                  </w:pPr>
                </w:p>
              </w:tc>
              <w:tc>
                <w:tcPr>
                  <w:tcW w:w="1900" w:type="dxa"/>
                  <w:vAlign w:val="center"/>
                </w:tcPr>
                <w:p w14:paraId="2667C9B7">
                  <w:pPr>
                    <w:widowControl/>
                    <w:jc w:val="center"/>
                    <w:rPr>
                      <w:rFonts w:cs="宋体"/>
                      <w:color w:val="auto"/>
                      <w:szCs w:val="21"/>
                    </w:rPr>
                  </w:pPr>
                  <w:r>
                    <w:rPr>
                      <w:rFonts w:hint="eastAsia" w:cs="宋体"/>
                      <w:color w:val="auto"/>
                      <w:szCs w:val="21"/>
                    </w:rPr>
                    <w:t>漆雾过滤棉</w:t>
                  </w:r>
                </w:p>
              </w:tc>
              <w:tc>
                <w:tcPr>
                  <w:tcW w:w="2868" w:type="dxa"/>
                  <w:vAlign w:val="center"/>
                </w:tcPr>
                <w:p w14:paraId="76B24206">
                  <w:pPr>
                    <w:pStyle w:val="76"/>
                    <w:jc w:val="center"/>
                    <w:rPr>
                      <w:rFonts w:ascii="Times New Roman" w:hAnsi="Times New Roman"/>
                      <w:color w:val="auto"/>
                      <w:kern w:val="0"/>
                      <w:szCs w:val="21"/>
                    </w:rPr>
                  </w:pPr>
                  <w:r>
                    <w:rPr>
                      <w:rFonts w:ascii="Times New Roman" w:hAnsi="Times New Roman"/>
                      <w:color w:val="auto"/>
                      <w:kern w:val="0"/>
                      <w:szCs w:val="21"/>
                    </w:rPr>
                    <w:t>有机废气处理设施</w:t>
                  </w:r>
                </w:p>
              </w:tc>
              <w:tc>
                <w:tcPr>
                  <w:tcW w:w="2856" w:type="dxa"/>
                  <w:vAlign w:val="center"/>
                </w:tcPr>
                <w:p w14:paraId="2F9BEA80">
                  <w:pPr>
                    <w:pStyle w:val="76"/>
                    <w:jc w:val="center"/>
                    <w:rPr>
                      <w:rFonts w:ascii="Times New Roman" w:hAnsi="Times New Roman"/>
                      <w:color w:val="auto"/>
                      <w:kern w:val="0"/>
                      <w:szCs w:val="21"/>
                    </w:rPr>
                  </w:pPr>
                  <w:r>
                    <w:rPr>
                      <w:rFonts w:hint="eastAsia" w:ascii="Times New Roman" w:hAnsi="Times New Roman"/>
                      <w:color w:val="auto"/>
                      <w:kern w:val="0"/>
                      <w:szCs w:val="21"/>
                    </w:rPr>
                    <w:t>油漆</w:t>
                  </w:r>
                </w:p>
              </w:tc>
            </w:tr>
            <w:tr w14:paraId="1C036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dxa"/>
                  <w:vMerge w:val="continue"/>
                  <w:vAlign w:val="center"/>
                </w:tcPr>
                <w:p w14:paraId="4625AACD">
                  <w:pPr>
                    <w:pStyle w:val="86"/>
                    <w:spacing w:line="240" w:lineRule="auto"/>
                    <w:ind w:firstLine="0" w:firstLineChars="0"/>
                    <w:jc w:val="center"/>
                    <w:rPr>
                      <w:rFonts w:cs="Times New Roman"/>
                      <w:color w:val="auto"/>
                      <w:kern w:val="0"/>
                      <w:sz w:val="21"/>
                      <w:szCs w:val="21"/>
                    </w:rPr>
                  </w:pPr>
                </w:p>
              </w:tc>
              <w:tc>
                <w:tcPr>
                  <w:tcW w:w="1900" w:type="dxa"/>
                  <w:vAlign w:val="center"/>
                </w:tcPr>
                <w:p w14:paraId="2E164CAC">
                  <w:pPr>
                    <w:widowControl/>
                    <w:jc w:val="center"/>
                    <w:rPr>
                      <w:rFonts w:cs="宋体"/>
                      <w:color w:val="auto"/>
                      <w:szCs w:val="21"/>
                    </w:rPr>
                  </w:pPr>
                  <w:r>
                    <w:rPr>
                      <w:rFonts w:hint="eastAsia" w:cs="宋体"/>
                      <w:color w:val="auto"/>
                      <w:szCs w:val="21"/>
                    </w:rPr>
                    <w:t>废活性炭</w:t>
                  </w:r>
                </w:p>
              </w:tc>
              <w:tc>
                <w:tcPr>
                  <w:tcW w:w="2868" w:type="dxa"/>
                  <w:vAlign w:val="center"/>
                </w:tcPr>
                <w:p w14:paraId="28881FED">
                  <w:pPr>
                    <w:pStyle w:val="76"/>
                    <w:jc w:val="center"/>
                    <w:rPr>
                      <w:rFonts w:ascii="Times New Roman" w:hAnsi="Times New Roman"/>
                      <w:color w:val="auto"/>
                      <w:kern w:val="0"/>
                      <w:szCs w:val="21"/>
                    </w:rPr>
                  </w:pPr>
                  <w:r>
                    <w:rPr>
                      <w:rFonts w:ascii="Times New Roman" w:hAnsi="Times New Roman"/>
                      <w:color w:val="auto"/>
                      <w:kern w:val="0"/>
                      <w:szCs w:val="21"/>
                    </w:rPr>
                    <w:t>有机废气处理设施</w:t>
                  </w:r>
                </w:p>
              </w:tc>
              <w:tc>
                <w:tcPr>
                  <w:tcW w:w="2856" w:type="dxa"/>
                  <w:vAlign w:val="center"/>
                </w:tcPr>
                <w:p w14:paraId="093D9ED8">
                  <w:pPr>
                    <w:pStyle w:val="76"/>
                    <w:jc w:val="center"/>
                    <w:rPr>
                      <w:rFonts w:ascii="Times New Roman" w:hAnsi="Times New Roman"/>
                      <w:color w:val="auto"/>
                      <w:kern w:val="0"/>
                      <w:szCs w:val="21"/>
                    </w:rPr>
                  </w:pPr>
                  <w:r>
                    <w:rPr>
                      <w:rFonts w:hint="eastAsia" w:ascii="Times New Roman" w:hAnsi="Times New Roman"/>
                      <w:color w:val="auto"/>
                      <w:kern w:val="0"/>
                      <w:szCs w:val="21"/>
                    </w:rPr>
                    <w:t>有机物、烃类</w:t>
                  </w:r>
                </w:p>
              </w:tc>
            </w:tr>
          </w:tbl>
          <w:p w14:paraId="4A65845F">
            <w:pPr>
              <w:tabs>
                <w:tab w:val="left" w:pos="2985"/>
              </w:tabs>
              <w:spacing w:line="360" w:lineRule="auto"/>
              <w:rPr>
                <w:color w:val="auto"/>
                <w:sz w:val="24"/>
              </w:rPr>
            </w:pPr>
          </w:p>
        </w:tc>
      </w:tr>
      <w:tr w14:paraId="6B0A0C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9" w:hRule="atLeast"/>
          <w:jc w:val="center"/>
        </w:trPr>
        <w:tc>
          <w:tcPr>
            <w:tcW w:w="823" w:type="dxa"/>
            <w:vAlign w:val="center"/>
          </w:tcPr>
          <w:p w14:paraId="53CDB44D">
            <w:pPr>
              <w:pStyle w:val="26"/>
              <w:adjustRightInd w:val="0"/>
              <w:snapToGrid w:val="0"/>
              <w:spacing w:before="0" w:beforeAutospacing="0" w:after="0" w:afterAutospacing="0"/>
              <w:jc w:val="center"/>
              <w:rPr>
                <w:rFonts w:cs="宋体"/>
                <w:color w:val="auto"/>
                <w:sz w:val="21"/>
                <w:szCs w:val="21"/>
              </w:rPr>
            </w:pPr>
            <w:r>
              <w:rPr>
                <w:rFonts w:hint="eastAsia" w:cs="宋体"/>
                <w:bCs/>
                <w:color w:val="auto"/>
                <w:kern w:val="2"/>
                <w:szCs w:val="24"/>
              </w:rPr>
              <w:t>与项目有关的原有环境污染问题</w:t>
            </w:r>
          </w:p>
        </w:tc>
        <w:tc>
          <w:tcPr>
            <w:tcW w:w="8161" w:type="dxa"/>
          </w:tcPr>
          <w:p w14:paraId="158AE1D1">
            <w:pPr>
              <w:adjustRightInd w:val="0"/>
              <w:snapToGrid w:val="0"/>
              <w:spacing w:line="360" w:lineRule="auto"/>
              <w:ind w:firstLine="480" w:firstLineChars="200"/>
              <w:jc w:val="center"/>
              <w:rPr>
                <w:color w:val="auto"/>
                <w:sz w:val="24"/>
              </w:rPr>
            </w:pPr>
          </w:p>
          <w:p w14:paraId="0C05BB5D">
            <w:pPr>
              <w:adjustRightInd w:val="0"/>
              <w:snapToGrid w:val="0"/>
              <w:spacing w:line="360" w:lineRule="auto"/>
              <w:ind w:firstLine="480" w:firstLineChars="200"/>
              <w:jc w:val="left"/>
              <w:rPr>
                <w:color w:val="auto"/>
                <w:sz w:val="24"/>
              </w:rPr>
            </w:pPr>
            <w:r>
              <w:rPr>
                <w:rFonts w:hint="eastAsia"/>
                <w:color w:val="auto"/>
                <w:sz w:val="24"/>
              </w:rPr>
              <w:t>本项目为新建项目，租用已建厂房，租用厂房已清理，不存在与本项目有关的原有污染问题。</w:t>
            </w:r>
          </w:p>
          <w:p w14:paraId="52F1873F">
            <w:pPr>
              <w:spacing w:line="360" w:lineRule="auto"/>
              <w:ind w:firstLine="480" w:firstLineChars="200"/>
              <w:rPr>
                <w:color w:val="auto"/>
                <w:sz w:val="24"/>
              </w:rPr>
            </w:pPr>
            <w:r>
              <w:rPr>
                <w:rFonts w:hint="eastAsia"/>
                <w:color w:val="auto"/>
                <w:sz w:val="24"/>
              </w:rPr>
              <w:t>本项目位于湘潭天易经开区海鸥东路370号，</w:t>
            </w:r>
            <w:r>
              <w:rPr>
                <w:rFonts w:hint="eastAsia" w:hAnsi="宋体"/>
                <w:color w:val="auto"/>
                <w:sz w:val="24"/>
              </w:rPr>
              <w:t>根据调查，项目周边企业以</w:t>
            </w:r>
            <w:r>
              <w:rPr>
                <w:color w:val="auto"/>
                <w:sz w:val="24"/>
              </w:rPr>
              <w:t>农产品加工业</w:t>
            </w:r>
            <w:r>
              <w:rPr>
                <w:rFonts w:hint="eastAsia"/>
                <w:color w:val="auto"/>
                <w:sz w:val="24"/>
              </w:rPr>
              <w:t>、包装材料、</w:t>
            </w:r>
            <w:r>
              <w:rPr>
                <w:color w:val="auto"/>
                <w:sz w:val="24"/>
              </w:rPr>
              <w:t>机械零部件制造业</w:t>
            </w:r>
            <w:r>
              <w:rPr>
                <w:rFonts w:hint="eastAsia"/>
                <w:color w:val="auto"/>
                <w:sz w:val="24"/>
              </w:rPr>
              <w:t>为主，项目与湖南中润科技发展有限公司共用厂房，北侧为湘潭国发重工有限公司厂房，北临海鸥东路，海鸥东路以北为湖南珠江啤酒有限公司，东侧和南侧为湖南五子醉实业集团有限公司，西侧为空地，西北侧为湖南新向维包装有限公司。</w:t>
            </w:r>
          </w:p>
          <w:p w14:paraId="16DE5907">
            <w:pPr>
              <w:adjustRightInd w:val="0"/>
              <w:snapToGrid w:val="0"/>
              <w:spacing w:line="360" w:lineRule="auto"/>
              <w:ind w:firstLine="480" w:firstLineChars="200"/>
              <w:jc w:val="left"/>
              <w:rPr>
                <w:rFonts w:ascii="宋体" w:hAnsi="宋体"/>
                <w:bCs/>
                <w:color w:val="auto"/>
                <w:szCs w:val="21"/>
              </w:rPr>
            </w:pPr>
            <w:r>
              <w:rPr>
                <w:rFonts w:hint="eastAsia"/>
                <w:color w:val="auto"/>
                <w:sz w:val="24"/>
              </w:rPr>
              <w:t>主要受到的环境问题为周边现有企业生产过程中产生的废水、废气、噪声和固体废物，通过采取各种污染防治措施后，项目四周整体环境良好，未产生明显的环境污染问题。</w:t>
            </w:r>
          </w:p>
        </w:tc>
      </w:tr>
    </w:tbl>
    <w:p w14:paraId="27733893">
      <w:pPr>
        <w:pStyle w:val="26"/>
        <w:jc w:val="center"/>
        <w:rPr>
          <w:rFonts w:ascii="黑体" w:hAnsi="黑体" w:eastAsia="黑体"/>
          <w:snapToGrid w:val="0"/>
          <w:sz w:val="36"/>
          <w:szCs w:val="36"/>
        </w:rPr>
        <w:sectPr>
          <w:pgSz w:w="11906" w:h="16838"/>
          <w:pgMar w:top="1701" w:right="1531" w:bottom="1701" w:left="1531" w:header="851" w:footer="851" w:gutter="0"/>
          <w:cols w:space="720" w:num="1"/>
          <w:docGrid w:linePitch="312" w:charSpace="0"/>
        </w:sectPr>
      </w:pPr>
    </w:p>
    <w:p w14:paraId="6CEA013A">
      <w:pPr>
        <w:pStyle w:val="26"/>
        <w:jc w:val="center"/>
        <w:outlineLvl w:val="0"/>
        <w:rPr>
          <w:rFonts w:ascii="黑体" w:hAnsi="黑体" w:eastAsia="黑体"/>
          <w:snapToGrid w:val="0"/>
          <w:sz w:val="30"/>
          <w:szCs w:val="30"/>
        </w:rPr>
      </w:pPr>
      <w:bookmarkStart w:id="2" w:name="_Toc5042"/>
      <w:r>
        <w:rPr>
          <w:rFonts w:hint="eastAsia" w:ascii="黑体" w:hAnsi="黑体" w:eastAsia="黑体"/>
          <w:snapToGrid w:val="0"/>
          <w:sz w:val="30"/>
          <w:szCs w:val="30"/>
        </w:rPr>
        <w:t>三、区域环境质量现状、环境保护目标及评价标准</w:t>
      </w:r>
      <w:bookmarkEnd w:id="2"/>
    </w:p>
    <w:tbl>
      <w:tblPr>
        <w:tblStyle w:val="3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5"/>
        <w:gridCol w:w="8976"/>
      </w:tblGrid>
      <w:tr w14:paraId="2AF291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426" w:type="dxa"/>
            <w:vAlign w:val="center"/>
          </w:tcPr>
          <w:p w14:paraId="683E05BB">
            <w:pPr>
              <w:adjustRightInd w:val="0"/>
              <w:snapToGrid w:val="0"/>
              <w:jc w:val="center"/>
              <w:rPr>
                <w:rFonts w:ascii="宋体" w:hAnsi="宋体" w:cs="宋体"/>
                <w:color w:val="auto"/>
                <w:kern w:val="0"/>
                <w:szCs w:val="21"/>
              </w:rPr>
            </w:pPr>
            <w:r>
              <w:rPr>
                <w:rFonts w:hint="eastAsia" w:ascii="宋体" w:hAnsi="宋体" w:cs="宋体"/>
                <w:color w:val="auto"/>
                <w:kern w:val="0"/>
                <w:szCs w:val="21"/>
              </w:rPr>
              <w:t>区域</w:t>
            </w:r>
          </w:p>
          <w:p w14:paraId="2E6EB3EC">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14:paraId="67F9282B">
            <w:pPr>
              <w:adjustRightInd w:val="0"/>
              <w:snapToGrid w:val="0"/>
              <w:jc w:val="center"/>
              <w:rPr>
                <w:rFonts w:ascii="宋体" w:hAnsi="宋体" w:cs="宋体"/>
                <w:color w:val="auto"/>
                <w:kern w:val="0"/>
                <w:szCs w:val="21"/>
              </w:rPr>
            </w:pPr>
            <w:r>
              <w:rPr>
                <w:rFonts w:hint="eastAsia" w:ascii="宋体" w:hAnsi="宋体" w:cs="宋体"/>
                <w:color w:val="auto"/>
                <w:kern w:val="0"/>
                <w:szCs w:val="21"/>
              </w:rPr>
              <w:t>质量</w:t>
            </w:r>
          </w:p>
          <w:p w14:paraId="5C86E5BE">
            <w:pPr>
              <w:adjustRightInd w:val="0"/>
              <w:snapToGrid w:val="0"/>
              <w:jc w:val="center"/>
              <w:rPr>
                <w:rFonts w:ascii="宋体" w:hAnsi="宋体" w:cs="宋体"/>
                <w:color w:val="auto"/>
                <w:kern w:val="0"/>
                <w:szCs w:val="21"/>
              </w:rPr>
            </w:pPr>
            <w:r>
              <w:rPr>
                <w:rFonts w:hint="eastAsia" w:ascii="宋体" w:hAnsi="宋体" w:cs="宋体"/>
                <w:color w:val="auto"/>
                <w:kern w:val="0"/>
                <w:szCs w:val="21"/>
              </w:rPr>
              <w:t>现状</w:t>
            </w:r>
          </w:p>
        </w:tc>
        <w:tc>
          <w:tcPr>
            <w:tcW w:w="8975" w:type="dxa"/>
            <w:vAlign w:val="center"/>
          </w:tcPr>
          <w:p w14:paraId="3E2887FC">
            <w:pPr>
              <w:spacing w:before="120" w:beforeLines="50" w:line="360" w:lineRule="auto"/>
              <w:rPr>
                <w:b/>
                <w:bCs/>
                <w:color w:val="auto"/>
                <w:sz w:val="24"/>
              </w:rPr>
            </w:pPr>
            <w:r>
              <w:rPr>
                <w:rFonts w:hint="eastAsia"/>
                <w:b/>
                <w:bCs/>
                <w:color w:val="auto"/>
                <w:sz w:val="24"/>
              </w:rPr>
              <w:t>3.1项目所在区域环境质量现状</w:t>
            </w:r>
          </w:p>
          <w:p w14:paraId="33F59FD8">
            <w:pPr>
              <w:spacing w:line="360" w:lineRule="auto"/>
              <w:rPr>
                <w:rFonts w:eastAsia="Times New Roman"/>
                <w:b/>
                <w:bCs/>
                <w:color w:val="auto"/>
                <w:sz w:val="24"/>
              </w:rPr>
            </w:pPr>
            <w:r>
              <w:rPr>
                <w:rFonts w:hint="eastAsia" w:eastAsia="Times New Roman"/>
                <w:b/>
                <w:bCs/>
                <w:color w:val="auto"/>
                <w:sz w:val="24"/>
              </w:rPr>
              <w:t>3.</w:t>
            </w:r>
            <w:r>
              <w:rPr>
                <w:rFonts w:hint="eastAsia"/>
                <w:b/>
                <w:bCs/>
                <w:color w:val="auto"/>
                <w:sz w:val="24"/>
              </w:rPr>
              <w:t>1</w:t>
            </w:r>
            <w:r>
              <w:rPr>
                <w:rFonts w:hint="eastAsia" w:eastAsia="Times New Roman"/>
                <w:b/>
                <w:bCs/>
                <w:color w:val="auto"/>
                <w:sz w:val="24"/>
              </w:rPr>
              <w:t>.1 大气环境</w:t>
            </w:r>
          </w:p>
          <w:p w14:paraId="7101FE61">
            <w:pPr>
              <w:pBdr>
                <w:top w:val="none" w:color="auto" w:sz="0" w:space="1"/>
                <w:left w:val="none" w:color="auto" w:sz="0" w:space="4"/>
                <w:bottom w:val="none" w:color="auto" w:sz="0" w:space="1"/>
                <w:right w:val="none" w:color="auto" w:sz="0" w:space="4"/>
              </w:pBdr>
              <w:spacing w:line="360" w:lineRule="auto"/>
              <w:ind w:firstLine="480" w:firstLineChars="200"/>
              <w:rPr>
                <w:color w:val="auto"/>
                <w:sz w:val="24"/>
              </w:rPr>
            </w:pPr>
            <w:r>
              <w:rPr>
                <w:rFonts w:hint="eastAsia"/>
                <w:color w:val="auto"/>
                <w:sz w:val="24"/>
              </w:rPr>
              <w:t>（1）</w:t>
            </w:r>
            <w:r>
              <w:rPr>
                <w:color w:val="auto"/>
                <w:sz w:val="24"/>
              </w:rPr>
              <w:t>区域环境空气质量</w:t>
            </w:r>
          </w:p>
          <w:p w14:paraId="7488B211">
            <w:pPr>
              <w:pBdr>
                <w:top w:val="none" w:color="auto" w:sz="0" w:space="1"/>
                <w:left w:val="none" w:color="auto" w:sz="0" w:space="4"/>
                <w:bottom w:val="none" w:color="auto" w:sz="0" w:space="1"/>
                <w:right w:val="none" w:color="auto" w:sz="0" w:space="4"/>
              </w:pBdr>
              <w:spacing w:line="360" w:lineRule="auto"/>
              <w:ind w:firstLine="480" w:firstLineChars="200"/>
              <w:rPr>
                <w:color w:val="auto"/>
                <w:sz w:val="24"/>
              </w:rPr>
            </w:pPr>
            <w:r>
              <w:rPr>
                <w:color w:val="auto"/>
                <w:sz w:val="24"/>
              </w:rPr>
              <w:t>为了解本项目周边环境空气质量状况，本评价收集了湘潭县202</w:t>
            </w:r>
            <w:r>
              <w:rPr>
                <w:rFonts w:hint="eastAsia"/>
                <w:color w:val="auto"/>
                <w:sz w:val="24"/>
              </w:rPr>
              <w:t>3</w:t>
            </w:r>
            <w:r>
              <w:rPr>
                <w:color w:val="auto"/>
                <w:sz w:val="24"/>
              </w:rPr>
              <w:t>年基本污染物环境空气监测数据（湘潭县环境监测站监测），并对湘潭县例行监测数据进行统计分析见表3-</w:t>
            </w:r>
            <w:r>
              <w:rPr>
                <w:rFonts w:hint="eastAsia"/>
                <w:color w:val="auto"/>
                <w:sz w:val="24"/>
              </w:rPr>
              <w:t>1</w:t>
            </w:r>
            <w:r>
              <w:rPr>
                <w:color w:val="auto"/>
                <w:sz w:val="24"/>
              </w:rPr>
              <w:t>。</w:t>
            </w:r>
            <w:r>
              <w:rPr>
                <w:rFonts w:hint="eastAsia"/>
                <w:color w:val="auto"/>
                <w:sz w:val="24"/>
              </w:rPr>
              <w:t>根据</w:t>
            </w:r>
            <w:r>
              <w:rPr>
                <w:color w:val="auto"/>
                <w:sz w:val="24"/>
              </w:rPr>
              <w:t>《环境影响评价技术导则大气环境》（HJ2.2-2018）“5.5评价基准年筛选依据评价所需环境空气质量现状、气象资料等数据的可获得性、数据质量、代表性等因素，选择近3年中数据相对完整的1个日历年作为评价基准年。”、“6.2数据来源，采用评价范围内国家或地方环境空气质量监测网中评价基准年连续1年的监测数据，或采用生态环境主管部门公开发布的环境空气质量现状数据”</w:t>
            </w:r>
            <w:r>
              <w:rPr>
                <w:rFonts w:hint="eastAsia"/>
                <w:color w:val="auto"/>
                <w:sz w:val="24"/>
              </w:rPr>
              <w:t>和</w:t>
            </w:r>
            <w:r>
              <w:rPr>
                <w:color w:val="auto"/>
                <w:sz w:val="24"/>
              </w:rPr>
              <w:t>《建设项目环境影响报告表编制技术指南（污染影响类）》</w:t>
            </w:r>
            <w:r>
              <w:rPr>
                <w:rFonts w:hint="eastAsia"/>
                <w:color w:val="auto"/>
                <w:sz w:val="24"/>
              </w:rPr>
              <w:t>“大气环境：常规污染物引用与建设项目距离近的有效数据，包括近3年的规划环境影响评价的监测数据，国家、地方环境空气质量监测网数据或生态环境主管部门公开发布的质量数据等”，本项目引用数据可行</w:t>
            </w:r>
            <w:r>
              <w:rPr>
                <w:color w:val="auto"/>
                <w:sz w:val="24"/>
              </w:rPr>
              <w:t>。</w:t>
            </w:r>
          </w:p>
          <w:p w14:paraId="3B24267E">
            <w:pPr>
              <w:widowControl/>
              <w:pBdr>
                <w:top w:val="none" w:color="auto" w:sz="0" w:space="1"/>
                <w:left w:val="none" w:color="auto" w:sz="0" w:space="4"/>
                <w:bottom w:val="none" w:color="auto" w:sz="0" w:space="1"/>
                <w:right w:val="none" w:color="auto" w:sz="0" w:space="4"/>
              </w:pBdr>
              <w:adjustRightInd w:val="0"/>
              <w:snapToGrid w:val="0"/>
              <w:jc w:val="center"/>
              <w:rPr>
                <w:b/>
                <w:bCs/>
                <w:color w:val="auto"/>
                <w:kern w:val="0"/>
                <w:szCs w:val="21"/>
              </w:rPr>
            </w:pPr>
            <w:r>
              <w:rPr>
                <w:b/>
                <w:bCs/>
                <w:color w:val="auto"/>
                <w:kern w:val="0"/>
                <w:szCs w:val="21"/>
              </w:rPr>
              <w:t>表3-</w:t>
            </w:r>
            <w:r>
              <w:rPr>
                <w:rFonts w:hint="eastAsia"/>
                <w:b/>
                <w:bCs/>
                <w:color w:val="auto"/>
                <w:kern w:val="0"/>
                <w:szCs w:val="21"/>
              </w:rPr>
              <w:t>1</w:t>
            </w:r>
            <w:r>
              <w:rPr>
                <w:b/>
                <w:bCs/>
                <w:color w:val="auto"/>
                <w:kern w:val="0"/>
                <w:szCs w:val="21"/>
              </w:rPr>
              <w:t xml:space="preserve">  </w:t>
            </w:r>
            <w:r>
              <w:rPr>
                <w:rFonts w:hint="eastAsia"/>
                <w:b/>
                <w:bCs/>
                <w:color w:val="auto"/>
                <w:kern w:val="0"/>
                <w:szCs w:val="21"/>
              </w:rPr>
              <w:t xml:space="preserve">2023年湘潭县环境空气监测结果  </w:t>
            </w:r>
            <w:r>
              <w:rPr>
                <w:b/>
                <w:bCs/>
                <w:color w:val="auto"/>
                <w:kern w:val="0"/>
                <w:szCs w:val="21"/>
              </w:rPr>
              <w:t>单位：μg/m</w:t>
            </w:r>
            <w:r>
              <w:rPr>
                <w:b/>
                <w:bCs/>
                <w:color w:val="auto"/>
                <w:kern w:val="0"/>
                <w:szCs w:val="21"/>
                <w:vertAlign w:val="superscript"/>
              </w:rPr>
              <w:t>3</w:t>
            </w:r>
          </w:p>
          <w:tbl>
            <w:tblPr>
              <w:tblStyle w:val="30"/>
              <w:tblW w:w="8524"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85"/>
              <w:gridCol w:w="2125"/>
              <w:gridCol w:w="1506"/>
              <w:gridCol w:w="1366"/>
              <w:gridCol w:w="1266"/>
              <w:gridCol w:w="1176"/>
            </w:tblGrid>
            <w:tr w14:paraId="622EDC6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4" w:hRule="atLeast"/>
                <w:jc w:val="center"/>
              </w:trPr>
              <w:tc>
                <w:tcPr>
                  <w:tcW w:w="636" w:type="pct"/>
                  <w:tcBorders>
                    <w:tl2br w:val="nil"/>
                    <w:tr2bl w:val="nil"/>
                  </w:tcBorders>
                  <w:vAlign w:val="center"/>
                </w:tcPr>
                <w:p w14:paraId="74E59466">
                  <w:pPr>
                    <w:pStyle w:val="81"/>
                    <w:widowControl/>
                    <w:adjustRightInd w:val="0"/>
                    <w:snapToGrid w:val="0"/>
                    <w:spacing w:line="240" w:lineRule="auto"/>
                    <w:rPr>
                      <w:b/>
                      <w:bCs/>
                      <w:color w:val="auto"/>
                      <w:szCs w:val="21"/>
                    </w:rPr>
                  </w:pPr>
                  <w:r>
                    <w:rPr>
                      <w:b/>
                      <w:bCs/>
                      <w:color w:val="auto"/>
                      <w:szCs w:val="21"/>
                    </w:rPr>
                    <w:t>污染物</w:t>
                  </w:r>
                </w:p>
              </w:tc>
              <w:tc>
                <w:tcPr>
                  <w:tcW w:w="1246" w:type="pct"/>
                  <w:tcBorders>
                    <w:tl2br w:val="nil"/>
                    <w:tr2bl w:val="nil"/>
                  </w:tcBorders>
                  <w:vAlign w:val="center"/>
                </w:tcPr>
                <w:p w14:paraId="267B0B16">
                  <w:pPr>
                    <w:pStyle w:val="81"/>
                    <w:widowControl/>
                    <w:adjustRightInd w:val="0"/>
                    <w:snapToGrid w:val="0"/>
                    <w:spacing w:line="240" w:lineRule="auto"/>
                    <w:rPr>
                      <w:b/>
                      <w:bCs/>
                      <w:color w:val="auto"/>
                      <w:szCs w:val="21"/>
                    </w:rPr>
                  </w:pPr>
                  <w:r>
                    <w:rPr>
                      <w:b/>
                      <w:bCs/>
                      <w:color w:val="auto"/>
                      <w:szCs w:val="21"/>
                    </w:rPr>
                    <w:t>年评价指标</w:t>
                  </w:r>
                </w:p>
              </w:tc>
              <w:tc>
                <w:tcPr>
                  <w:tcW w:w="883" w:type="pct"/>
                  <w:tcBorders>
                    <w:tl2br w:val="nil"/>
                    <w:tr2bl w:val="nil"/>
                  </w:tcBorders>
                  <w:vAlign w:val="center"/>
                </w:tcPr>
                <w:p w14:paraId="5965128C">
                  <w:pPr>
                    <w:pStyle w:val="81"/>
                    <w:widowControl/>
                    <w:adjustRightInd w:val="0"/>
                    <w:snapToGrid w:val="0"/>
                    <w:spacing w:line="240" w:lineRule="auto"/>
                    <w:rPr>
                      <w:b/>
                      <w:bCs/>
                      <w:color w:val="auto"/>
                      <w:szCs w:val="21"/>
                    </w:rPr>
                  </w:pPr>
                  <w:r>
                    <w:rPr>
                      <w:b/>
                      <w:bCs/>
                      <w:color w:val="auto"/>
                      <w:szCs w:val="21"/>
                    </w:rPr>
                    <w:t>现状浓度</w:t>
                  </w:r>
                </w:p>
                <w:p w14:paraId="1585709C">
                  <w:pPr>
                    <w:pStyle w:val="81"/>
                    <w:widowControl/>
                    <w:adjustRightInd w:val="0"/>
                    <w:snapToGrid w:val="0"/>
                    <w:spacing w:line="240" w:lineRule="auto"/>
                    <w:rPr>
                      <w:b/>
                      <w:bCs/>
                      <w:color w:val="auto"/>
                      <w:szCs w:val="21"/>
                    </w:rPr>
                  </w:pPr>
                  <w:r>
                    <w:rPr>
                      <w:b/>
                      <w:bCs/>
                      <w:color w:val="auto"/>
                      <w:szCs w:val="21"/>
                    </w:rPr>
                    <w:t>（μg/m³）</w:t>
                  </w:r>
                </w:p>
              </w:tc>
              <w:tc>
                <w:tcPr>
                  <w:tcW w:w="801" w:type="pct"/>
                  <w:tcBorders>
                    <w:tl2br w:val="nil"/>
                    <w:tr2bl w:val="nil"/>
                  </w:tcBorders>
                  <w:vAlign w:val="center"/>
                </w:tcPr>
                <w:p w14:paraId="3B3DCBCA">
                  <w:pPr>
                    <w:pStyle w:val="81"/>
                    <w:widowControl/>
                    <w:adjustRightInd w:val="0"/>
                    <w:snapToGrid w:val="0"/>
                    <w:spacing w:line="240" w:lineRule="auto"/>
                    <w:rPr>
                      <w:b/>
                      <w:bCs/>
                      <w:color w:val="auto"/>
                      <w:szCs w:val="21"/>
                    </w:rPr>
                  </w:pPr>
                  <w:r>
                    <w:rPr>
                      <w:b/>
                      <w:bCs/>
                      <w:color w:val="auto"/>
                      <w:szCs w:val="21"/>
                    </w:rPr>
                    <w:t>二级标准值</w:t>
                  </w:r>
                </w:p>
                <w:p w14:paraId="4CBFEA49">
                  <w:pPr>
                    <w:pStyle w:val="81"/>
                    <w:widowControl/>
                    <w:adjustRightInd w:val="0"/>
                    <w:snapToGrid w:val="0"/>
                    <w:spacing w:line="240" w:lineRule="auto"/>
                    <w:rPr>
                      <w:b/>
                      <w:bCs/>
                      <w:color w:val="auto"/>
                      <w:szCs w:val="21"/>
                    </w:rPr>
                  </w:pPr>
                  <w:r>
                    <w:rPr>
                      <w:b/>
                      <w:bCs/>
                      <w:color w:val="auto"/>
                      <w:szCs w:val="21"/>
                    </w:rPr>
                    <w:t>（μg/m³）</w:t>
                  </w:r>
                </w:p>
              </w:tc>
              <w:tc>
                <w:tcPr>
                  <w:tcW w:w="742" w:type="pct"/>
                  <w:tcBorders>
                    <w:tl2br w:val="nil"/>
                    <w:tr2bl w:val="nil"/>
                  </w:tcBorders>
                  <w:vAlign w:val="center"/>
                </w:tcPr>
                <w:p w14:paraId="798BCD8E">
                  <w:pPr>
                    <w:pStyle w:val="81"/>
                    <w:widowControl/>
                    <w:adjustRightInd w:val="0"/>
                    <w:snapToGrid w:val="0"/>
                    <w:spacing w:line="240" w:lineRule="auto"/>
                    <w:rPr>
                      <w:b/>
                      <w:bCs/>
                      <w:color w:val="auto"/>
                      <w:szCs w:val="21"/>
                    </w:rPr>
                  </w:pPr>
                  <w:r>
                    <w:rPr>
                      <w:b/>
                      <w:bCs/>
                      <w:color w:val="auto"/>
                      <w:szCs w:val="21"/>
                    </w:rPr>
                    <w:t>占标率</w:t>
                  </w:r>
                </w:p>
                <w:p w14:paraId="0359B507">
                  <w:pPr>
                    <w:pStyle w:val="81"/>
                    <w:widowControl/>
                    <w:adjustRightInd w:val="0"/>
                    <w:snapToGrid w:val="0"/>
                    <w:spacing w:line="240" w:lineRule="auto"/>
                    <w:rPr>
                      <w:b/>
                      <w:bCs/>
                      <w:color w:val="auto"/>
                      <w:szCs w:val="21"/>
                    </w:rPr>
                  </w:pPr>
                  <w:r>
                    <w:rPr>
                      <w:b/>
                      <w:bCs/>
                      <w:color w:val="auto"/>
                      <w:szCs w:val="21"/>
                    </w:rPr>
                    <w:t>（%）</w:t>
                  </w:r>
                </w:p>
              </w:tc>
              <w:tc>
                <w:tcPr>
                  <w:tcW w:w="689" w:type="pct"/>
                  <w:tcBorders>
                    <w:tl2br w:val="nil"/>
                    <w:tr2bl w:val="nil"/>
                  </w:tcBorders>
                  <w:vAlign w:val="center"/>
                </w:tcPr>
                <w:p w14:paraId="23828B83">
                  <w:pPr>
                    <w:pStyle w:val="81"/>
                    <w:widowControl/>
                    <w:adjustRightInd w:val="0"/>
                    <w:snapToGrid w:val="0"/>
                    <w:spacing w:line="240" w:lineRule="auto"/>
                    <w:rPr>
                      <w:b/>
                      <w:bCs/>
                      <w:color w:val="auto"/>
                      <w:szCs w:val="21"/>
                    </w:rPr>
                  </w:pPr>
                  <w:r>
                    <w:rPr>
                      <w:b/>
                      <w:bCs/>
                      <w:color w:val="auto"/>
                      <w:szCs w:val="21"/>
                    </w:rPr>
                    <w:t>达标情况</w:t>
                  </w:r>
                </w:p>
              </w:tc>
            </w:tr>
            <w:tr w14:paraId="2884CC4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36" w:type="pct"/>
                  <w:tcBorders>
                    <w:tl2br w:val="nil"/>
                    <w:tr2bl w:val="nil"/>
                  </w:tcBorders>
                  <w:vAlign w:val="center"/>
                </w:tcPr>
                <w:p w14:paraId="3AC9737E">
                  <w:pPr>
                    <w:pStyle w:val="81"/>
                    <w:widowControl/>
                    <w:adjustRightInd w:val="0"/>
                    <w:snapToGrid w:val="0"/>
                    <w:spacing w:line="240" w:lineRule="auto"/>
                    <w:rPr>
                      <w:color w:val="auto"/>
                      <w:szCs w:val="21"/>
                    </w:rPr>
                  </w:pPr>
                  <w:r>
                    <w:rPr>
                      <w:color w:val="auto"/>
                      <w:szCs w:val="21"/>
                    </w:rPr>
                    <w:t>SO</w:t>
                  </w:r>
                  <w:r>
                    <w:rPr>
                      <w:color w:val="auto"/>
                      <w:szCs w:val="21"/>
                      <w:vertAlign w:val="subscript"/>
                    </w:rPr>
                    <w:t>2</w:t>
                  </w:r>
                </w:p>
              </w:tc>
              <w:tc>
                <w:tcPr>
                  <w:tcW w:w="1246" w:type="pct"/>
                  <w:tcBorders>
                    <w:tl2br w:val="nil"/>
                    <w:tr2bl w:val="nil"/>
                  </w:tcBorders>
                  <w:vAlign w:val="center"/>
                </w:tcPr>
                <w:p w14:paraId="5D608515">
                  <w:pPr>
                    <w:pStyle w:val="81"/>
                    <w:widowControl/>
                    <w:adjustRightInd w:val="0"/>
                    <w:snapToGrid w:val="0"/>
                    <w:spacing w:line="240" w:lineRule="auto"/>
                    <w:rPr>
                      <w:color w:val="auto"/>
                      <w:szCs w:val="21"/>
                    </w:rPr>
                  </w:pPr>
                  <w:r>
                    <w:rPr>
                      <w:color w:val="auto"/>
                      <w:szCs w:val="21"/>
                    </w:rPr>
                    <w:t>年平均质量浓度</w:t>
                  </w:r>
                </w:p>
              </w:tc>
              <w:tc>
                <w:tcPr>
                  <w:tcW w:w="883" w:type="pct"/>
                  <w:tcBorders>
                    <w:tl2br w:val="nil"/>
                    <w:tr2bl w:val="nil"/>
                  </w:tcBorders>
                  <w:vAlign w:val="center"/>
                </w:tcPr>
                <w:p w14:paraId="5ADE6E70">
                  <w:pPr>
                    <w:pStyle w:val="81"/>
                    <w:widowControl/>
                    <w:adjustRightInd w:val="0"/>
                    <w:snapToGrid w:val="0"/>
                    <w:spacing w:line="240" w:lineRule="auto"/>
                    <w:rPr>
                      <w:color w:val="auto"/>
                      <w:szCs w:val="21"/>
                    </w:rPr>
                  </w:pPr>
                  <w:r>
                    <w:rPr>
                      <w:rFonts w:hint="eastAsia"/>
                      <w:color w:val="auto"/>
                      <w:szCs w:val="21"/>
                    </w:rPr>
                    <w:t>7.3</w:t>
                  </w:r>
                </w:p>
              </w:tc>
              <w:tc>
                <w:tcPr>
                  <w:tcW w:w="801" w:type="pct"/>
                  <w:tcBorders>
                    <w:tl2br w:val="nil"/>
                    <w:tr2bl w:val="nil"/>
                  </w:tcBorders>
                  <w:vAlign w:val="center"/>
                </w:tcPr>
                <w:p w14:paraId="223FA98A">
                  <w:pPr>
                    <w:pStyle w:val="81"/>
                    <w:widowControl/>
                    <w:adjustRightInd w:val="0"/>
                    <w:snapToGrid w:val="0"/>
                    <w:spacing w:line="240" w:lineRule="auto"/>
                    <w:rPr>
                      <w:color w:val="auto"/>
                      <w:szCs w:val="21"/>
                    </w:rPr>
                  </w:pPr>
                  <w:r>
                    <w:rPr>
                      <w:color w:val="auto"/>
                      <w:szCs w:val="21"/>
                    </w:rPr>
                    <w:t>60</w:t>
                  </w:r>
                </w:p>
              </w:tc>
              <w:tc>
                <w:tcPr>
                  <w:tcW w:w="742" w:type="pct"/>
                  <w:tcBorders>
                    <w:tl2br w:val="nil"/>
                    <w:tr2bl w:val="nil"/>
                  </w:tcBorders>
                  <w:vAlign w:val="center"/>
                </w:tcPr>
                <w:p w14:paraId="7F57C75B">
                  <w:pPr>
                    <w:pStyle w:val="81"/>
                    <w:widowControl/>
                    <w:adjustRightInd w:val="0"/>
                    <w:snapToGrid w:val="0"/>
                    <w:spacing w:line="240" w:lineRule="auto"/>
                    <w:rPr>
                      <w:color w:val="auto"/>
                      <w:szCs w:val="21"/>
                    </w:rPr>
                  </w:pPr>
                  <w:r>
                    <w:rPr>
                      <w:rFonts w:hint="eastAsia"/>
                      <w:color w:val="auto"/>
                    </w:rPr>
                    <w:t>12.2</w:t>
                  </w:r>
                </w:p>
              </w:tc>
              <w:tc>
                <w:tcPr>
                  <w:tcW w:w="689" w:type="pct"/>
                  <w:tcBorders>
                    <w:tl2br w:val="nil"/>
                    <w:tr2bl w:val="nil"/>
                  </w:tcBorders>
                  <w:vAlign w:val="center"/>
                </w:tcPr>
                <w:p w14:paraId="6587DF0C">
                  <w:pPr>
                    <w:pStyle w:val="81"/>
                    <w:widowControl/>
                    <w:adjustRightInd w:val="0"/>
                    <w:snapToGrid w:val="0"/>
                    <w:spacing w:line="240" w:lineRule="auto"/>
                    <w:rPr>
                      <w:color w:val="auto"/>
                      <w:szCs w:val="21"/>
                    </w:rPr>
                  </w:pPr>
                  <w:r>
                    <w:rPr>
                      <w:color w:val="auto"/>
                      <w:szCs w:val="21"/>
                    </w:rPr>
                    <w:t>达标</w:t>
                  </w:r>
                </w:p>
              </w:tc>
            </w:tr>
            <w:tr w14:paraId="1A30EB9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36" w:type="pct"/>
                  <w:tcBorders>
                    <w:tl2br w:val="nil"/>
                    <w:tr2bl w:val="nil"/>
                  </w:tcBorders>
                  <w:vAlign w:val="center"/>
                </w:tcPr>
                <w:p w14:paraId="099D1EAE">
                  <w:pPr>
                    <w:pStyle w:val="81"/>
                    <w:widowControl/>
                    <w:adjustRightInd w:val="0"/>
                    <w:snapToGrid w:val="0"/>
                    <w:spacing w:line="240" w:lineRule="auto"/>
                    <w:rPr>
                      <w:color w:val="auto"/>
                      <w:szCs w:val="21"/>
                    </w:rPr>
                  </w:pPr>
                  <w:r>
                    <w:rPr>
                      <w:color w:val="auto"/>
                      <w:szCs w:val="21"/>
                    </w:rPr>
                    <w:t>NO</w:t>
                  </w:r>
                  <w:r>
                    <w:rPr>
                      <w:color w:val="auto"/>
                      <w:szCs w:val="21"/>
                      <w:vertAlign w:val="subscript"/>
                    </w:rPr>
                    <w:t>2</w:t>
                  </w:r>
                </w:p>
              </w:tc>
              <w:tc>
                <w:tcPr>
                  <w:tcW w:w="1246" w:type="pct"/>
                  <w:tcBorders>
                    <w:tl2br w:val="nil"/>
                    <w:tr2bl w:val="nil"/>
                  </w:tcBorders>
                  <w:vAlign w:val="center"/>
                </w:tcPr>
                <w:p w14:paraId="6BAEA1BF">
                  <w:pPr>
                    <w:pStyle w:val="81"/>
                    <w:widowControl/>
                    <w:adjustRightInd w:val="0"/>
                    <w:snapToGrid w:val="0"/>
                    <w:spacing w:line="240" w:lineRule="auto"/>
                    <w:rPr>
                      <w:color w:val="auto"/>
                      <w:szCs w:val="21"/>
                    </w:rPr>
                  </w:pPr>
                  <w:r>
                    <w:rPr>
                      <w:color w:val="auto"/>
                      <w:szCs w:val="21"/>
                    </w:rPr>
                    <w:t>年平均质量浓度</w:t>
                  </w:r>
                </w:p>
              </w:tc>
              <w:tc>
                <w:tcPr>
                  <w:tcW w:w="883" w:type="pct"/>
                  <w:tcBorders>
                    <w:tl2br w:val="nil"/>
                    <w:tr2bl w:val="nil"/>
                  </w:tcBorders>
                  <w:vAlign w:val="center"/>
                </w:tcPr>
                <w:p w14:paraId="2580007E">
                  <w:pPr>
                    <w:pStyle w:val="81"/>
                    <w:widowControl/>
                    <w:adjustRightInd w:val="0"/>
                    <w:snapToGrid w:val="0"/>
                    <w:spacing w:line="240" w:lineRule="auto"/>
                    <w:rPr>
                      <w:color w:val="auto"/>
                      <w:szCs w:val="21"/>
                    </w:rPr>
                  </w:pPr>
                  <w:r>
                    <w:rPr>
                      <w:rFonts w:hint="eastAsia"/>
                      <w:color w:val="auto"/>
                      <w:szCs w:val="21"/>
                    </w:rPr>
                    <w:t>16.3</w:t>
                  </w:r>
                </w:p>
              </w:tc>
              <w:tc>
                <w:tcPr>
                  <w:tcW w:w="801" w:type="pct"/>
                  <w:tcBorders>
                    <w:tl2br w:val="nil"/>
                    <w:tr2bl w:val="nil"/>
                  </w:tcBorders>
                  <w:vAlign w:val="center"/>
                </w:tcPr>
                <w:p w14:paraId="3A9FAF06">
                  <w:pPr>
                    <w:pStyle w:val="81"/>
                    <w:widowControl/>
                    <w:adjustRightInd w:val="0"/>
                    <w:snapToGrid w:val="0"/>
                    <w:spacing w:line="240" w:lineRule="auto"/>
                    <w:rPr>
                      <w:color w:val="auto"/>
                      <w:szCs w:val="21"/>
                    </w:rPr>
                  </w:pPr>
                  <w:r>
                    <w:rPr>
                      <w:color w:val="auto"/>
                      <w:szCs w:val="21"/>
                    </w:rPr>
                    <w:t>40</w:t>
                  </w:r>
                </w:p>
              </w:tc>
              <w:tc>
                <w:tcPr>
                  <w:tcW w:w="742" w:type="pct"/>
                  <w:tcBorders>
                    <w:tl2br w:val="nil"/>
                    <w:tr2bl w:val="nil"/>
                  </w:tcBorders>
                  <w:vAlign w:val="center"/>
                </w:tcPr>
                <w:p w14:paraId="1B0A5D70">
                  <w:pPr>
                    <w:pStyle w:val="81"/>
                    <w:widowControl/>
                    <w:adjustRightInd w:val="0"/>
                    <w:snapToGrid w:val="0"/>
                    <w:spacing w:line="240" w:lineRule="auto"/>
                    <w:rPr>
                      <w:color w:val="auto"/>
                      <w:szCs w:val="21"/>
                    </w:rPr>
                  </w:pPr>
                  <w:r>
                    <w:rPr>
                      <w:rFonts w:hint="eastAsia"/>
                      <w:color w:val="auto"/>
                    </w:rPr>
                    <w:t>40.8</w:t>
                  </w:r>
                </w:p>
              </w:tc>
              <w:tc>
                <w:tcPr>
                  <w:tcW w:w="689" w:type="pct"/>
                  <w:tcBorders>
                    <w:tl2br w:val="nil"/>
                    <w:tr2bl w:val="nil"/>
                  </w:tcBorders>
                  <w:vAlign w:val="center"/>
                </w:tcPr>
                <w:p w14:paraId="77AF4682">
                  <w:pPr>
                    <w:widowControl/>
                    <w:adjustRightInd w:val="0"/>
                    <w:snapToGrid w:val="0"/>
                    <w:jc w:val="center"/>
                    <w:rPr>
                      <w:color w:val="auto"/>
                      <w:szCs w:val="21"/>
                    </w:rPr>
                  </w:pPr>
                  <w:r>
                    <w:rPr>
                      <w:color w:val="auto"/>
                      <w:szCs w:val="21"/>
                    </w:rPr>
                    <w:t>达标</w:t>
                  </w:r>
                </w:p>
              </w:tc>
            </w:tr>
            <w:tr w14:paraId="6DC2DC3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36" w:type="pct"/>
                  <w:tcBorders>
                    <w:tl2br w:val="nil"/>
                    <w:tr2bl w:val="nil"/>
                  </w:tcBorders>
                  <w:vAlign w:val="center"/>
                </w:tcPr>
                <w:p w14:paraId="61CB4EE1">
                  <w:pPr>
                    <w:pStyle w:val="81"/>
                    <w:widowControl/>
                    <w:adjustRightInd w:val="0"/>
                    <w:snapToGrid w:val="0"/>
                    <w:spacing w:line="240" w:lineRule="auto"/>
                    <w:rPr>
                      <w:color w:val="auto"/>
                      <w:szCs w:val="21"/>
                    </w:rPr>
                  </w:pPr>
                  <w:r>
                    <w:rPr>
                      <w:color w:val="auto"/>
                      <w:szCs w:val="21"/>
                    </w:rPr>
                    <w:t>PM</w:t>
                  </w:r>
                  <w:r>
                    <w:rPr>
                      <w:color w:val="auto"/>
                      <w:szCs w:val="21"/>
                      <w:vertAlign w:val="subscript"/>
                    </w:rPr>
                    <w:t>10</w:t>
                  </w:r>
                </w:p>
              </w:tc>
              <w:tc>
                <w:tcPr>
                  <w:tcW w:w="1246" w:type="pct"/>
                  <w:tcBorders>
                    <w:tl2br w:val="nil"/>
                    <w:tr2bl w:val="nil"/>
                  </w:tcBorders>
                  <w:vAlign w:val="center"/>
                </w:tcPr>
                <w:p w14:paraId="4F9E0912">
                  <w:pPr>
                    <w:pStyle w:val="81"/>
                    <w:widowControl/>
                    <w:adjustRightInd w:val="0"/>
                    <w:snapToGrid w:val="0"/>
                    <w:spacing w:line="240" w:lineRule="auto"/>
                    <w:rPr>
                      <w:color w:val="auto"/>
                      <w:szCs w:val="21"/>
                    </w:rPr>
                  </w:pPr>
                  <w:r>
                    <w:rPr>
                      <w:color w:val="auto"/>
                      <w:szCs w:val="21"/>
                    </w:rPr>
                    <w:t>年平均质量浓度</w:t>
                  </w:r>
                </w:p>
              </w:tc>
              <w:tc>
                <w:tcPr>
                  <w:tcW w:w="883" w:type="pct"/>
                  <w:tcBorders>
                    <w:tl2br w:val="nil"/>
                    <w:tr2bl w:val="nil"/>
                  </w:tcBorders>
                  <w:vAlign w:val="center"/>
                </w:tcPr>
                <w:p w14:paraId="7CCED0A0">
                  <w:pPr>
                    <w:pStyle w:val="81"/>
                    <w:widowControl/>
                    <w:adjustRightInd w:val="0"/>
                    <w:snapToGrid w:val="0"/>
                    <w:spacing w:line="240" w:lineRule="auto"/>
                    <w:rPr>
                      <w:color w:val="auto"/>
                      <w:szCs w:val="21"/>
                    </w:rPr>
                  </w:pPr>
                  <w:r>
                    <w:rPr>
                      <w:rFonts w:hint="eastAsia"/>
                      <w:color w:val="auto"/>
                      <w:szCs w:val="21"/>
                    </w:rPr>
                    <w:t>54</w:t>
                  </w:r>
                </w:p>
              </w:tc>
              <w:tc>
                <w:tcPr>
                  <w:tcW w:w="801" w:type="pct"/>
                  <w:tcBorders>
                    <w:tl2br w:val="nil"/>
                    <w:tr2bl w:val="nil"/>
                  </w:tcBorders>
                  <w:vAlign w:val="center"/>
                </w:tcPr>
                <w:p w14:paraId="25268935">
                  <w:pPr>
                    <w:pStyle w:val="81"/>
                    <w:widowControl/>
                    <w:adjustRightInd w:val="0"/>
                    <w:snapToGrid w:val="0"/>
                    <w:spacing w:line="240" w:lineRule="auto"/>
                    <w:rPr>
                      <w:color w:val="auto"/>
                      <w:szCs w:val="21"/>
                    </w:rPr>
                  </w:pPr>
                  <w:r>
                    <w:rPr>
                      <w:color w:val="auto"/>
                      <w:szCs w:val="21"/>
                    </w:rPr>
                    <w:t>70</w:t>
                  </w:r>
                </w:p>
              </w:tc>
              <w:tc>
                <w:tcPr>
                  <w:tcW w:w="742" w:type="pct"/>
                  <w:tcBorders>
                    <w:tl2br w:val="nil"/>
                    <w:tr2bl w:val="nil"/>
                  </w:tcBorders>
                  <w:vAlign w:val="center"/>
                </w:tcPr>
                <w:p w14:paraId="526A6C20">
                  <w:pPr>
                    <w:pStyle w:val="81"/>
                    <w:widowControl/>
                    <w:adjustRightInd w:val="0"/>
                    <w:snapToGrid w:val="0"/>
                    <w:spacing w:line="240" w:lineRule="auto"/>
                    <w:rPr>
                      <w:color w:val="auto"/>
                      <w:szCs w:val="21"/>
                    </w:rPr>
                  </w:pPr>
                  <w:r>
                    <w:rPr>
                      <w:rFonts w:hint="eastAsia"/>
                      <w:color w:val="auto"/>
                    </w:rPr>
                    <w:t>77.1</w:t>
                  </w:r>
                </w:p>
              </w:tc>
              <w:tc>
                <w:tcPr>
                  <w:tcW w:w="689" w:type="pct"/>
                  <w:tcBorders>
                    <w:tl2br w:val="nil"/>
                    <w:tr2bl w:val="nil"/>
                  </w:tcBorders>
                  <w:vAlign w:val="center"/>
                </w:tcPr>
                <w:p w14:paraId="57C2F877">
                  <w:pPr>
                    <w:widowControl/>
                    <w:adjustRightInd w:val="0"/>
                    <w:snapToGrid w:val="0"/>
                    <w:jc w:val="center"/>
                    <w:rPr>
                      <w:color w:val="auto"/>
                      <w:szCs w:val="21"/>
                    </w:rPr>
                  </w:pPr>
                  <w:r>
                    <w:rPr>
                      <w:color w:val="auto"/>
                      <w:szCs w:val="21"/>
                    </w:rPr>
                    <w:t>达标</w:t>
                  </w:r>
                </w:p>
              </w:tc>
            </w:tr>
            <w:tr w14:paraId="109DA33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36" w:type="pct"/>
                  <w:tcBorders>
                    <w:tl2br w:val="nil"/>
                    <w:tr2bl w:val="nil"/>
                  </w:tcBorders>
                  <w:vAlign w:val="center"/>
                </w:tcPr>
                <w:p w14:paraId="67866ABD">
                  <w:pPr>
                    <w:pStyle w:val="81"/>
                    <w:widowControl/>
                    <w:adjustRightInd w:val="0"/>
                    <w:snapToGrid w:val="0"/>
                    <w:spacing w:line="240" w:lineRule="auto"/>
                    <w:rPr>
                      <w:color w:val="auto"/>
                      <w:szCs w:val="21"/>
                    </w:rPr>
                  </w:pPr>
                  <w:r>
                    <w:rPr>
                      <w:color w:val="auto"/>
                      <w:szCs w:val="21"/>
                    </w:rPr>
                    <w:t>PM</w:t>
                  </w:r>
                  <w:r>
                    <w:rPr>
                      <w:color w:val="auto"/>
                      <w:szCs w:val="21"/>
                      <w:vertAlign w:val="subscript"/>
                    </w:rPr>
                    <w:t>2.5</w:t>
                  </w:r>
                </w:p>
              </w:tc>
              <w:tc>
                <w:tcPr>
                  <w:tcW w:w="1246" w:type="pct"/>
                  <w:tcBorders>
                    <w:tl2br w:val="nil"/>
                    <w:tr2bl w:val="nil"/>
                  </w:tcBorders>
                  <w:vAlign w:val="center"/>
                </w:tcPr>
                <w:p w14:paraId="2AB9C92D">
                  <w:pPr>
                    <w:pStyle w:val="81"/>
                    <w:widowControl/>
                    <w:adjustRightInd w:val="0"/>
                    <w:snapToGrid w:val="0"/>
                    <w:spacing w:line="240" w:lineRule="auto"/>
                    <w:rPr>
                      <w:color w:val="auto"/>
                      <w:szCs w:val="21"/>
                    </w:rPr>
                  </w:pPr>
                  <w:r>
                    <w:rPr>
                      <w:color w:val="auto"/>
                      <w:szCs w:val="21"/>
                    </w:rPr>
                    <w:t>年平均质量浓度</w:t>
                  </w:r>
                </w:p>
              </w:tc>
              <w:tc>
                <w:tcPr>
                  <w:tcW w:w="883" w:type="pct"/>
                  <w:tcBorders>
                    <w:tl2br w:val="nil"/>
                    <w:tr2bl w:val="nil"/>
                  </w:tcBorders>
                  <w:vAlign w:val="center"/>
                </w:tcPr>
                <w:p w14:paraId="34678822">
                  <w:pPr>
                    <w:pStyle w:val="81"/>
                    <w:widowControl/>
                    <w:adjustRightInd w:val="0"/>
                    <w:snapToGrid w:val="0"/>
                    <w:spacing w:line="240" w:lineRule="auto"/>
                    <w:rPr>
                      <w:color w:val="auto"/>
                      <w:szCs w:val="21"/>
                    </w:rPr>
                  </w:pPr>
                  <w:r>
                    <w:rPr>
                      <w:rFonts w:hint="eastAsia"/>
                      <w:color w:val="auto"/>
                      <w:szCs w:val="21"/>
                    </w:rPr>
                    <w:t>35.5</w:t>
                  </w:r>
                </w:p>
              </w:tc>
              <w:tc>
                <w:tcPr>
                  <w:tcW w:w="801" w:type="pct"/>
                  <w:tcBorders>
                    <w:tl2br w:val="nil"/>
                    <w:tr2bl w:val="nil"/>
                  </w:tcBorders>
                  <w:vAlign w:val="center"/>
                </w:tcPr>
                <w:p w14:paraId="02DE5074">
                  <w:pPr>
                    <w:pStyle w:val="81"/>
                    <w:widowControl/>
                    <w:adjustRightInd w:val="0"/>
                    <w:snapToGrid w:val="0"/>
                    <w:spacing w:line="240" w:lineRule="auto"/>
                    <w:rPr>
                      <w:color w:val="auto"/>
                      <w:szCs w:val="21"/>
                    </w:rPr>
                  </w:pPr>
                  <w:r>
                    <w:rPr>
                      <w:color w:val="auto"/>
                      <w:szCs w:val="21"/>
                    </w:rPr>
                    <w:t>35</w:t>
                  </w:r>
                </w:p>
              </w:tc>
              <w:tc>
                <w:tcPr>
                  <w:tcW w:w="742" w:type="pct"/>
                  <w:tcBorders>
                    <w:tl2br w:val="nil"/>
                    <w:tr2bl w:val="nil"/>
                  </w:tcBorders>
                  <w:vAlign w:val="center"/>
                </w:tcPr>
                <w:p w14:paraId="25C12C49">
                  <w:pPr>
                    <w:pStyle w:val="81"/>
                    <w:widowControl/>
                    <w:adjustRightInd w:val="0"/>
                    <w:snapToGrid w:val="0"/>
                    <w:spacing w:line="240" w:lineRule="auto"/>
                    <w:rPr>
                      <w:color w:val="auto"/>
                      <w:szCs w:val="21"/>
                    </w:rPr>
                  </w:pPr>
                  <w:r>
                    <w:rPr>
                      <w:rFonts w:hint="eastAsia"/>
                      <w:color w:val="auto"/>
                      <w:szCs w:val="21"/>
                    </w:rPr>
                    <w:t>101.4</w:t>
                  </w:r>
                </w:p>
              </w:tc>
              <w:tc>
                <w:tcPr>
                  <w:tcW w:w="689" w:type="pct"/>
                  <w:tcBorders>
                    <w:tl2br w:val="nil"/>
                    <w:tr2bl w:val="nil"/>
                  </w:tcBorders>
                  <w:vAlign w:val="center"/>
                </w:tcPr>
                <w:p w14:paraId="7ECCC48F">
                  <w:pPr>
                    <w:widowControl/>
                    <w:adjustRightInd w:val="0"/>
                    <w:snapToGrid w:val="0"/>
                    <w:jc w:val="center"/>
                    <w:rPr>
                      <w:color w:val="auto"/>
                      <w:szCs w:val="21"/>
                    </w:rPr>
                  </w:pPr>
                  <w:r>
                    <w:rPr>
                      <w:rFonts w:hint="eastAsia"/>
                      <w:color w:val="auto"/>
                      <w:szCs w:val="21"/>
                    </w:rPr>
                    <w:t>不</w:t>
                  </w:r>
                  <w:r>
                    <w:rPr>
                      <w:color w:val="auto"/>
                      <w:szCs w:val="21"/>
                    </w:rPr>
                    <w:t>达标</w:t>
                  </w:r>
                </w:p>
              </w:tc>
            </w:tr>
            <w:tr w14:paraId="445B988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36" w:type="pct"/>
                  <w:tcBorders>
                    <w:tl2br w:val="nil"/>
                    <w:tr2bl w:val="nil"/>
                  </w:tcBorders>
                  <w:vAlign w:val="center"/>
                </w:tcPr>
                <w:p w14:paraId="0A8AC21C">
                  <w:pPr>
                    <w:pStyle w:val="81"/>
                    <w:widowControl/>
                    <w:adjustRightInd w:val="0"/>
                    <w:snapToGrid w:val="0"/>
                    <w:spacing w:line="240" w:lineRule="auto"/>
                    <w:rPr>
                      <w:color w:val="auto"/>
                      <w:szCs w:val="21"/>
                    </w:rPr>
                  </w:pPr>
                  <w:r>
                    <w:rPr>
                      <w:color w:val="auto"/>
                      <w:szCs w:val="21"/>
                    </w:rPr>
                    <w:t>CO</w:t>
                  </w:r>
                </w:p>
              </w:tc>
              <w:tc>
                <w:tcPr>
                  <w:tcW w:w="1246" w:type="pct"/>
                  <w:tcBorders>
                    <w:tl2br w:val="nil"/>
                    <w:tr2bl w:val="nil"/>
                  </w:tcBorders>
                  <w:vAlign w:val="center"/>
                </w:tcPr>
                <w:p w14:paraId="084552D7">
                  <w:pPr>
                    <w:pStyle w:val="81"/>
                    <w:widowControl/>
                    <w:adjustRightInd w:val="0"/>
                    <w:snapToGrid w:val="0"/>
                    <w:spacing w:line="240" w:lineRule="auto"/>
                    <w:rPr>
                      <w:color w:val="auto"/>
                      <w:szCs w:val="21"/>
                    </w:rPr>
                  </w:pPr>
                  <w:r>
                    <w:rPr>
                      <w:color w:val="auto"/>
                      <w:szCs w:val="21"/>
                    </w:rPr>
                    <w:t>24小时平均第95百分位数浓度</w:t>
                  </w:r>
                </w:p>
              </w:tc>
              <w:tc>
                <w:tcPr>
                  <w:tcW w:w="883" w:type="pct"/>
                  <w:tcBorders>
                    <w:tl2br w:val="nil"/>
                    <w:tr2bl w:val="nil"/>
                  </w:tcBorders>
                  <w:vAlign w:val="center"/>
                </w:tcPr>
                <w:p w14:paraId="6687AB17">
                  <w:pPr>
                    <w:pStyle w:val="81"/>
                    <w:widowControl/>
                    <w:adjustRightInd w:val="0"/>
                    <w:snapToGrid w:val="0"/>
                    <w:spacing w:line="240" w:lineRule="auto"/>
                    <w:rPr>
                      <w:color w:val="auto"/>
                      <w:szCs w:val="21"/>
                    </w:rPr>
                  </w:pPr>
                  <w:r>
                    <w:rPr>
                      <w:rFonts w:hint="eastAsia"/>
                      <w:color w:val="auto"/>
                      <w:szCs w:val="21"/>
                    </w:rPr>
                    <w:t>975</w:t>
                  </w:r>
                </w:p>
              </w:tc>
              <w:tc>
                <w:tcPr>
                  <w:tcW w:w="801" w:type="pct"/>
                  <w:tcBorders>
                    <w:tl2br w:val="nil"/>
                    <w:tr2bl w:val="nil"/>
                  </w:tcBorders>
                  <w:vAlign w:val="center"/>
                </w:tcPr>
                <w:p w14:paraId="7DBB78E7">
                  <w:pPr>
                    <w:pStyle w:val="81"/>
                    <w:widowControl/>
                    <w:adjustRightInd w:val="0"/>
                    <w:snapToGrid w:val="0"/>
                    <w:spacing w:line="240" w:lineRule="auto"/>
                    <w:rPr>
                      <w:color w:val="auto"/>
                      <w:szCs w:val="21"/>
                    </w:rPr>
                  </w:pPr>
                  <w:r>
                    <w:rPr>
                      <w:rFonts w:hint="eastAsia"/>
                      <w:color w:val="auto"/>
                      <w:szCs w:val="21"/>
                    </w:rPr>
                    <w:t>4000</w:t>
                  </w:r>
                </w:p>
              </w:tc>
              <w:tc>
                <w:tcPr>
                  <w:tcW w:w="742" w:type="pct"/>
                  <w:tcBorders>
                    <w:tl2br w:val="nil"/>
                    <w:tr2bl w:val="nil"/>
                  </w:tcBorders>
                  <w:vAlign w:val="center"/>
                </w:tcPr>
                <w:p w14:paraId="1C1A372C">
                  <w:pPr>
                    <w:pStyle w:val="81"/>
                    <w:widowControl/>
                    <w:adjustRightInd w:val="0"/>
                    <w:snapToGrid w:val="0"/>
                    <w:spacing w:line="240" w:lineRule="auto"/>
                    <w:rPr>
                      <w:color w:val="auto"/>
                      <w:szCs w:val="21"/>
                    </w:rPr>
                  </w:pPr>
                  <w:r>
                    <w:rPr>
                      <w:rFonts w:hint="eastAsia"/>
                      <w:color w:val="auto"/>
                    </w:rPr>
                    <w:t>24.4</w:t>
                  </w:r>
                </w:p>
              </w:tc>
              <w:tc>
                <w:tcPr>
                  <w:tcW w:w="689" w:type="pct"/>
                  <w:tcBorders>
                    <w:tl2br w:val="nil"/>
                    <w:tr2bl w:val="nil"/>
                  </w:tcBorders>
                  <w:vAlign w:val="center"/>
                </w:tcPr>
                <w:p w14:paraId="34C35333">
                  <w:pPr>
                    <w:widowControl/>
                    <w:adjustRightInd w:val="0"/>
                    <w:snapToGrid w:val="0"/>
                    <w:jc w:val="center"/>
                    <w:rPr>
                      <w:color w:val="auto"/>
                      <w:szCs w:val="21"/>
                    </w:rPr>
                  </w:pPr>
                  <w:r>
                    <w:rPr>
                      <w:color w:val="auto"/>
                      <w:szCs w:val="21"/>
                    </w:rPr>
                    <w:t>达标</w:t>
                  </w:r>
                </w:p>
              </w:tc>
            </w:tr>
            <w:tr w14:paraId="57043E4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36" w:type="pct"/>
                  <w:tcBorders>
                    <w:tl2br w:val="nil"/>
                    <w:tr2bl w:val="nil"/>
                  </w:tcBorders>
                  <w:vAlign w:val="center"/>
                </w:tcPr>
                <w:p w14:paraId="08F84EF0">
                  <w:pPr>
                    <w:pStyle w:val="81"/>
                    <w:widowControl/>
                    <w:adjustRightInd w:val="0"/>
                    <w:snapToGrid w:val="0"/>
                    <w:spacing w:line="240" w:lineRule="auto"/>
                    <w:rPr>
                      <w:color w:val="auto"/>
                      <w:szCs w:val="21"/>
                    </w:rPr>
                  </w:pPr>
                  <w:r>
                    <w:rPr>
                      <w:color w:val="auto"/>
                      <w:szCs w:val="21"/>
                    </w:rPr>
                    <w:t>O</w:t>
                  </w:r>
                  <w:r>
                    <w:rPr>
                      <w:color w:val="auto"/>
                      <w:szCs w:val="21"/>
                      <w:vertAlign w:val="subscript"/>
                    </w:rPr>
                    <w:t>3</w:t>
                  </w:r>
                </w:p>
              </w:tc>
              <w:tc>
                <w:tcPr>
                  <w:tcW w:w="1246" w:type="pct"/>
                  <w:tcBorders>
                    <w:tl2br w:val="nil"/>
                    <w:tr2bl w:val="nil"/>
                  </w:tcBorders>
                  <w:vAlign w:val="center"/>
                </w:tcPr>
                <w:p w14:paraId="38F90E60">
                  <w:pPr>
                    <w:pStyle w:val="81"/>
                    <w:widowControl/>
                    <w:adjustRightInd w:val="0"/>
                    <w:snapToGrid w:val="0"/>
                    <w:spacing w:line="240" w:lineRule="auto"/>
                    <w:rPr>
                      <w:color w:val="auto"/>
                      <w:szCs w:val="21"/>
                    </w:rPr>
                  </w:pPr>
                  <w:r>
                    <w:rPr>
                      <w:color w:val="auto"/>
                      <w:szCs w:val="21"/>
                    </w:rPr>
                    <w:t>8h平均质量浓度</w:t>
                  </w:r>
                </w:p>
              </w:tc>
              <w:tc>
                <w:tcPr>
                  <w:tcW w:w="883" w:type="pct"/>
                  <w:tcBorders>
                    <w:tl2br w:val="nil"/>
                    <w:tr2bl w:val="nil"/>
                  </w:tcBorders>
                  <w:vAlign w:val="center"/>
                </w:tcPr>
                <w:p w14:paraId="45A953C3">
                  <w:pPr>
                    <w:pStyle w:val="81"/>
                    <w:widowControl/>
                    <w:adjustRightInd w:val="0"/>
                    <w:snapToGrid w:val="0"/>
                    <w:spacing w:line="240" w:lineRule="auto"/>
                    <w:rPr>
                      <w:color w:val="auto"/>
                      <w:szCs w:val="21"/>
                    </w:rPr>
                  </w:pPr>
                  <w:r>
                    <w:rPr>
                      <w:rFonts w:hint="eastAsia"/>
                      <w:color w:val="auto"/>
                      <w:szCs w:val="21"/>
                    </w:rPr>
                    <w:t>132.2</w:t>
                  </w:r>
                </w:p>
              </w:tc>
              <w:tc>
                <w:tcPr>
                  <w:tcW w:w="801" w:type="pct"/>
                  <w:tcBorders>
                    <w:tl2br w:val="nil"/>
                    <w:tr2bl w:val="nil"/>
                  </w:tcBorders>
                  <w:vAlign w:val="center"/>
                </w:tcPr>
                <w:p w14:paraId="0BFF4658">
                  <w:pPr>
                    <w:pStyle w:val="81"/>
                    <w:widowControl/>
                    <w:adjustRightInd w:val="0"/>
                    <w:snapToGrid w:val="0"/>
                    <w:spacing w:line="240" w:lineRule="auto"/>
                    <w:rPr>
                      <w:color w:val="auto"/>
                      <w:szCs w:val="21"/>
                    </w:rPr>
                  </w:pPr>
                  <w:r>
                    <w:rPr>
                      <w:color w:val="auto"/>
                      <w:szCs w:val="21"/>
                    </w:rPr>
                    <w:t>160</w:t>
                  </w:r>
                </w:p>
              </w:tc>
              <w:tc>
                <w:tcPr>
                  <w:tcW w:w="742" w:type="pct"/>
                  <w:tcBorders>
                    <w:tl2br w:val="nil"/>
                    <w:tr2bl w:val="nil"/>
                  </w:tcBorders>
                  <w:vAlign w:val="center"/>
                </w:tcPr>
                <w:p w14:paraId="5B3A6406">
                  <w:pPr>
                    <w:pStyle w:val="81"/>
                    <w:widowControl/>
                    <w:adjustRightInd w:val="0"/>
                    <w:snapToGrid w:val="0"/>
                    <w:spacing w:line="240" w:lineRule="auto"/>
                    <w:rPr>
                      <w:color w:val="auto"/>
                      <w:szCs w:val="21"/>
                    </w:rPr>
                  </w:pPr>
                  <w:r>
                    <w:rPr>
                      <w:rFonts w:hint="eastAsia"/>
                      <w:color w:val="auto"/>
                    </w:rPr>
                    <w:t>82.6</w:t>
                  </w:r>
                </w:p>
              </w:tc>
              <w:tc>
                <w:tcPr>
                  <w:tcW w:w="689" w:type="pct"/>
                  <w:tcBorders>
                    <w:tl2br w:val="nil"/>
                    <w:tr2bl w:val="nil"/>
                  </w:tcBorders>
                  <w:vAlign w:val="center"/>
                </w:tcPr>
                <w:p w14:paraId="6A1C3403">
                  <w:pPr>
                    <w:widowControl/>
                    <w:adjustRightInd w:val="0"/>
                    <w:snapToGrid w:val="0"/>
                    <w:jc w:val="center"/>
                    <w:rPr>
                      <w:color w:val="auto"/>
                      <w:szCs w:val="21"/>
                    </w:rPr>
                  </w:pPr>
                  <w:r>
                    <w:rPr>
                      <w:color w:val="auto"/>
                      <w:szCs w:val="21"/>
                    </w:rPr>
                    <w:t>达标</w:t>
                  </w:r>
                </w:p>
              </w:tc>
            </w:tr>
          </w:tbl>
          <w:p w14:paraId="58D5951D">
            <w:pPr>
              <w:spacing w:line="360" w:lineRule="auto"/>
              <w:ind w:firstLine="480" w:firstLineChars="200"/>
              <w:rPr>
                <w:color w:val="auto"/>
                <w:sz w:val="24"/>
                <w:szCs w:val="32"/>
              </w:rPr>
            </w:pPr>
            <w:r>
              <w:rPr>
                <w:color w:val="auto"/>
                <w:sz w:val="24"/>
              </w:rPr>
              <w:t>由上可知，项目所在区202</w:t>
            </w:r>
            <w:r>
              <w:rPr>
                <w:rFonts w:hint="eastAsia"/>
                <w:color w:val="auto"/>
                <w:sz w:val="24"/>
              </w:rPr>
              <w:t>3</w:t>
            </w:r>
            <w:r>
              <w:rPr>
                <w:color w:val="auto"/>
                <w:sz w:val="24"/>
              </w:rPr>
              <w:t>年湘潭县环境空气PM</w:t>
            </w:r>
            <w:r>
              <w:rPr>
                <w:color w:val="auto"/>
                <w:sz w:val="24"/>
                <w:vertAlign w:val="subscript"/>
              </w:rPr>
              <w:t>2.5</w:t>
            </w:r>
            <w:r>
              <w:rPr>
                <w:color w:val="auto"/>
                <w:spacing w:val="4"/>
                <w:sz w:val="24"/>
              </w:rPr>
              <w:t>的年平均浓度不满足《环境空气质量标准》（GB3095-2012）及2018年修改单二级标准</w:t>
            </w:r>
            <w:r>
              <w:rPr>
                <w:rFonts w:hint="eastAsia"/>
                <w:color w:val="auto"/>
                <w:sz w:val="24"/>
              </w:rPr>
              <w:t>，其他因子</w:t>
            </w:r>
            <w:r>
              <w:rPr>
                <w:color w:val="auto"/>
                <w:spacing w:val="4"/>
                <w:sz w:val="24"/>
              </w:rPr>
              <w:t>均</w:t>
            </w:r>
            <w:r>
              <w:rPr>
                <w:color w:val="auto"/>
                <w:sz w:val="24"/>
              </w:rPr>
              <w:t>可达到《环境空气质量标准》（GB3095-2012）</w:t>
            </w:r>
            <w:r>
              <w:rPr>
                <w:color w:val="auto"/>
                <w:spacing w:val="4"/>
                <w:sz w:val="24"/>
              </w:rPr>
              <w:t>及2018年修改单</w:t>
            </w:r>
            <w:r>
              <w:rPr>
                <w:color w:val="auto"/>
                <w:sz w:val="24"/>
              </w:rPr>
              <w:t>中二级标准要求。根据《环境影响评价技术导则大气环境》（HJ2.2-2018），判定本项目所在区域为</w:t>
            </w:r>
            <w:r>
              <w:rPr>
                <w:rFonts w:hint="eastAsia"/>
                <w:color w:val="auto"/>
                <w:sz w:val="24"/>
              </w:rPr>
              <w:t>环境空气质量不达标区。</w:t>
            </w:r>
            <w:r>
              <w:rPr>
                <w:rFonts w:hint="eastAsia"/>
                <w:color w:val="auto"/>
                <w:sz w:val="24"/>
                <w:szCs w:val="32"/>
              </w:rPr>
              <w:t xml:space="preserve">主要超标原因来自城市基础设施建设及机动车尾气排放。区域应进一步加强监管控制和引导，采取必要措施减小PM2.5排放： </w:t>
            </w:r>
          </w:p>
          <w:p w14:paraId="14C64E48">
            <w:pPr>
              <w:spacing w:line="360" w:lineRule="auto"/>
              <w:ind w:firstLine="480" w:firstLineChars="200"/>
              <w:rPr>
                <w:color w:val="auto"/>
                <w:sz w:val="24"/>
                <w:szCs w:val="32"/>
              </w:rPr>
            </w:pPr>
            <w:r>
              <w:rPr>
                <w:rFonts w:hint="eastAsia"/>
                <w:color w:val="auto"/>
                <w:sz w:val="24"/>
                <w:szCs w:val="32"/>
              </w:rPr>
              <w:t>①加快产业结构调轻调优，大力发展绿色低碳经济，遵循“高碳行业低碳化、低碳行业产业化”发展路径，逐步构建以低碳排放为特征的工业、 建筑和交通体系，优先发展现代服务业和先进制造业；②严格控制重点行业产能加大对“两高一资”企业整治力度，关停并转批污染大、能耗高、效益差工业企业，以化工、建材、冶金等涉及重金 38 属排放的行业为重点，着力淘汰重污染、高能耗、存在重大环境安全隐患以及使用或产生有毒有害物质的落后产能；③加强机动车与扬尘污染治理研究，制定机动车总量控制政策，适时出台机动车限购调控措施，强化环境监管能力进一步理顺环境监管体制机制，强化生态环境部门大气环境监督管理职能，探索建立由生态环境部门统一协调监管、有关部门分工负责的综合决策和协调机制。</w:t>
            </w:r>
          </w:p>
          <w:p w14:paraId="16B5E458">
            <w:pPr>
              <w:spacing w:line="360" w:lineRule="auto"/>
              <w:ind w:firstLine="480" w:firstLineChars="200"/>
              <w:rPr>
                <w:color w:val="auto"/>
                <w:sz w:val="24"/>
                <w:szCs w:val="32"/>
              </w:rPr>
            </w:pPr>
            <w:r>
              <w:rPr>
                <w:rFonts w:hint="eastAsia"/>
                <w:color w:val="auto"/>
                <w:sz w:val="24"/>
                <w:szCs w:val="32"/>
              </w:rPr>
              <w:t>（2）补充监测</w:t>
            </w:r>
          </w:p>
          <w:p w14:paraId="5B05C2AF">
            <w:pPr>
              <w:pBdr>
                <w:top w:val="none" w:color="auto" w:sz="0" w:space="1"/>
                <w:left w:val="none" w:color="auto" w:sz="0" w:space="4"/>
                <w:bottom w:val="none" w:color="auto" w:sz="0" w:space="1"/>
                <w:right w:val="none" w:color="auto" w:sz="0" w:space="4"/>
              </w:pBdr>
              <w:spacing w:line="360" w:lineRule="auto"/>
              <w:ind w:firstLine="480" w:firstLineChars="200"/>
              <w:rPr>
                <w:color w:val="auto"/>
                <w:sz w:val="24"/>
              </w:rPr>
            </w:pPr>
            <w:r>
              <w:rPr>
                <w:color w:val="auto"/>
                <w:sz w:val="24"/>
              </w:rPr>
              <w:t>为进一步了解本项目所在区域的环境空气质量现状情况本次评价收集</w:t>
            </w:r>
            <w:r>
              <w:rPr>
                <w:rFonts w:hint="eastAsia"/>
                <w:color w:val="auto"/>
                <w:sz w:val="24"/>
              </w:rPr>
              <w:t>了2022年7月25日至7月31日湘潭天易经济开发区自行检测报告芙蓉小区检测点位（</w:t>
            </w:r>
            <w:r>
              <w:rPr>
                <w:color w:val="auto"/>
                <w:sz w:val="24"/>
              </w:rPr>
              <w:t>位于本项目</w:t>
            </w:r>
            <w:r>
              <w:rPr>
                <w:rFonts w:hint="eastAsia"/>
                <w:color w:val="auto"/>
                <w:sz w:val="24"/>
              </w:rPr>
              <w:t>东北</w:t>
            </w:r>
            <w:r>
              <w:rPr>
                <w:color w:val="auto"/>
                <w:sz w:val="24"/>
              </w:rPr>
              <w:t>侧</w:t>
            </w:r>
            <w:r>
              <w:rPr>
                <w:rFonts w:hint="eastAsia"/>
                <w:color w:val="auto"/>
                <w:sz w:val="24"/>
              </w:rPr>
              <w:t>约0.72</w:t>
            </w:r>
            <w:r>
              <w:rPr>
                <w:color w:val="auto"/>
                <w:sz w:val="24"/>
              </w:rPr>
              <w:t>km处</w:t>
            </w:r>
            <w:r>
              <w:rPr>
                <w:rFonts w:hint="eastAsia"/>
                <w:color w:val="auto"/>
                <w:sz w:val="24"/>
              </w:rPr>
              <w:t>，中间无大型工业企业）关于二甲苯和TVOC的监测数据，</w:t>
            </w:r>
            <w:r>
              <w:rPr>
                <w:rFonts w:hint="eastAsia"/>
                <w:color w:val="auto"/>
                <w:sz w:val="24"/>
                <w:u w:val="single"/>
              </w:rPr>
              <w:t>同时收集了千里码数据服务有限公司《年产12200 吨纸品包装及数码印刷膜材生产线扩建搬迁项目》中委托湖南云天检测技术有限公司于2023年3月24日至3月30日对该厂区北侧进行的非甲烷总烃现状监测数据（</w:t>
            </w:r>
            <w:r>
              <w:rPr>
                <w:color w:val="auto"/>
                <w:sz w:val="24"/>
                <w:u w:val="single"/>
              </w:rPr>
              <w:t>该监测点位于本项目</w:t>
            </w:r>
            <w:r>
              <w:rPr>
                <w:rFonts w:hint="eastAsia"/>
                <w:color w:val="auto"/>
                <w:sz w:val="24"/>
                <w:u w:val="single"/>
              </w:rPr>
              <w:t>西北</w:t>
            </w:r>
            <w:r>
              <w:rPr>
                <w:color w:val="auto"/>
                <w:sz w:val="24"/>
                <w:u w:val="single"/>
              </w:rPr>
              <w:t>侧</w:t>
            </w:r>
            <w:r>
              <w:rPr>
                <w:rFonts w:hint="eastAsia"/>
                <w:color w:val="auto"/>
                <w:sz w:val="24"/>
                <w:u w:val="single"/>
              </w:rPr>
              <w:t>0.42</w:t>
            </w:r>
            <w:r>
              <w:rPr>
                <w:color w:val="auto"/>
                <w:sz w:val="24"/>
                <w:u w:val="single"/>
              </w:rPr>
              <w:t>km处</w:t>
            </w:r>
            <w:r>
              <w:rPr>
                <w:rFonts w:hint="eastAsia"/>
                <w:color w:val="auto"/>
                <w:sz w:val="24"/>
                <w:u w:val="single"/>
              </w:rPr>
              <w:t>），还收集了</w:t>
            </w:r>
            <w:r>
              <w:rPr>
                <w:rFonts w:hint="eastAsia"/>
                <w:color w:val="auto"/>
                <w:sz w:val="24"/>
                <w:u w:val="single"/>
                <w:lang w:val="en-US" w:eastAsia="zh-CN"/>
              </w:rPr>
              <w:t>《山东喜君康医药集团湘潭有限公司喜君康医药年产200吨中药饮片生产线建设项目</w:t>
            </w:r>
            <w:r>
              <w:rPr>
                <w:rFonts w:hint="eastAsia"/>
                <w:color w:val="auto"/>
                <w:sz w:val="24"/>
                <w:u w:val="single"/>
              </w:rPr>
              <w:t>》中的</w:t>
            </w:r>
            <w:r>
              <w:rPr>
                <w:rFonts w:hint="eastAsia"/>
                <w:color w:val="auto"/>
                <w:sz w:val="24"/>
                <w:u w:val="single"/>
                <w:lang w:val="en-US" w:eastAsia="zh-CN"/>
              </w:rPr>
              <w:t>TSP浓度</w:t>
            </w:r>
            <w:r>
              <w:rPr>
                <w:rFonts w:hint="eastAsia"/>
                <w:color w:val="auto"/>
                <w:sz w:val="24"/>
                <w:u w:val="single"/>
              </w:rPr>
              <w:t>的监测数据</w:t>
            </w:r>
            <w:r>
              <w:rPr>
                <w:rFonts w:hint="eastAsia"/>
                <w:color w:val="auto"/>
                <w:sz w:val="24"/>
                <w:u w:val="single"/>
                <w:lang w:eastAsia="zh-CN"/>
              </w:rPr>
              <w:t>，</w:t>
            </w:r>
            <w:r>
              <w:rPr>
                <w:rFonts w:hint="eastAsia"/>
                <w:color w:val="auto"/>
                <w:sz w:val="24"/>
                <w:u w:val="single"/>
                <w:lang w:val="en-US" w:eastAsia="zh-CN"/>
              </w:rPr>
              <w:t>监测时间为2023年10月16日-2023年10月18日，监测公司为</w:t>
            </w:r>
            <w:r>
              <w:rPr>
                <w:rFonts w:hint="eastAsia"/>
                <w:color w:val="auto"/>
                <w:sz w:val="24"/>
                <w:u w:val="single"/>
              </w:rPr>
              <w:t>长沙</w:t>
            </w:r>
            <w:r>
              <w:rPr>
                <w:rFonts w:hint="eastAsia"/>
                <w:color w:val="auto"/>
                <w:sz w:val="24"/>
                <w:u w:val="single"/>
                <w:lang w:val="en-US" w:eastAsia="zh-CN"/>
              </w:rPr>
              <w:t>瑾瑶</w:t>
            </w:r>
            <w:r>
              <w:rPr>
                <w:rFonts w:hint="eastAsia"/>
                <w:color w:val="auto"/>
                <w:sz w:val="24"/>
                <w:u w:val="single"/>
              </w:rPr>
              <w:t>环保科技有限公司</w:t>
            </w:r>
            <w:r>
              <w:rPr>
                <w:rFonts w:hint="eastAsia"/>
                <w:color w:val="auto"/>
                <w:sz w:val="24"/>
                <w:u w:val="single"/>
                <w:lang w:eastAsia="zh-CN"/>
              </w:rPr>
              <w:t>，</w:t>
            </w:r>
            <w:r>
              <w:rPr>
                <w:color w:val="auto"/>
                <w:sz w:val="24"/>
                <w:u w:val="single"/>
              </w:rPr>
              <w:t>监测点位于本项目</w:t>
            </w:r>
            <w:r>
              <w:rPr>
                <w:rFonts w:hint="eastAsia"/>
                <w:color w:val="auto"/>
                <w:sz w:val="24"/>
                <w:u w:val="single"/>
              </w:rPr>
              <w:t>西南</w:t>
            </w:r>
            <w:r>
              <w:rPr>
                <w:color w:val="auto"/>
                <w:sz w:val="24"/>
                <w:u w:val="single"/>
              </w:rPr>
              <w:t>侧</w:t>
            </w:r>
            <w:r>
              <w:rPr>
                <w:rFonts w:hint="eastAsia"/>
                <w:color w:val="auto"/>
                <w:sz w:val="24"/>
                <w:u w:val="single"/>
                <w:lang w:val="en-US" w:eastAsia="zh-CN"/>
              </w:rPr>
              <w:t>约</w:t>
            </w:r>
            <w:r>
              <w:rPr>
                <w:rFonts w:hint="eastAsia"/>
                <w:color w:val="auto"/>
                <w:sz w:val="24"/>
                <w:u w:val="single"/>
              </w:rPr>
              <w:t>0.</w:t>
            </w:r>
            <w:r>
              <w:rPr>
                <w:rFonts w:hint="eastAsia"/>
                <w:color w:val="auto"/>
                <w:sz w:val="24"/>
                <w:u w:val="single"/>
                <w:lang w:val="en-US" w:eastAsia="zh-CN"/>
              </w:rPr>
              <w:t>27</w:t>
            </w:r>
            <w:r>
              <w:rPr>
                <w:color w:val="auto"/>
                <w:sz w:val="24"/>
                <w:u w:val="single"/>
              </w:rPr>
              <w:t>km处</w:t>
            </w:r>
            <w:r>
              <w:rPr>
                <w:rFonts w:hint="eastAsia"/>
                <w:color w:val="auto"/>
                <w:sz w:val="24"/>
                <w:u w:val="single"/>
              </w:rPr>
              <w:t>。根据《建设项目环境影响报告表编制技术指南（污染影响类）（试行）》，排放国家、地方环境空气质量标准中有标准限值要求的特征污染物时，引用建设项目周边5千米范围内近3年的现有监测数据</w:t>
            </w:r>
            <w:r>
              <w:rPr>
                <w:rFonts w:hint="eastAsia"/>
                <w:color w:val="auto"/>
                <w:sz w:val="24"/>
                <w:u w:val="single"/>
                <w:lang w:eastAsia="zh-CN"/>
              </w:rPr>
              <w:t>，</w:t>
            </w:r>
            <w:r>
              <w:rPr>
                <w:rFonts w:hint="eastAsia"/>
                <w:color w:val="auto"/>
                <w:sz w:val="24"/>
                <w:u w:val="single"/>
              </w:rPr>
              <w:t>因此</w:t>
            </w:r>
            <w:r>
              <w:rPr>
                <w:rFonts w:hint="eastAsia"/>
                <w:color w:val="auto"/>
                <w:sz w:val="24"/>
                <w:u w:val="single"/>
                <w:lang w:val="en-US" w:eastAsia="zh-CN"/>
              </w:rPr>
              <w:t>本项目</w:t>
            </w:r>
            <w:r>
              <w:rPr>
                <w:rFonts w:hint="eastAsia"/>
                <w:color w:val="auto"/>
                <w:sz w:val="24"/>
                <w:u w:val="single"/>
              </w:rPr>
              <w:t>引用</w:t>
            </w:r>
            <w:r>
              <w:rPr>
                <w:rFonts w:hint="eastAsia"/>
                <w:color w:val="auto"/>
                <w:sz w:val="24"/>
                <w:u w:val="single"/>
                <w:lang w:val="en-US" w:eastAsia="zh-CN"/>
              </w:rPr>
              <w:t>监测</w:t>
            </w:r>
            <w:r>
              <w:rPr>
                <w:rFonts w:hint="eastAsia"/>
                <w:color w:val="auto"/>
                <w:sz w:val="24"/>
                <w:u w:val="single"/>
              </w:rPr>
              <w:t>数据可行。监测因子、时间及结果详见表3-2至</w:t>
            </w:r>
            <w:r>
              <w:rPr>
                <w:rFonts w:hint="eastAsia"/>
                <w:color w:val="auto"/>
                <w:sz w:val="24"/>
                <w:u w:val="single"/>
                <w:lang w:val="en-US" w:eastAsia="zh-CN"/>
              </w:rPr>
              <w:t>表</w:t>
            </w:r>
            <w:r>
              <w:rPr>
                <w:rFonts w:hint="eastAsia"/>
                <w:color w:val="auto"/>
                <w:sz w:val="24"/>
                <w:u w:val="single"/>
              </w:rPr>
              <w:t>3-</w:t>
            </w:r>
            <w:r>
              <w:rPr>
                <w:rFonts w:hint="eastAsia"/>
                <w:color w:val="auto"/>
                <w:sz w:val="24"/>
                <w:u w:val="single"/>
                <w:lang w:val="en-US" w:eastAsia="zh-CN"/>
              </w:rPr>
              <w:t>4</w:t>
            </w:r>
            <w:r>
              <w:rPr>
                <w:rFonts w:hint="eastAsia"/>
                <w:color w:val="auto"/>
                <w:sz w:val="24"/>
                <w:u w:val="single"/>
              </w:rPr>
              <w:t>。</w:t>
            </w:r>
          </w:p>
          <w:p w14:paraId="070A8EB1">
            <w:pPr>
              <w:pBdr>
                <w:top w:val="none" w:color="auto" w:sz="0" w:space="1"/>
                <w:left w:val="none" w:color="auto" w:sz="0" w:space="4"/>
                <w:bottom w:val="none" w:color="auto" w:sz="0" w:space="1"/>
                <w:right w:val="none" w:color="auto" w:sz="0" w:space="4"/>
              </w:pBdr>
              <w:jc w:val="center"/>
              <w:rPr>
                <w:color w:val="auto"/>
                <w:szCs w:val="21"/>
              </w:rPr>
            </w:pPr>
            <w:r>
              <w:rPr>
                <w:rFonts w:hint="eastAsia"/>
                <w:b/>
                <w:bCs/>
                <w:color w:val="auto"/>
                <w:szCs w:val="21"/>
              </w:rPr>
              <w:t>表3-2  TVOC现状检测结果   （单位：mg/m³）</w:t>
            </w:r>
          </w:p>
          <w:tbl>
            <w:tblPr>
              <w:tblStyle w:val="31"/>
              <w:tblW w:w="87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028"/>
              <w:gridCol w:w="1028"/>
              <w:gridCol w:w="1028"/>
              <w:gridCol w:w="1028"/>
              <w:gridCol w:w="1028"/>
              <w:gridCol w:w="1028"/>
              <w:gridCol w:w="1032"/>
              <w:gridCol w:w="729"/>
            </w:tblGrid>
            <w:tr w14:paraId="78D12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50" w:type="dxa"/>
                  <w:vMerge w:val="restart"/>
                  <w:vAlign w:val="center"/>
                </w:tcPr>
                <w:p w14:paraId="3B10CAFB">
                  <w:pPr>
                    <w:jc w:val="center"/>
                    <w:rPr>
                      <w:color w:val="auto"/>
                      <w:sz w:val="20"/>
                      <w:szCs w:val="20"/>
                    </w:rPr>
                  </w:pPr>
                  <w:r>
                    <w:rPr>
                      <w:rFonts w:hint="eastAsia"/>
                      <w:color w:val="auto"/>
                      <w:sz w:val="20"/>
                      <w:szCs w:val="20"/>
                    </w:rPr>
                    <w:t>检测</w:t>
                  </w:r>
                </w:p>
                <w:p w14:paraId="0E47DF3F">
                  <w:pPr>
                    <w:jc w:val="center"/>
                    <w:rPr>
                      <w:color w:val="auto"/>
                      <w:sz w:val="20"/>
                      <w:szCs w:val="20"/>
                    </w:rPr>
                  </w:pPr>
                  <w:r>
                    <w:rPr>
                      <w:rFonts w:hint="eastAsia"/>
                      <w:color w:val="auto"/>
                      <w:sz w:val="20"/>
                      <w:szCs w:val="20"/>
                    </w:rPr>
                    <w:t>项目</w:t>
                  </w:r>
                </w:p>
              </w:tc>
              <w:tc>
                <w:tcPr>
                  <w:tcW w:w="7200" w:type="dxa"/>
                  <w:gridSpan w:val="7"/>
                  <w:vAlign w:val="center"/>
                </w:tcPr>
                <w:p w14:paraId="764C221D">
                  <w:pPr>
                    <w:jc w:val="center"/>
                    <w:rPr>
                      <w:color w:val="auto"/>
                      <w:sz w:val="20"/>
                      <w:szCs w:val="20"/>
                    </w:rPr>
                  </w:pPr>
                  <w:r>
                    <w:rPr>
                      <w:rFonts w:hint="eastAsia"/>
                      <w:color w:val="auto"/>
                      <w:sz w:val="20"/>
                      <w:szCs w:val="20"/>
                    </w:rPr>
                    <w:t>检测日期及检测结果</w:t>
                  </w:r>
                </w:p>
              </w:tc>
              <w:tc>
                <w:tcPr>
                  <w:tcW w:w="729" w:type="dxa"/>
                  <w:vMerge w:val="restart"/>
                  <w:vAlign w:val="center"/>
                </w:tcPr>
                <w:p w14:paraId="61C5B582">
                  <w:pPr>
                    <w:jc w:val="center"/>
                    <w:rPr>
                      <w:color w:val="auto"/>
                      <w:sz w:val="22"/>
                      <w:szCs w:val="22"/>
                    </w:rPr>
                  </w:pPr>
                  <w:r>
                    <w:rPr>
                      <w:rFonts w:hint="eastAsia"/>
                      <w:color w:val="auto"/>
                      <w:sz w:val="22"/>
                      <w:szCs w:val="22"/>
                    </w:rPr>
                    <w:t>标准限值</w:t>
                  </w:r>
                </w:p>
              </w:tc>
            </w:tr>
            <w:tr w14:paraId="00DC7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850" w:type="dxa"/>
                  <w:vMerge w:val="continue"/>
                  <w:vAlign w:val="center"/>
                </w:tcPr>
                <w:p w14:paraId="0B33BA3A">
                  <w:pPr>
                    <w:jc w:val="center"/>
                    <w:rPr>
                      <w:color w:val="auto"/>
                      <w:sz w:val="20"/>
                      <w:szCs w:val="20"/>
                    </w:rPr>
                  </w:pPr>
                </w:p>
              </w:tc>
              <w:tc>
                <w:tcPr>
                  <w:tcW w:w="1028" w:type="dxa"/>
                  <w:vAlign w:val="center"/>
                </w:tcPr>
                <w:p w14:paraId="5A7BF8F1">
                  <w:pPr>
                    <w:jc w:val="center"/>
                    <w:rPr>
                      <w:color w:val="auto"/>
                      <w:sz w:val="20"/>
                      <w:szCs w:val="20"/>
                    </w:rPr>
                  </w:pPr>
                  <w:r>
                    <w:rPr>
                      <w:rFonts w:hint="eastAsia"/>
                      <w:color w:val="auto"/>
                      <w:sz w:val="20"/>
                      <w:szCs w:val="20"/>
                    </w:rPr>
                    <w:t>2022.7.25</w:t>
                  </w:r>
                </w:p>
              </w:tc>
              <w:tc>
                <w:tcPr>
                  <w:tcW w:w="1028" w:type="dxa"/>
                  <w:vAlign w:val="center"/>
                </w:tcPr>
                <w:p w14:paraId="610A2664">
                  <w:pPr>
                    <w:jc w:val="center"/>
                    <w:rPr>
                      <w:color w:val="auto"/>
                      <w:sz w:val="20"/>
                      <w:szCs w:val="20"/>
                    </w:rPr>
                  </w:pPr>
                  <w:r>
                    <w:rPr>
                      <w:rFonts w:hint="eastAsia"/>
                      <w:color w:val="auto"/>
                      <w:sz w:val="20"/>
                      <w:szCs w:val="20"/>
                    </w:rPr>
                    <w:t>2022.7.26</w:t>
                  </w:r>
                </w:p>
              </w:tc>
              <w:tc>
                <w:tcPr>
                  <w:tcW w:w="1028" w:type="dxa"/>
                  <w:vAlign w:val="center"/>
                </w:tcPr>
                <w:p w14:paraId="5D6FB94C">
                  <w:pPr>
                    <w:jc w:val="center"/>
                    <w:rPr>
                      <w:color w:val="auto"/>
                      <w:sz w:val="20"/>
                      <w:szCs w:val="20"/>
                    </w:rPr>
                  </w:pPr>
                  <w:r>
                    <w:rPr>
                      <w:rFonts w:hint="eastAsia"/>
                      <w:color w:val="auto"/>
                      <w:sz w:val="20"/>
                      <w:szCs w:val="20"/>
                    </w:rPr>
                    <w:t>2022.7.27</w:t>
                  </w:r>
                </w:p>
              </w:tc>
              <w:tc>
                <w:tcPr>
                  <w:tcW w:w="1028" w:type="dxa"/>
                  <w:vAlign w:val="center"/>
                </w:tcPr>
                <w:p w14:paraId="222472D3">
                  <w:pPr>
                    <w:jc w:val="center"/>
                    <w:rPr>
                      <w:color w:val="auto"/>
                      <w:sz w:val="20"/>
                      <w:szCs w:val="20"/>
                    </w:rPr>
                  </w:pPr>
                  <w:r>
                    <w:rPr>
                      <w:rFonts w:hint="eastAsia"/>
                      <w:color w:val="auto"/>
                      <w:sz w:val="20"/>
                      <w:szCs w:val="20"/>
                    </w:rPr>
                    <w:t>2022.7.28</w:t>
                  </w:r>
                </w:p>
              </w:tc>
              <w:tc>
                <w:tcPr>
                  <w:tcW w:w="1028" w:type="dxa"/>
                  <w:vAlign w:val="center"/>
                </w:tcPr>
                <w:p w14:paraId="6B55D6CD">
                  <w:pPr>
                    <w:jc w:val="center"/>
                    <w:rPr>
                      <w:color w:val="auto"/>
                      <w:sz w:val="20"/>
                      <w:szCs w:val="20"/>
                    </w:rPr>
                  </w:pPr>
                  <w:r>
                    <w:rPr>
                      <w:rFonts w:hint="eastAsia"/>
                      <w:color w:val="auto"/>
                      <w:sz w:val="20"/>
                      <w:szCs w:val="20"/>
                    </w:rPr>
                    <w:t>2022.7.29</w:t>
                  </w:r>
                </w:p>
              </w:tc>
              <w:tc>
                <w:tcPr>
                  <w:tcW w:w="1028" w:type="dxa"/>
                  <w:vAlign w:val="center"/>
                </w:tcPr>
                <w:p w14:paraId="571E619E">
                  <w:pPr>
                    <w:jc w:val="center"/>
                    <w:rPr>
                      <w:color w:val="auto"/>
                      <w:sz w:val="20"/>
                      <w:szCs w:val="20"/>
                    </w:rPr>
                  </w:pPr>
                  <w:r>
                    <w:rPr>
                      <w:rFonts w:hint="eastAsia"/>
                      <w:color w:val="auto"/>
                      <w:sz w:val="20"/>
                      <w:szCs w:val="20"/>
                    </w:rPr>
                    <w:t>2022.7.30</w:t>
                  </w:r>
                </w:p>
              </w:tc>
              <w:tc>
                <w:tcPr>
                  <w:tcW w:w="1032" w:type="dxa"/>
                  <w:vAlign w:val="center"/>
                </w:tcPr>
                <w:p w14:paraId="4393E103">
                  <w:pPr>
                    <w:jc w:val="center"/>
                    <w:rPr>
                      <w:color w:val="auto"/>
                      <w:sz w:val="20"/>
                      <w:szCs w:val="20"/>
                    </w:rPr>
                  </w:pPr>
                  <w:r>
                    <w:rPr>
                      <w:rFonts w:hint="eastAsia"/>
                      <w:color w:val="auto"/>
                      <w:sz w:val="20"/>
                      <w:szCs w:val="20"/>
                    </w:rPr>
                    <w:t>2022.7.31</w:t>
                  </w:r>
                </w:p>
              </w:tc>
              <w:tc>
                <w:tcPr>
                  <w:tcW w:w="729" w:type="dxa"/>
                  <w:vMerge w:val="continue"/>
                  <w:vAlign w:val="center"/>
                </w:tcPr>
                <w:p w14:paraId="1B2BF82C">
                  <w:pPr>
                    <w:jc w:val="center"/>
                    <w:rPr>
                      <w:color w:val="auto"/>
                      <w:sz w:val="22"/>
                      <w:szCs w:val="22"/>
                    </w:rPr>
                  </w:pPr>
                </w:p>
              </w:tc>
            </w:tr>
            <w:tr w14:paraId="196BD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850" w:type="dxa"/>
                  <w:vAlign w:val="center"/>
                </w:tcPr>
                <w:p w14:paraId="261F06A8">
                  <w:pPr>
                    <w:jc w:val="center"/>
                    <w:rPr>
                      <w:color w:val="auto"/>
                      <w:sz w:val="20"/>
                      <w:szCs w:val="20"/>
                    </w:rPr>
                  </w:pPr>
                  <w:r>
                    <w:rPr>
                      <w:rFonts w:hint="eastAsia"/>
                      <w:color w:val="auto"/>
                      <w:sz w:val="20"/>
                      <w:szCs w:val="20"/>
                    </w:rPr>
                    <w:t>TVOC</w:t>
                  </w:r>
                </w:p>
              </w:tc>
              <w:tc>
                <w:tcPr>
                  <w:tcW w:w="1028" w:type="dxa"/>
                  <w:vAlign w:val="center"/>
                </w:tcPr>
                <w:p w14:paraId="0F4F1D33">
                  <w:pPr>
                    <w:jc w:val="center"/>
                    <w:rPr>
                      <w:color w:val="auto"/>
                      <w:sz w:val="20"/>
                      <w:szCs w:val="20"/>
                    </w:rPr>
                  </w:pPr>
                  <w:r>
                    <w:rPr>
                      <w:rFonts w:hint="eastAsia"/>
                      <w:color w:val="auto"/>
                      <w:sz w:val="20"/>
                      <w:szCs w:val="20"/>
                    </w:rPr>
                    <w:t>0.0036</w:t>
                  </w:r>
                </w:p>
              </w:tc>
              <w:tc>
                <w:tcPr>
                  <w:tcW w:w="1028" w:type="dxa"/>
                  <w:vAlign w:val="center"/>
                </w:tcPr>
                <w:p w14:paraId="691FD50D">
                  <w:pPr>
                    <w:jc w:val="center"/>
                    <w:rPr>
                      <w:color w:val="auto"/>
                      <w:sz w:val="20"/>
                      <w:szCs w:val="20"/>
                    </w:rPr>
                  </w:pPr>
                  <w:r>
                    <w:rPr>
                      <w:rFonts w:hint="eastAsia"/>
                      <w:color w:val="auto"/>
                      <w:sz w:val="20"/>
                      <w:szCs w:val="20"/>
                    </w:rPr>
                    <w:t>0.0051</w:t>
                  </w:r>
                </w:p>
              </w:tc>
              <w:tc>
                <w:tcPr>
                  <w:tcW w:w="1028" w:type="dxa"/>
                  <w:vAlign w:val="center"/>
                </w:tcPr>
                <w:p w14:paraId="053D39AB">
                  <w:pPr>
                    <w:jc w:val="center"/>
                    <w:rPr>
                      <w:color w:val="auto"/>
                      <w:sz w:val="20"/>
                      <w:szCs w:val="20"/>
                    </w:rPr>
                  </w:pPr>
                  <w:r>
                    <w:rPr>
                      <w:rFonts w:hint="eastAsia"/>
                      <w:color w:val="auto"/>
                      <w:sz w:val="20"/>
                      <w:szCs w:val="20"/>
                    </w:rPr>
                    <w:t>0.0038</w:t>
                  </w:r>
                </w:p>
              </w:tc>
              <w:tc>
                <w:tcPr>
                  <w:tcW w:w="1028" w:type="dxa"/>
                  <w:vAlign w:val="center"/>
                </w:tcPr>
                <w:p w14:paraId="18D9FA23">
                  <w:pPr>
                    <w:jc w:val="center"/>
                    <w:rPr>
                      <w:color w:val="auto"/>
                      <w:sz w:val="20"/>
                      <w:szCs w:val="20"/>
                    </w:rPr>
                  </w:pPr>
                  <w:r>
                    <w:rPr>
                      <w:rFonts w:hint="eastAsia"/>
                      <w:color w:val="auto"/>
                      <w:sz w:val="20"/>
                      <w:szCs w:val="20"/>
                    </w:rPr>
                    <w:t>0.0043</w:t>
                  </w:r>
                </w:p>
              </w:tc>
              <w:tc>
                <w:tcPr>
                  <w:tcW w:w="1028" w:type="dxa"/>
                  <w:vAlign w:val="center"/>
                </w:tcPr>
                <w:p w14:paraId="7D5DE036">
                  <w:pPr>
                    <w:jc w:val="center"/>
                    <w:rPr>
                      <w:color w:val="auto"/>
                      <w:sz w:val="20"/>
                      <w:szCs w:val="20"/>
                    </w:rPr>
                  </w:pPr>
                  <w:r>
                    <w:rPr>
                      <w:rFonts w:hint="eastAsia"/>
                      <w:color w:val="auto"/>
                      <w:sz w:val="20"/>
                      <w:szCs w:val="20"/>
                    </w:rPr>
                    <w:t>0.0041</w:t>
                  </w:r>
                </w:p>
              </w:tc>
              <w:tc>
                <w:tcPr>
                  <w:tcW w:w="1028" w:type="dxa"/>
                  <w:vAlign w:val="center"/>
                </w:tcPr>
                <w:p w14:paraId="156F6D1C">
                  <w:pPr>
                    <w:jc w:val="center"/>
                    <w:rPr>
                      <w:color w:val="auto"/>
                      <w:sz w:val="20"/>
                      <w:szCs w:val="20"/>
                    </w:rPr>
                  </w:pPr>
                  <w:r>
                    <w:rPr>
                      <w:rFonts w:hint="eastAsia"/>
                      <w:color w:val="auto"/>
                      <w:sz w:val="20"/>
                      <w:szCs w:val="20"/>
                    </w:rPr>
                    <w:t>0.0069</w:t>
                  </w:r>
                </w:p>
              </w:tc>
              <w:tc>
                <w:tcPr>
                  <w:tcW w:w="1032" w:type="dxa"/>
                  <w:vAlign w:val="center"/>
                </w:tcPr>
                <w:p w14:paraId="6EB97774">
                  <w:pPr>
                    <w:jc w:val="center"/>
                    <w:rPr>
                      <w:color w:val="auto"/>
                      <w:sz w:val="20"/>
                      <w:szCs w:val="20"/>
                    </w:rPr>
                  </w:pPr>
                  <w:r>
                    <w:rPr>
                      <w:rFonts w:hint="eastAsia"/>
                      <w:color w:val="auto"/>
                      <w:sz w:val="20"/>
                      <w:szCs w:val="20"/>
                    </w:rPr>
                    <w:t>0.0060</w:t>
                  </w:r>
                </w:p>
              </w:tc>
              <w:tc>
                <w:tcPr>
                  <w:tcW w:w="729" w:type="dxa"/>
                  <w:vAlign w:val="center"/>
                </w:tcPr>
                <w:p w14:paraId="5C288464">
                  <w:pPr>
                    <w:jc w:val="center"/>
                    <w:rPr>
                      <w:color w:val="auto"/>
                      <w:sz w:val="22"/>
                      <w:szCs w:val="22"/>
                    </w:rPr>
                  </w:pPr>
                  <w:r>
                    <w:rPr>
                      <w:rFonts w:hint="eastAsia"/>
                      <w:color w:val="auto"/>
                      <w:sz w:val="22"/>
                      <w:szCs w:val="22"/>
                    </w:rPr>
                    <w:t>0.6</w:t>
                  </w:r>
                </w:p>
              </w:tc>
            </w:tr>
            <w:tr w14:paraId="63CC3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850" w:type="dxa"/>
                  <w:vAlign w:val="center"/>
                </w:tcPr>
                <w:p w14:paraId="58F8111E">
                  <w:pPr>
                    <w:jc w:val="center"/>
                    <w:rPr>
                      <w:color w:val="auto"/>
                      <w:sz w:val="20"/>
                      <w:szCs w:val="20"/>
                    </w:rPr>
                  </w:pPr>
                  <w:r>
                    <w:rPr>
                      <w:rFonts w:hint="eastAsia"/>
                      <w:color w:val="auto"/>
                      <w:sz w:val="20"/>
                      <w:szCs w:val="20"/>
                    </w:rPr>
                    <w:t>二甲苯</w:t>
                  </w:r>
                </w:p>
              </w:tc>
              <w:tc>
                <w:tcPr>
                  <w:tcW w:w="1028" w:type="dxa"/>
                  <w:vAlign w:val="center"/>
                </w:tcPr>
                <w:p w14:paraId="3FB58E94">
                  <w:pPr>
                    <w:jc w:val="center"/>
                    <w:rPr>
                      <w:color w:val="auto"/>
                      <w:sz w:val="20"/>
                      <w:szCs w:val="20"/>
                    </w:rPr>
                  </w:pPr>
                  <w:r>
                    <w:rPr>
                      <w:rFonts w:hint="eastAsia"/>
                      <w:color w:val="auto"/>
                      <w:sz w:val="20"/>
                      <w:szCs w:val="20"/>
                    </w:rPr>
                    <w:t>ND</w:t>
                  </w:r>
                </w:p>
              </w:tc>
              <w:tc>
                <w:tcPr>
                  <w:tcW w:w="1028" w:type="dxa"/>
                  <w:vAlign w:val="center"/>
                </w:tcPr>
                <w:p w14:paraId="332BA613">
                  <w:pPr>
                    <w:jc w:val="center"/>
                    <w:rPr>
                      <w:color w:val="auto"/>
                      <w:sz w:val="20"/>
                      <w:szCs w:val="20"/>
                    </w:rPr>
                  </w:pPr>
                  <w:r>
                    <w:rPr>
                      <w:rFonts w:hint="eastAsia"/>
                      <w:color w:val="auto"/>
                      <w:sz w:val="20"/>
                      <w:szCs w:val="20"/>
                    </w:rPr>
                    <w:t>ND</w:t>
                  </w:r>
                </w:p>
              </w:tc>
              <w:tc>
                <w:tcPr>
                  <w:tcW w:w="1028" w:type="dxa"/>
                  <w:vAlign w:val="center"/>
                </w:tcPr>
                <w:p w14:paraId="2C8EE65E">
                  <w:pPr>
                    <w:jc w:val="center"/>
                    <w:rPr>
                      <w:color w:val="auto"/>
                      <w:sz w:val="20"/>
                      <w:szCs w:val="20"/>
                    </w:rPr>
                  </w:pPr>
                  <w:r>
                    <w:rPr>
                      <w:rFonts w:hint="eastAsia"/>
                      <w:color w:val="auto"/>
                      <w:sz w:val="20"/>
                      <w:szCs w:val="20"/>
                    </w:rPr>
                    <w:t>ND</w:t>
                  </w:r>
                </w:p>
              </w:tc>
              <w:tc>
                <w:tcPr>
                  <w:tcW w:w="1028" w:type="dxa"/>
                  <w:vAlign w:val="center"/>
                </w:tcPr>
                <w:p w14:paraId="01287839">
                  <w:pPr>
                    <w:jc w:val="center"/>
                    <w:rPr>
                      <w:color w:val="auto"/>
                      <w:sz w:val="20"/>
                      <w:szCs w:val="20"/>
                    </w:rPr>
                  </w:pPr>
                  <w:r>
                    <w:rPr>
                      <w:rFonts w:hint="eastAsia"/>
                      <w:color w:val="auto"/>
                      <w:sz w:val="20"/>
                      <w:szCs w:val="20"/>
                    </w:rPr>
                    <w:t>ND</w:t>
                  </w:r>
                </w:p>
              </w:tc>
              <w:tc>
                <w:tcPr>
                  <w:tcW w:w="1028" w:type="dxa"/>
                  <w:vAlign w:val="center"/>
                </w:tcPr>
                <w:p w14:paraId="0898CE8B">
                  <w:pPr>
                    <w:jc w:val="center"/>
                    <w:rPr>
                      <w:color w:val="auto"/>
                      <w:sz w:val="20"/>
                      <w:szCs w:val="20"/>
                    </w:rPr>
                  </w:pPr>
                  <w:r>
                    <w:rPr>
                      <w:rFonts w:hint="eastAsia"/>
                      <w:color w:val="auto"/>
                      <w:sz w:val="20"/>
                      <w:szCs w:val="20"/>
                    </w:rPr>
                    <w:t>ND</w:t>
                  </w:r>
                </w:p>
              </w:tc>
              <w:tc>
                <w:tcPr>
                  <w:tcW w:w="1028" w:type="dxa"/>
                  <w:vAlign w:val="center"/>
                </w:tcPr>
                <w:p w14:paraId="693867F0">
                  <w:pPr>
                    <w:jc w:val="center"/>
                    <w:rPr>
                      <w:color w:val="auto"/>
                      <w:sz w:val="20"/>
                      <w:szCs w:val="20"/>
                    </w:rPr>
                  </w:pPr>
                  <w:r>
                    <w:rPr>
                      <w:rFonts w:hint="eastAsia"/>
                      <w:color w:val="auto"/>
                      <w:sz w:val="20"/>
                      <w:szCs w:val="20"/>
                    </w:rPr>
                    <w:t>ND</w:t>
                  </w:r>
                </w:p>
              </w:tc>
              <w:tc>
                <w:tcPr>
                  <w:tcW w:w="1032" w:type="dxa"/>
                  <w:vAlign w:val="center"/>
                </w:tcPr>
                <w:p w14:paraId="33F8456E">
                  <w:pPr>
                    <w:jc w:val="center"/>
                    <w:rPr>
                      <w:color w:val="auto"/>
                      <w:sz w:val="20"/>
                      <w:szCs w:val="20"/>
                    </w:rPr>
                  </w:pPr>
                  <w:r>
                    <w:rPr>
                      <w:rFonts w:hint="eastAsia"/>
                      <w:color w:val="auto"/>
                      <w:sz w:val="20"/>
                      <w:szCs w:val="20"/>
                    </w:rPr>
                    <w:t>ND</w:t>
                  </w:r>
                </w:p>
              </w:tc>
              <w:tc>
                <w:tcPr>
                  <w:tcW w:w="729" w:type="dxa"/>
                  <w:vAlign w:val="center"/>
                </w:tcPr>
                <w:p w14:paraId="568C6A05">
                  <w:pPr>
                    <w:jc w:val="center"/>
                    <w:rPr>
                      <w:color w:val="auto"/>
                      <w:sz w:val="22"/>
                      <w:szCs w:val="22"/>
                    </w:rPr>
                  </w:pPr>
                  <w:r>
                    <w:rPr>
                      <w:rFonts w:hint="eastAsia"/>
                      <w:color w:val="auto"/>
                      <w:sz w:val="22"/>
                      <w:szCs w:val="22"/>
                    </w:rPr>
                    <w:t>0.2</w:t>
                  </w:r>
                </w:p>
              </w:tc>
            </w:tr>
            <w:tr w14:paraId="1C03D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779" w:type="dxa"/>
                  <w:gridSpan w:val="9"/>
                  <w:vAlign w:val="center"/>
                </w:tcPr>
                <w:p w14:paraId="2BBD6622">
                  <w:pPr>
                    <w:jc w:val="center"/>
                    <w:rPr>
                      <w:color w:val="auto"/>
                      <w:sz w:val="22"/>
                      <w:szCs w:val="22"/>
                    </w:rPr>
                  </w:pPr>
                  <w:r>
                    <w:rPr>
                      <w:rFonts w:hint="eastAsia"/>
                      <w:color w:val="auto"/>
                      <w:sz w:val="20"/>
                      <w:szCs w:val="20"/>
                    </w:rPr>
                    <w:t>备注：TVOC、二甲苯参照执行《环境影响评价技术导则 大气环境》（HJ2.2-2018）中附录D要求</w:t>
                  </w:r>
                </w:p>
              </w:tc>
            </w:tr>
          </w:tbl>
          <w:p w14:paraId="5B74E3ED">
            <w:pPr>
              <w:pBdr>
                <w:top w:val="none" w:color="auto" w:sz="0" w:space="1"/>
                <w:left w:val="none" w:color="auto" w:sz="0" w:space="4"/>
                <w:bottom w:val="none" w:color="auto" w:sz="0" w:space="1"/>
                <w:right w:val="none" w:color="auto" w:sz="0" w:space="4"/>
              </w:pBdr>
              <w:jc w:val="center"/>
              <w:rPr>
                <w:b/>
                <w:bCs/>
                <w:color w:val="auto"/>
                <w:szCs w:val="21"/>
                <w:u w:val="single"/>
              </w:rPr>
            </w:pPr>
            <w:r>
              <w:rPr>
                <w:rFonts w:hint="eastAsia"/>
                <w:b/>
                <w:bCs/>
                <w:color w:val="auto"/>
                <w:szCs w:val="21"/>
                <w:u w:val="single"/>
              </w:rPr>
              <w:t>表3-3  非甲烷总烃现状检测结果   （单位：mg/m³）</w:t>
            </w:r>
          </w:p>
          <w:tbl>
            <w:tblPr>
              <w:tblStyle w:val="31"/>
              <w:tblW w:w="87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028"/>
              <w:gridCol w:w="1028"/>
              <w:gridCol w:w="1028"/>
              <w:gridCol w:w="1028"/>
              <w:gridCol w:w="1028"/>
              <w:gridCol w:w="1028"/>
              <w:gridCol w:w="1032"/>
              <w:gridCol w:w="729"/>
            </w:tblGrid>
            <w:tr w14:paraId="7D309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50" w:type="dxa"/>
                  <w:vMerge w:val="restart"/>
                  <w:vAlign w:val="center"/>
                </w:tcPr>
                <w:p w14:paraId="2E58E9C5">
                  <w:pPr>
                    <w:jc w:val="center"/>
                    <w:rPr>
                      <w:color w:val="auto"/>
                      <w:sz w:val="20"/>
                      <w:szCs w:val="20"/>
                      <w:u w:val="single"/>
                    </w:rPr>
                  </w:pPr>
                  <w:r>
                    <w:rPr>
                      <w:rFonts w:hint="eastAsia"/>
                      <w:color w:val="auto"/>
                      <w:sz w:val="20"/>
                      <w:szCs w:val="20"/>
                      <w:u w:val="single"/>
                    </w:rPr>
                    <w:t>检测</w:t>
                  </w:r>
                </w:p>
                <w:p w14:paraId="240CE8E9">
                  <w:pPr>
                    <w:jc w:val="center"/>
                    <w:rPr>
                      <w:color w:val="auto"/>
                      <w:sz w:val="20"/>
                      <w:szCs w:val="20"/>
                      <w:u w:val="single"/>
                    </w:rPr>
                  </w:pPr>
                  <w:r>
                    <w:rPr>
                      <w:rFonts w:hint="eastAsia"/>
                      <w:color w:val="auto"/>
                      <w:sz w:val="20"/>
                      <w:szCs w:val="20"/>
                      <w:u w:val="single"/>
                    </w:rPr>
                    <w:t>项目</w:t>
                  </w:r>
                </w:p>
              </w:tc>
              <w:tc>
                <w:tcPr>
                  <w:tcW w:w="7200" w:type="dxa"/>
                  <w:gridSpan w:val="7"/>
                  <w:vAlign w:val="center"/>
                </w:tcPr>
                <w:p w14:paraId="1E4FEAEB">
                  <w:pPr>
                    <w:jc w:val="center"/>
                    <w:rPr>
                      <w:color w:val="auto"/>
                      <w:sz w:val="20"/>
                      <w:szCs w:val="20"/>
                      <w:u w:val="single"/>
                    </w:rPr>
                  </w:pPr>
                  <w:r>
                    <w:rPr>
                      <w:rFonts w:hint="eastAsia"/>
                      <w:color w:val="auto"/>
                      <w:sz w:val="20"/>
                      <w:szCs w:val="20"/>
                      <w:u w:val="single"/>
                    </w:rPr>
                    <w:t>检测日期及检测结果</w:t>
                  </w:r>
                </w:p>
              </w:tc>
              <w:tc>
                <w:tcPr>
                  <w:tcW w:w="729" w:type="dxa"/>
                  <w:vMerge w:val="restart"/>
                  <w:vAlign w:val="center"/>
                </w:tcPr>
                <w:p w14:paraId="7AF3FCA7">
                  <w:pPr>
                    <w:jc w:val="center"/>
                    <w:rPr>
                      <w:color w:val="auto"/>
                      <w:sz w:val="22"/>
                      <w:szCs w:val="22"/>
                      <w:u w:val="single"/>
                    </w:rPr>
                  </w:pPr>
                  <w:r>
                    <w:rPr>
                      <w:rFonts w:hint="eastAsia"/>
                      <w:color w:val="auto"/>
                      <w:sz w:val="22"/>
                      <w:szCs w:val="22"/>
                      <w:u w:val="single"/>
                    </w:rPr>
                    <w:t>标准限值</w:t>
                  </w:r>
                </w:p>
              </w:tc>
            </w:tr>
            <w:tr w14:paraId="0C3C1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850" w:type="dxa"/>
                  <w:vMerge w:val="continue"/>
                  <w:vAlign w:val="center"/>
                </w:tcPr>
                <w:p w14:paraId="4C25FF42">
                  <w:pPr>
                    <w:jc w:val="center"/>
                    <w:rPr>
                      <w:color w:val="auto"/>
                      <w:sz w:val="20"/>
                      <w:szCs w:val="20"/>
                      <w:u w:val="single"/>
                    </w:rPr>
                  </w:pPr>
                </w:p>
              </w:tc>
              <w:tc>
                <w:tcPr>
                  <w:tcW w:w="1028" w:type="dxa"/>
                  <w:vAlign w:val="center"/>
                </w:tcPr>
                <w:p w14:paraId="68BE5E91">
                  <w:pPr>
                    <w:jc w:val="center"/>
                    <w:rPr>
                      <w:color w:val="auto"/>
                      <w:sz w:val="20"/>
                      <w:szCs w:val="20"/>
                      <w:u w:val="single"/>
                    </w:rPr>
                  </w:pPr>
                  <w:r>
                    <w:rPr>
                      <w:rFonts w:hint="eastAsia"/>
                      <w:color w:val="auto"/>
                      <w:sz w:val="20"/>
                      <w:szCs w:val="20"/>
                      <w:u w:val="single"/>
                    </w:rPr>
                    <w:t>2023.3.24</w:t>
                  </w:r>
                </w:p>
              </w:tc>
              <w:tc>
                <w:tcPr>
                  <w:tcW w:w="1028" w:type="dxa"/>
                  <w:vAlign w:val="center"/>
                </w:tcPr>
                <w:p w14:paraId="6A3EC77A">
                  <w:pPr>
                    <w:jc w:val="center"/>
                    <w:rPr>
                      <w:color w:val="auto"/>
                      <w:sz w:val="20"/>
                      <w:szCs w:val="20"/>
                      <w:u w:val="single"/>
                    </w:rPr>
                  </w:pPr>
                  <w:r>
                    <w:rPr>
                      <w:rFonts w:hint="eastAsia"/>
                      <w:color w:val="auto"/>
                      <w:sz w:val="20"/>
                      <w:szCs w:val="20"/>
                      <w:u w:val="single"/>
                    </w:rPr>
                    <w:t>2023.3.25</w:t>
                  </w:r>
                </w:p>
              </w:tc>
              <w:tc>
                <w:tcPr>
                  <w:tcW w:w="1028" w:type="dxa"/>
                  <w:vAlign w:val="center"/>
                </w:tcPr>
                <w:p w14:paraId="05777541">
                  <w:pPr>
                    <w:jc w:val="center"/>
                    <w:rPr>
                      <w:color w:val="auto"/>
                      <w:sz w:val="20"/>
                      <w:szCs w:val="20"/>
                      <w:u w:val="single"/>
                    </w:rPr>
                  </w:pPr>
                  <w:r>
                    <w:rPr>
                      <w:rFonts w:hint="eastAsia"/>
                      <w:color w:val="auto"/>
                      <w:sz w:val="20"/>
                      <w:szCs w:val="20"/>
                      <w:u w:val="single"/>
                    </w:rPr>
                    <w:t>2023.3.26</w:t>
                  </w:r>
                </w:p>
              </w:tc>
              <w:tc>
                <w:tcPr>
                  <w:tcW w:w="1028" w:type="dxa"/>
                  <w:vAlign w:val="center"/>
                </w:tcPr>
                <w:p w14:paraId="52DA0199">
                  <w:pPr>
                    <w:jc w:val="center"/>
                    <w:rPr>
                      <w:color w:val="auto"/>
                      <w:sz w:val="20"/>
                      <w:szCs w:val="20"/>
                      <w:u w:val="single"/>
                    </w:rPr>
                  </w:pPr>
                  <w:r>
                    <w:rPr>
                      <w:rFonts w:hint="eastAsia"/>
                      <w:color w:val="auto"/>
                      <w:sz w:val="20"/>
                      <w:szCs w:val="20"/>
                      <w:u w:val="single"/>
                    </w:rPr>
                    <w:t>2023.3.27</w:t>
                  </w:r>
                </w:p>
              </w:tc>
              <w:tc>
                <w:tcPr>
                  <w:tcW w:w="1028" w:type="dxa"/>
                  <w:vAlign w:val="center"/>
                </w:tcPr>
                <w:p w14:paraId="107C3343">
                  <w:pPr>
                    <w:jc w:val="center"/>
                    <w:rPr>
                      <w:color w:val="auto"/>
                      <w:sz w:val="20"/>
                      <w:szCs w:val="20"/>
                      <w:u w:val="single"/>
                    </w:rPr>
                  </w:pPr>
                  <w:r>
                    <w:rPr>
                      <w:rFonts w:hint="eastAsia"/>
                      <w:color w:val="auto"/>
                      <w:sz w:val="20"/>
                      <w:szCs w:val="20"/>
                      <w:u w:val="single"/>
                    </w:rPr>
                    <w:t>2023.3.28</w:t>
                  </w:r>
                </w:p>
              </w:tc>
              <w:tc>
                <w:tcPr>
                  <w:tcW w:w="1028" w:type="dxa"/>
                  <w:vAlign w:val="center"/>
                </w:tcPr>
                <w:p w14:paraId="07C73B4E">
                  <w:pPr>
                    <w:jc w:val="center"/>
                    <w:rPr>
                      <w:color w:val="auto"/>
                      <w:sz w:val="20"/>
                      <w:szCs w:val="20"/>
                      <w:u w:val="single"/>
                    </w:rPr>
                  </w:pPr>
                  <w:r>
                    <w:rPr>
                      <w:rFonts w:hint="eastAsia"/>
                      <w:color w:val="auto"/>
                      <w:sz w:val="20"/>
                      <w:szCs w:val="20"/>
                      <w:u w:val="single"/>
                    </w:rPr>
                    <w:t>2023.3.29</w:t>
                  </w:r>
                </w:p>
              </w:tc>
              <w:tc>
                <w:tcPr>
                  <w:tcW w:w="1032" w:type="dxa"/>
                  <w:vAlign w:val="center"/>
                </w:tcPr>
                <w:p w14:paraId="013AC807">
                  <w:pPr>
                    <w:jc w:val="center"/>
                    <w:rPr>
                      <w:color w:val="auto"/>
                      <w:sz w:val="20"/>
                      <w:szCs w:val="20"/>
                      <w:u w:val="single"/>
                    </w:rPr>
                  </w:pPr>
                  <w:r>
                    <w:rPr>
                      <w:rFonts w:hint="eastAsia"/>
                      <w:color w:val="auto"/>
                      <w:sz w:val="20"/>
                      <w:szCs w:val="20"/>
                      <w:u w:val="single"/>
                    </w:rPr>
                    <w:t>2023.3.30</w:t>
                  </w:r>
                </w:p>
              </w:tc>
              <w:tc>
                <w:tcPr>
                  <w:tcW w:w="729" w:type="dxa"/>
                  <w:vMerge w:val="continue"/>
                  <w:vAlign w:val="center"/>
                </w:tcPr>
                <w:p w14:paraId="471859DB">
                  <w:pPr>
                    <w:jc w:val="center"/>
                    <w:rPr>
                      <w:color w:val="auto"/>
                      <w:sz w:val="22"/>
                      <w:szCs w:val="22"/>
                      <w:u w:val="single"/>
                    </w:rPr>
                  </w:pPr>
                </w:p>
              </w:tc>
            </w:tr>
            <w:tr w14:paraId="50495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850" w:type="dxa"/>
                  <w:vAlign w:val="center"/>
                </w:tcPr>
                <w:p w14:paraId="7788C7ED">
                  <w:pPr>
                    <w:jc w:val="center"/>
                    <w:rPr>
                      <w:color w:val="auto"/>
                      <w:sz w:val="20"/>
                      <w:szCs w:val="20"/>
                      <w:u w:val="single"/>
                    </w:rPr>
                  </w:pPr>
                  <w:r>
                    <w:rPr>
                      <w:rFonts w:hint="eastAsia"/>
                      <w:color w:val="auto"/>
                      <w:sz w:val="20"/>
                      <w:szCs w:val="20"/>
                      <w:u w:val="single"/>
                    </w:rPr>
                    <w:t>TVOC</w:t>
                  </w:r>
                </w:p>
              </w:tc>
              <w:tc>
                <w:tcPr>
                  <w:tcW w:w="1028" w:type="dxa"/>
                  <w:vAlign w:val="center"/>
                </w:tcPr>
                <w:p w14:paraId="556AC196">
                  <w:pPr>
                    <w:jc w:val="center"/>
                    <w:rPr>
                      <w:color w:val="auto"/>
                      <w:sz w:val="20"/>
                      <w:szCs w:val="20"/>
                      <w:u w:val="single"/>
                    </w:rPr>
                  </w:pPr>
                  <w:r>
                    <w:rPr>
                      <w:rFonts w:hint="eastAsia"/>
                      <w:color w:val="auto"/>
                      <w:sz w:val="20"/>
                      <w:szCs w:val="20"/>
                      <w:u w:val="single"/>
                    </w:rPr>
                    <w:t>0.0036</w:t>
                  </w:r>
                </w:p>
              </w:tc>
              <w:tc>
                <w:tcPr>
                  <w:tcW w:w="1028" w:type="dxa"/>
                  <w:vAlign w:val="center"/>
                </w:tcPr>
                <w:p w14:paraId="7B91864F">
                  <w:pPr>
                    <w:jc w:val="center"/>
                    <w:rPr>
                      <w:color w:val="auto"/>
                      <w:sz w:val="20"/>
                      <w:szCs w:val="20"/>
                      <w:u w:val="single"/>
                    </w:rPr>
                  </w:pPr>
                  <w:r>
                    <w:rPr>
                      <w:rFonts w:hint="eastAsia"/>
                      <w:color w:val="auto"/>
                      <w:sz w:val="20"/>
                      <w:szCs w:val="20"/>
                      <w:u w:val="single"/>
                    </w:rPr>
                    <w:t>0.0051</w:t>
                  </w:r>
                </w:p>
              </w:tc>
              <w:tc>
                <w:tcPr>
                  <w:tcW w:w="1028" w:type="dxa"/>
                  <w:vAlign w:val="center"/>
                </w:tcPr>
                <w:p w14:paraId="18DA7758">
                  <w:pPr>
                    <w:jc w:val="center"/>
                    <w:rPr>
                      <w:color w:val="auto"/>
                      <w:sz w:val="20"/>
                      <w:szCs w:val="20"/>
                      <w:u w:val="single"/>
                    </w:rPr>
                  </w:pPr>
                  <w:r>
                    <w:rPr>
                      <w:rFonts w:hint="eastAsia"/>
                      <w:color w:val="auto"/>
                      <w:sz w:val="20"/>
                      <w:szCs w:val="20"/>
                      <w:u w:val="single"/>
                    </w:rPr>
                    <w:t>0.0038</w:t>
                  </w:r>
                </w:p>
              </w:tc>
              <w:tc>
                <w:tcPr>
                  <w:tcW w:w="1028" w:type="dxa"/>
                  <w:vAlign w:val="center"/>
                </w:tcPr>
                <w:p w14:paraId="10211B27">
                  <w:pPr>
                    <w:jc w:val="center"/>
                    <w:rPr>
                      <w:color w:val="auto"/>
                      <w:sz w:val="20"/>
                      <w:szCs w:val="20"/>
                      <w:u w:val="single"/>
                    </w:rPr>
                  </w:pPr>
                  <w:r>
                    <w:rPr>
                      <w:rFonts w:hint="eastAsia"/>
                      <w:color w:val="auto"/>
                      <w:sz w:val="20"/>
                      <w:szCs w:val="20"/>
                      <w:u w:val="single"/>
                    </w:rPr>
                    <w:t>0.0043</w:t>
                  </w:r>
                </w:p>
              </w:tc>
              <w:tc>
                <w:tcPr>
                  <w:tcW w:w="1028" w:type="dxa"/>
                  <w:vAlign w:val="center"/>
                </w:tcPr>
                <w:p w14:paraId="611B52C6">
                  <w:pPr>
                    <w:jc w:val="center"/>
                    <w:rPr>
                      <w:color w:val="auto"/>
                      <w:sz w:val="20"/>
                      <w:szCs w:val="20"/>
                      <w:u w:val="single"/>
                    </w:rPr>
                  </w:pPr>
                  <w:r>
                    <w:rPr>
                      <w:rFonts w:hint="eastAsia"/>
                      <w:color w:val="auto"/>
                      <w:sz w:val="20"/>
                      <w:szCs w:val="20"/>
                      <w:u w:val="single"/>
                    </w:rPr>
                    <w:t>0.0041</w:t>
                  </w:r>
                </w:p>
              </w:tc>
              <w:tc>
                <w:tcPr>
                  <w:tcW w:w="1028" w:type="dxa"/>
                  <w:vAlign w:val="center"/>
                </w:tcPr>
                <w:p w14:paraId="70436B31">
                  <w:pPr>
                    <w:jc w:val="center"/>
                    <w:rPr>
                      <w:color w:val="auto"/>
                      <w:sz w:val="20"/>
                      <w:szCs w:val="20"/>
                      <w:u w:val="single"/>
                    </w:rPr>
                  </w:pPr>
                  <w:r>
                    <w:rPr>
                      <w:rFonts w:hint="eastAsia"/>
                      <w:color w:val="auto"/>
                      <w:sz w:val="20"/>
                      <w:szCs w:val="20"/>
                      <w:u w:val="single"/>
                    </w:rPr>
                    <w:t>0.0069</w:t>
                  </w:r>
                </w:p>
              </w:tc>
              <w:tc>
                <w:tcPr>
                  <w:tcW w:w="1032" w:type="dxa"/>
                  <w:vAlign w:val="center"/>
                </w:tcPr>
                <w:p w14:paraId="65741AE7">
                  <w:pPr>
                    <w:jc w:val="center"/>
                    <w:rPr>
                      <w:color w:val="auto"/>
                      <w:sz w:val="20"/>
                      <w:szCs w:val="20"/>
                      <w:u w:val="single"/>
                    </w:rPr>
                  </w:pPr>
                  <w:r>
                    <w:rPr>
                      <w:rFonts w:hint="eastAsia"/>
                      <w:color w:val="auto"/>
                      <w:sz w:val="20"/>
                      <w:szCs w:val="20"/>
                      <w:u w:val="single"/>
                    </w:rPr>
                    <w:t>0.0060</w:t>
                  </w:r>
                </w:p>
              </w:tc>
              <w:tc>
                <w:tcPr>
                  <w:tcW w:w="729" w:type="dxa"/>
                  <w:vAlign w:val="center"/>
                </w:tcPr>
                <w:p w14:paraId="32390389">
                  <w:pPr>
                    <w:jc w:val="center"/>
                    <w:rPr>
                      <w:color w:val="auto"/>
                      <w:sz w:val="22"/>
                      <w:szCs w:val="22"/>
                      <w:u w:val="single"/>
                    </w:rPr>
                  </w:pPr>
                  <w:r>
                    <w:rPr>
                      <w:rFonts w:hint="eastAsia"/>
                      <w:color w:val="auto"/>
                      <w:sz w:val="22"/>
                      <w:szCs w:val="22"/>
                      <w:u w:val="single"/>
                    </w:rPr>
                    <w:t>0.6</w:t>
                  </w:r>
                </w:p>
              </w:tc>
            </w:tr>
            <w:tr w14:paraId="0625E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850" w:type="dxa"/>
                  <w:vAlign w:val="center"/>
                </w:tcPr>
                <w:p w14:paraId="29749A95">
                  <w:pPr>
                    <w:jc w:val="center"/>
                    <w:rPr>
                      <w:color w:val="auto"/>
                      <w:sz w:val="20"/>
                      <w:szCs w:val="20"/>
                      <w:u w:val="single"/>
                    </w:rPr>
                  </w:pPr>
                  <w:r>
                    <w:rPr>
                      <w:rFonts w:hint="eastAsia"/>
                      <w:color w:val="auto"/>
                      <w:sz w:val="20"/>
                      <w:szCs w:val="20"/>
                      <w:u w:val="single"/>
                    </w:rPr>
                    <w:t>非甲烷总烃</w:t>
                  </w:r>
                </w:p>
              </w:tc>
              <w:tc>
                <w:tcPr>
                  <w:tcW w:w="1028" w:type="dxa"/>
                  <w:vAlign w:val="center"/>
                </w:tcPr>
                <w:p w14:paraId="795B2223">
                  <w:pPr>
                    <w:jc w:val="center"/>
                    <w:rPr>
                      <w:color w:val="auto"/>
                      <w:sz w:val="20"/>
                      <w:szCs w:val="20"/>
                      <w:u w:val="single"/>
                    </w:rPr>
                  </w:pPr>
                  <w:r>
                    <w:rPr>
                      <w:rFonts w:hint="eastAsia"/>
                      <w:color w:val="auto"/>
                      <w:sz w:val="20"/>
                      <w:szCs w:val="20"/>
                      <w:u w:val="single"/>
                    </w:rPr>
                    <w:t>0.31</w:t>
                  </w:r>
                </w:p>
              </w:tc>
              <w:tc>
                <w:tcPr>
                  <w:tcW w:w="1028" w:type="dxa"/>
                  <w:vAlign w:val="center"/>
                </w:tcPr>
                <w:p w14:paraId="38399B04">
                  <w:pPr>
                    <w:jc w:val="center"/>
                    <w:rPr>
                      <w:color w:val="auto"/>
                      <w:sz w:val="20"/>
                      <w:szCs w:val="20"/>
                      <w:u w:val="single"/>
                    </w:rPr>
                  </w:pPr>
                  <w:r>
                    <w:rPr>
                      <w:rFonts w:hint="eastAsia"/>
                      <w:color w:val="auto"/>
                      <w:sz w:val="20"/>
                      <w:szCs w:val="20"/>
                      <w:u w:val="single"/>
                    </w:rPr>
                    <w:t>0.38</w:t>
                  </w:r>
                </w:p>
              </w:tc>
              <w:tc>
                <w:tcPr>
                  <w:tcW w:w="1028" w:type="dxa"/>
                  <w:vAlign w:val="center"/>
                </w:tcPr>
                <w:p w14:paraId="14FCBD80">
                  <w:pPr>
                    <w:jc w:val="center"/>
                    <w:rPr>
                      <w:color w:val="auto"/>
                      <w:sz w:val="20"/>
                      <w:szCs w:val="20"/>
                      <w:u w:val="single"/>
                    </w:rPr>
                  </w:pPr>
                  <w:r>
                    <w:rPr>
                      <w:rFonts w:hint="eastAsia"/>
                      <w:color w:val="auto"/>
                      <w:sz w:val="20"/>
                      <w:szCs w:val="20"/>
                      <w:u w:val="single"/>
                    </w:rPr>
                    <w:t>0.30</w:t>
                  </w:r>
                </w:p>
              </w:tc>
              <w:tc>
                <w:tcPr>
                  <w:tcW w:w="1028" w:type="dxa"/>
                  <w:vAlign w:val="center"/>
                </w:tcPr>
                <w:p w14:paraId="3EFE9132">
                  <w:pPr>
                    <w:jc w:val="center"/>
                    <w:rPr>
                      <w:color w:val="auto"/>
                      <w:sz w:val="20"/>
                      <w:szCs w:val="20"/>
                      <w:u w:val="single"/>
                    </w:rPr>
                  </w:pPr>
                  <w:r>
                    <w:rPr>
                      <w:rFonts w:hint="eastAsia"/>
                      <w:color w:val="auto"/>
                      <w:sz w:val="20"/>
                      <w:szCs w:val="20"/>
                      <w:u w:val="single"/>
                    </w:rPr>
                    <w:t>0.32</w:t>
                  </w:r>
                </w:p>
              </w:tc>
              <w:tc>
                <w:tcPr>
                  <w:tcW w:w="1028" w:type="dxa"/>
                  <w:vAlign w:val="center"/>
                </w:tcPr>
                <w:p w14:paraId="4714FFC2">
                  <w:pPr>
                    <w:jc w:val="center"/>
                    <w:rPr>
                      <w:color w:val="auto"/>
                      <w:sz w:val="20"/>
                      <w:szCs w:val="20"/>
                      <w:u w:val="single"/>
                    </w:rPr>
                  </w:pPr>
                  <w:r>
                    <w:rPr>
                      <w:rFonts w:hint="eastAsia"/>
                      <w:color w:val="auto"/>
                      <w:sz w:val="20"/>
                      <w:szCs w:val="20"/>
                      <w:u w:val="single"/>
                    </w:rPr>
                    <w:t>0.40</w:t>
                  </w:r>
                </w:p>
              </w:tc>
              <w:tc>
                <w:tcPr>
                  <w:tcW w:w="1028" w:type="dxa"/>
                  <w:vAlign w:val="center"/>
                </w:tcPr>
                <w:p w14:paraId="0BA49217">
                  <w:pPr>
                    <w:jc w:val="center"/>
                    <w:rPr>
                      <w:color w:val="auto"/>
                      <w:sz w:val="20"/>
                      <w:szCs w:val="20"/>
                      <w:u w:val="single"/>
                    </w:rPr>
                  </w:pPr>
                  <w:r>
                    <w:rPr>
                      <w:rFonts w:hint="eastAsia"/>
                      <w:color w:val="auto"/>
                      <w:sz w:val="20"/>
                      <w:szCs w:val="20"/>
                      <w:u w:val="single"/>
                    </w:rPr>
                    <w:t>0.42</w:t>
                  </w:r>
                </w:p>
              </w:tc>
              <w:tc>
                <w:tcPr>
                  <w:tcW w:w="1032" w:type="dxa"/>
                  <w:vAlign w:val="center"/>
                </w:tcPr>
                <w:p w14:paraId="43854350">
                  <w:pPr>
                    <w:jc w:val="center"/>
                    <w:rPr>
                      <w:color w:val="auto"/>
                      <w:sz w:val="20"/>
                      <w:szCs w:val="20"/>
                      <w:u w:val="single"/>
                    </w:rPr>
                  </w:pPr>
                  <w:r>
                    <w:rPr>
                      <w:rFonts w:hint="eastAsia"/>
                      <w:color w:val="auto"/>
                      <w:sz w:val="20"/>
                      <w:szCs w:val="20"/>
                      <w:u w:val="single"/>
                    </w:rPr>
                    <w:t>0.41</w:t>
                  </w:r>
                </w:p>
              </w:tc>
              <w:tc>
                <w:tcPr>
                  <w:tcW w:w="729" w:type="dxa"/>
                  <w:vAlign w:val="center"/>
                </w:tcPr>
                <w:p w14:paraId="6A742E6C">
                  <w:pPr>
                    <w:jc w:val="center"/>
                    <w:rPr>
                      <w:color w:val="auto"/>
                      <w:sz w:val="22"/>
                      <w:szCs w:val="22"/>
                      <w:u w:val="single"/>
                    </w:rPr>
                  </w:pPr>
                  <w:r>
                    <w:rPr>
                      <w:rFonts w:hint="eastAsia"/>
                      <w:color w:val="auto"/>
                      <w:sz w:val="22"/>
                      <w:szCs w:val="22"/>
                      <w:u w:val="single"/>
                    </w:rPr>
                    <w:t>2.0</w:t>
                  </w:r>
                </w:p>
              </w:tc>
            </w:tr>
            <w:tr w14:paraId="6EC9C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779" w:type="dxa"/>
                  <w:gridSpan w:val="9"/>
                  <w:vAlign w:val="center"/>
                </w:tcPr>
                <w:p w14:paraId="7736077A">
                  <w:pPr>
                    <w:jc w:val="center"/>
                    <w:rPr>
                      <w:color w:val="auto"/>
                      <w:sz w:val="22"/>
                      <w:szCs w:val="22"/>
                      <w:u w:val="single"/>
                    </w:rPr>
                  </w:pPr>
                  <w:r>
                    <w:rPr>
                      <w:rFonts w:hint="eastAsia"/>
                      <w:color w:val="auto"/>
                      <w:sz w:val="20"/>
                      <w:szCs w:val="20"/>
                      <w:u w:val="single"/>
                    </w:rPr>
                    <w:t>备注：参照执行《大气污染物综合排放标准详解》限值要求</w:t>
                  </w:r>
                </w:p>
              </w:tc>
            </w:tr>
          </w:tbl>
          <w:p w14:paraId="4E6B9CF2">
            <w:pPr>
              <w:pBdr>
                <w:top w:val="none" w:color="auto" w:sz="0" w:space="1"/>
                <w:left w:val="none" w:color="auto" w:sz="0" w:space="4"/>
                <w:bottom w:val="none" w:color="auto" w:sz="0" w:space="1"/>
                <w:right w:val="none" w:color="auto" w:sz="0" w:space="4"/>
              </w:pBdr>
              <w:jc w:val="center"/>
              <w:rPr>
                <w:b/>
                <w:bCs/>
                <w:color w:val="auto"/>
                <w:szCs w:val="21"/>
              </w:rPr>
            </w:pPr>
          </w:p>
          <w:p w14:paraId="1170CC27">
            <w:pPr>
              <w:pBdr>
                <w:top w:val="none" w:color="auto" w:sz="0" w:space="1"/>
                <w:left w:val="none" w:color="auto" w:sz="0" w:space="4"/>
                <w:bottom w:val="none" w:color="auto" w:sz="0" w:space="1"/>
                <w:right w:val="none" w:color="auto" w:sz="0" w:space="4"/>
              </w:pBdr>
              <w:jc w:val="center"/>
              <w:rPr>
                <w:color w:val="auto"/>
                <w:szCs w:val="21"/>
                <w:u w:val="single"/>
              </w:rPr>
            </w:pPr>
            <w:r>
              <w:rPr>
                <w:rFonts w:hint="eastAsia"/>
                <w:b/>
                <w:bCs/>
                <w:color w:val="auto"/>
                <w:szCs w:val="21"/>
                <w:u w:val="single"/>
              </w:rPr>
              <w:t>表3-4  TSP现状检测结果   （单位：mg/m³）</w:t>
            </w:r>
          </w:p>
          <w:tbl>
            <w:tblPr>
              <w:tblStyle w:val="31"/>
              <w:tblW w:w="8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5"/>
              <w:gridCol w:w="2193"/>
              <w:gridCol w:w="2195"/>
              <w:gridCol w:w="2195"/>
            </w:tblGrid>
            <w:tr w14:paraId="05E6D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2195" w:type="dxa"/>
                  <w:vAlign w:val="center"/>
                </w:tcPr>
                <w:p w14:paraId="2F54BEA6">
                  <w:pPr>
                    <w:jc w:val="center"/>
                    <w:rPr>
                      <w:color w:val="auto"/>
                      <w:szCs w:val="21"/>
                      <w:u w:val="single"/>
                    </w:rPr>
                  </w:pPr>
                  <w:r>
                    <w:rPr>
                      <w:rFonts w:hint="eastAsia"/>
                      <w:color w:val="auto"/>
                      <w:szCs w:val="21"/>
                      <w:u w:val="single"/>
                    </w:rPr>
                    <w:t>采样日期</w:t>
                  </w:r>
                </w:p>
              </w:tc>
              <w:tc>
                <w:tcPr>
                  <w:tcW w:w="2193" w:type="dxa"/>
                  <w:vAlign w:val="center"/>
                </w:tcPr>
                <w:p w14:paraId="6122AEE9">
                  <w:pPr>
                    <w:jc w:val="center"/>
                    <w:rPr>
                      <w:color w:val="auto"/>
                      <w:szCs w:val="21"/>
                      <w:u w:val="single"/>
                    </w:rPr>
                  </w:pPr>
                  <w:r>
                    <w:rPr>
                      <w:rFonts w:hint="eastAsia"/>
                      <w:color w:val="auto"/>
                      <w:szCs w:val="21"/>
                      <w:u w:val="single"/>
                    </w:rPr>
                    <w:t>检测项目</w:t>
                  </w:r>
                </w:p>
              </w:tc>
              <w:tc>
                <w:tcPr>
                  <w:tcW w:w="2195" w:type="dxa"/>
                  <w:vAlign w:val="center"/>
                </w:tcPr>
                <w:p w14:paraId="0A9CFADD">
                  <w:pPr>
                    <w:jc w:val="center"/>
                    <w:rPr>
                      <w:color w:val="auto"/>
                      <w:szCs w:val="21"/>
                      <w:u w:val="single"/>
                    </w:rPr>
                  </w:pPr>
                  <w:r>
                    <w:rPr>
                      <w:rFonts w:hint="eastAsia"/>
                      <w:color w:val="auto"/>
                      <w:szCs w:val="21"/>
                      <w:u w:val="single"/>
                    </w:rPr>
                    <w:t>检测结果</w:t>
                  </w:r>
                </w:p>
              </w:tc>
              <w:tc>
                <w:tcPr>
                  <w:tcW w:w="2195" w:type="dxa"/>
                  <w:vAlign w:val="center"/>
                </w:tcPr>
                <w:p w14:paraId="43509812">
                  <w:pPr>
                    <w:jc w:val="center"/>
                    <w:rPr>
                      <w:color w:val="auto"/>
                      <w:szCs w:val="21"/>
                      <w:u w:val="single"/>
                    </w:rPr>
                  </w:pPr>
                  <w:r>
                    <w:rPr>
                      <w:rFonts w:hint="eastAsia"/>
                      <w:color w:val="auto"/>
                      <w:szCs w:val="21"/>
                      <w:u w:val="single"/>
                    </w:rPr>
                    <w:t>标准限值</w:t>
                  </w:r>
                </w:p>
              </w:tc>
            </w:tr>
            <w:tr w14:paraId="3B6B5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2195" w:type="dxa"/>
                  <w:vAlign w:val="center"/>
                </w:tcPr>
                <w:p w14:paraId="03A0910A">
                  <w:pPr>
                    <w:jc w:val="center"/>
                    <w:rPr>
                      <w:rFonts w:hint="default" w:eastAsia="宋体"/>
                      <w:color w:val="auto"/>
                      <w:szCs w:val="21"/>
                      <w:u w:val="single"/>
                      <w:lang w:val="en-US" w:eastAsia="zh-CN"/>
                    </w:rPr>
                  </w:pPr>
                  <w:r>
                    <w:rPr>
                      <w:rFonts w:hint="eastAsia"/>
                      <w:color w:val="auto"/>
                      <w:szCs w:val="21"/>
                      <w:u w:val="single"/>
                    </w:rPr>
                    <w:t>202</w:t>
                  </w:r>
                  <w:r>
                    <w:rPr>
                      <w:rFonts w:hint="eastAsia"/>
                      <w:color w:val="auto"/>
                      <w:szCs w:val="21"/>
                      <w:u w:val="single"/>
                      <w:lang w:val="en-US" w:eastAsia="zh-CN"/>
                    </w:rPr>
                    <w:t>3</w:t>
                  </w:r>
                  <w:r>
                    <w:rPr>
                      <w:rFonts w:hint="eastAsia"/>
                      <w:color w:val="auto"/>
                      <w:szCs w:val="21"/>
                      <w:u w:val="single"/>
                    </w:rPr>
                    <w:t>.</w:t>
                  </w:r>
                  <w:r>
                    <w:rPr>
                      <w:rFonts w:hint="eastAsia"/>
                      <w:color w:val="auto"/>
                      <w:szCs w:val="21"/>
                      <w:u w:val="single"/>
                      <w:lang w:val="en-US" w:eastAsia="zh-CN"/>
                    </w:rPr>
                    <w:t>10</w:t>
                  </w:r>
                  <w:r>
                    <w:rPr>
                      <w:rFonts w:hint="eastAsia"/>
                      <w:color w:val="auto"/>
                      <w:szCs w:val="21"/>
                      <w:u w:val="single"/>
                    </w:rPr>
                    <w:t>.</w:t>
                  </w:r>
                  <w:r>
                    <w:rPr>
                      <w:rFonts w:hint="eastAsia"/>
                      <w:color w:val="auto"/>
                      <w:szCs w:val="21"/>
                      <w:u w:val="single"/>
                      <w:lang w:val="en-US" w:eastAsia="zh-CN"/>
                    </w:rPr>
                    <w:t>16</w:t>
                  </w:r>
                </w:p>
              </w:tc>
              <w:tc>
                <w:tcPr>
                  <w:tcW w:w="2193" w:type="dxa"/>
                  <w:vMerge w:val="restart"/>
                  <w:vAlign w:val="center"/>
                </w:tcPr>
                <w:p w14:paraId="41E8E6C7">
                  <w:pPr>
                    <w:jc w:val="center"/>
                    <w:rPr>
                      <w:rFonts w:hint="default" w:eastAsia="宋体"/>
                      <w:color w:val="auto"/>
                      <w:szCs w:val="21"/>
                      <w:u w:val="single"/>
                      <w:lang w:val="en-US" w:eastAsia="zh-CN"/>
                    </w:rPr>
                  </w:pPr>
                  <w:r>
                    <w:rPr>
                      <w:rFonts w:hint="eastAsia"/>
                      <w:color w:val="auto"/>
                      <w:szCs w:val="21"/>
                      <w:u w:val="single"/>
                      <w:lang w:val="en-US" w:eastAsia="zh-CN"/>
                    </w:rPr>
                    <w:t>TSP</w:t>
                  </w:r>
                </w:p>
              </w:tc>
              <w:tc>
                <w:tcPr>
                  <w:tcW w:w="2195" w:type="dxa"/>
                  <w:vAlign w:val="center"/>
                </w:tcPr>
                <w:p w14:paraId="1EEA3856">
                  <w:pPr>
                    <w:bidi w:val="0"/>
                    <w:spacing w:line="240" w:lineRule="auto"/>
                    <w:jc w:val="center"/>
                    <w:rPr>
                      <w:color w:val="auto"/>
                      <w:szCs w:val="21"/>
                      <w:u w:val="single"/>
                    </w:rPr>
                  </w:pPr>
                  <w:r>
                    <w:rPr>
                      <w:rFonts w:hint="eastAsia" w:ascii="Times New Roman" w:hAnsi="Times New Roman" w:cs="Times New Roman"/>
                      <w:color w:val="auto"/>
                      <w:sz w:val="21"/>
                      <w:szCs w:val="21"/>
                      <w:u w:val="single"/>
                      <w:lang w:val="en-US" w:eastAsia="zh-CN"/>
                    </w:rPr>
                    <w:t>0.178</w:t>
                  </w:r>
                </w:p>
              </w:tc>
              <w:tc>
                <w:tcPr>
                  <w:tcW w:w="2195" w:type="dxa"/>
                  <w:vAlign w:val="center"/>
                </w:tcPr>
                <w:p w14:paraId="1A7FFF21">
                  <w:pPr>
                    <w:jc w:val="center"/>
                    <w:rPr>
                      <w:color w:val="auto"/>
                      <w:szCs w:val="21"/>
                      <w:u w:val="single"/>
                    </w:rPr>
                  </w:pPr>
                  <w:r>
                    <w:rPr>
                      <w:rFonts w:hint="eastAsia"/>
                      <w:color w:val="auto"/>
                      <w:szCs w:val="21"/>
                      <w:u w:val="single"/>
                    </w:rPr>
                    <w:t>0.3</w:t>
                  </w:r>
                </w:p>
              </w:tc>
            </w:tr>
            <w:tr w14:paraId="249F4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2195" w:type="dxa"/>
                  <w:vAlign w:val="center"/>
                </w:tcPr>
                <w:p w14:paraId="21096966">
                  <w:pPr>
                    <w:jc w:val="center"/>
                    <w:rPr>
                      <w:rFonts w:hint="default"/>
                      <w:color w:val="auto"/>
                      <w:szCs w:val="21"/>
                      <w:u w:val="single"/>
                      <w:lang w:val="en-US"/>
                    </w:rPr>
                  </w:pPr>
                  <w:r>
                    <w:rPr>
                      <w:rFonts w:hint="eastAsia"/>
                      <w:color w:val="auto"/>
                      <w:szCs w:val="21"/>
                      <w:u w:val="single"/>
                    </w:rPr>
                    <w:t>202</w:t>
                  </w:r>
                  <w:r>
                    <w:rPr>
                      <w:rFonts w:hint="eastAsia"/>
                      <w:color w:val="auto"/>
                      <w:szCs w:val="21"/>
                      <w:u w:val="single"/>
                      <w:lang w:val="en-US" w:eastAsia="zh-CN"/>
                    </w:rPr>
                    <w:t>3</w:t>
                  </w:r>
                  <w:r>
                    <w:rPr>
                      <w:rFonts w:hint="eastAsia"/>
                      <w:color w:val="auto"/>
                      <w:szCs w:val="21"/>
                      <w:u w:val="single"/>
                    </w:rPr>
                    <w:t>.</w:t>
                  </w:r>
                  <w:r>
                    <w:rPr>
                      <w:rFonts w:hint="eastAsia"/>
                      <w:color w:val="auto"/>
                      <w:szCs w:val="21"/>
                      <w:u w:val="single"/>
                      <w:lang w:val="en-US" w:eastAsia="zh-CN"/>
                    </w:rPr>
                    <w:t>10</w:t>
                  </w:r>
                  <w:r>
                    <w:rPr>
                      <w:rFonts w:hint="eastAsia"/>
                      <w:color w:val="auto"/>
                      <w:szCs w:val="21"/>
                      <w:u w:val="single"/>
                    </w:rPr>
                    <w:t>.</w:t>
                  </w:r>
                  <w:r>
                    <w:rPr>
                      <w:rFonts w:hint="eastAsia"/>
                      <w:color w:val="auto"/>
                      <w:szCs w:val="21"/>
                      <w:u w:val="single"/>
                      <w:lang w:val="en-US" w:eastAsia="zh-CN"/>
                    </w:rPr>
                    <w:t>17</w:t>
                  </w:r>
                </w:p>
              </w:tc>
              <w:tc>
                <w:tcPr>
                  <w:tcW w:w="2193" w:type="dxa"/>
                  <w:vMerge w:val="continue"/>
                  <w:vAlign w:val="center"/>
                </w:tcPr>
                <w:p w14:paraId="011D419B">
                  <w:pPr>
                    <w:jc w:val="center"/>
                    <w:rPr>
                      <w:color w:val="auto"/>
                      <w:szCs w:val="21"/>
                      <w:u w:val="single"/>
                    </w:rPr>
                  </w:pPr>
                </w:p>
              </w:tc>
              <w:tc>
                <w:tcPr>
                  <w:tcW w:w="2195" w:type="dxa"/>
                  <w:vAlign w:val="center"/>
                </w:tcPr>
                <w:p w14:paraId="5A6A78BA">
                  <w:pPr>
                    <w:bidi w:val="0"/>
                    <w:spacing w:line="240" w:lineRule="auto"/>
                    <w:jc w:val="center"/>
                    <w:rPr>
                      <w:color w:val="auto"/>
                      <w:szCs w:val="21"/>
                      <w:u w:val="single"/>
                    </w:rPr>
                  </w:pPr>
                  <w:r>
                    <w:rPr>
                      <w:rFonts w:hint="eastAsia" w:ascii="Times New Roman" w:hAnsi="Times New Roman" w:cs="Times New Roman"/>
                      <w:color w:val="auto"/>
                      <w:sz w:val="21"/>
                      <w:szCs w:val="21"/>
                      <w:u w:val="single"/>
                      <w:lang w:val="en-US" w:eastAsia="zh-CN"/>
                    </w:rPr>
                    <w:t>0.132</w:t>
                  </w:r>
                </w:p>
              </w:tc>
              <w:tc>
                <w:tcPr>
                  <w:tcW w:w="2195" w:type="dxa"/>
                  <w:vAlign w:val="center"/>
                </w:tcPr>
                <w:p w14:paraId="41A651DC">
                  <w:pPr>
                    <w:jc w:val="center"/>
                    <w:rPr>
                      <w:color w:val="auto"/>
                      <w:szCs w:val="21"/>
                      <w:u w:val="single"/>
                    </w:rPr>
                  </w:pPr>
                  <w:r>
                    <w:rPr>
                      <w:rFonts w:hint="eastAsia"/>
                      <w:color w:val="auto"/>
                      <w:szCs w:val="21"/>
                      <w:u w:val="single"/>
                    </w:rPr>
                    <w:t>0.3</w:t>
                  </w:r>
                </w:p>
              </w:tc>
            </w:tr>
            <w:tr w14:paraId="565DC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2195" w:type="dxa"/>
                  <w:vAlign w:val="center"/>
                </w:tcPr>
                <w:p w14:paraId="0D3A44E0">
                  <w:pPr>
                    <w:jc w:val="center"/>
                    <w:rPr>
                      <w:rFonts w:hint="default"/>
                      <w:color w:val="auto"/>
                      <w:szCs w:val="21"/>
                      <w:u w:val="single"/>
                      <w:lang w:val="en-US"/>
                    </w:rPr>
                  </w:pPr>
                  <w:r>
                    <w:rPr>
                      <w:rFonts w:hint="eastAsia"/>
                      <w:color w:val="auto"/>
                      <w:szCs w:val="21"/>
                      <w:u w:val="single"/>
                    </w:rPr>
                    <w:t>202</w:t>
                  </w:r>
                  <w:r>
                    <w:rPr>
                      <w:rFonts w:hint="eastAsia"/>
                      <w:color w:val="auto"/>
                      <w:szCs w:val="21"/>
                      <w:u w:val="single"/>
                      <w:lang w:val="en-US" w:eastAsia="zh-CN"/>
                    </w:rPr>
                    <w:t>3</w:t>
                  </w:r>
                  <w:r>
                    <w:rPr>
                      <w:rFonts w:hint="eastAsia"/>
                      <w:color w:val="auto"/>
                      <w:szCs w:val="21"/>
                      <w:u w:val="single"/>
                    </w:rPr>
                    <w:t>.</w:t>
                  </w:r>
                  <w:r>
                    <w:rPr>
                      <w:rFonts w:hint="eastAsia"/>
                      <w:color w:val="auto"/>
                      <w:szCs w:val="21"/>
                      <w:u w:val="single"/>
                      <w:lang w:val="en-US" w:eastAsia="zh-CN"/>
                    </w:rPr>
                    <w:t>10</w:t>
                  </w:r>
                  <w:r>
                    <w:rPr>
                      <w:rFonts w:hint="eastAsia"/>
                      <w:color w:val="auto"/>
                      <w:szCs w:val="21"/>
                      <w:u w:val="single"/>
                    </w:rPr>
                    <w:t>.</w:t>
                  </w:r>
                  <w:r>
                    <w:rPr>
                      <w:rFonts w:hint="eastAsia"/>
                      <w:color w:val="auto"/>
                      <w:szCs w:val="21"/>
                      <w:u w:val="single"/>
                      <w:lang w:val="en-US" w:eastAsia="zh-CN"/>
                    </w:rPr>
                    <w:t>18</w:t>
                  </w:r>
                </w:p>
              </w:tc>
              <w:tc>
                <w:tcPr>
                  <w:tcW w:w="2193" w:type="dxa"/>
                  <w:vMerge w:val="continue"/>
                  <w:vAlign w:val="center"/>
                </w:tcPr>
                <w:p w14:paraId="0F710524">
                  <w:pPr>
                    <w:jc w:val="center"/>
                    <w:rPr>
                      <w:color w:val="auto"/>
                      <w:szCs w:val="21"/>
                      <w:u w:val="single"/>
                    </w:rPr>
                  </w:pPr>
                </w:p>
              </w:tc>
              <w:tc>
                <w:tcPr>
                  <w:tcW w:w="2195" w:type="dxa"/>
                  <w:vAlign w:val="center"/>
                </w:tcPr>
                <w:p w14:paraId="7DDEFFA7">
                  <w:pPr>
                    <w:bidi w:val="0"/>
                    <w:spacing w:line="240" w:lineRule="auto"/>
                    <w:jc w:val="center"/>
                    <w:rPr>
                      <w:color w:val="auto"/>
                      <w:szCs w:val="21"/>
                      <w:u w:val="single"/>
                    </w:rPr>
                  </w:pPr>
                  <w:r>
                    <w:rPr>
                      <w:rFonts w:hint="eastAsia" w:ascii="Times New Roman" w:hAnsi="Times New Roman" w:cs="Times New Roman"/>
                      <w:color w:val="auto"/>
                      <w:sz w:val="21"/>
                      <w:szCs w:val="21"/>
                      <w:u w:val="single"/>
                      <w:lang w:val="en-US" w:eastAsia="zh-CN"/>
                    </w:rPr>
                    <w:t>0.156</w:t>
                  </w:r>
                </w:p>
              </w:tc>
              <w:tc>
                <w:tcPr>
                  <w:tcW w:w="2195" w:type="dxa"/>
                  <w:vAlign w:val="center"/>
                </w:tcPr>
                <w:p w14:paraId="6F02B81B">
                  <w:pPr>
                    <w:jc w:val="center"/>
                    <w:rPr>
                      <w:color w:val="auto"/>
                      <w:szCs w:val="21"/>
                      <w:u w:val="single"/>
                    </w:rPr>
                  </w:pPr>
                  <w:r>
                    <w:rPr>
                      <w:rFonts w:hint="eastAsia"/>
                      <w:color w:val="auto"/>
                      <w:szCs w:val="21"/>
                      <w:u w:val="single"/>
                    </w:rPr>
                    <w:t>0.3</w:t>
                  </w:r>
                </w:p>
              </w:tc>
            </w:tr>
            <w:tr w14:paraId="6DAA9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8778" w:type="dxa"/>
                  <w:gridSpan w:val="4"/>
                  <w:vAlign w:val="center"/>
                </w:tcPr>
                <w:p w14:paraId="66FC0722">
                  <w:pPr>
                    <w:jc w:val="center"/>
                    <w:rPr>
                      <w:color w:val="auto"/>
                      <w:szCs w:val="21"/>
                      <w:u w:val="single"/>
                    </w:rPr>
                  </w:pPr>
                  <w:r>
                    <w:rPr>
                      <w:rFonts w:hint="eastAsia"/>
                      <w:color w:val="auto"/>
                      <w:szCs w:val="21"/>
                      <w:u w:val="single"/>
                    </w:rPr>
                    <w:t>备注：执行《环境空气质量标准》（GB3095-2012）表2中24小时平均浓度标准限值</w:t>
                  </w:r>
                </w:p>
              </w:tc>
            </w:tr>
          </w:tbl>
          <w:p w14:paraId="442C48F6">
            <w:pPr>
              <w:pBdr>
                <w:top w:val="none" w:color="auto" w:sz="0" w:space="1"/>
                <w:left w:val="none" w:color="auto" w:sz="0" w:space="4"/>
                <w:bottom w:val="none" w:color="auto" w:sz="0" w:space="1"/>
                <w:right w:val="none" w:color="auto" w:sz="0" w:space="4"/>
              </w:pBdr>
              <w:spacing w:line="360" w:lineRule="auto"/>
              <w:ind w:firstLine="480" w:firstLineChars="200"/>
              <w:rPr>
                <w:color w:val="auto"/>
                <w:szCs w:val="21"/>
              </w:rPr>
            </w:pPr>
            <w:r>
              <w:rPr>
                <w:rFonts w:hint="eastAsia"/>
                <w:color w:val="auto"/>
                <w:sz w:val="24"/>
              </w:rPr>
              <w:t>根据表 3-2</w:t>
            </w:r>
            <w:r>
              <w:rPr>
                <w:rFonts w:hint="eastAsia"/>
                <w:color w:val="auto"/>
                <w:sz w:val="24"/>
                <w:lang w:val="en-US" w:eastAsia="zh-CN"/>
              </w:rPr>
              <w:t>至</w:t>
            </w:r>
            <w:r>
              <w:rPr>
                <w:rFonts w:hint="eastAsia"/>
                <w:color w:val="auto"/>
                <w:sz w:val="24"/>
              </w:rPr>
              <w:t>3-</w:t>
            </w:r>
            <w:r>
              <w:rPr>
                <w:rFonts w:hint="eastAsia"/>
                <w:color w:val="auto"/>
                <w:sz w:val="24"/>
                <w:lang w:val="en-US" w:eastAsia="zh-CN"/>
              </w:rPr>
              <w:t>4</w:t>
            </w:r>
            <w:r>
              <w:rPr>
                <w:rFonts w:hint="eastAsia"/>
                <w:color w:val="auto"/>
                <w:sz w:val="24"/>
              </w:rPr>
              <w:t>，项目区域的TVOC、二甲苯浓度满足《环境影响评价技术导则 大气环境》（HJ2.2-2018）中附录D要求，非甲烷总烃可达到《大气污染物综合排放标准详解》 中对应的限值要求，</w:t>
            </w:r>
            <w:r>
              <w:rPr>
                <w:rFonts w:hint="eastAsia"/>
                <w:color w:val="auto"/>
                <w:sz w:val="24"/>
                <w:lang w:val="en-US" w:eastAsia="zh-CN"/>
              </w:rPr>
              <w:t>TSP</w:t>
            </w:r>
            <w:r>
              <w:rPr>
                <w:rFonts w:hint="eastAsia"/>
                <w:color w:val="auto"/>
                <w:sz w:val="24"/>
              </w:rPr>
              <w:t xml:space="preserve">浓度达到《环境空气质量标准》(GB3095-2012)表2中24小时平均浓度标准限值要求。 </w:t>
            </w:r>
          </w:p>
          <w:p w14:paraId="71F7CC52">
            <w:pPr>
              <w:spacing w:line="360" w:lineRule="auto"/>
              <w:rPr>
                <w:rFonts w:eastAsia="Times New Roman"/>
                <w:b/>
                <w:bCs/>
                <w:color w:val="auto"/>
                <w:sz w:val="24"/>
              </w:rPr>
            </w:pPr>
            <w:r>
              <w:rPr>
                <w:rFonts w:hint="eastAsia"/>
                <w:b/>
                <w:bCs/>
                <w:color w:val="auto"/>
                <w:sz w:val="24"/>
              </w:rPr>
              <w:t>3.1.2</w:t>
            </w:r>
            <w:r>
              <w:rPr>
                <w:rFonts w:hint="eastAsia" w:ascii="宋体" w:hAnsi="宋体" w:cs="宋体"/>
                <w:b/>
                <w:bCs/>
                <w:color w:val="auto"/>
                <w:sz w:val="24"/>
              </w:rPr>
              <w:t>地表水环境</w:t>
            </w:r>
          </w:p>
          <w:p w14:paraId="4A666684">
            <w:pPr>
              <w:pBdr>
                <w:top w:val="none" w:color="auto" w:sz="0" w:space="1"/>
                <w:left w:val="none" w:color="auto" w:sz="0" w:space="4"/>
                <w:bottom w:val="none" w:color="auto" w:sz="0" w:space="1"/>
                <w:right w:val="none" w:color="auto" w:sz="0" w:space="4"/>
              </w:pBdr>
              <w:spacing w:line="360" w:lineRule="auto"/>
              <w:ind w:firstLine="480" w:firstLineChars="200"/>
              <w:rPr>
                <w:color w:val="auto"/>
                <w:sz w:val="24"/>
              </w:rPr>
            </w:pPr>
            <w:r>
              <w:rPr>
                <w:color w:val="auto"/>
                <w:sz w:val="24"/>
              </w:rPr>
              <w:t>本项目属于</w:t>
            </w:r>
            <w:r>
              <w:rPr>
                <w:rFonts w:hint="eastAsia"/>
                <w:color w:val="auto"/>
                <w:sz w:val="24"/>
              </w:rPr>
              <w:t>湘潭县第一污水处理厂</w:t>
            </w:r>
            <w:r>
              <w:rPr>
                <w:color w:val="auto"/>
                <w:sz w:val="24"/>
              </w:rPr>
              <w:t>纳污范围</w:t>
            </w:r>
            <w:r>
              <w:rPr>
                <w:rFonts w:hint="eastAsia"/>
                <w:color w:val="auto"/>
                <w:sz w:val="24"/>
              </w:rPr>
              <w:t>，</w:t>
            </w:r>
            <w:r>
              <w:rPr>
                <w:color w:val="auto"/>
                <w:sz w:val="24"/>
              </w:rPr>
              <w:t>生活污水经化粪池</w:t>
            </w:r>
            <w:r>
              <w:rPr>
                <w:rFonts w:hint="eastAsia"/>
                <w:color w:val="auto"/>
                <w:sz w:val="24"/>
              </w:rPr>
              <w:t>预处理</w:t>
            </w:r>
            <w:r>
              <w:rPr>
                <w:color w:val="auto"/>
                <w:sz w:val="24"/>
              </w:rPr>
              <w:t>达</w:t>
            </w:r>
            <w:r>
              <w:rPr>
                <w:rFonts w:hint="eastAsia"/>
                <w:color w:val="auto"/>
                <w:sz w:val="24"/>
              </w:rPr>
              <w:t>到</w:t>
            </w:r>
            <w:r>
              <w:rPr>
                <w:color w:val="auto"/>
                <w:sz w:val="24"/>
              </w:rPr>
              <w:t>《污水综合排放标准》（GB8978-1996）表4中三级标准后，排入市政污水管网，经</w:t>
            </w:r>
            <w:r>
              <w:rPr>
                <w:rFonts w:hint="eastAsia"/>
                <w:color w:val="auto"/>
                <w:sz w:val="24"/>
              </w:rPr>
              <w:t>湘潭县第一污水处理厂</w:t>
            </w:r>
            <w:r>
              <w:rPr>
                <w:color w:val="auto"/>
                <w:sz w:val="24"/>
              </w:rPr>
              <w:t>处理达《城镇污水处理厂污染物排放标准》（GB18918-2002）一级A标准后，排入</w:t>
            </w:r>
            <w:r>
              <w:rPr>
                <w:rFonts w:hint="eastAsia"/>
                <w:color w:val="auto"/>
                <w:sz w:val="24"/>
              </w:rPr>
              <w:t>邯郸港后进入湘江</w:t>
            </w:r>
            <w:r>
              <w:rPr>
                <w:color w:val="auto"/>
                <w:sz w:val="24"/>
              </w:rPr>
              <w:t>。</w:t>
            </w:r>
          </w:p>
          <w:p w14:paraId="5577B230">
            <w:pPr>
              <w:pBdr>
                <w:top w:val="none" w:color="auto" w:sz="0" w:space="1"/>
                <w:left w:val="none" w:color="auto" w:sz="0" w:space="4"/>
                <w:bottom w:val="none" w:color="auto" w:sz="0" w:space="1"/>
                <w:right w:val="none" w:color="auto" w:sz="0" w:space="4"/>
              </w:pBdr>
              <w:spacing w:line="360" w:lineRule="auto"/>
              <w:ind w:firstLine="480" w:firstLineChars="200"/>
              <w:rPr>
                <w:color w:val="auto"/>
                <w:sz w:val="24"/>
              </w:rPr>
            </w:pPr>
            <w:r>
              <w:rPr>
                <w:rFonts w:hint="eastAsia"/>
                <w:color w:val="auto"/>
                <w:sz w:val="24"/>
              </w:rPr>
              <w:t>易俗河水厂取水口上游1000m至下游200m河段属于一级饮用水水源保护区，执行《地表水环境质量标准》（GB3838-2002）中Ⅱ类水体标准。湘江湘潭县段其余河段水质执行《地表水环境质量标准》（GB3838-2002）中Ⅲ类标准</w:t>
            </w:r>
            <w:r>
              <w:rPr>
                <w:color w:val="auto"/>
                <w:sz w:val="24"/>
              </w:rPr>
              <w:t>。为了解项目区域地表水质量现状，本环评收集</w:t>
            </w:r>
            <w:r>
              <w:rPr>
                <w:rFonts w:hint="eastAsia"/>
                <w:color w:val="auto"/>
                <w:sz w:val="24"/>
              </w:rPr>
              <w:t>了</w:t>
            </w:r>
            <w:r>
              <w:rPr>
                <w:color w:val="auto"/>
                <w:sz w:val="24"/>
                <w:shd w:val="clear" w:color="auto" w:fill="FFFFFF"/>
              </w:rPr>
              <w:t>《202</w:t>
            </w:r>
            <w:r>
              <w:rPr>
                <w:rFonts w:hint="eastAsia"/>
                <w:color w:val="auto"/>
                <w:sz w:val="24"/>
                <w:shd w:val="clear" w:color="auto" w:fill="FFFFFF"/>
                <w:lang w:val="en-US" w:eastAsia="zh-CN"/>
              </w:rPr>
              <w:t>3</w:t>
            </w:r>
            <w:r>
              <w:rPr>
                <w:color w:val="auto"/>
                <w:sz w:val="24"/>
                <w:shd w:val="clear" w:color="auto" w:fill="FFFFFF"/>
              </w:rPr>
              <w:t>年湘潭市水环境质量状况年度简报》</w:t>
            </w:r>
            <w:r>
              <w:rPr>
                <w:rFonts w:hint="eastAsia"/>
                <w:color w:val="auto"/>
                <w:sz w:val="24"/>
              </w:rPr>
              <w:t>。</w:t>
            </w:r>
            <w:r>
              <w:rPr>
                <w:color w:val="auto"/>
                <w:sz w:val="24"/>
              </w:rPr>
              <w:t>根据</w:t>
            </w:r>
            <w:r>
              <w:rPr>
                <w:rFonts w:hint="eastAsia"/>
                <w:color w:val="auto"/>
                <w:sz w:val="24"/>
              </w:rPr>
              <w:t>《建设项目环境影响报告表编制技术指南（污染影响类）（试行）》：“引用与建设项目距离近的有效数据，包括近3年的规划环境影响评价的监测数据，所在流域控制单元内国家、地方控制断面监测数据，生态环境主管部门发布的水环境质量数据或地表水达标情况的结论”，可知本项目引用数据可行</w:t>
            </w:r>
            <w:r>
              <w:rPr>
                <w:color w:val="auto"/>
                <w:sz w:val="24"/>
              </w:rPr>
              <w:t>。</w:t>
            </w:r>
          </w:p>
          <w:p w14:paraId="71642A26">
            <w:pPr>
              <w:pBdr>
                <w:top w:val="none" w:color="auto" w:sz="0" w:space="1"/>
                <w:left w:val="none" w:color="auto" w:sz="0" w:space="4"/>
                <w:bottom w:val="none" w:color="auto" w:sz="0" w:space="1"/>
                <w:right w:val="none" w:color="auto" w:sz="0" w:space="4"/>
                <w:between w:val="none" w:color="auto" w:sz="0" w:space="0"/>
              </w:pBdr>
              <w:spacing w:before="0" w:beforeLines="0" w:line="360" w:lineRule="auto"/>
              <w:ind w:firstLine="480" w:firstLineChars="200"/>
              <w:jc w:val="left"/>
              <w:outlineLvl w:val="9"/>
              <w:rPr>
                <w:rFonts w:hint="eastAsia" w:ascii="Times New Roman" w:hAnsi="Times New Roman" w:eastAsia="宋体" w:cs="Times New Roman"/>
                <w:color w:val="auto"/>
                <w:sz w:val="24"/>
                <w:szCs w:val="24"/>
                <w:highlight w:val="none"/>
                <w:u w:val="none" w:color="auto"/>
              </w:rPr>
            </w:pPr>
            <w:r>
              <w:rPr>
                <w:rFonts w:hint="eastAsia" w:ascii="Times New Roman" w:hAnsi="Times New Roman" w:eastAsia="宋体" w:cs="Times New Roman"/>
                <w:color w:val="auto"/>
                <w:sz w:val="24"/>
                <w:szCs w:val="24"/>
                <w:highlight w:val="none"/>
                <w:u w:val="none" w:color="auto"/>
                <w:lang w:val="en-US" w:eastAsia="zh-CN"/>
              </w:rPr>
              <w:t>湘潭易俗河水厂断面、五星（一水厂）断面、涓水入河口水质情况见下表</w:t>
            </w:r>
            <w:r>
              <w:rPr>
                <w:rFonts w:hint="eastAsia" w:ascii="Times New Roman" w:hAnsi="Times New Roman" w:eastAsia="宋体" w:cs="Times New Roman"/>
                <w:color w:val="auto"/>
                <w:sz w:val="24"/>
                <w:szCs w:val="24"/>
                <w:highlight w:val="none"/>
                <w:u w:val="none" w:color="auto"/>
              </w:rPr>
              <w:t>：</w:t>
            </w:r>
          </w:p>
          <w:p w14:paraId="34AE8B9D">
            <w:pPr>
              <w:pStyle w:val="107"/>
              <w:spacing w:line="280" w:lineRule="exact"/>
              <w:ind w:firstLine="0"/>
              <w:jc w:val="center"/>
              <w:rPr>
                <w:rFonts w:hint="eastAsia" w:ascii="Times New Roman" w:hAnsi="Times New Roman" w:eastAsia="宋体" w:cs="Times New Roman"/>
                <w:b/>
                <w:bCs/>
                <w:color w:val="auto"/>
                <w:kern w:val="2"/>
                <w:sz w:val="21"/>
                <w:szCs w:val="21"/>
                <w:lang w:val="en-US" w:eastAsia="zh-CN"/>
              </w:rPr>
            </w:pPr>
          </w:p>
          <w:p w14:paraId="6DED7B8A">
            <w:pPr>
              <w:pStyle w:val="107"/>
              <w:spacing w:line="280" w:lineRule="exact"/>
              <w:ind w:firstLine="0"/>
              <w:jc w:val="center"/>
              <w:rPr>
                <w:rFonts w:hint="eastAsia" w:ascii="Times New Roman" w:hAnsi="Times New Roman" w:eastAsia="宋体" w:cs="Times New Roman"/>
                <w:b/>
                <w:bCs/>
                <w:color w:val="auto"/>
                <w:kern w:val="2"/>
                <w:sz w:val="21"/>
                <w:szCs w:val="21"/>
                <w:lang w:val="en-US" w:eastAsia="zh-CN"/>
              </w:rPr>
            </w:pPr>
            <w:r>
              <w:rPr>
                <w:rFonts w:hint="eastAsia" w:ascii="Times New Roman" w:hAnsi="Times New Roman" w:eastAsia="宋体" w:cs="Times New Roman"/>
                <w:b/>
                <w:bCs/>
                <w:color w:val="auto"/>
                <w:kern w:val="2"/>
                <w:sz w:val="21"/>
                <w:szCs w:val="21"/>
                <w:lang w:val="en-US" w:eastAsia="zh-CN"/>
              </w:rPr>
              <w:t>表3-</w:t>
            </w:r>
            <w:r>
              <w:rPr>
                <w:rFonts w:hint="eastAsia" w:eastAsia="宋体" w:cs="Times New Roman"/>
                <w:b/>
                <w:bCs/>
                <w:color w:val="auto"/>
                <w:kern w:val="2"/>
                <w:sz w:val="21"/>
                <w:szCs w:val="21"/>
                <w:lang w:val="en-US" w:eastAsia="zh-CN"/>
              </w:rPr>
              <w:t>5</w:t>
            </w:r>
            <w:r>
              <w:rPr>
                <w:rFonts w:hint="eastAsia" w:ascii="Times New Roman" w:hAnsi="Times New Roman" w:eastAsia="宋体" w:cs="Times New Roman"/>
                <w:b/>
                <w:bCs/>
                <w:color w:val="auto"/>
                <w:kern w:val="2"/>
                <w:sz w:val="21"/>
                <w:szCs w:val="21"/>
                <w:lang w:val="en-US" w:eastAsia="zh-CN"/>
              </w:rPr>
              <w:t xml:space="preserve">  地表水监测断面概况</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4"/>
              <w:gridCol w:w="1883"/>
              <w:gridCol w:w="2116"/>
              <w:gridCol w:w="1853"/>
              <w:gridCol w:w="1691"/>
            </w:tblGrid>
            <w:tr w14:paraId="4175C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88" w:type="pct"/>
                  <w:tcBorders>
                    <w:tl2br w:val="nil"/>
                    <w:tr2bl w:val="nil"/>
                  </w:tcBorders>
                  <w:vAlign w:val="center"/>
                </w:tcPr>
                <w:p w14:paraId="3BA0F643">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河流</w:t>
                  </w:r>
                </w:p>
              </w:tc>
              <w:tc>
                <w:tcPr>
                  <w:tcW w:w="1076" w:type="pct"/>
                  <w:tcBorders>
                    <w:tl2br w:val="nil"/>
                    <w:tr2bl w:val="nil"/>
                  </w:tcBorders>
                  <w:vAlign w:val="center"/>
                </w:tcPr>
                <w:p w14:paraId="4B40A4F2">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断面名称</w:t>
                  </w:r>
                </w:p>
              </w:tc>
              <w:tc>
                <w:tcPr>
                  <w:tcW w:w="1209" w:type="pct"/>
                  <w:tcBorders>
                    <w:tl2br w:val="nil"/>
                    <w:tr2bl w:val="nil"/>
                  </w:tcBorders>
                  <w:vAlign w:val="center"/>
                </w:tcPr>
                <w:p w14:paraId="6FF36265">
                  <w:pPr>
                    <w:adjustRightInd w:val="0"/>
                    <w:snapToGrid w:val="0"/>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考核目标（2021）</w:t>
                  </w:r>
                </w:p>
              </w:tc>
              <w:tc>
                <w:tcPr>
                  <w:tcW w:w="1059" w:type="pct"/>
                  <w:tcBorders>
                    <w:tl2br w:val="nil"/>
                    <w:tr2bl w:val="nil"/>
                  </w:tcBorders>
                  <w:vAlign w:val="center"/>
                </w:tcPr>
                <w:p w14:paraId="761988CB">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2023水质类别</w:t>
                  </w:r>
                </w:p>
              </w:tc>
              <w:tc>
                <w:tcPr>
                  <w:tcW w:w="966" w:type="pct"/>
                  <w:tcBorders>
                    <w:tl2br w:val="nil"/>
                    <w:tr2bl w:val="nil"/>
                  </w:tcBorders>
                  <w:vAlign w:val="center"/>
                </w:tcPr>
                <w:p w14:paraId="0FE71B0F">
                  <w:pPr>
                    <w:adjustRightInd w:val="0"/>
                    <w:snapToGrid w:val="0"/>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达标状况</w:t>
                  </w:r>
                </w:p>
              </w:tc>
            </w:tr>
            <w:tr w14:paraId="2492A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88" w:type="pct"/>
                  <w:vMerge w:val="restart"/>
                  <w:tcBorders>
                    <w:tl2br w:val="nil"/>
                    <w:tr2bl w:val="nil"/>
                  </w:tcBorders>
                  <w:vAlign w:val="center"/>
                </w:tcPr>
                <w:p w14:paraId="3D328D64">
                  <w:pPr>
                    <w:adjustRightInd w:val="0"/>
                    <w:snapToGrid w:val="0"/>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湘江</w:t>
                  </w:r>
                  <w:r>
                    <w:rPr>
                      <w:rFonts w:hint="eastAsia" w:cs="Times New Roman"/>
                      <w:color w:val="auto"/>
                      <w:szCs w:val="21"/>
                      <w:lang w:val="en-US" w:eastAsia="zh-CN"/>
                    </w:rPr>
                    <w:t>干流</w:t>
                  </w:r>
                </w:p>
              </w:tc>
              <w:tc>
                <w:tcPr>
                  <w:tcW w:w="1076" w:type="pct"/>
                  <w:tcBorders>
                    <w:tl2br w:val="nil"/>
                    <w:tr2bl w:val="nil"/>
                  </w:tcBorders>
                  <w:vAlign w:val="center"/>
                </w:tcPr>
                <w:p w14:paraId="5003504F">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易俗河水厂</w:t>
                  </w:r>
                </w:p>
              </w:tc>
              <w:tc>
                <w:tcPr>
                  <w:tcW w:w="1209" w:type="pct"/>
                  <w:tcBorders>
                    <w:tl2br w:val="nil"/>
                    <w:tr2bl w:val="nil"/>
                  </w:tcBorders>
                  <w:vAlign w:val="center"/>
                </w:tcPr>
                <w:p w14:paraId="28301DAB">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Ⅱ</w:t>
                  </w:r>
                </w:p>
              </w:tc>
              <w:tc>
                <w:tcPr>
                  <w:tcW w:w="1059" w:type="pct"/>
                  <w:tcBorders>
                    <w:tl2br w:val="nil"/>
                    <w:tr2bl w:val="nil"/>
                  </w:tcBorders>
                  <w:vAlign w:val="center"/>
                </w:tcPr>
                <w:p w14:paraId="09FC6062">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Ⅱ</w:t>
                  </w:r>
                </w:p>
              </w:tc>
              <w:tc>
                <w:tcPr>
                  <w:tcW w:w="966" w:type="pct"/>
                  <w:tcBorders>
                    <w:tl2br w:val="nil"/>
                    <w:tr2bl w:val="nil"/>
                  </w:tcBorders>
                  <w:vAlign w:val="center"/>
                </w:tcPr>
                <w:p w14:paraId="4F3DFA88">
                  <w:pPr>
                    <w:adjustRightInd w:val="0"/>
                    <w:snapToGrid w:val="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达标</w:t>
                  </w:r>
                </w:p>
              </w:tc>
            </w:tr>
            <w:tr w14:paraId="38489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88" w:type="pct"/>
                  <w:vMerge w:val="continue"/>
                  <w:tcBorders>
                    <w:tl2br w:val="nil"/>
                    <w:tr2bl w:val="nil"/>
                  </w:tcBorders>
                  <w:vAlign w:val="center"/>
                </w:tcPr>
                <w:p w14:paraId="335AAA4D">
                  <w:pPr>
                    <w:adjustRightInd w:val="0"/>
                    <w:snapToGrid w:val="0"/>
                    <w:jc w:val="center"/>
                    <w:rPr>
                      <w:rFonts w:hint="default" w:ascii="Times New Roman" w:hAnsi="Times New Roman" w:eastAsia="宋体" w:cs="Times New Roman"/>
                      <w:color w:val="auto"/>
                      <w:szCs w:val="21"/>
                    </w:rPr>
                  </w:pPr>
                </w:p>
              </w:tc>
              <w:tc>
                <w:tcPr>
                  <w:tcW w:w="1076" w:type="pct"/>
                  <w:tcBorders>
                    <w:tl2br w:val="nil"/>
                    <w:tr2bl w:val="nil"/>
                  </w:tcBorders>
                  <w:vAlign w:val="center"/>
                </w:tcPr>
                <w:p w14:paraId="2530AC18">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五星（一水厂）</w:t>
                  </w:r>
                </w:p>
              </w:tc>
              <w:tc>
                <w:tcPr>
                  <w:tcW w:w="1209" w:type="pct"/>
                  <w:tcBorders>
                    <w:tl2br w:val="nil"/>
                    <w:tr2bl w:val="nil"/>
                  </w:tcBorders>
                  <w:shd w:val="clear" w:color="auto" w:fill="auto"/>
                  <w:vAlign w:val="center"/>
                </w:tcPr>
                <w:p w14:paraId="74EB4E38">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Ⅱ</w:t>
                  </w:r>
                </w:p>
              </w:tc>
              <w:tc>
                <w:tcPr>
                  <w:tcW w:w="1059" w:type="pct"/>
                  <w:tcBorders>
                    <w:tl2br w:val="nil"/>
                    <w:tr2bl w:val="nil"/>
                  </w:tcBorders>
                  <w:shd w:val="clear" w:color="auto" w:fill="auto"/>
                  <w:vAlign w:val="center"/>
                </w:tcPr>
                <w:p w14:paraId="5DB5B2B1">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达标</w:t>
                  </w:r>
                </w:p>
              </w:tc>
              <w:tc>
                <w:tcPr>
                  <w:tcW w:w="966" w:type="pct"/>
                  <w:tcBorders>
                    <w:tl2br w:val="nil"/>
                    <w:tr2bl w:val="nil"/>
                  </w:tcBorders>
                  <w:shd w:val="clear" w:color="auto" w:fill="auto"/>
                  <w:vAlign w:val="center"/>
                </w:tcPr>
                <w:p w14:paraId="26EAA26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w:t>
                  </w:r>
                </w:p>
              </w:tc>
            </w:tr>
            <w:tr w14:paraId="2B3B1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88" w:type="pct"/>
                  <w:tcBorders>
                    <w:tl2br w:val="nil"/>
                    <w:tr2bl w:val="nil"/>
                  </w:tcBorders>
                  <w:vAlign w:val="center"/>
                </w:tcPr>
                <w:p w14:paraId="42ED1A8F">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支流涓水</w:t>
                  </w:r>
                </w:p>
              </w:tc>
              <w:tc>
                <w:tcPr>
                  <w:tcW w:w="1076" w:type="pct"/>
                  <w:tcBorders>
                    <w:tl2br w:val="nil"/>
                    <w:tr2bl w:val="nil"/>
                  </w:tcBorders>
                  <w:vAlign w:val="center"/>
                </w:tcPr>
                <w:p w14:paraId="7D1D7201">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涓水入湘江口</w:t>
                  </w:r>
                </w:p>
              </w:tc>
              <w:tc>
                <w:tcPr>
                  <w:tcW w:w="1209" w:type="pct"/>
                  <w:tcBorders>
                    <w:tl2br w:val="nil"/>
                    <w:tr2bl w:val="nil"/>
                  </w:tcBorders>
                  <w:vAlign w:val="center"/>
                </w:tcPr>
                <w:p w14:paraId="1A94B92D">
                  <w:pPr>
                    <w:adjustRightInd w:val="0"/>
                    <w:snapToGrid w:val="0"/>
                    <w:jc w:val="center"/>
                    <w:rPr>
                      <w:rFonts w:hint="eastAsia"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Ⅲ</w:t>
                  </w:r>
                  <w:r>
                    <w:rPr>
                      <w:rFonts w:hint="eastAsia" w:cs="Times New Roman"/>
                      <w:color w:val="auto"/>
                      <w:szCs w:val="21"/>
                      <w:lang w:eastAsia="zh-CN"/>
                    </w:rPr>
                    <w:t>（</w:t>
                  </w:r>
                  <w:r>
                    <w:rPr>
                      <w:rFonts w:hint="eastAsia" w:cs="Times New Roman"/>
                      <w:color w:val="auto"/>
                      <w:szCs w:val="21"/>
                      <w:lang w:val="en-US" w:eastAsia="zh-CN"/>
                    </w:rPr>
                    <w:t>铊≤0.07</w:t>
                  </w:r>
                  <w:r>
                    <w:rPr>
                      <w:rFonts w:hint="default" w:ascii="Times New Roman" w:hAnsi="Times New Roman" w:cs="Times New Roman"/>
                      <w:color w:val="auto"/>
                      <w:szCs w:val="21"/>
                      <w:lang w:val="en-US" w:eastAsia="zh-CN"/>
                    </w:rPr>
                    <w:t>μg/L</w:t>
                  </w:r>
                  <w:r>
                    <w:rPr>
                      <w:rFonts w:hint="eastAsia" w:cs="Times New Roman"/>
                      <w:color w:val="auto"/>
                      <w:szCs w:val="21"/>
                      <w:lang w:eastAsia="zh-CN"/>
                    </w:rPr>
                    <w:t>）</w:t>
                  </w:r>
                </w:p>
              </w:tc>
              <w:tc>
                <w:tcPr>
                  <w:tcW w:w="1059" w:type="pct"/>
                  <w:tcBorders>
                    <w:tl2br w:val="nil"/>
                    <w:tr2bl w:val="nil"/>
                  </w:tcBorders>
                  <w:shd w:val="clear" w:color="auto" w:fill="auto"/>
                  <w:vAlign w:val="center"/>
                </w:tcPr>
                <w:p w14:paraId="356B8DD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Ⅱ</w:t>
                  </w:r>
                </w:p>
              </w:tc>
              <w:tc>
                <w:tcPr>
                  <w:tcW w:w="966" w:type="pct"/>
                  <w:tcBorders>
                    <w:tl2br w:val="nil"/>
                    <w:tr2bl w:val="nil"/>
                  </w:tcBorders>
                  <w:shd w:val="clear" w:color="auto" w:fill="auto"/>
                  <w:vAlign w:val="center"/>
                </w:tcPr>
                <w:p w14:paraId="6A27333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达标</w:t>
                  </w:r>
                </w:p>
              </w:tc>
            </w:tr>
          </w:tbl>
          <w:p w14:paraId="3EAD358D">
            <w:pPr>
              <w:spacing w:line="360" w:lineRule="auto"/>
              <w:ind w:firstLine="480" w:firstLineChars="200"/>
              <w:rPr>
                <w:color w:val="auto"/>
                <w:sz w:val="24"/>
                <w:shd w:val="clear" w:color="auto" w:fill="FFFFFF"/>
              </w:rPr>
            </w:pPr>
            <w:r>
              <w:rPr>
                <w:rFonts w:hint="eastAsia" w:ascii="Times New Roman" w:hAnsi="Times New Roman" w:eastAsia="宋体" w:cs="Times New Roman"/>
                <w:color w:val="auto"/>
                <w:sz w:val="24"/>
                <w:lang w:val="en-US" w:eastAsia="zh-CN"/>
              </w:rPr>
              <w:t>由上表可知，湘潭市易俗河水厂断面、五星（一水厂）断面、涓水入河口水质达到了II类水质标准，202</w:t>
            </w:r>
            <w:r>
              <w:rPr>
                <w:rFonts w:hint="eastAsia" w:cs="Times New Roman"/>
                <w:color w:val="auto"/>
                <w:sz w:val="24"/>
                <w:lang w:val="en-US" w:eastAsia="zh-CN"/>
              </w:rPr>
              <w:t>3</w:t>
            </w:r>
            <w:r>
              <w:rPr>
                <w:rFonts w:hint="eastAsia" w:ascii="Times New Roman" w:hAnsi="Times New Roman" w:eastAsia="宋体" w:cs="Times New Roman"/>
                <w:color w:val="auto"/>
                <w:sz w:val="24"/>
                <w:lang w:val="en-US" w:eastAsia="zh-CN"/>
              </w:rPr>
              <w:t>年湘潭市地表水水质总体为优。</w:t>
            </w:r>
          </w:p>
          <w:p w14:paraId="4B9805B4">
            <w:pPr>
              <w:spacing w:line="360" w:lineRule="auto"/>
              <w:rPr>
                <w:rFonts w:eastAsia="Times New Roman"/>
                <w:b/>
                <w:color w:val="auto"/>
                <w:kern w:val="0"/>
                <w:sz w:val="24"/>
              </w:rPr>
            </w:pPr>
            <w:r>
              <w:rPr>
                <w:rFonts w:hint="eastAsia"/>
                <w:b/>
                <w:color w:val="auto"/>
                <w:kern w:val="0"/>
                <w:sz w:val="24"/>
              </w:rPr>
              <w:t>3.1.</w:t>
            </w:r>
            <w:r>
              <w:rPr>
                <w:rFonts w:eastAsia="Times New Roman"/>
                <w:b/>
                <w:color w:val="auto"/>
                <w:kern w:val="0"/>
                <w:sz w:val="24"/>
              </w:rPr>
              <w:t>3</w:t>
            </w:r>
            <w:r>
              <w:rPr>
                <w:b/>
                <w:color w:val="auto"/>
                <w:kern w:val="0"/>
                <w:sz w:val="24"/>
              </w:rPr>
              <w:t>声</w:t>
            </w:r>
            <w:r>
              <w:rPr>
                <w:rFonts w:hint="eastAsia" w:ascii="宋体" w:hAnsi="宋体" w:cs="宋体"/>
                <w:b/>
                <w:color w:val="auto"/>
                <w:kern w:val="0"/>
                <w:sz w:val="24"/>
              </w:rPr>
              <w:t>环境</w:t>
            </w:r>
          </w:p>
          <w:p w14:paraId="221FAB93">
            <w:pPr>
              <w:spacing w:line="360" w:lineRule="auto"/>
              <w:ind w:firstLine="480" w:firstLineChars="200"/>
              <w:rPr>
                <w:color w:val="auto"/>
                <w:sz w:val="24"/>
              </w:rPr>
            </w:pPr>
            <w:r>
              <w:rPr>
                <w:rFonts w:hint="eastAsia"/>
                <w:color w:val="auto"/>
                <w:sz w:val="24"/>
              </w:rPr>
              <w:t>根据生态环境部办公厅2020年12月24日印发的《建设项目环境影响报告表编制技术指南（污染影响类）（试行）》中具体编制要求“声环境、厂界外周边50米范围内存在声环境保护目标的建设项目，应监测保护目标声环境质量现状并评价达标情况。各点位应监测昼夜间噪声，监测时间不少于1天，项目夜间不生产则仅监测昼间噪声。”结合现场调查，本项目周边50m范围内无声环境保护目标，因此无需进行监测。</w:t>
            </w:r>
          </w:p>
          <w:p w14:paraId="3405F06F">
            <w:pPr>
              <w:spacing w:line="360" w:lineRule="auto"/>
              <w:rPr>
                <w:rFonts w:eastAsia="Times New Roman"/>
                <w:b/>
                <w:bCs/>
                <w:color w:val="auto"/>
                <w:sz w:val="24"/>
              </w:rPr>
            </w:pPr>
            <w:r>
              <w:rPr>
                <w:rFonts w:hint="eastAsia"/>
                <w:b/>
                <w:bCs/>
                <w:color w:val="auto"/>
                <w:sz w:val="24"/>
              </w:rPr>
              <w:t>3.1.</w:t>
            </w:r>
            <w:r>
              <w:rPr>
                <w:rFonts w:eastAsia="Times New Roman"/>
                <w:b/>
                <w:bCs/>
                <w:color w:val="auto"/>
                <w:sz w:val="24"/>
              </w:rPr>
              <w:t>4</w:t>
            </w:r>
            <w:r>
              <w:rPr>
                <w:rFonts w:hint="eastAsia" w:ascii="宋体" w:hAnsi="宋体" w:cs="宋体"/>
                <w:b/>
                <w:bCs/>
                <w:color w:val="auto"/>
                <w:sz w:val="24"/>
              </w:rPr>
              <w:t>生态环境</w:t>
            </w:r>
          </w:p>
          <w:p w14:paraId="62E5977B">
            <w:pPr>
              <w:adjustRightInd w:val="0"/>
              <w:snapToGrid w:val="0"/>
              <w:spacing w:line="360" w:lineRule="auto"/>
              <w:ind w:firstLine="480" w:firstLineChars="200"/>
              <w:jc w:val="left"/>
              <w:rPr>
                <w:rFonts w:ascii="宋体" w:hAnsi="宋体" w:cs="宋体"/>
                <w:color w:val="auto"/>
                <w:sz w:val="24"/>
              </w:rPr>
            </w:pPr>
            <w:r>
              <w:rPr>
                <w:rFonts w:hint="eastAsia" w:ascii="宋体" w:hAnsi="宋体" w:cs="宋体"/>
                <w:color w:val="auto"/>
                <w:sz w:val="24"/>
              </w:rPr>
              <w:t>项目位于产业园区内，租赁已建成工业厂房，用地范围内无生态环境保护目标，可不进行生态现状调查。</w:t>
            </w:r>
          </w:p>
          <w:p w14:paraId="1CF13CA0">
            <w:pPr>
              <w:pStyle w:val="28"/>
              <w:ind w:firstLine="0" w:firstLineChars="0"/>
              <w:rPr>
                <w:b/>
                <w:color w:val="auto"/>
                <w:szCs w:val="22"/>
              </w:rPr>
            </w:pPr>
            <w:r>
              <w:rPr>
                <w:rFonts w:hint="eastAsia"/>
                <w:b/>
                <w:color w:val="auto"/>
                <w:szCs w:val="22"/>
              </w:rPr>
              <w:t>3.1.5地下水、土壤环境质量现状</w:t>
            </w:r>
          </w:p>
          <w:p w14:paraId="6DAF9206">
            <w:pPr>
              <w:adjustRightInd w:val="0"/>
              <w:snapToGrid w:val="0"/>
              <w:spacing w:line="360" w:lineRule="auto"/>
              <w:ind w:firstLine="480" w:firstLineChars="200"/>
              <w:jc w:val="left"/>
              <w:rPr>
                <w:color w:val="auto"/>
              </w:rPr>
            </w:pPr>
            <w:r>
              <w:rPr>
                <w:rFonts w:hint="eastAsia"/>
                <w:color w:val="auto"/>
                <w:sz w:val="24"/>
              </w:rPr>
              <w:t>根据《环境影响评价技术导则 土壤环境（试行）》（HJ964-2018）， 本项目属于附录A土壤环境影响评价项目类别中“制造业  金属冶炼和压延加工及非金属矿物质品 有色金属铸造及合金制造”的行业类别，为“</w:t>
            </w:r>
            <w:r>
              <w:rPr>
                <w:rFonts w:hint="eastAsia" w:ascii="宋体" w:hAnsi="宋体" w:cs="宋体"/>
                <w:color w:val="auto"/>
                <w:sz w:val="24"/>
              </w:rPr>
              <w:t>Ⅱ</w:t>
            </w:r>
            <w:r>
              <w:rPr>
                <w:rFonts w:hint="eastAsia"/>
                <w:color w:val="auto"/>
                <w:sz w:val="24"/>
              </w:rPr>
              <w:t>类项目”，本项目所在地周边均为工业用地，土壤环境敏感程度为不敏感，项目占地规模较小（≤5hm</w:t>
            </w:r>
            <w:r>
              <w:rPr>
                <w:rFonts w:hint="eastAsia"/>
                <w:color w:val="auto"/>
                <w:sz w:val="24"/>
                <w:vertAlign w:val="superscript"/>
              </w:rPr>
              <w:t>2</w:t>
            </w:r>
            <w:r>
              <w:rPr>
                <w:rFonts w:hint="eastAsia"/>
                <w:color w:val="auto"/>
                <w:sz w:val="24"/>
              </w:rPr>
              <w:t>），根据污染影响评价工作等级划分表，土壤环境应为三级评价。</w:t>
            </w:r>
          </w:p>
          <w:p w14:paraId="0381F076">
            <w:pPr>
              <w:adjustRightInd w:val="0"/>
              <w:snapToGrid w:val="0"/>
              <w:spacing w:line="360" w:lineRule="auto"/>
              <w:ind w:firstLine="480" w:firstLineChars="200"/>
              <w:jc w:val="left"/>
              <w:rPr>
                <w:rFonts w:ascii="宋体" w:hAnsi="宋体" w:cs="宋体"/>
                <w:color w:val="auto"/>
                <w:kern w:val="0"/>
                <w:szCs w:val="21"/>
              </w:rPr>
            </w:pPr>
            <w:r>
              <w:rPr>
                <w:rFonts w:hint="eastAsia"/>
                <w:color w:val="auto"/>
                <w:sz w:val="24"/>
              </w:rPr>
              <w:t>根据生态环境部办公厅2020年12月24日印发的《建设项目环境影响报告表编制技术指南（污染影响类）（试行）》中针对区域环境质量现状——“地下水、土壤环境原则上不开展环境质量现状调查。建设项目存在土壤、地下水环境污染途径的，应结合污染源、保护目标分布情况开展现状调查以留作背景值”。结合项目工艺，本项目营运过程产生的废气、废水、固废均可得到有效处理处置，厂房车间均进行硬化并实施分区防渗，正常情况下项目不存在土壤、地下水环境污染途径，因此不开展土壤、地下水环境质量现状调查</w:t>
            </w:r>
            <w:r>
              <w:rPr>
                <w:rFonts w:hint="eastAsia" w:ascii="宋体" w:hAnsi="宋体" w:cs="宋体"/>
                <w:color w:val="auto"/>
                <w:sz w:val="24"/>
              </w:rPr>
              <w:t>。</w:t>
            </w:r>
          </w:p>
        </w:tc>
      </w:tr>
      <w:tr w14:paraId="3AB8ED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26" w:type="dxa"/>
            <w:vAlign w:val="center"/>
          </w:tcPr>
          <w:p w14:paraId="36B70DB6">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14:paraId="2795CDB8">
            <w:pPr>
              <w:adjustRightInd w:val="0"/>
              <w:snapToGrid w:val="0"/>
              <w:jc w:val="center"/>
              <w:rPr>
                <w:rFonts w:ascii="宋体" w:hAnsi="宋体" w:cs="宋体"/>
                <w:color w:val="auto"/>
                <w:kern w:val="0"/>
                <w:szCs w:val="21"/>
              </w:rPr>
            </w:pPr>
            <w:r>
              <w:rPr>
                <w:rFonts w:hint="eastAsia" w:ascii="宋体" w:hAnsi="宋体" w:cs="宋体"/>
                <w:color w:val="auto"/>
                <w:kern w:val="0"/>
                <w:szCs w:val="21"/>
              </w:rPr>
              <w:t>保护</w:t>
            </w:r>
          </w:p>
          <w:p w14:paraId="3901D413">
            <w:pPr>
              <w:adjustRightInd w:val="0"/>
              <w:snapToGrid w:val="0"/>
              <w:jc w:val="center"/>
              <w:rPr>
                <w:rFonts w:ascii="宋体" w:hAnsi="宋体" w:cs="宋体"/>
                <w:color w:val="auto"/>
                <w:kern w:val="0"/>
                <w:szCs w:val="21"/>
              </w:rPr>
            </w:pPr>
            <w:r>
              <w:rPr>
                <w:rFonts w:hint="eastAsia" w:ascii="宋体" w:hAnsi="宋体" w:cs="宋体"/>
                <w:color w:val="auto"/>
                <w:kern w:val="0"/>
                <w:szCs w:val="21"/>
              </w:rPr>
              <w:t>目标</w:t>
            </w:r>
          </w:p>
        </w:tc>
        <w:tc>
          <w:tcPr>
            <w:tcW w:w="8975" w:type="dxa"/>
            <w:vAlign w:val="center"/>
          </w:tcPr>
          <w:p w14:paraId="1631BAA4">
            <w:pPr>
              <w:numPr>
                <w:ilvl w:val="0"/>
                <w:numId w:val="5"/>
              </w:numPr>
              <w:spacing w:before="120" w:beforeLines="50" w:line="360" w:lineRule="auto"/>
              <w:ind w:firstLine="482" w:firstLineChars="200"/>
              <w:textAlignment w:val="baseline"/>
              <w:rPr>
                <w:b/>
                <w:bCs/>
                <w:color w:val="auto"/>
                <w:sz w:val="24"/>
                <w:u w:val="single"/>
              </w:rPr>
            </w:pPr>
            <w:r>
              <w:rPr>
                <w:rFonts w:hint="eastAsia"/>
                <w:b/>
                <w:bCs/>
                <w:color w:val="auto"/>
                <w:sz w:val="24"/>
              </w:rPr>
              <w:t>大气环境：</w:t>
            </w:r>
            <w:r>
              <w:rPr>
                <w:rFonts w:hint="eastAsia"/>
                <w:color w:val="auto"/>
                <w:sz w:val="24"/>
              </w:rPr>
              <w:t>本项目厂界外 500 米范围内的大气环境保护目标名称及相对位置关系见3-6。</w:t>
            </w:r>
          </w:p>
          <w:p w14:paraId="0CD1E1F9">
            <w:pPr>
              <w:adjustRightInd w:val="0"/>
              <w:snapToGrid w:val="0"/>
              <w:spacing w:line="360" w:lineRule="auto"/>
              <w:jc w:val="center"/>
              <w:rPr>
                <w:b/>
                <w:bCs/>
                <w:color w:val="auto"/>
                <w:szCs w:val="21"/>
              </w:rPr>
            </w:pPr>
            <w:r>
              <w:rPr>
                <w:b/>
                <w:bCs/>
                <w:color w:val="auto"/>
                <w:szCs w:val="21"/>
              </w:rPr>
              <w:t>表3-</w:t>
            </w:r>
            <w:r>
              <w:rPr>
                <w:rFonts w:hint="eastAsia"/>
                <w:b/>
                <w:bCs/>
                <w:color w:val="auto"/>
                <w:szCs w:val="21"/>
              </w:rPr>
              <w:t>6</w:t>
            </w:r>
            <w:r>
              <w:rPr>
                <w:b/>
                <w:bCs/>
                <w:color w:val="auto"/>
                <w:szCs w:val="21"/>
              </w:rPr>
              <w:t xml:space="preserve">  项目</w:t>
            </w:r>
            <w:r>
              <w:rPr>
                <w:rFonts w:hint="eastAsia"/>
                <w:b/>
                <w:bCs/>
                <w:color w:val="auto"/>
                <w:szCs w:val="21"/>
              </w:rPr>
              <w:t>大气环境周边环境保护目标分布表</w:t>
            </w:r>
          </w:p>
          <w:tbl>
            <w:tblPr>
              <w:tblStyle w:val="30"/>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1608"/>
              <w:gridCol w:w="1100"/>
              <w:gridCol w:w="1328"/>
              <w:gridCol w:w="1480"/>
              <w:gridCol w:w="1060"/>
              <w:gridCol w:w="1473"/>
            </w:tblGrid>
            <w:tr w14:paraId="70BBAD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3" w:type="pct"/>
                  <w:vMerge w:val="restart"/>
                  <w:tcBorders>
                    <w:tl2br w:val="nil"/>
                    <w:tr2bl w:val="nil"/>
                  </w:tcBorders>
                  <w:vAlign w:val="center"/>
                </w:tcPr>
                <w:p w14:paraId="6AD6D05E">
                  <w:pPr>
                    <w:adjustRightInd w:val="0"/>
                    <w:snapToGrid w:val="0"/>
                    <w:jc w:val="center"/>
                    <w:textAlignment w:val="baseline"/>
                    <w:rPr>
                      <w:b/>
                      <w:bCs/>
                      <w:color w:val="auto"/>
                      <w:szCs w:val="21"/>
                    </w:rPr>
                  </w:pPr>
                  <w:r>
                    <w:rPr>
                      <w:b/>
                      <w:bCs/>
                      <w:color w:val="auto"/>
                      <w:szCs w:val="21"/>
                    </w:rPr>
                    <w:t>环境</w:t>
                  </w:r>
                </w:p>
                <w:p w14:paraId="4E0487DB">
                  <w:pPr>
                    <w:adjustRightInd w:val="0"/>
                    <w:snapToGrid w:val="0"/>
                    <w:jc w:val="center"/>
                    <w:textAlignment w:val="baseline"/>
                    <w:rPr>
                      <w:b/>
                      <w:bCs/>
                      <w:color w:val="auto"/>
                      <w:szCs w:val="21"/>
                    </w:rPr>
                  </w:pPr>
                  <w:r>
                    <w:rPr>
                      <w:b/>
                      <w:bCs/>
                      <w:color w:val="auto"/>
                      <w:szCs w:val="21"/>
                    </w:rPr>
                    <w:t>要素</w:t>
                  </w:r>
                </w:p>
              </w:tc>
              <w:tc>
                <w:tcPr>
                  <w:tcW w:w="918" w:type="pct"/>
                  <w:vMerge w:val="restart"/>
                  <w:tcBorders>
                    <w:tl2br w:val="nil"/>
                    <w:tr2bl w:val="nil"/>
                  </w:tcBorders>
                  <w:vAlign w:val="center"/>
                </w:tcPr>
                <w:p w14:paraId="1EDCB101">
                  <w:pPr>
                    <w:adjustRightInd w:val="0"/>
                    <w:snapToGrid w:val="0"/>
                    <w:jc w:val="center"/>
                    <w:textAlignment w:val="baseline"/>
                    <w:rPr>
                      <w:b/>
                      <w:bCs/>
                      <w:color w:val="auto"/>
                      <w:szCs w:val="21"/>
                    </w:rPr>
                  </w:pPr>
                  <w:r>
                    <w:rPr>
                      <w:b/>
                      <w:bCs/>
                      <w:color w:val="auto"/>
                      <w:szCs w:val="21"/>
                    </w:rPr>
                    <w:t>名称</w:t>
                  </w:r>
                </w:p>
              </w:tc>
              <w:tc>
                <w:tcPr>
                  <w:tcW w:w="628" w:type="pct"/>
                  <w:vMerge w:val="restart"/>
                  <w:tcBorders>
                    <w:tl2br w:val="nil"/>
                    <w:tr2bl w:val="nil"/>
                  </w:tcBorders>
                  <w:vAlign w:val="center"/>
                </w:tcPr>
                <w:p w14:paraId="137F420B">
                  <w:pPr>
                    <w:adjustRightInd w:val="0"/>
                    <w:snapToGrid w:val="0"/>
                    <w:jc w:val="center"/>
                    <w:textAlignment w:val="baseline"/>
                    <w:rPr>
                      <w:b/>
                      <w:bCs/>
                      <w:color w:val="auto"/>
                      <w:szCs w:val="21"/>
                    </w:rPr>
                  </w:pPr>
                  <w:r>
                    <w:rPr>
                      <w:b/>
                      <w:bCs/>
                      <w:color w:val="auto"/>
                      <w:szCs w:val="21"/>
                    </w:rPr>
                    <w:t>保护对象</w:t>
                  </w:r>
                </w:p>
              </w:tc>
              <w:tc>
                <w:tcPr>
                  <w:tcW w:w="757" w:type="pct"/>
                  <w:vMerge w:val="restart"/>
                  <w:tcBorders>
                    <w:tl2br w:val="nil"/>
                    <w:tr2bl w:val="nil"/>
                  </w:tcBorders>
                  <w:vAlign w:val="center"/>
                </w:tcPr>
                <w:p w14:paraId="141548D6">
                  <w:pPr>
                    <w:adjustRightInd w:val="0"/>
                    <w:snapToGrid w:val="0"/>
                    <w:jc w:val="center"/>
                    <w:textAlignment w:val="baseline"/>
                    <w:rPr>
                      <w:b/>
                      <w:bCs/>
                      <w:color w:val="auto"/>
                      <w:szCs w:val="21"/>
                    </w:rPr>
                  </w:pPr>
                  <w:r>
                    <w:rPr>
                      <w:b/>
                      <w:bCs/>
                      <w:color w:val="auto"/>
                      <w:szCs w:val="21"/>
                    </w:rPr>
                    <w:t>保护</w:t>
                  </w:r>
                  <w:r>
                    <w:rPr>
                      <w:rFonts w:hint="eastAsia"/>
                      <w:b/>
                      <w:bCs/>
                      <w:color w:val="auto"/>
                      <w:szCs w:val="21"/>
                    </w:rPr>
                    <w:t>规模</w:t>
                  </w:r>
                </w:p>
              </w:tc>
              <w:tc>
                <w:tcPr>
                  <w:tcW w:w="845" w:type="pct"/>
                  <w:vMerge w:val="restart"/>
                  <w:tcBorders>
                    <w:tl2br w:val="nil"/>
                    <w:tr2bl w:val="nil"/>
                  </w:tcBorders>
                  <w:vAlign w:val="center"/>
                </w:tcPr>
                <w:p w14:paraId="0F97ECFF">
                  <w:pPr>
                    <w:adjustRightInd w:val="0"/>
                    <w:snapToGrid w:val="0"/>
                    <w:jc w:val="center"/>
                    <w:textAlignment w:val="baseline"/>
                    <w:rPr>
                      <w:b/>
                      <w:bCs/>
                      <w:color w:val="auto"/>
                      <w:szCs w:val="21"/>
                    </w:rPr>
                  </w:pPr>
                  <w:r>
                    <w:rPr>
                      <w:b/>
                      <w:bCs/>
                      <w:color w:val="auto"/>
                      <w:szCs w:val="21"/>
                    </w:rPr>
                    <w:t>环境功能区</w:t>
                  </w:r>
                </w:p>
              </w:tc>
              <w:tc>
                <w:tcPr>
                  <w:tcW w:w="605" w:type="pct"/>
                  <w:vMerge w:val="restart"/>
                  <w:tcBorders>
                    <w:tl2br w:val="nil"/>
                    <w:tr2bl w:val="nil"/>
                  </w:tcBorders>
                  <w:vAlign w:val="center"/>
                </w:tcPr>
                <w:p w14:paraId="526BAF67">
                  <w:pPr>
                    <w:adjustRightInd w:val="0"/>
                    <w:snapToGrid w:val="0"/>
                    <w:jc w:val="center"/>
                    <w:textAlignment w:val="baseline"/>
                    <w:rPr>
                      <w:b/>
                      <w:bCs/>
                      <w:color w:val="auto"/>
                      <w:szCs w:val="21"/>
                    </w:rPr>
                  </w:pPr>
                  <w:r>
                    <w:rPr>
                      <w:b/>
                      <w:bCs/>
                      <w:color w:val="auto"/>
                      <w:szCs w:val="21"/>
                    </w:rPr>
                    <w:t>相对厂址方位</w:t>
                  </w:r>
                </w:p>
              </w:tc>
              <w:tc>
                <w:tcPr>
                  <w:tcW w:w="841" w:type="pct"/>
                  <w:vMerge w:val="restart"/>
                  <w:tcBorders>
                    <w:tl2br w:val="nil"/>
                    <w:tr2bl w:val="nil"/>
                  </w:tcBorders>
                  <w:vAlign w:val="center"/>
                </w:tcPr>
                <w:p w14:paraId="0834E82D">
                  <w:pPr>
                    <w:adjustRightInd w:val="0"/>
                    <w:snapToGrid w:val="0"/>
                    <w:jc w:val="center"/>
                    <w:textAlignment w:val="baseline"/>
                    <w:rPr>
                      <w:b/>
                      <w:bCs/>
                      <w:color w:val="auto"/>
                      <w:szCs w:val="21"/>
                    </w:rPr>
                  </w:pPr>
                  <w:r>
                    <w:rPr>
                      <w:b/>
                      <w:bCs/>
                      <w:color w:val="auto"/>
                      <w:szCs w:val="21"/>
                    </w:rPr>
                    <w:t>相对厂界</w:t>
                  </w:r>
                  <w:r>
                    <w:rPr>
                      <w:rFonts w:hint="eastAsia"/>
                      <w:b/>
                      <w:bCs/>
                      <w:color w:val="auto"/>
                      <w:szCs w:val="21"/>
                    </w:rPr>
                    <w:t>最近</w:t>
                  </w:r>
                  <w:r>
                    <w:rPr>
                      <w:b/>
                      <w:bCs/>
                      <w:color w:val="auto"/>
                      <w:szCs w:val="21"/>
                    </w:rPr>
                    <w:t>距离/m</w:t>
                  </w:r>
                </w:p>
              </w:tc>
            </w:tr>
            <w:tr w14:paraId="01962A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403" w:type="pct"/>
                  <w:vMerge w:val="continue"/>
                  <w:tcBorders>
                    <w:tl2br w:val="nil"/>
                    <w:tr2bl w:val="nil"/>
                  </w:tcBorders>
                  <w:vAlign w:val="center"/>
                </w:tcPr>
                <w:p w14:paraId="6AEBFB4F">
                  <w:pPr>
                    <w:numPr>
                      <w:ilvl w:val="0"/>
                      <w:numId w:val="6"/>
                    </w:numPr>
                    <w:spacing w:line="360" w:lineRule="auto"/>
                    <w:ind w:firstLine="420" w:firstLineChars="200"/>
                    <w:jc w:val="left"/>
                    <w:rPr>
                      <w:color w:val="auto"/>
                      <w:szCs w:val="21"/>
                    </w:rPr>
                  </w:pPr>
                </w:p>
              </w:tc>
              <w:tc>
                <w:tcPr>
                  <w:tcW w:w="918" w:type="pct"/>
                  <w:vMerge w:val="continue"/>
                  <w:tcBorders>
                    <w:tl2br w:val="nil"/>
                    <w:tr2bl w:val="nil"/>
                  </w:tcBorders>
                  <w:vAlign w:val="center"/>
                </w:tcPr>
                <w:p w14:paraId="7A14E920">
                  <w:pPr>
                    <w:numPr>
                      <w:ilvl w:val="0"/>
                      <w:numId w:val="6"/>
                    </w:numPr>
                    <w:spacing w:line="360" w:lineRule="auto"/>
                    <w:ind w:firstLine="420" w:firstLineChars="200"/>
                    <w:jc w:val="left"/>
                    <w:rPr>
                      <w:color w:val="auto"/>
                      <w:szCs w:val="21"/>
                    </w:rPr>
                  </w:pPr>
                </w:p>
              </w:tc>
              <w:tc>
                <w:tcPr>
                  <w:tcW w:w="628" w:type="pct"/>
                  <w:vMerge w:val="continue"/>
                  <w:tcBorders>
                    <w:tl2br w:val="nil"/>
                    <w:tr2bl w:val="nil"/>
                  </w:tcBorders>
                  <w:vAlign w:val="center"/>
                </w:tcPr>
                <w:p w14:paraId="0F407254">
                  <w:pPr>
                    <w:numPr>
                      <w:ilvl w:val="0"/>
                      <w:numId w:val="6"/>
                    </w:numPr>
                    <w:spacing w:line="360" w:lineRule="auto"/>
                    <w:ind w:firstLine="420" w:firstLineChars="200"/>
                    <w:jc w:val="left"/>
                    <w:rPr>
                      <w:color w:val="auto"/>
                      <w:szCs w:val="21"/>
                    </w:rPr>
                  </w:pPr>
                </w:p>
              </w:tc>
              <w:tc>
                <w:tcPr>
                  <w:tcW w:w="757" w:type="pct"/>
                  <w:vMerge w:val="continue"/>
                  <w:tcBorders>
                    <w:tl2br w:val="nil"/>
                    <w:tr2bl w:val="nil"/>
                  </w:tcBorders>
                  <w:vAlign w:val="center"/>
                </w:tcPr>
                <w:p w14:paraId="366EC42D">
                  <w:pPr>
                    <w:numPr>
                      <w:ilvl w:val="0"/>
                      <w:numId w:val="6"/>
                    </w:numPr>
                    <w:spacing w:line="360" w:lineRule="auto"/>
                    <w:ind w:firstLine="420" w:firstLineChars="200"/>
                    <w:jc w:val="left"/>
                    <w:rPr>
                      <w:color w:val="auto"/>
                      <w:szCs w:val="21"/>
                    </w:rPr>
                  </w:pPr>
                </w:p>
              </w:tc>
              <w:tc>
                <w:tcPr>
                  <w:tcW w:w="845" w:type="pct"/>
                  <w:vMerge w:val="continue"/>
                  <w:tcBorders>
                    <w:tl2br w:val="nil"/>
                    <w:tr2bl w:val="nil"/>
                  </w:tcBorders>
                  <w:vAlign w:val="center"/>
                </w:tcPr>
                <w:p w14:paraId="5268CD03">
                  <w:pPr>
                    <w:numPr>
                      <w:ilvl w:val="0"/>
                      <w:numId w:val="6"/>
                    </w:numPr>
                    <w:spacing w:line="360" w:lineRule="auto"/>
                    <w:ind w:firstLine="420" w:firstLineChars="200"/>
                    <w:jc w:val="left"/>
                    <w:rPr>
                      <w:color w:val="auto"/>
                      <w:szCs w:val="21"/>
                    </w:rPr>
                  </w:pPr>
                </w:p>
              </w:tc>
              <w:tc>
                <w:tcPr>
                  <w:tcW w:w="605" w:type="pct"/>
                  <w:vMerge w:val="continue"/>
                  <w:tcBorders>
                    <w:tl2br w:val="nil"/>
                    <w:tr2bl w:val="nil"/>
                  </w:tcBorders>
                  <w:vAlign w:val="center"/>
                </w:tcPr>
                <w:p w14:paraId="198DBDB0">
                  <w:pPr>
                    <w:numPr>
                      <w:ilvl w:val="0"/>
                      <w:numId w:val="6"/>
                    </w:numPr>
                    <w:spacing w:line="360" w:lineRule="auto"/>
                    <w:ind w:firstLine="420" w:firstLineChars="200"/>
                    <w:jc w:val="left"/>
                    <w:rPr>
                      <w:color w:val="auto"/>
                      <w:szCs w:val="21"/>
                    </w:rPr>
                  </w:pPr>
                </w:p>
              </w:tc>
              <w:tc>
                <w:tcPr>
                  <w:tcW w:w="841" w:type="pct"/>
                  <w:vMerge w:val="continue"/>
                  <w:tcBorders>
                    <w:tl2br w:val="nil"/>
                    <w:tr2bl w:val="nil"/>
                  </w:tcBorders>
                  <w:vAlign w:val="center"/>
                </w:tcPr>
                <w:p w14:paraId="6DB2DB5B">
                  <w:pPr>
                    <w:numPr>
                      <w:ilvl w:val="0"/>
                      <w:numId w:val="6"/>
                    </w:numPr>
                    <w:spacing w:line="360" w:lineRule="auto"/>
                    <w:ind w:firstLine="420" w:firstLineChars="200"/>
                    <w:jc w:val="left"/>
                    <w:rPr>
                      <w:color w:val="auto"/>
                      <w:szCs w:val="21"/>
                    </w:rPr>
                  </w:pPr>
                </w:p>
              </w:tc>
            </w:tr>
            <w:tr w14:paraId="075D1B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3" w:type="pct"/>
                  <w:tcBorders>
                    <w:tl2br w:val="nil"/>
                    <w:tr2bl w:val="nil"/>
                  </w:tcBorders>
                  <w:vAlign w:val="center"/>
                </w:tcPr>
                <w:p w14:paraId="78F39304">
                  <w:pPr>
                    <w:adjustRightInd w:val="0"/>
                    <w:snapToGrid w:val="0"/>
                    <w:jc w:val="center"/>
                    <w:textAlignment w:val="baseline"/>
                    <w:rPr>
                      <w:color w:val="auto"/>
                      <w:szCs w:val="21"/>
                    </w:rPr>
                  </w:pPr>
                  <w:r>
                    <w:rPr>
                      <w:color w:val="auto"/>
                      <w:szCs w:val="21"/>
                    </w:rPr>
                    <w:t>1</w:t>
                  </w:r>
                </w:p>
              </w:tc>
              <w:tc>
                <w:tcPr>
                  <w:tcW w:w="918" w:type="pct"/>
                  <w:tcBorders>
                    <w:tl2br w:val="nil"/>
                    <w:tr2bl w:val="nil"/>
                  </w:tcBorders>
                  <w:vAlign w:val="center"/>
                </w:tcPr>
                <w:p w14:paraId="335BFD49">
                  <w:pPr>
                    <w:ind w:left="-57" w:right="-57"/>
                    <w:jc w:val="center"/>
                    <w:rPr>
                      <w:color w:val="auto"/>
                      <w:szCs w:val="21"/>
                    </w:rPr>
                  </w:pPr>
                  <w:r>
                    <w:rPr>
                      <w:color w:val="auto"/>
                      <w:szCs w:val="21"/>
                    </w:rPr>
                    <w:t>水竹安置区</w:t>
                  </w:r>
                </w:p>
              </w:tc>
              <w:tc>
                <w:tcPr>
                  <w:tcW w:w="628" w:type="pct"/>
                  <w:tcBorders>
                    <w:tl2br w:val="nil"/>
                    <w:tr2bl w:val="nil"/>
                  </w:tcBorders>
                  <w:vAlign w:val="center"/>
                </w:tcPr>
                <w:p w14:paraId="6B10B00F">
                  <w:pPr>
                    <w:adjustRightInd w:val="0"/>
                    <w:snapToGrid w:val="0"/>
                    <w:jc w:val="center"/>
                    <w:textAlignment w:val="baseline"/>
                    <w:rPr>
                      <w:color w:val="auto"/>
                      <w:szCs w:val="21"/>
                    </w:rPr>
                  </w:pPr>
                  <w:r>
                    <w:rPr>
                      <w:rFonts w:hint="eastAsia"/>
                      <w:color w:val="auto"/>
                      <w:szCs w:val="21"/>
                    </w:rPr>
                    <w:t>居民点</w:t>
                  </w:r>
                </w:p>
              </w:tc>
              <w:tc>
                <w:tcPr>
                  <w:tcW w:w="757" w:type="pct"/>
                  <w:tcBorders>
                    <w:tl2br w:val="nil"/>
                    <w:tr2bl w:val="nil"/>
                  </w:tcBorders>
                  <w:vAlign w:val="center"/>
                </w:tcPr>
                <w:p w14:paraId="7A3F27C8">
                  <w:pPr>
                    <w:adjustRightInd w:val="0"/>
                    <w:snapToGrid w:val="0"/>
                    <w:jc w:val="center"/>
                    <w:textAlignment w:val="baseline"/>
                    <w:rPr>
                      <w:color w:val="auto"/>
                      <w:szCs w:val="21"/>
                    </w:rPr>
                  </w:pPr>
                  <w:r>
                    <w:rPr>
                      <w:rFonts w:hint="eastAsia"/>
                      <w:color w:val="auto"/>
                      <w:szCs w:val="21"/>
                    </w:rPr>
                    <w:t>约800人</w:t>
                  </w:r>
                </w:p>
              </w:tc>
              <w:tc>
                <w:tcPr>
                  <w:tcW w:w="845" w:type="pct"/>
                  <w:tcBorders>
                    <w:tl2br w:val="nil"/>
                    <w:tr2bl w:val="nil"/>
                  </w:tcBorders>
                  <w:vAlign w:val="center"/>
                </w:tcPr>
                <w:p w14:paraId="63E61911">
                  <w:pPr>
                    <w:adjustRightInd w:val="0"/>
                    <w:snapToGrid w:val="0"/>
                    <w:jc w:val="center"/>
                    <w:textAlignment w:val="baseline"/>
                    <w:rPr>
                      <w:color w:val="auto"/>
                      <w:szCs w:val="21"/>
                    </w:rPr>
                  </w:pPr>
                  <w:r>
                    <w:rPr>
                      <w:color w:val="auto"/>
                      <w:szCs w:val="21"/>
                    </w:rPr>
                    <w:t>二类区</w:t>
                  </w:r>
                </w:p>
              </w:tc>
              <w:tc>
                <w:tcPr>
                  <w:tcW w:w="605" w:type="pct"/>
                  <w:tcBorders>
                    <w:tl2br w:val="nil"/>
                    <w:tr2bl w:val="nil"/>
                  </w:tcBorders>
                  <w:vAlign w:val="center"/>
                </w:tcPr>
                <w:p w14:paraId="0D5C934C">
                  <w:pPr>
                    <w:adjustRightInd w:val="0"/>
                    <w:snapToGrid w:val="0"/>
                    <w:jc w:val="center"/>
                    <w:textAlignment w:val="baseline"/>
                    <w:rPr>
                      <w:color w:val="auto"/>
                      <w:szCs w:val="21"/>
                    </w:rPr>
                  </w:pPr>
                  <w:r>
                    <w:rPr>
                      <w:rFonts w:hint="eastAsia"/>
                      <w:color w:val="auto"/>
                      <w:szCs w:val="21"/>
                    </w:rPr>
                    <w:t>东北</w:t>
                  </w:r>
                </w:p>
              </w:tc>
              <w:tc>
                <w:tcPr>
                  <w:tcW w:w="841" w:type="pct"/>
                  <w:tcBorders>
                    <w:tl2br w:val="nil"/>
                    <w:tr2bl w:val="nil"/>
                  </w:tcBorders>
                  <w:vAlign w:val="center"/>
                </w:tcPr>
                <w:p w14:paraId="338B7039">
                  <w:pPr>
                    <w:adjustRightInd w:val="0"/>
                    <w:snapToGrid w:val="0"/>
                    <w:jc w:val="center"/>
                    <w:textAlignment w:val="baseline"/>
                    <w:rPr>
                      <w:color w:val="auto"/>
                      <w:szCs w:val="21"/>
                    </w:rPr>
                  </w:pPr>
                  <w:r>
                    <w:rPr>
                      <w:rFonts w:hint="eastAsia"/>
                      <w:color w:val="auto"/>
                      <w:szCs w:val="21"/>
                    </w:rPr>
                    <w:t>360-500</w:t>
                  </w:r>
                </w:p>
              </w:tc>
            </w:tr>
            <w:tr w14:paraId="6FAB8F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3" w:type="pct"/>
                  <w:tcBorders>
                    <w:tl2br w:val="nil"/>
                    <w:tr2bl w:val="nil"/>
                  </w:tcBorders>
                  <w:vAlign w:val="center"/>
                </w:tcPr>
                <w:p w14:paraId="19F84461">
                  <w:pPr>
                    <w:adjustRightInd w:val="0"/>
                    <w:snapToGrid w:val="0"/>
                    <w:jc w:val="center"/>
                    <w:textAlignment w:val="baseline"/>
                    <w:rPr>
                      <w:color w:val="auto"/>
                      <w:szCs w:val="21"/>
                      <w:u w:val="single"/>
                    </w:rPr>
                  </w:pPr>
                  <w:r>
                    <w:rPr>
                      <w:rFonts w:hint="eastAsia"/>
                      <w:color w:val="auto"/>
                      <w:szCs w:val="21"/>
                      <w:u w:val="single"/>
                    </w:rPr>
                    <w:t>2</w:t>
                  </w:r>
                </w:p>
              </w:tc>
              <w:tc>
                <w:tcPr>
                  <w:tcW w:w="918" w:type="pct"/>
                  <w:tcBorders>
                    <w:tl2br w:val="nil"/>
                    <w:tr2bl w:val="nil"/>
                  </w:tcBorders>
                  <w:vAlign w:val="center"/>
                </w:tcPr>
                <w:p w14:paraId="6463EC84">
                  <w:pPr>
                    <w:ind w:left="-57" w:right="-57"/>
                    <w:jc w:val="center"/>
                    <w:rPr>
                      <w:color w:val="auto"/>
                      <w:szCs w:val="21"/>
                      <w:u w:val="single"/>
                    </w:rPr>
                  </w:pPr>
                  <w:r>
                    <w:rPr>
                      <w:rFonts w:hint="eastAsia"/>
                      <w:color w:val="auto"/>
                      <w:szCs w:val="21"/>
                      <w:u w:val="single"/>
                    </w:rPr>
                    <w:t>湖南珠江啤酒有限公司</w:t>
                  </w:r>
                </w:p>
              </w:tc>
              <w:tc>
                <w:tcPr>
                  <w:tcW w:w="1386" w:type="pct"/>
                  <w:gridSpan w:val="2"/>
                  <w:tcBorders>
                    <w:tl2br w:val="nil"/>
                    <w:tr2bl w:val="nil"/>
                  </w:tcBorders>
                  <w:vAlign w:val="center"/>
                </w:tcPr>
                <w:p w14:paraId="68757564">
                  <w:pPr>
                    <w:adjustRightInd w:val="0"/>
                    <w:snapToGrid w:val="0"/>
                    <w:jc w:val="center"/>
                    <w:textAlignment w:val="baseline"/>
                    <w:rPr>
                      <w:color w:val="auto"/>
                      <w:szCs w:val="21"/>
                      <w:u w:val="single"/>
                    </w:rPr>
                  </w:pPr>
                  <w:r>
                    <w:rPr>
                      <w:rFonts w:hint="eastAsia"/>
                      <w:color w:val="auto"/>
                      <w:szCs w:val="21"/>
                      <w:u w:val="single"/>
                    </w:rPr>
                    <w:t>食品企业</w:t>
                  </w:r>
                </w:p>
              </w:tc>
              <w:tc>
                <w:tcPr>
                  <w:tcW w:w="845" w:type="pct"/>
                  <w:tcBorders>
                    <w:tl2br w:val="nil"/>
                    <w:tr2bl w:val="nil"/>
                  </w:tcBorders>
                  <w:vAlign w:val="center"/>
                </w:tcPr>
                <w:p w14:paraId="7D257DAD">
                  <w:pPr>
                    <w:adjustRightInd w:val="0"/>
                    <w:snapToGrid w:val="0"/>
                    <w:jc w:val="center"/>
                    <w:textAlignment w:val="baseline"/>
                    <w:rPr>
                      <w:color w:val="auto"/>
                      <w:szCs w:val="21"/>
                      <w:u w:val="single"/>
                    </w:rPr>
                  </w:pPr>
                  <w:r>
                    <w:rPr>
                      <w:color w:val="auto"/>
                      <w:szCs w:val="21"/>
                      <w:u w:val="single"/>
                    </w:rPr>
                    <w:t>二类区</w:t>
                  </w:r>
                </w:p>
              </w:tc>
              <w:tc>
                <w:tcPr>
                  <w:tcW w:w="605" w:type="pct"/>
                  <w:tcBorders>
                    <w:tl2br w:val="nil"/>
                    <w:tr2bl w:val="nil"/>
                  </w:tcBorders>
                  <w:vAlign w:val="center"/>
                </w:tcPr>
                <w:p w14:paraId="22535BD2">
                  <w:pPr>
                    <w:adjustRightInd w:val="0"/>
                    <w:snapToGrid w:val="0"/>
                    <w:jc w:val="center"/>
                    <w:textAlignment w:val="baseline"/>
                    <w:rPr>
                      <w:color w:val="auto"/>
                      <w:szCs w:val="21"/>
                      <w:u w:val="single"/>
                    </w:rPr>
                  </w:pPr>
                  <w:r>
                    <w:rPr>
                      <w:rFonts w:hint="eastAsia"/>
                      <w:color w:val="auto"/>
                      <w:szCs w:val="21"/>
                      <w:u w:val="single"/>
                    </w:rPr>
                    <w:t>北</w:t>
                  </w:r>
                </w:p>
              </w:tc>
              <w:tc>
                <w:tcPr>
                  <w:tcW w:w="841" w:type="pct"/>
                  <w:tcBorders>
                    <w:tl2br w:val="nil"/>
                    <w:tr2bl w:val="nil"/>
                  </w:tcBorders>
                  <w:vAlign w:val="center"/>
                </w:tcPr>
                <w:p w14:paraId="72F6586F">
                  <w:pPr>
                    <w:adjustRightInd w:val="0"/>
                    <w:snapToGrid w:val="0"/>
                    <w:jc w:val="center"/>
                    <w:textAlignment w:val="baseline"/>
                    <w:rPr>
                      <w:color w:val="auto"/>
                      <w:szCs w:val="21"/>
                      <w:u w:val="single"/>
                    </w:rPr>
                  </w:pPr>
                  <w:r>
                    <w:rPr>
                      <w:rFonts w:hint="eastAsia"/>
                      <w:color w:val="auto"/>
                      <w:szCs w:val="21"/>
                      <w:u w:val="single"/>
                    </w:rPr>
                    <w:t>350</w:t>
                  </w:r>
                </w:p>
              </w:tc>
            </w:tr>
            <w:tr w14:paraId="14E254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3" w:type="pct"/>
                  <w:tcBorders>
                    <w:tl2br w:val="nil"/>
                    <w:tr2bl w:val="nil"/>
                  </w:tcBorders>
                  <w:vAlign w:val="center"/>
                </w:tcPr>
                <w:p w14:paraId="23B3319E">
                  <w:pPr>
                    <w:adjustRightInd w:val="0"/>
                    <w:snapToGrid w:val="0"/>
                    <w:jc w:val="center"/>
                    <w:textAlignment w:val="baseline"/>
                    <w:rPr>
                      <w:color w:val="auto"/>
                      <w:szCs w:val="21"/>
                      <w:u w:val="single"/>
                    </w:rPr>
                  </w:pPr>
                  <w:r>
                    <w:rPr>
                      <w:rFonts w:hint="eastAsia"/>
                      <w:color w:val="auto"/>
                      <w:szCs w:val="21"/>
                      <w:u w:val="single"/>
                    </w:rPr>
                    <w:t>3</w:t>
                  </w:r>
                </w:p>
              </w:tc>
              <w:tc>
                <w:tcPr>
                  <w:tcW w:w="918" w:type="pct"/>
                  <w:tcBorders>
                    <w:tl2br w:val="nil"/>
                    <w:tr2bl w:val="nil"/>
                  </w:tcBorders>
                  <w:vAlign w:val="center"/>
                </w:tcPr>
                <w:p w14:paraId="2C83518B">
                  <w:pPr>
                    <w:ind w:left="-57" w:right="-57"/>
                    <w:jc w:val="center"/>
                    <w:rPr>
                      <w:color w:val="auto"/>
                      <w:szCs w:val="21"/>
                      <w:u w:val="single"/>
                    </w:rPr>
                  </w:pPr>
                  <w:r>
                    <w:rPr>
                      <w:color w:val="auto"/>
                      <w:szCs w:val="21"/>
                      <w:u w:val="single"/>
                    </w:rPr>
                    <w:t>湖南五子醉实业集团有限公司</w:t>
                  </w:r>
                </w:p>
              </w:tc>
              <w:tc>
                <w:tcPr>
                  <w:tcW w:w="1386" w:type="pct"/>
                  <w:gridSpan w:val="2"/>
                  <w:tcBorders>
                    <w:tl2br w:val="nil"/>
                    <w:tr2bl w:val="nil"/>
                  </w:tcBorders>
                  <w:vAlign w:val="center"/>
                </w:tcPr>
                <w:p w14:paraId="44DBFE7D">
                  <w:pPr>
                    <w:adjustRightInd w:val="0"/>
                    <w:snapToGrid w:val="0"/>
                    <w:jc w:val="center"/>
                    <w:textAlignment w:val="baseline"/>
                    <w:rPr>
                      <w:color w:val="auto"/>
                      <w:szCs w:val="21"/>
                      <w:u w:val="single"/>
                    </w:rPr>
                  </w:pPr>
                  <w:r>
                    <w:rPr>
                      <w:rFonts w:hint="eastAsia"/>
                      <w:color w:val="auto"/>
                      <w:szCs w:val="21"/>
                      <w:u w:val="single"/>
                    </w:rPr>
                    <w:t>食品企业</w:t>
                  </w:r>
                </w:p>
              </w:tc>
              <w:tc>
                <w:tcPr>
                  <w:tcW w:w="845" w:type="pct"/>
                  <w:tcBorders>
                    <w:tl2br w:val="nil"/>
                    <w:tr2bl w:val="nil"/>
                  </w:tcBorders>
                  <w:vAlign w:val="center"/>
                </w:tcPr>
                <w:p w14:paraId="46BED5B4">
                  <w:pPr>
                    <w:adjustRightInd w:val="0"/>
                    <w:snapToGrid w:val="0"/>
                    <w:jc w:val="center"/>
                    <w:textAlignment w:val="baseline"/>
                    <w:rPr>
                      <w:color w:val="auto"/>
                      <w:szCs w:val="21"/>
                      <w:u w:val="single"/>
                    </w:rPr>
                  </w:pPr>
                  <w:r>
                    <w:rPr>
                      <w:color w:val="auto"/>
                      <w:szCs w:val="21"/>
                      <w:u w:val="single"/>
                    </w:rPr>
                    <w:t>二类区</w:t>
                  </w:r>
                </w:p>
              </w:tc>
              <w:tc>
                <w:tcPr>
                  <w:tcW w:w="605" w:type="pct"/>
                  <w:tcBorders>
                    <w:tl2br w:val="nil"/>
                    <w:tr2bl w:val="nil"/>
                  </w:tcBorders>
                  <w:vAlign w:val="center"/>
                </w:tcPr>
                <w:p w14:paraId="2219417E">
                  <w:pPr>
                    <w:adjustRightInd w:val="0"/>
                    <w:snapToGrid w:val="0"/>
                    <w:jc w:val="center"/>
                    <w:textAlignment w:val="baseline"/>
                    <w:rPr>
                      <w:color w:val="auto"/>
                      <w:szCs w:val="21"/>
                      <w:u w:val="single"/>
                    </w:rPr>
                  </w:pPr>
                  <w:r>
                    <w:rPr>
                      <w:rFonts w:hint="eastAsia"/>
                      <w:color w:val="auto"/>
                      <w:szCs w:val="21"/>
                      <w:u w:val="single"/>
                    </w:rPr>
                    <w:t>东、南</w:t>
                  </w:r>
                </w:p>
              </w:tc>
              <w:tc>
                <w:tcPr>
                  <w:tcW w:w="841" w:type="pct"/>
                  <w:tcBorders>
                    <w:tl2br w:val="nil"/>
                    <w:tr2bl w:val="nil"/>
                  </w:tcBorders>
                  <w:vAlign w:val="center"/>
                </w:tcPr>
                <w:p w14:paraId="3DF25637">
                  <w:pPr>
                    <w:adjustRightInd w:val="0"/>
                    <w:snapToGrid w:val="0"/>
                    <w:jc w:val="center"/>
                    <w:textAlignment w:val="baseline"/>
                    <w:rPr>
                      <w:color w:val="auto"/>
                      <w:szCs w:val="21"/>
                      <w:u w:val="single"/>
                    </w:rPr>
                  </w:pPr>
                  <w:r>
                    <w:rPr>
                      <w:rFonts w:hint="eastAsia"/>
                      <w:color w:val="auto"/>
                      <w:szCs w:val="21"/>
                      <w:u w:val="single"/>
                    </w:rPr>
                    <w:t>25</w:t>
                  </w:r>
                </w:p>
              </w:tc>
            </w:tr>
          </w:tbl>
          <w:p w14:paraId="49DDCCA4">
            <w:pPr>
              <w:pStyle w:val="26"/>
              <w:widowControl w:val="0"/>
              <w:wordWrap w:val="0"/>
              <w:adjustRightInd w:val="0"/>
              <w:snapToGrid w:val="0"/>
              <w:spacing w:before="0" w:beforeAutospacing="0" w:after="0" w:afterAutospacing="0" w:line="360" w:lineRule="auto"/>
              <w:ind w:firstLine="482" w:firstLineChars="200"/>
              <w:jc w:val="both"/>
              <w:rPr>
                <w:color w:val="auto"/>
              </w:rPr>
            </w:pPr>
            <w:r>
              <w:rPr>
                <w:rFonts w:hint="eastAsia"/>
                <w:b/>
                <w:bCs/>
                <w:color w:val="auto"/>
              </w:rPr>
              <w:t>2、声</w:t>
            </w:r>
            <w:r>
              <w:rPr>
                <w:b/>
                <w:bCs/>
                <w:color w:val="auto"/>
              </w:rPr>
              <w:t>环境</w:t>
            </w:r>
            <w:r>
              <w:rPr>
                <w:rFonts w:hint="eastAsia"/>
                <w:b/>
                <w:bCs/>
                <w:color w:val="auto"/>
              </w:rPr>
              <w:t>：</w:t>
            </w:r>
            <w:r>
              <w:rPr>
                <w:rFonts w:hint="eastAsia" w:ascii="Times New Roman" w:hAnsi="Times New Roman" w:cs="宋体"/>
                <w:color w:val="auto"/>
                <w:kern w:val="2"/>
                <w:szCs w:val="24"/>
                <w:lang w:bidi="ar"/>
              </w:rPr>
              <w:t>项目厂界外</w:t>
            </w:r>
            <w:r>
              <w:rPr>
                <w:rFonts w:ascii="Times New Roman" w:hAnsi="Times New Roman"/>
                <w:color w:val="auto"/>
                <w:kern w:val="2"/>
                <w:szCs w:val="24"/>
                <w:lang w:bidi="ar"/>
              </w:rPr>
              <w:t>50</w:t>
            </w:r>
            <w:r>
              <w:rPr>
                <w:rFonts w:hint="eastAsia" w:ascii="Times New Roman" w:hAnsi="Times New Roman" w:cs="宋体"/>
                <w:color w:val="auto"/>
                <w:kern w:val="2"/>
                <w:szCs w:val="24"/>
                <w:lang w:bidi="ar"/>
              </w:rPr>
              <w:t>米范围</w:t>
            </w:r>
            <w:r>
              <w:rPr>
                <w:rFonts w:cs="宋体"/>
                <w:color w:val="auto"/>
                <w:szCs w:val="24"/>
              </w:rPr>
              <w:t>内</w:t>
            </w:r>
            <w:r>
              <w:rPr>
                <w:rFonts w:hint="eastAsia" w:cs="宋体"/>
                <w:color w:val="auto"/>
                <w:szCs w:val="24"/>
              </w:rPr>
              <w:t>无</w:t>
            </w:r>
            <w:r>
              <w:rPr>
                <w:rFonts w:cs="宋体"/>
                <w:color w:val="auto"/>
                <w:szCs w:val="24"/>
              </w:rPr>
              <w:t>声环境保护目标。</w:t>
            </w:r>
          </w:p>
          <w:p w14:paraId="5D00982D">
            <w:pPr>
              <w:pStyle w:val="26"/>
              <w:widowControl w:val="0"/>
              <w:wordWrap w:val="0"/>
              <w:adjustRightInd w:val="0"/>
              <w:snapToGrid w:val="0"/>
              <w:spacing w:before="0" w:beforeAutospacing="0" w:after="0" w:afterAutospacing="0" w:line="360" w:lineRule="auto"/>
              <w:ind w:firstLine="482" w:firstLineChars="200"/>
              <w:jc w:val="both"/>
              <w:rPr>
                <w:rFonts w:ascii="Times New Roman" w:hAnsi="Times New Roman" w:cs="宋体"/>
                <w:color w:val="auto"/>
                <w:kern w:val="2"/>
                <w:szCs w:val="24"/>
                <w:lang w:bidi="ar"/>
              </w:rPr>
            </w:pPr>
            <w:r>
              <w:rPr>
                <w:rFonts w:hint="eastAsia"/>
                <w:b/>
                <w:bCs/>
                <w:color w:val="auto"/>
              </w:rPr>
              <w:t>3、地下水环境：</w:t>
            </w:r>
            <w:r>
              <w:rPr>
                <w:rFonts w:hint="eastAsia" w:ascii="Times New Roman" w:hAnsi="Times New Roman" w:cs="宋体"/>
                <w:color w:val="auto"/>
                <w:kern w:val="2"/>
                <w:szCs w:val="24"/>
                <w:lang w:bidi="ar"/>
              </w:rPr>
              <w:t>项目厂界外</w:t>
            </w:r>
            <w:r>
              <w:rPr>
                <w:rFonts w:ascii="Times New Roman" w:hAnsi="Times New Roman"/>
                <w:color w:val="auto"/>
                <w:kern w:val="2"/>
                <w:szCs w:val="24"/>
                <w:lang w:bidi="ar"/>
              </w:rPr>
              <w:t>500</w:t>
            </w:r>
            <w:r>
              <w:rPr>
                <w:rFonts w:hint="eastAsia" w:ascii="Times New Roman" w:hAnsi="Times New Roman" w:cs="宋体"/>
                <w:color w:val="auto"/>
                <w:kern w:val="2"/>
                <w:szCs w:val="24"/>
                <w:lang w:bidi="ar"/>
              </w:rPr>
              <w:t>米范围内无地下水集中式饮用水水源和热水、矿泉水、温泉等特殊地下水资源。</w:t>
            </w:r>
          </w:p>
          <w:p w14:paraId="7ADAE610">
            <w:pPr>
              <w:spacing w:line="360" w:lineRule="auto"/>
              <w:ind w:firstLine="482" w:firstLineChars="200"/>
              <w:rPr>
                <w:rFonts w:ascii="宋体" w:hAnsi="宋体" w:cs="宋体"/>
                <w:color w:val="auto"/>
                <w:kern w:val="0"/>
                <w:szCs w:val="21"/>
              </w:rPr>
            </w:pPr>
            <w:r>
              <w:rPr>
                <w:rFonts w:hint="eastAsia" w:ascii="宋体" w:hAnsi="宋体"/>
                <w:b/>
                <w:bCs/>
                <w:color w:val="auto"/>
                <w:kern w:val="0"/>
                <w:sz w:val="24"/>
                <w:szCs w:val="20"/>
              </w:rPr>
              <w:t>4、生态环境：</w:t>
            </w:r>
            <w:r>
              <w:rPr>
                <w:rFonts w:hint="eastAsia" w:ascii="宋体" w:hAnsi="宋体"/>
                <w:color w:val="auto"/>
                <w:kern w:val="0"/>
                <w:sz w:val="24"/>
                <w:szCs w:val="20"/>
              </w:rPr>
              <w:t>项目在产业园区内租赁已建成厂房进行生产，不新增用地，无生态环境保护目标。</w:t>
            </w:r>
          </w:p>
        </w:tc>
      </w:tr>
      <w:tr w14:paraId="639202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38" w:hRule="atLeast"/>
          <w:jc w:val="center"/>
        </w:trPr>
        <w:tc>
          <w:tcPr>
            <w:tcW w:w="426" w:type="dxa"/>
            <w:tcMar>
              <w:left w:w="28" w:type="dxa"/>
              <w:right w:w="28" w:type="dxa"/>
            </w:tcMar>
            <w:vAlign w:val="center"/>
          </w:tcPr>
          <w:p w14:paraId="63763AC8">
            <w:pPr>
              <w:adjustRightInd w:val="0"/>
              <w:snapToGrid w:val="0"/>
              <w:jc w:val="center"/>
              <w:rPr>
                <w:rFonts w:ascii="宋体" w:hAnsi="宋体" w:cs="宋体"/>
                <w:color w:val="auto"/>
                <w:kern w:val="0"/>
                <w:szCs w:val="21"/>
              </w:rPr>
            </w:pPr>
            <w:r>
              <w:rPr>
                <w:rFonts w:hint="eastAsia" w:ascii="宋体" w:hAnsi="宋体" w:cs="宋体"/>
                <w:color w:val="auto"/>
                <w:kern w:val="0"/>
                <w:szCs w:val="21"/>
              </w:rPr>
              <w:t>污染</w:t>
            </w:r>
          </w:p>
          <w:p w14:paraId="49BA077D">
            <w:pPr>
              <w:adjustRightInd w:val="0"/>
              <w:snapToGrid w:val="0"/>
              <w:jc w:val="center"/>
              <w:rPr>
                <w:rFonts w:ascii="宋体" w:hAnsi="宋体" w:cs="宋体"/>
                <w:color w:val="auto"/>
                <w:kern w:val="0"/>
                <w:szCs w:val="21"/>
              </w:rPr>
            </w:pPr>
            <w:r>
              <w:rPr>
                <w:rFonts w:hint="eastAsia" w:ascii="宋体" w:hAnsi="宋体" w:cs="宋体"/>
                <w:color w:val="auto"/>
                <w:kern w:val="0"/>
                <w:szCs w:val="21"/>
              </w:rPr>
              <w:t>物排</w:t>
            </w:r>
          </w:p>
          <w:p w14:paraId="00BE116B">
            <w:pPr>
              <w:adjustRightInd w:val="0"/>
              <w:snapToGrid w:val="0"/>
              <w:jc w:val="center"/>
              <w:rPr>
                <w:rFonts w:ascii="宋体" w:hAnsi="宋体" w:cs="宋体"/>
                <w:color w:val="auto"/>
                <w:kern w:val="0"/>
                <w:szCs w:val="21"/>
              </w:rPr>
            </w:pPr>
            <w:r>
              <w:rPr>
                <w:rFonts w:hint="eastAsia" w:ascii="宋体" w:hAnsi="宋体" w:cs="宋体"/>
                <w:color w:val="auto"/>
                <w:kern w:val="0"/>
                <w:szCs w:val="21"/>
              </w:rPr>
              <w:t>放控</w:t>
            </w:r>
          </w:p>
          <w:p w14:paraId="16AEE288">
            <w:pPr>
              <w:adjustRightInd w:val="0"/>
              <w:snapToGrid w:val="0"/>
              <w:jc w:val="center"/>
              <w:rPr>
                <w:rFonts w:ascii="宋体" w:hAnsi="宋体" w:cs="宋体"/>
                <w:color w:val="auto"/>
                <w:kern w:val="0"/>
                <w:szCs w:val="21"/>
              </w:rPr>
            </w:pPr>
            <w:r>
              <w:rPr>
                <w:rFonts w:hint="eastAsia" w:ascii="宋体" w:hAnsi="宋体" w:cs="宋体"/>
                <w:color w:val="auto"/>
                <w:kern w:val="0"/>
                <w:szCs w:val="21"/>
              </w:rPr>
              <w:t>制标</w:t>
            </w:r>
          </w:p>
          <w:p w14:paraId="4E3538C6">
            <w:pPr>
              <w:adjustRightInd w:val="0"/>
              <w:snapToGrid w:val="0"/>
              <w:jc w:val="center"/>
              <w:rPr>
                <w:rFonts w:ascii="宋体" w:hAnsi="宋体" w:cs="宋体"/>
                <w:color w:val="auto"/>
                <w:kern w:val="0"/>
                <w:szCs w:val="21"/>
              </w:rPr>
            </w:pPr>
            <w:r>
              <w:rPr>
                <w:rFonts w:hint="eastAsia" w:ascii="宋体" w:hAnsi="宋体" w:cs="宋体"/>
                <w:color w:val="auto"/>
                <w:kern w:val="0"/>
                <w:szCs w:val="21"/>
              </w:rPr>
              <w:t>准</w:t>
            </w:r>
          </w:p>
        </w:tc>
        <w:tc>
          <w:tcPr>
            <w:tcW w:w="8975" w:type="dxa"/>
            <w:vAlign w:val="center"/>
          </w:tcPr>
          <w:p w14:paraId="6ACFE034">
            <w:pPr>
              <w:widowControl/>
              <w:spacing w:line="360" w:lineRule="auto"/>
              <w:ind w:firstLine="482" w:firstLineChars="200"/>
              <w:textAlignment w:val="baseline"/>
              <w:rPr>
                <w:b/>
                <w:bCs/>
                <w:color w:val="auto"/>
                <w:sz w:val="24"/>
              </w:rPr>
            </w:pPr>
            <w:r>
              <w:rPr>
                <w:rFonts w:hint="eastAsia" w:ascii="宋体" w:hAnsi="宋体" w:cs="宋体"/>
                <w:b/>
                <w:bCs/>
                <w:color w:val="auto"/>
                <w:kern w:val="0"/>
                <w:sz w:val="24"/>
              </w:rPr>
              <w:t>1、</w:t>
            </w:r>
            <w:r>
              <w:rPr>
                <w:rFonts w:hint="eastAsia"/>
                <w:b/>
                <w:bCs/>
                <w:color w:val="auto"/>
                <w:sz w:val="24"/>
              </w:rPr>
              <w:t>废气</w:t>
            </w:r>
          </w:p>
          <w:p w14:paraId="43D90BFF">
            <w:pPr>
              <w:widowControl/>
              <w:spacing w:line="360" w:lineRule="auto"/>
              <w:ind w:firstLine="480" w:firstLineChars="200"/>
              <w:textAlignment w:val="baseline"/>
              <w:rPr>
                <w:color w:val="auto"/>
                <w:sz w:val="24"/>
                <w:u w:val="single"/>
              </w:rPr>
            </w:pPr>
            <w:r>
              <w:rPr>
                <w:rFonts w:hint="eastAsia"/>
                <w:color w:val="auto"/>
                <w:sz w:val="24"/>
                <w:u w:val="single"/>
              </w:rPr>
              <w:t>根据《排污许可证申请与核发技术规范 橡胶和塑料制品工业》(HJ 1122-2020)4.1.5.2.5中表2，项目发泡工序产生的有组织非甲烷总烃、苯乙烯执行《合成树脂工业污染物排放标准》(GB31572-2015)及其修改单中表4中排放限值标准，臭气浓度执行《恶臭污染物排放标准》（GB14554-93）</w:t>
            </w:r>
            <w:r>
              <w:rPr>
                <w:rFonts w:hint="eastAsia"/>
                <w:color w:val="auto"/>
                <w:sz w:val="24"/>
                <w:u w:val="single"/>
                <w:lang w:val="en-US" w:eastAsia="zh-CN"/>
              </w:rPr>
              <w:t>表2中标准限值</w:t>
            </w:r>
            <w:r>
              <w:rPr>
                <w:rFonts w:hint="eastAsia"/>
                <w:color w:val="auto"/>
                <w:sz w:val="24"/>
                <w:u w:val="single"/>
              </w:rPr>
              <w:t>。项目电炉熔化、造型浇注、落砂砂处理、抛丸打磨产生的有组织颗粒物，造型浇注、表面涂装产生的有组织非甲烷总烃、苯系物执行《铸造工业大气污染物排放标准》（GB 39726-2020）表1中排放限值标准。锅炉废气执行《锅炉大气污染物排放标准》（GB13271-2014）表3“大气污染物特别排放限值”中燃气锅炉限值。企业厂区内颗粒物、非甲烷总烃无组织排放执行《铸造工业大气污染物排放标准》（GB39726-2020）表A.1排放限值</w:t>
            </w:r>
            <w:r>
              <w:rPr>
                <w:rFonts w:hint="eastAsia"/>
                <w:color w:val="auto"/>
                <w:sz w:val="24"/>
                <w:u w:val="single"/>
                <w:lang w:eastAsia="zh-CN"/>
              </w:rPr>
              <w:t>；</w:t>
            </w:r>
            <w:r>
              <w:rPr>
                <w:rFonts w:hint="eastAsia"/>
                <w:color w:val="auto"/>
                <w:sz w:val="24"/>
                <w:szCs w:val="32"/>
                <w:u w:val="single"/>
              </w:rPr>
              <w:t>企业厂界颗粒物、</w:t>
            </w:r>
            <w:r>
              <w:rPr>
                <w:rFonts w:hint="eastAsia"/>
                <w:color w:val="auto"/>
                <w:sz w:val="24"/>
                <w:szCs w:val="32"/>
                <w:u w:val="single"/>
                <w:lang w:val="en-US" w:eastAsia="zh-CN"/>
              </w:rPr>
              <w:t>挥发性</w:t>
            </w:r>
            <w:r>
              <w:rPr>
                <w:rFonts w:hint="eastAsia"/>
                <w:color w:val="auto"/>
                <w:sz w:val="24"/>
                <w:szCs w:val="32"/>
                <w:u w:val="single"/>
              </w:rPr>
              <w:t>有机</w:t>
            </w:r>
            <w:r>
              <w:rPr>
                <w:rFonts w:hint="eastAsia"/>
                <w:color w:val="auto"/>
                <w:sz w:val="24"/>
                <w:szCs w:val="32"/>
                <w:u w:val="single"/>
                <w:lang w:val="en-US" w:eastAsia="zh-CN"/>
              </w:rPr>
              <w:t>物</w:t>
            </w:r>
            <w:r>
              <w:rPr>
                <w:rFonts w:hint="eastAsia"/>
                <w:color w:val="auto"/>
                <w:sz w:val="24"/>
                <w:szCs w:val="32"/>
                <w:u w:val="single"/>
              </w:rPr>
              <w:t>参考执行《大气污染物综合排放标准》（GB16297-1996）表2中浓度要求排放限值</w:t>
            </w:r>
            <w:r>
              <w:rPr>
                <w:rFonts w:hint="eastAsia"/>
                <w:color w:val="auto"/>
                <w:sz w:val="24"/>
                <w:szCs w:val="32"/>
                <w:u w:val="single"/>
                <w:lang w:eastAsia="zh-CN"/>
              </w:rPr>
              <w:t>，</w:t>
            </w:r>
            <w:r>
              <w:rPr>
                <w:rFonts w:hint="eastAsia"/>
                <w:color w:val="auto"/>
                <w:sz w:val="24"/>
                <w:szCs w:val="32"/>
                <w:u w:val="single"/>
                <w:lang w:val="en-US" w:eastAsia="zh-CN"/>
              </w:rPr>
              <w:t>厂界苯乙烯、</w:t>
            </w:r>
            <w:r>
              <w:rPr>
                <w:rFonts w:hint="eastAsia"/>
                <w:color w:val="auto"/>
                <w:sz w:val="24"/>
                <w:u w:val="single"/>
              </w:rPr>
              <w:t>臭气浓度执行《恶臭污染物排放标准》（GB14554-93）</w:t>
            </w:r>
            <w:r>
              <w:rPr>
                <w:rFonts w:hint="eastAsia"/>
                <w:color w:val="auto"/>
                <w:sz w:val="24"/>
                <w:u w:val="single"/>
                <w:lang w:val="en-US" w:eastAsia="zh-CN"/>
              </w:rPr>
              <w:t>表1中</w:t>
            </w:r>
            <w:r>
              <w:rPr>
                <w:rFonts w:hint="eastAsia" w:ascii="Times New Roman" w:hAnsi="Times New Roman" w:eastAsia="宋体" w:cs="Times New Roman"/>
                <w:color w:val="auto"/>
                <w:sz w:val="24"/>
                <w:szCs w:val="24"/>
                <w:highlight w:val="none"/>
                <w:u w:val="single" w:color="auto"/>
                <w:lang w:val="en-US" w:eastAsia="zh-CN"/>
              </w:rPr>
              <w:t>二级新改扩建标准限值</w:t>
            </w:r>
            <w:r>
              <w:rPr>
                <w:rFonts w:hint="eastAsia"/>
                <w:color w:val="auto"/>
                <w:sz w:val="24"/>
                <w:u w:val="single"/>
              </w:rPr>
              <w:t>。</w:t>
            </w:r>
          </w:p>
          <w:p w14:paraId="78AE1F0F">
            <w:pPr>
              <w:spacing w:line="360" w:lineRule="auto"/>
              <w:jc w:val="center"/>
              <w:textAlignment w:val="baseline"/>
              <w:rPr>
                <w:b/>
                <w:bCs/>
                <w:color w:val="auto"/>
                <w:szCs w:val="21"/>
                <w:vertAlign w:val="superscript"/>
              </w:rPr>
            </w:pPr>
            <w:r>
              <w:rPr>
                <w:rFonts w:hint="eastAsia"/>
                <w:b/>
                <w:bCs/>
                <w:color w:val="auto"/>
                <w:szCs w:val="21"/>
              </w:rPr>
              <w:t>表3-7  《合成树脂工业污染物排放标准》（GB31572-2015）</w:t>
            </w:r>
          </w:p>
          <w:tbl>
            <w:tblPr>
              <w:tblStyle w:val="3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6"/>
              <w:gridCol w:w="3952"/>
              <w:gridCol w:w="2550"/>
            </w:tblGrid>
            <w:tr w14:paraId="0A24D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3" w:type="pct"/>
                  <w:tcBorders>
                    <w:tl2br w:val="nil"/>
                    <w:tr2bl w:val="nil"/>
                  </w:tcBorders>
                  <w:vAlign w:val="center"/>
                </w:tcPr>
                <w:p w14:paraId="4AEA7218">
                  <w:pPr>
                    <w:widowControl/>
                    <w:jc w:val="center"/>
                    <w:textAlignment w:val="baseline"/>
                    <w:rPr>
                      <w:color w:val="auto"/>
                      <w:szCs w:val="21"/>
                    </w:rPr>
                  </w:pPr>
                  <w:r>
                    <w:rPr>
                      <w:rFonts w:hint="eastAsia"/>
                      <w:color w:val="auto"/>
                      <w:szCs w:val="21"/>
                    </w:rPr>
                    <w:t>污染物</w:t>
                  </w:r>
                </w:p>
              </w:tc>
              <w:tc>
                <w:tcPr>
                  <w:tcW w:w="2258" w:type="pct"/>
                  <w:tcBorders>
                    <w:tl2br w:val="nil"/>
                    <w:tr2bl w:val="nil"/>
                  </w:tcBorders>
                  <w:vAlign w:val="center"/>
                </w:tcPr>
                <w:p w14:paraId="1F27CF13">
                  <w:pPr>
                    <w:widowControl/>
                    <w:jc w:val="center"/>
                    <w:textAlignment w:val="baseline"/>
                    <w:rPr>
                      <w:color w:val="auto"/>
                      <w:szCs w:val="21"/>
                    </w:rPr>
                  </w:pPr>
                  <w:r>
                    <w:rPr>
                      <w:rFonts w:hint="eastAsia"/>
                      <w:color w:val="auto"/>
                      <w:szCs w:val="21"/>
                    </w:rPr>
                    <w:t>排放限值(mg/m</w:t>
                  </w:r>
                  <w:r>
                    <w:rPr>
                      <w:rFonts w:hint="eastAsia"/>
                      <w:color w:val="auto"/>
                      <w:szCs w:val="21"/>
                      <w:vertAlign w:val="superscript"/>
                    </w:rPr>
                    <w:t>3</w:t>
                  </w:r>
                  <w:r>
                    <w:rPr>
                      <w:rFonts w:hint="eastAsia"/>
                      <w:color w:val="auto"/>
                      <w:szCs w:val="21"/>
                    </w:rPr>
                    <w:t>)</w:t>
                  </w:r>
                </w:p>
              </w:tc>
              <w:tc>
                <w:tcPr>
                  <w:tcW w:w="1457" w:type="pct"/>
                  <w:tcBorders>
                    <w:tl2br w:val="nil"/>
                    <w:tr2bl w:val="nil"/>
                  </w:tcBorders>
                  <w:vAlign w:val="center"/>
                </w:tcPr>
                <w:p w14:paraId="553FC2E6">
                  <w:pPr>
                    <w:widowControl/>
                    <w:jc w:val="center"/>
                    <w:textAlignment w:val="baseline"/>
                    <w:rPr>
                      <w:color w:val="auto"/>
                      <w:szCs w:val="21"/>
                    </w:rPr>
                  </w:pPr>
                  <w:r>
                    <w:rPr>
                      <w:rFonts w:hint="eastAsia"/>
                      <w:color w:val="auto"/>
                      <w:szCs w:val="21"/>
                    </w:rPr>
                    <w:t>污染物排放监控位置</w:t>
                  </w:r>
                </w:p>
              </w:tc>
            </w:tr>
            <w:tr w14:paraId="199F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3" w:type="pct"/>
                  <w:tcBorders>
                    <w:tl2br w:val="nil"/>
                    <w:tr2bl w:val="nil"/>
                  </w:tcBorders>
                  <w:shd w:val="clear" w:color="auto" w:fill="auto"/>
                  <w:vAlign w:val="center"/>
                </w:tcPr>
                <w:p w14:paraId="4278DDE5">
                  <w:pPr>
                    <w:widowControl/>
                    <w:jc w:val="center"/>
                    <w:textAlignment w:val="baseline"/>
                    <w:rPr>
                      <w:color w:val="auto"/>
                      <w:szCs w:val="21"/>
                    </w:rPr>
                  </w:pPr>
                  <w:r>
                    <w:rPr>
                      <w:rFonts w:hint="eastAsia"/>
                      <w:color w:val="auto"/>
                      <w:szCs w:val="21"/>
                    </w:rPr>
                    <w:t>NMHC</w:t>
                  </w:r>
                </w:p>
              </w:tc>
              <w:tc>
                <w:tcPr>
                  <w:tcW w:w="2258" w:type="pct"/>
                  <w:tcBorders>
                    <w:tl2br w:val="nil"/>
                    <w:tr2bl w:val="nil"/>
                  </w:tcBorders>
                  <w:shd w:val="clear" w:color="auto" w:fill="auto"/>
                  <w:vAlign w:val="center"/>
                </w:tcPr>
                <w:p w14:paraId="31E57A07">
                  <w:pPr>
                    <w:widowControl/>
                    <w:jc w:val="center"/>
                    <w:textAlignment w:val="baseline"/>
                    <w:rPr>
                      <w:color w:val="auto"/>
                      <w:szCs w:val="21"/>
                    </w:rPr>
                  </w:pPr>
                  <w:r>
                    <w:rPr>
                      <w:rFonts w:hint="eastAsia"/>
                      <w:color w:val="auto"/>
                      <w:szCs w:val="21"/>
                    </w:rPr>
                    <w:t>100</w:t>
                  </w:r>
                </w:p>
              </w:tc>
              <w:tc>
                <w:tcPr>
                  <w:tcW w:w="1457" w:type="pct"/>
                  <w:vMerge w:val="restart"/>
                  <w:tcBorders>
                    <w:tl2br w:val="nil"/>
                    <w:tr2bl w:val="nil"/>
                  </w:tcBorders>
                  <w:vAlign w:val="center"/>
                </w:tcPr>
                <w:p w14:paraId="4B871E3B">
                  <w:pPr>
                    <w:widowControl/>
                    <w:jc w:val="center"/>
                    <w:textAlignment w:val="baseline"/>
                    <w:rPr>
                      <w:color w:val="auto"/>
                      <w:szCs w:val="21"/>
                    </w:rPr>
                  </w:pPr>
                  <w:r>
                    <w:rPr>
                      <w:rFonts w:hint="eastAsia"/>
                      <w:color w:val="auto"/>
                      <w:szCs w:val="21"/>
                    </w:rPr>
                    <w:t>车间或生产设施排气筒</w:t>
                  </w:r>
                </w:p>
              </w:tc>
            </w:tr>
            <w:tr w14:paraId="1825E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3" w:type="pct"/>
                  <w:tcBorders>
                    <w:tl2br w:val="nil"/>
                    <w:tr2bl w:val="nil"/>
                  </w:tcBorders>
                  <w:vAlign w:val="center"/>
                </w:tcPr>
                <w:p w14:paraId="1CBFCFFB">
                  <w:pPr>
                    <w:widowControl/>
                    <w:jc w:val="center"/>
                    <w:textAlignment w:val="baseline"/>
                    <w:rPr>
                      <w:color w:val="auto"/>
                      <w:szCs w:val="21"/>
                    </w:rPr>
                  </w:pPr>
                  <w:r>
                    <w:rPr>
                      <w:rFonts w:hint="eastAsia"/>
                      <w:color w:val="auto"/>
                      <w:szCs w:val="21"/>
                    </w:rPr>
                    <w:t>苯乙烯</w:t>
                  </w:r>
                </w:p>
              </w:tc>
              <w:tc>
                <w:tcPr>
                  <w:tcW w:w="2258" w:type="pct"/>
                  <w:tcBorders>
                    <w:tl2br w:val="nil"/>
                    <w:tr2bl w:val="nil"/>
                  </w:tcBorders>
                  <w:vAlign w:val="center"/>
                </w:tcPr>
                <w:p w14:paraId="059A8EC1">
                  <w:pPr>
                    <w:widowControl/>
                    <w:jc w:val="center"/>
                    <w:textAlignment w:val="baseline"/>
                    <w:rPr>
                      <w:color w:val="auto"/>
                      <w:szCs w:val="21"/>
                    </w:rPr>
                  </w:pPr>
                  <w:r>
                    <w:rPr>
                      <w:rFonts w:hint="eastAsia"/>
                      <w:color w:val="auto"/>
                      <w:szCs w:val="21"/>
                    </w:rPr>
                    <w:t>50</w:t>
                  </w:r>
                </w:p>
              </w:tc>
              <w:tc>
                <w:tcPr>
                  <w:tcW w:w="1457" w:type="pct"/>
                  <w:vMerge w:val="continue"/>
                  <w:tcBorders>
                    <w:tl2br w:val="nil"/>
                    <w:tr2bl w:val="nil"/>
                  </w:tcBorders>
                  <w:vAlign w:val="center"/>
                </w:tcPr>
                <w:p w14:paraId="156328EE">
                  <w:pPr>
                    <w:widowControl/>
                    <w:jc w:val="center"/>
                    <w:textAlignment w:val="baseline"/>
                    <w:rPr>
                      <w:color w:val="auto"/>
                      <w:szCs w:val="21"/>
                    </w:rPr>
                  </w:pPr>
                </w:p>
              </w:tc>
            </w:tr>
          </w:tbl>
          <w:p w14:paraId="017733EA">
            <w:pPr>
              <w:spacing w:line="360" w:lineRule="auto"/>
              <w:jc w:val="center"/>
              <w:textAlignment w:val="baseline"/>
              <w:rPr>
                <w:b/>
                <w:bCs/>
                <w:color w:val="auto"/>
                <w:szCs w:val="21"/>
                <w:vertAlign w:val="superscript"/>
              </w:rPr>
            </w:pPr>
            <w:r>
              <w:rPr>
                <w:rFonts w:hint="eastAsia"/>
                <w:b/>
                <w:bCs/>
                <w:color w:val="auto"/>
                <w:szCs w:val="21"/>
              </w:rPr>
              <w:t>表3-8  《铸造工业大气污染物排放标准》（GB 39726-2020）</w:t>
            </w:r>
          </w:p>
          <w:tbl>
            <w:tblPr>
              <w:tblStyle w:val="3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3"/>
              <w:gridCol w:w="2997"/>
              <w:gridCol w:w="1183"/>
              <w:gridCol w:w="2080"/>
              <w:gridCol w:w="1342"/>
            </w:tblGrid>
            <w:tr w14:paraId="0DD94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367" w:type="pct"/>
                  <w:gridSpan w:val="2"/>
                  <w:tcBorders>
                    <w:tl2br w:val="nil"/>
                    <w:tr2bl w:val="nil"/>
                  </w:tcBorders>
                  <w:vAlign w:val="center"/>
                </w:tcPr>
                <w:p w14:paraId="550F4D48">
                  <w:pPr>
                    <w:widowControl/>
                    <w:jc w:val="center"/>
                    <w:textAlignment w:val="baseline"/>
                    <w:rPr>
                      <w:color w:val="auto"/>
                      <w:szCs w:val="21"/>
                    </w:rPr>
                  </w:pPr>
                  <w:r>
                    <w:rPr>
                      <w:rFonts w:hint="eastAsia"/>
                      <w:color w:val="auto"/>
                      <w:szCs w:val="21"/>
                    </w:rPr>
                    <w:t>生产过程</w:t>
                  </w:r>
                </w:p>
              </w:tc>
              <w:tc>
                <w:tcPr>
                  <w:tcW w:w="676" w:type="pct"/>
                  <w:tcBorders>
                    <w:tl2br w:val="nil"/>
                    <w:tr2bl w:val="nil"/>
                  </w:tcBorders>
                  <w:vAlign w:val="center"/>
                </w:tcPr>
                <w:p w14:paraId="4714A29E">
                  <w:pPr>
                    <w:widowControl/>
                    <w:jc w:val="center"/>
                    <w:textAlignment w:val="baseline"/>
                    <w:rPr>
                      <w:color w:val="auto"/>
                      <w:szCs w:val="21"/>
                    </w:rPr>
                  </w:pPr>
                  <w:r>
                    <w:rPr>
                      <w:rFonts w:hint="eastAsia"/>
                      <w:color w:val="auto"/>
                      <w:szCs w:val="21"/>
                    </w:rPr>
                    <w:t>污染物</w:t>
                  </w:r>
                </w:p>
              </w:tc>
              <w:tc>
                <w:tcPr>
                  <w:tcW w:w="1189" w:type="pct"/>
                  <w:tcBorders>
                    <w:tl2br w:val="nil"/>
                    <w:tr2bl w:val="nil"/>
                  </w:tcBorders>
                  <w:vAlign w:val="center"/>
                </w:tcPr>
                <w:p w14:paraId="7DAF5612">
                  <w:pPr>
                    <w:widowControl/>
                    <w:jc w:val="center"/>
                    <w:textAlignment w:val="baseline"/>
                    <w:rPr>
                      <w:color w:val="auto"/>
                      <w:szCs w:val="21"/>
                    </w:rPr>
                  </w:pPr>
                  <w:r>
                    <w:rPr>
                      <w:rFonts w:hint="eastAsia"/>
                      <w:color w:val="auto"/>
                      <w:szCs w:val="21"/>
                    </w:rPr>
                    <w:t>最高允许排放浓度(mg/m</w:t>
                  </w:r>
                  <w:r>
                    <w:rPr>
                      <w:rFonts w:hint="eastAsia"/>
                      <w:color w:val="auto"/>
                      <w:szCs w:val="21"/>
                      <w:vertAlign w:val="superscript"/>
                    </w:rPr>
                    <w:t>3</w:t>
                  </w:r>
                  <w:r>
                    <w:rPr>
                      <w:rFonts w:hint="eastAsia"/>
                      <w:color w:val="auto"/>
                      <w:szCs w:val="21"/>
                    </w:rPr>
                    <w:t>)</w:t>
                  </w:r>
                </w:p>
              </w:tc>
              <w:tc>
                <w:tcPr>
                  <w:tcW w:w="767" w:type="pct"/>
                  <w:tcBorders>
                    <w:tl2br w:val="nil"/>
                    <w:tr2bl w:val="nil"/>
                  </w:tcBorders>
                  <w:vAlign w:val="center"/>
                </w:tcPr>
                <w:p w14:paraId="4A85E61A">
                  <w:pPr>
                    <w:widowControl/>
                    <w:jc w:val="center"/>
                    <w:textAlignment w:val="baseline"/>
                    <w:rPr>
                      <w:color w:val="auto"/>
                      <w:szCs w:val="21"/>
                    </w:rPr>
                  </w:pPr>
                  <w:r>
                    <w:rPr>
                      <w:rFonts w:hint="eastAsia"/>
                      <w:color w:val="auto"/>
                      <w:szCs w:val="21"/>
                    </w:rPr>
                    <w:t>污染物排放监控位置</w:t>
                  </w:r>
                </w:p>
              </w:tc>
            </w:tr>
            <w:tr w14:paraId="719D4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4" w:type="pct"/>
                  <w:tcBorders>
                    <w:tl2br w:val="nil"/>
                    <w:tr2bl w:val="nil"/>
                  </w:tcBorders>
                  <w:vAlign w:val="center"/>
                </w:tcPr>
                <w:p w14:paraId="6470FB73">
                  <w:pPr>
                    <w:widowControl/>
                    <w:jc w:val="center"/>
                    <w:textAlignment w:val="baseline"/>
                    <w:rPr>
                      <w:color w:val="auto"/>
                      <w:szCs w:val="21"/>
                    </w:rPr>
                  </w:pPr>
                  <w:r>
                    <w:rPr>
                      <w:rFonts w:hint="eastAsia"/>
                      <w:color w:val="auto"/>
                      <w:szCs w:val="21"/>
                    </w:rPr>
                    <w:t>金属熔炼（化）</w:t>
                  </w:r>
                </w:p>
              </w:tc>
              <w:tc>
                <w:tcPr>
                  <w:tcW w:w="1712" w:type="pct"/>
                  <w:tcBorders>
                    <w:tl2br w:val="nil"/>
                    <w:tr2bl w:val="nil"/>
                  </w:tcBorders>
                  <w:vAlign w:val="center"/>
                </w:tcPr>
                <w:p w14:paraId="5D6B4C68">
                  <w:pPr>
                    <w:widowControl/>
                    <w:jc w:val="center"/>
                    <w:textAlignment w:val="baseline"/>
                    <w:rPr>
                      <w:color w:val="auto"/>
                      <w:szCs w:val="21"/>
                    </w:rPr>
                  </w:pPr>
                  <w:r>
                    <w:rPr>
                      <w:rFonts w:hint="eastAsia"/>
                      <w:color w:val="auto"/>
                      <w:szCs w:val="21"/>
                    </w:rPr>
                    <w:t>电弧炉、感应电炉、精炼炉等其它熔炼（化）炉；保温炉</w:t>
                  </w:r>
                  <w:r>
                    <w:rPr>
                      <w:rFonts w:hint="eastAsia"/>
                      <w:color w:val="auto"/>
                      <w:szCs w:val="21"/>
                      <w:vertAlign w:val="superscript"/>
                    </w:rPr>
                    <w:t>d</w:t>
                  </w:r>
                </w:p>
              </w:tc>
              <w:tc>
                <w:tcPr>
                  <w:tcW w:w="676" w:type="pct"/>
                  <w:tcBorders>
                    <w:tl2br w:val="nil"/>
                    <w:tr2bl w:val="nil"/>
                  </w:tcBorders>
                  <w:vAlign w:val="center"/>
                </w:tcPr>
                <w:p w14:paraId="785F259E">
                  <w:pPr>
                    <w:widowControl/>
                    <w:jc w:val="center"/>
                    <w:textAlignment w:val="baseline"/>
                    <w:rPr>
                      <w:color w:val="auto"/>
                      <w:szCs w:val="21"/>
                    </w:rPr>
                  </w:pPr>
                  <w:r>
                    <w:rPr>
                      <w:rFonts w:hint="eastAsia"/>
                      <w:color w:val="auto"/>
                      <w:szCs w:val="21"/>
                    </w:rPr>
                    <w:t>颗粒物</w:t>
                  </w:r>
                </w:p>
              </w:tc>
              <w:tc>
                <w:tcPr>
                  <w:tcW w:w="1189" w:type="pct"/>
                  <w:tcBorders>
                    <w:tl2br w:val="nil"/>
                    <w:tr2bl w:val="nil"/>
                  </w:tcBorders>
                  <w:vAlign w:val="center"/>
                </w:tcPr>
                <w:p w14:paraId="7533178E">
                  <w:pPr>
                    <w:widowControl/>
                    <w:jc w:val="center"/>
                    <w:textAlignment w:val="baseline"/>
                    <w:rPr>
                      <w:color w:val="auto"/>
                      <w:szCs w:val="21"/>
                    </w:rPr>
                  </w:pPr>
                  <w:r>
                    <w:rPr>
                      <w:rFonts w:hint="eastAsia"/>
                      <w:color w:val="auto"/>
                      <w:szCs w:val="21"/>
                    </w:rPr>
                    <w:t>30</w:t>
                  </w:r>
                </w:p>
              </w:tc>
              <w:tc>
                <w:tcPr>
                  <w:tcW w:w="767" w:type="pct"/>
                  <w:vMerge w:val="restart"/>
                  <w:tcBorders>
                    <w:tl2br w:val="nil"/>
                    <w:tr2bl w:val="nil"/>
                  </w:tcBorders>
                  <w:vAlign w:val="center"/>
                </w:tcPr>
                <w:p w14:paraId="441B97D9">
                  <w:pPr>
                    <w:widowControl/>
                    <w:jc w:val="center"/>
                    <w:textAlignment w:val="baseline"/>
                    <w:rPr>
                      <w:color w:val="auto"/>
                      <w:szCs w:val="21"/>
                    </w:rPr>
                  </w:pPr>
                  <w:r>
                    <w:rPr>
                      <w:rFonts w:hint="eastAsia"/>
                      <w:color w:val="auto"/>
                      <w:szCs w:val="21"/>
                    </w:rPr>
                    <w:t>车间或生产设施排气筒</w:t>
                  </w:r>
                </w:p>
              </w:tc>
            </w:tr>
            <w:tr w14:paraId="3F21D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4" w:type="pct"/>
                  <w:tcBorders>
                    <w:tl2br w:val="nil"/>
                    <w:tr2bl w:val="nil"/>
                  </w:tcBorders>
                  <w:vAlign w:val="center"/>
                </w:tcPr>
                <w:p w14:paraId="3946FB4F">
                  <w:pPr>
                    <w:widowControl/>
                    <w:jc w:val="center"/>
                    <w:textAlignment w:val="baseline"/>
                    <w:rPr>
                      <w:color w:val="auto"/>
                      <w:szCs w:val="21"/>
                    </w:rPr>
                  </w:pPr>
                  <w:r>
                    <w:rPr>
                      <w:rFonts w:hint="eastAsia"/>
                      <w:color w:val="auto"/>
                      <w:szCs w:val="21"/>
                    </w:rPr>
                    <w:t>浇注</w:t>
                  </w:r>
                </w:p>
              </w:tc>
              <w:tc>
                <w:tcPr>
                  <w:tcW w:w="1712" w:type="pct"/>
                  <w:tcBorders>
                    <w:tl2br w:val="nil"/>
                    <w:tr2bl w:val="nil"/>
                  </w:tcBorders>
                  <w:vAlign w:val="center"/>
                </w:tcPr>
                <w:p w14:paraId="7323E5D4">
                  <w:pPr>
                    <w:widowControl/>
                    <w:jc w:val="center"/>
                    <w:textAlignment w:val="baseline"/>
                    <w:rPr>
                      <w:color w:val="auto"/>
                      <w:szCs w:val="21"/>
                    </w:rPr>
                  </w:pPr>
                  <w:r>
                    <w:rPr>
                      <w:rFonts w:hint="eastAsia"/>
                      <w:color w:val="auto"/>
                      <w:szCs w:val="21"/>
                    </w:rPr>
                    <w:t>浇注区</w:t>
                  </w:r>
                </w:p>
              </w:tc>
              <w:tc>
                <w:tcPr>
                  <w:tcW w:w="676" w:type="pct"/>
                  <w:tcBorders>
                    <w:tl2br w:val="nil"/>
                    <w:tr2bl w:val="nil"/>
                  </w:tcBorders>
                  <w:vAlign w:val="center"/>
                </w:tcPr>
                <w:p w14:paraId="4334F7F1">
                  <w:pPr>
                    <w:widowControl/>
                    <w:jc w:val="center"/>
                    <w:textAlignment w:val="baseline"/>
                    <w:rPr>
                      <w:color w:val="auto"/>
                      <w:szCs w:val="21"/>
                    </w:rPr>
                  </w:pPr>
                  <w:r>
                    <w:rPr>
                      <w:rFonts w:hint="eastAsia"/>
                      <w:color w:val="auto"/>
                      <w:szCs w:val="21"/>
                    </w:rPr>
                    <w:t>颗粒物</w:t>
                  </w:r>
                </w:p>
              </w:tc>
              <w:tc>
                <w:tcPr>
                  <w:tcW w:w="1189" w:type="pct"/>
                  <w:tcBorders>
                    <w:tl2br w:val="nil"/>
                    <w:tr2bl w:val="nil"/>
                  </w:tcBorders>
                  <w:vAlign w:val="center"/>
                </w:tcPr>
                <w:p w14:paraId="6218B130">
                  <w:pPr>
                    <w:widowControl/>
                    <w:jc w:val="center"/>
                    <w:textAlignment w:val="baseline"/>
                    <w:rPr>
                      <w:color w:val="auto"/>
                      <w:szCs w:val="21"/>
                    </w:rPr>
                  </w:pPr>
                  <w:r>
                    <w:rPr>
                      <w:rFonts w:hint="eastAsia"/>
                      <w:color w:val="auto"/>
                      <w:szCs w:val="21"/>
                    </w:rPr>
                    <w:t>30</w:t>
                  </w:r>
                </w:p>
              </w:tc>
              <w:tc>
                <w:tcPr>
                  <w:tcW w:w="767" w:type="pct"/>
                  <w:vMerge w:val="continue"/>
                  <w:tcBorders>
                    <w:tl2br w:val="nil"/>
                    <w:tr2bl w:val="nil"/>
                  </w:tcBorders>
                  <w:vAlign w:val="center"/>
                </w:tcPr>
                <w:p w14:paraId="68527A11">
                  <w:pPr>
                    <w:widowControl/>
                    <w:jc w:val="center"/>
                    <w:textAlignment w:val="baseline"/>
                    <w:rPr>
                      <w:color w:val="auto"/>
                      <w:szCs w:val="21"/>
                    </w:rPr>
                  </w:pPr>
                </w:p>
              </w:tc>
            </w:tr>
            <w:tr w14:paraId="110FD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4" w:type="pct"/>
                  <w:vMerge w:val="restart"/>
                  <w:tcBorders>
                    <w:tl2br w:val="nil"/>
                    <w:tr2bl w:val="nil"/>
                  </w:tcBorders>
                  <w:vAlign w:val="center"/>
                </w:tcPr>
                <w:p w14:paraId="0FADD450">
                  <w:pPr>
                    <w:widowControl/>
                    <w:jc w:val="center"/>
                    <w:textAlignment w:val="baseline"/>
                    <w:rPr>
                      <w:color w:val="auto"/>
                      <w:szCs w:val="21"/>
                    </w:rPr>
                  </w:pPr>
                  <w:r>
                    <w:rPr>
                      <w:rFonts w:hint="eastAsia"/>
                      <w:color w:val="auto"/>
                      <w:szCs w:val="21"/>
                    </w:rPr>
                    <w:t>表面涂装</w:t>
                  </w:r>
                </w:p>
              </w:tc>
              <w:tc>
                <w:tcPr>
                  <w:tcW w:w="1712" w:type="pct"/>
                  <w:vMerge w:val="restart"/>
                  <w:tcBorders>
                    <w:tl2br w:val="nil"/>
                    <w:tr2bl w:val="nil"/>
                  </w:tcBorders>
                  <w:vAlign w:val="center"/>
                </w:tcPr>
                <w:p w14:paraId="1AB6B870">
                  <w:pPr>
                    <w:widowControl/>
                    <w:jc w:val="center"/>
                    <w:textAlignment w:val="baseline"/>
                    <w:rPr>
                      <w:color w:val="auto"/>
                      <w:szCs w:val="21"/>
                    </w:rPr>
                  </w:pPr>
                  <w:r>
                    <w:rPr>
                      <w:rFonts w:hint="eastAsia"/>
                      <w:color w:val="auto"/>
                      <w:szCs w:val="21"/>
                    </w:rPr>
                    <w:t>喷漆</w:t>
                  </w:r>
                </w:p>
              </w:tc>
              <w:tc>
                <w:tcPr>
                  <w:tcW w:w="676" w:type="pct"/>
                  <w:tcBorders>
                    <w:tl2br w:val="nil"/>
                    <w:tr2bl w:val="nil"/>
                  </w:tcBorders>
                  <w:vAlign w:val="center"/>
                </w:tcPr>
                <w:p w14:paraId="6ECE5D14">
                  <w:pPr>
                    <w:widowControl/>
                    <w:jc w:val="center"/>
                    <w:textAlignment w:val="baseline"/>
                    <w:rPr>
                      <w:color w:val="auto"/>
                      <w:szCs w:val="21"/>
                    </w:rPr>
                  </w:pPr>
                  <w:r>
                    <w:rPr>
                      <w:rFonts w:hint="eastAsia"/>
                      <w:color w:val="auto"/>
                      <w:szCs w:val="21"/>
                    </w:rPr>
                    <w:t>NMHC</w:t>
                  </w:r>
                </w:p>
              </w:tc>
              <w:tc>
                <w:tcPr>
                  <w:tcW w:w="1189" w:type="pct"/>
                  <w:tcBorders>
                    <w:tl2br w:val="nil"/>
                    <w:tr2bl w:val="nil"/>
                  </w:tcBorders>
                  <w:vAlign w:val="center"/>
                </w:tcPr>
                <w:p w14:paraId="7DD5B189">
                  <w:pPr>
                    <w:widowControl/>
                    <w:jc w:val="center"/>
                    <w:textAlignment w:val="baseline"/>
                    <w:rPr>
                      <w:color w:val="auto"/>
                      <w:szCs w:val="21"/>
                    </w:rPr>
                  </w:pPr>
                  <w:r>
                    <w:rPr>
                      <w:rFonts w:hint="eastAsia"/>
                      <w:color w:val="auto"/>
                      <w:szCs w:val="21"/>
                    </w:rPr>
                    <w:t>100</w:t>
                  </w:r>
                </w:p>
              </w:tc>
              <w:tc>
                <w:tcPr>
                  <w:tcW w:w="767" w:type="pct"/>
                  <w:vMerge w:val="continue"/>
                  <w:tcBorders>
                    <w:tl2br w:val="nil"/>
                    <w:tr2bl w:val="nil"/>
                  </w:tcBorders>
                  <w:vAlign w:val="center"/>
                </w:tcPr>
                <w:p w14:paraId="0A08DCEB">
                  <w:pPr>
                    <w:widowControl/>
                    <w:jc w:val="center"/>
                    <w:textAlignment w:val="baseline"/>
                    <w:rPr>
                      <w:color w:val="auto"/>
                      <w:szCs w:val="21"/>
                    </w:rPr>
                  </w:pPr>
                </w:p>
              </w:tc>
            </w:tr>
            <w:tr w14:paraId="3001A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4" w:type="pct"/>
                  <w:vMerge w:val="continue"/>
                  <w:tcBorders>
                    <w:tl2br w:val="nil"/>
                    <w:tr2bl w:val="nil"/>
                  </w:tcBorders>
                  <w:vAlign w:val="center"/>
                </w:tcPr>
                <w:p w14:paraId="27F151A9">
                  <w:pPr>
                    <w:widowControl/>
                    <w:jc w:val="center"/>
                    <w:textAlignment w:val="baseline"/>
                    <w:rPr>
                      <w:color w:val="auto"/>
                      <w:szCs w:val="21"/>
                    </w:rPr>
                  </w:pPr>
                </w:p>
              </w:tc>
              <w:tc>
                <w:tcPr>
                  <w:tcW w:w="1712" w:type="pct"/>
                  <w:vMerge w:val="continue"/>
                  <w:tcBorders>
                    <w:tl2br w:val="nil"/>
                    <w:tr2bl w:val="nil"/>
                  </w:tcBorders>
                  <w:vAlign w:val="center"/>
                </w:tcPr>
                <w:p w14:paraId="6FD68BD8">
                  <w:pPr>
                    <w:widowControl/>
                    <w:jc w:val="center"/>
                    <w:textAlignment w:val="baseline"/>
                    <w:rPr>
                      <w:color w:val="auto"/>
                      <w:szCs w:val="21"/>
                    </w:rPr>
                  </w:pPr>
                </w:p>
              </w:tc>
              <w:tc>
                <w:tcPr>
                  <w:tcW w:w="676" w:type="pct"/>
                  <w:tcBorders>
                    <w:tl2br w:val="nil"/>
                    <w:tr2bl w:val="nil"/>
                  </w:tcBorders>
                  <w:vAlign w:val="center"/>
                </w:tcPr>
                <w:p w14:paraId="14BFDA4D">
                  <w:pPr>
                    <w:widowControl/>
                    <w:jc w:val="center"/>
                    <w:textAlignment w:val="baseline"/>
                    <w:rPr>
                      <w:color w:val="auto"/>
                      <w:szCs w:val="21"/>
                    </w:rPr>
                  </w:pPr>
                  <w:r>
                    <w:rPr>
                      <w:rFonts w:hint="eastAsia"/>
                      <w:color w:val="auto"/>
                      <w:szCs w:val="21"/>
                    </w:rPr>
                    <w:t>苯系物</w:t>
                  </w:r>
                </w:p>
              </w:tc>
              <w:tc>
                <w:tcPr>
                  <w:tcW w:w="1189" w:type="pct"/>
                  <w:tcBorders>
                    <w:tl2br w:val="nil"/>
                    <w:tr2bl w:val="nil"/>
                  </w:tcBorders>
                  <w:vAlign w:val="center"/>
                </w:tcPr>
                <w:p w14:paraId="1F268721">
                  <w:pPr>
                    <w:widowControl/>
                    <w:jc w:val="center"/>
                    <w:textAlignment w:val="baseline"/>
                    <w:rPr>
                      <w:color w:val="auto"/>
                      <w:szCs w:val="21"/>
                    </w:rPr>
                  </w:pPr>
                  <w:r>
                    <w:rPr>
                      <w:rFonts w:hint="eastAsia"/>
                      <w:color w:val="auto"/>
                      <w:szCs w:val="21"/>
                    </w:rPr>
                    <w:t>60</w:t>
                  </w:r>
                </w:p>
              </w:tc>
              <w:tc>
                <w:tcPr>
                  <w:tcW w:w="767" w:type="pct"/>
                  <w:vMerge w:val="continue"/>
                  <w:tcBorders>
                    <w:tl2br w:val="nil"/>
                    <w:tr2bl w:val="nil"/>
                  </w:tcBorders>
                  <w:vAlign w:val="center"/>
                </w:tcPr>
                <w:p w14:paraId="241AB796">
                  <w:pPr>
                    <w:widowControl/>
                    <w:jc w:val="center"/>
                    <w:textAlignment w:val="baseline"/>
                    <w:rPr>
                      <w:color w:val="auto"/>
                      <w:szCs w:val="21"/>
                    </w:rPr>
                  </w:pPr>
                </w:p>
              </w:tc>
            </w:tr>
          </w:tbl>
          <w:p w14:paraId="4AFB40EC">
            <w:pPr>
              <w:pStyle w:val="95"/>
              <w:spacing w:before="120"/>
              <w:rPr>
                <w:rFonts w:eastAsia="宋体"/>
                <w:b/>
                <w:bCs/>
                <w:color w:val="auto"/>
                <w:sz w:val="21"/>
                <w:szCs w:val="21"/>
              </w:rPr>
            </w:pPr>
            <w:r>
              <w:rPr>
                <w:rFonts w:eastAsia="宋体"/>
                <w:b/>
                <w:bCs/>
                <w:color w:val="auto"/>
                <w:sz w:val="21"/>
                <w:szCs w:val="21"/>
              </w:rPr>
              <w:t xml:space="preserve">表 </w:t>
            </w:r>
            <w:r>
              <w:rPr>
                <w:rFonts w:hint="eastAsia" w:eastAsia="宋体"/>
                <w:b/>
                <w:bCs/>
                <w:color w:val="auto"/>
                <w:sz w:val="21"/>
                <w:szCs w:val="21"/>
              </w:rPr>
              <w:t>3-9</w:t>
            </w:r>
            <w:r>
              <w:rPr>
                <w:rFonts w:eastAsia="宋体"/>
                <w:b/>
                <w:bCs/>
                <w:color w:val="auto"/>
                <w:sz w:val="21"/>
                <w:szCs w:val="21"/>
              </w:rPr>
              <w:t xml:space="preserve"> 《锅炉大气污染物排放标准》（GB13271-2014）（单位：mg/m</w:t>
            </w:r>
            <w:r>
              <w:rPr>
                <w:rFonts w:eastAsia="宋体"/>
                <w:b/>
                <w:bCs/>
                <w:color w:val="auto"/>
                <w:sz w:val="21"/>
                <w:szCs w:val="21"/>
                <w:vertAlign w:val="superscript"/>
              </w:rPr>
              <w:t>3</w:t>
            </w:r>
            <w:r>
              <w:rPr>
                <w:rFonts w:eastAsia="宋体"/>
                <w:b/>
                <w:bCs/>
                <w:color w:val="auto"/>
                <w:sz w:val="21"/>
                <w:szCs w:val="21"/>
              </w:rPr>
              <w:t>）</w:t>
            </w:r>
          </w:p>
          <w:tbl>
            <w:tblPr>
              <w:tblStyle w:val="30"/>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999"/>
              <w:gridCol w:w="1287"/>
              <w:gridCol w:w="1224"/>
              <w:gridCol w:w="1220"/>
            </w:tblGrid>
            <w:tr w14:paraId="31E68B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63" w:type="pct"/>
                  <w:vAlign w:val="center"/>
                </w:tcPr>
                <w:p w14:paraId="23F66930">
                  <w:pPr>
                    <w:pStyle w:val="96"/>
                    <w:rPr>
                      <w:color w:val="auto"/>
                    </w:rPr>
                  </w:pPr>
                  <w:r>
                    <w:rPr>
                      <w:rFonts w:hint="eastAsia"/>
                      <w:color w:val="auto"/>
                    </w:rPr>
                    <w:t>标准</w:t>
                  </w:r>
                </w:p>
              </w:tc>
              <w:tc>
                <w:tcPr>
                  <w:tcW w:w="737" w:type="pct"/>
                  <w:vAlign w:val="center"/>
                </w:tcPr>
                <w:p w14:paraId="3F2E2CE8">
                  <w:pPr>
                    <w:pStyle w:val="96"/>
                    <w:rPr>
                      <w:color w:val="auto"/>
                    </w:rPr>
                  </w:pPr>
                  <w:r>
                    <w:rPr>
                      <w:rFonts w:hint="eastAsia"/>
                      <w:color w:val="auto"/>
                    </w:rPr>
                    <w:t>颗粒物</w:t>
                  </w:r>
                </w:p>
              </w:tc>
              <w:tc>
                <w:tcPr>
                  <w:tcW w:w="701" w:type="pct"/>
                  <w:vAlign w:val="center"/>
                </w:tcPr>
                <w:p w14:paraId="697D8B48">
                  <w:pPr>
                    <w:pStyle w:val="96"/>
                    <w:rPr>
                      <w:color w:val="auto"/>
                    </w:rPr>
                  </w:pPr>
                  <w:r>
                    <w:rPr>
                      <w:rFonts w:hint="eastAsia"/>
                      <w:color w:val="auto"/>
                    </w:rPr>
                    <w:t>二氧化硫</w:t>
                  </w:r>
                </w:p>
              </w:tc>
              <w:tc>
                <w:tcPr>
                  <w:tcW w:w="700" w:type="pct"/>
                  <w:vAlign w:val="center"/>
                </w:tcPr>
                <w:p w14:paraId="1055428B">
                  <w:pPr>
                    <w:pStyle w:val="96"/>
                    <w:rPr>
                      <w:color w:val="auto"/>
                    </w:rPr>
                  </w:pPr>
                  <w:r>
                    <w:rPr>
                      <w:rFonts w:hint="eastAsia"/>
                      <w:color w:val="auto"/>
                    </w:rPr>
                    <w:t>氮氧化物</w:t>
                  </w:r>
                </w:p>
              </w:tc>
            </w:tr>
            <w:tr w14:paraId="2A740E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63" w:type="pct"/>
                  <w:vAlign w:val="center"/>
                </w:tcPr>
                <w:p w14:paraId="74906E0E">
                  <w:pPr>
                    <w:pStyle w:val="96"/>
                    <w:rPr>
                      <w:color w:val="auto"/>
                    </w:rPr>
                  </w:pPr>
                  <w:r>
                    <w:rPr>
                      <w:rFonts w:hint="eastAsia"/>
                      <w:color w:val="auto"/>
                    </w:rPr>
                    <w:t>《锅炉大气污染物排放标准》（GB13271-2014）表3燃气锅炉限值</w:t>
                  </w:r>
                </w:p>
              </w:tc>
              <w:tc>
                <w:tcPr>
                  <w:tcW w:w="737" w:type="pct"/>
                  <w:vAlign w:val="center"/>
                </w:tcPr>
                <w:p w14:paraId="63DB07F2">
                  <w:pPr>
                    <w:pStyle w:val="96"/>
                    <w:rPr>
                      <w:color w:val="auto"/>
                    </w:rPr>
                  </w:pPr>
                  <w:r>
                    <w:rPr>
                      <w:rFonts w:hint="eastAsia"/>
                      <w:color w:val="auto"/>
                    </w:rPr>
                    <w:t>20</w:t>
                  </w:r>
                </w:p>
              </w:tc>
              <w:tc>
                <w:tcPr>
                  <w:tcW w:w="701" w:type="pct"/>
                  <w:vAlign w:val="center"/>
                </w:tcPr>
                <w:p w14:paraId="64CCA84D">
                  <w:pPr>
                    <w:pStyle w:val="96"/>
                    <w:rPr>
                      <w:color w:val="auto"/>
                    </w:rPr>
                  </w:pPr>
                  <w:r>
                    <w:rPr>
                      <w:rFonts w:hint="eastAsia"/>
                      <w:color w:val="auto"/>
                    </w:rPr>
                    <w:t>50</w:t>
                  </w:r>
                </w:p>
              </w:tc>
              <w:tc>
                <w:tcPr>
                  <w:tcW w:w="700" w:type="pct"/>
                  <w:vAlign w:val="center"/>
                </w:tcPr>
                <w:p w14:paraId="1A618690">
                  <w:pPr>
                    <w:pStyle w:val="96"/>
                    <w:rPr>
                      <w:color w:val="auto"/>
                    </w:rPr>
                  </w:pPr>
                  <w:r>
                    <w:rPr>
                      <w:rFonts w:hint="eastAsia"/>
                      <w:color w:val="auto"/>
                      <w:lang w:val="en-US" w:eastAsia="zh-CN"/>
                    </w:rPr>
                    <w:t>15</w:t>
                  </w:r>
                  <w:r>
                    <w:rPr>
                      <w:rFonts w:hint="eastAsia"/>
                      <w:color w:val="auto"/>
                    </w:rPr>
                    <w:t>0</w:t>
                  </w:r>
                </w:p>
              </w:tc>
            </w:tr>
          </w:tbl>
          <w:p w14:paraId="414C6E27">
            <w:pPr>
              <w:spacing w:line="360" w:lineRule="auto"/>
              <w:jc w:val="center"/>
              <w:textAlignment w:val="baseline"/>
              <w:rPr>
                <w:b/>
                <w:bCs/>
                <w:color w:val="auto"/>
                <w:szCs w:val="21"/>
                <w:vertAlign w:val="superscript"/>
              </w:rPr>
            </w:pPr>
            <w:r>
              <w:rPr>
                <w:rFonts w:hint="eastAsia"/>
                <w:b/>
                <w:bCs/>
                <w:color w:val="auto"/>
                <w:szCs w:val="21"/>
              </w:rPr>
              <w:t>表3-10  厂区无组织颗粒物、VOCs排放标准</w:t>
            </w:r>
          </w:p>
          <w:tbl>
            <w:tblPr>
              <w:tblStyle w:val="3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1"/>
              <w:gridCol w:w="1048"/>
              <w:gridCol w:w="3435"/>
              <w:gridCol w:w="2571"/>
            </w:tblGrid>
            <w:tr w14:paraId="79123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66" w:type="pct"/>
                  <w:vMerge w:val="restart"/>
                  <w:tcBorders>
                    <w:tl2br w:val="nil"/>
                    <w:tr2bl w:val="nil"/>
                  </w:tcBorders>
                  <w:vAlign w:val="center"/>
                </w:tcPr>
                <w:p w14:paraId="2C2AAF0D">
                  <w:pPr>
                    <w:widowControl/>
                    <w:jc w:val="center"/>
                    <w:textAlignment w:val="baseline"/>
                    <w:rPr>
                      <w:color w:val="auto"/>
                      <w:szCs w:val="21"/>
                    </w:rPr>
                  </w:pPr>
                  <w:r>
                    <w:rPr>
                      <w:rFonts w:hint="eastAsia"/>
                      <w:color w:val="auto"/>
                      <w:szCs w:val="21"/>
                    </w:rPr>
                    <w:t>标准</w:t>
                  </w:r>
                </w:p>
              </w:tc>
              <w:tc>
                <w:tcPr>
                  <w:tcW w:w="599" w:type="pct"/>
                  <w:vMerge w:val="restart"/>
                  <w:tcBorders>
                    <w:tl2br w:val="nil"/>
                    <w:tr2bl w:val="nil"/>
                  </w:tcBorders>
                  <w:vAlign w:val="center"/>
                </w:tcPr>
                <w:p w14:paraId="7C8A5A3D">
                  <w:pPr>
                    <w:widowControl/>
                    <w:jc w:val="center"/>
                    <w:textAlignment w:val="baseline"/>
                    <w:rPr>
                      <w:color w:val="auto"/>
                      <w:szCs w:val="21"/>
                    </w:rPr>
                  </w:pPr>
                  <w:r>
                    <w:rPr>
                      <w:rFonts w:hint="eastAsia"/>
                      <w:color w:val="auto"/>
                      <w:szCs w:val="21"/>
                    </w:rPr>
                    <w:t>污染物</w:t>
                  </w:r>
                </w:p>
              </w:tc>
              <w:tc>
                <w:tcPr>
                  <w:tcW w:w="1963" w:type="pct"/>
                  <w:tcBorders>
                    <w:tl2br w:val="nil"/>
                    <w:tr2bl w:val="nil"/>
                  </w:tcBorders>
                  <w:vAlign w:val="center"/>
                </w:tcPr>
                <w:p w14:paraId="62B4D22A">
                  <w:pPr>
                    <w:widowControl/>
                    <w:jc w:val="center"/>
                    <w:textAlignment w:val="baseline"/>
                    <w:rPr>
                      <w:color w:val="auto"/>
                      <w:szCs w:val="21"/>
                    </w:rPr>
                  </w:pPr>
                  <w:r>
                    <w:rPr>
                      <w:rFonts w:hint="eastAsia"/>
                      <w:color w:val="auto"/>
                      <w:szCs w:val="21"/>
                    </w:rPr>
                    <w:t>排放限值</w:t>
                  </w:r>
                </w:p>
              </w:tc>
              <w:tc>
                <w:tcPr>
                  <w:tcW w:w="1469" w:type="pct"/>
                  <w:vMerge w:val="restart"/>
                  <w:tcBorders>
                    <w:tl2br w:val="nil"/>
                    <w:tr2bl w:val="nil"/>
                  </w:tcBorders>
                  <w:vAlign w:val="center"/>
                </w:tcPr>
                <w:p w14:paraId="4DEF86C6">
                  <w:pPr>
                    <w:widowControl/>
                    <w:jc w:val="center"/>
                    <w:textAlignment w:val="baseline"/>
                    <w:rPr>
                      <w:color w:val="auto"/>
                      <w:szCs w:val="21"/>
                    </w:rPr>
                  </w:pPr>
                  <w:r>
                    <w:rPr>
                      <w:rFonts w:hint="eastAsia"/>
                      <w:color w:val="auto"/>
                      <w:szCs w:val="21"/>
                    </w:rPr>
                    <w:t>无组织排放监控位置</w:t>
                  </w:r>
                </w:p>
              </w:tc>
            </w:tr>
            <w:tr w14:paraId="675FB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66" w:type="pct"/>
                  <w:vMerge w:val="continue"/>
                  <w:tcBorders>
                    <w:tl2br w:val="nil"/>
                    <w:tr2bl w:val="nil"/>
                  </w:tcBorders>
                  <w:vAlign w:val="center"/>
                </w:tcPr>
                <w:p w14:paraId="4B69F1F4">
                  <w:pPr>
                    <w:widowControl/>
                    <w:jc w:val="center"/>
                    <w:textAlignment w:val="baseline"/>
                    <w:rPr>
                      <w:color w:val="auto"/>
                      <w:szCs w:val="21"/>
                    </w:rPr>
                  </w:pPr>
                </w:p>
              </w:tc>
              <w:tc>
                <w:tcPr>
                  <w:tcW w:w="599" w:type="pct"/>
                  <w:vMerge w:val="continue"/>
                  <w:tcBorders>
                    <w:tl2br w:val="nil"/>
                    <w:tr2bl w:val="nil"/>
                  </w:tcBorders>
                  <w:vAlign w:val="center"/>
                </w:tcPr>
                <w:p w14:paraId="3A73EF3D">
                  <w:pPr>
                    <w:widowControl/>
                    <w:jc w:val="center"/>
                    <w:textAlignment w:val="baseline"/>
                    <w:rPr>
                      <w:color w:val="auto"/>
                      <w:szCs w:val="21"/>
                    </w:rPr>
                  </w:pPr>
                </w:p>
              </w:tc>
              <w:tc>
                <w:tcPr>
                  <w:tcW w:w="1963" w:type="pct"/>
                  <w:tcBorders>
                    <w:tl2br w:val="nil"/>
                    <w:tr2bl w:val="nil"/>
                  </w:tcBorders>
                  <w:vAlign w:val="center"/>
                </w:tcPr>
                <w:p w14:paraId="0CADC996">
                  <w:pPr>
                    <w:widowControl/>
                    <w:jc w:val="center"/>
                    <w:textAlignment w:val="baseline"/>
                    <w:rPr>
                      <w:color w:val="auto"/>
                      <w:szCs w:val="21"/>
                    </w:rPr>
                  </w:pPr>
                  <w:r>
                    <w:rPr>
                      <w:color w:val="auto"/>
                      <w:szCs w:val="21"/>
                    </w:rPr>
                    <w:t>浓度</w:t>
                  </w:r>
                  <w:r>
                    <w:rPr>
                      <w:rFonts w:hint="eastAsia"/>
                      <w:color w:val="auto"/>
                      <w:szCs w:val="21"/>
                    </w:rPr>
                    <w:t>（</w:t>
                  </w:r>
                  <w:r>
                    <w:rPr>
                      <w:color w:val="auto"/>
                      <w:szCs w:val="21"/>
                    </w:rPr>
                    <w:t>mg/m</w:t>
                  </w:r>
                  <w:r>
                    <w:rPr>
                      <w:color w:val="auto"/>
                      <w:szCs w:val="21"/>
                      <w:vertAlign w:val="superscript"/>
                    </w:rPr>
                    <w:t>3</w:t>
                  </w:r>
                  <w:r>
                    <w:rPr>
                      <w:rFonts w:hint="eastAsia"/>
                      <w:color w:val="auto"/>
                      <w:szCs w:val="21"/>
                    </w:rPr>
                    <w:t>）</w:t>
                  </w:r>
                </w:p>
              </w:tc>
              <w:tc>
                <w:tcPr>
                  <w:tcW w:w="1469" w:type="pct"/>
                  <w:vMerge w:val="continue"/>
                  <w:tcBorders>
                    <w:tl2br w:val="nil"/>
                    <w:tr2bl w:val="nil"/>
                  </w:tcBorders>
                  <w:vAlign w:val="center"/>
                </w:tcPr>
                <w:p w14:paraId="021B2B7B">
                  <w:pPr>
                    <w:widowControl/>
                    <w:jc w:val="center"/>
                    <w:textAlignment w:val="baseline"/>
                    <w:rPr>
                      <w:color w:val="auto"/>
                      <w:szCs w:val="21"/>
                    </w:rPr>
                  </w:pPr>
                </w:p>
              </w:tc>
            </w:tr>
            <w:tr w14:paraId="752B6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66" w:type="pct"/>
                  <w:vMerge w:val="restart"/>
                  <w:tcBorders>
                    <w:tl2br w:val="nil"/>
                    <w:tr2bl w:val="nil"/>
                  </w:tcBorders>
                  <w:vAlign w:val="center"/>
                </w:tcPr>
                <w:p w14:paraId="5D574C87">
                  <w:pPr>
                    <w:widowControl/>
                    <w:jc w:val="center"/>
                    <w:textAlignment w:val="baseline"/>
                    <w:rPr>
                      <w:color w:val="auto"/>
                      <w:szCs w:val="21"/>
                    </w:rPr>
                  </w:pPr>
                  <w:r>
                    <w:rPr>
                      <w:rFonts w:hint="eastAsia"/>
                      <w:color w:val="auto"/>
                      <w:szCs w:val="21"/>
                    </w:rPr>
                    <w:t>GB 39726-2020</w:t>
                  </w:r>
                </w:p>
              </w:tc>
              <w:tc>
                <w:tcPr>
                  <w:tcW w:w="599" w:type="pct"/>
                  <w:tcBorders>
                    <w:tl2br w:val="nil"/>
                    <w:tr2bl w:val="nil"/>
                  </w:tcBorders>
                  <w:vAlign w:val="center"/>
                </w:tcPr>
                <w:p w14:paraId="791FBD2B">
                  <w:pPr>
                    <w:widowControl/>
                    <w:jc w:val="center"/>
                    <w:textAlignment w:val="baseline"/>
                    <w:rPr>
                      <w:color w:val="auto"/>
                      <w:szCs w:val="21"/>
                    </w:rPr>
                  </w:pPr>
                  <w:r>
                    <w:rPr>
                      <w:rFonts w:hint="eastAsia"/>
                      <w:color w:val="auto"/>
                      <w:szCs w:val="21"/>
                    </w:rPr>
                    <w:t>颗粒物</w:t>
                  </w:r>
                </w:p>
              </w:tc>
              <w:tc>
                <w:tcPr>
                  <w:tcW w:w="1963" w:type="pct"/>
                  <w:tcBorders>
                    <w:tl2br w:val="nil"/>
                    <w:tr2bl w:val="nil"/>
                  </w:tcBorders>
                  <w:vAlign w:val="center"/>
                </w:tcPr>
                <w:p w14:paraId="51A90A90">
                  <w:pPr>
                    <w:widowControl/>
                    <w:jc w:val="center"/>
                    <w:textAlignment w:val="baseline"/>
                    <w:rPr>
                      <w:color w:val="auto"/>
                      <w:szCs w:val="21"/>
                    </w:rPr>
                  </w:pPr>
                  <w:r>
                    <w:rPr>
                      <w:rFonts w:hint="eastAsia"/>
                      <w:color w:val="auto"/>
                      <w:szCs w:val="21"/>
                    </w:rPr>
                    <w:t>5（监控点处1h平均浓度值）</w:t>
                  </w:r>
                </w:p>
              </w:tc>
              <w:tc>
                <w:tcPr>
                  <w:tcW w:w="1469" w:type="pct"/>
                  <w:vMerge w:val="restart"/>
                  <w:tcBorders>
                    <w:tl2br w:val="nil"/>
                    <w:tr2bl w:val="nil"/>
                  </w:tcBorders>
                  <w:vAlign w:val="center"/>
                </w:tcPr>
                <w:p w14:paraId="5D071E89">
                  <w:pPr>
                    <w:widowControl/>
                    <w:jc w:val="center"/>
                    <w:textAlignment w:val="baseline"/>
                    <w:rPr>
                      <w:color w:val="auto"/>
                      <w:szCs w:val="21"/>
                    </w:rPr>
                  </w:pPr>
                  <w:r>
                    <w:rPr>
                      <w:rFonts w:hint="eastAsia"/>
                      <w:color w:val="auto"/>
                      <w:szCs w:val="21"/>
                    </w:rPr>
                    <w:t>在厂房外设置监控点</w:t>
                  </w:r>
                </w:p>
              </w:tc>
            </w:tr>
            <w:tr w14:paraId="49C2B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66" w:type="pct"/>
                  <w:vMerge w:val="continue"/>
                  <w:tcBorders>
                    <w:tl2br w:val="nil"/>
                    <w:tr2bl w:val="nil"/>
                  </w:tcBorders>
                  <w:vAlign w:val="center"/>
                </w:tcPr>
                <w:p w14:paraId="1C357181">
                  <w:pPr>
                    <w:widowControl/>
                    <w:jc w:val="center"/>
                    <w:textAlignment w:val="baseline"/>
                    <w:rPr>
                      <w:color w:val="auto"/>
                      <w:szCs w:val="21"/>
                    </w:rPr>
                  </w:pPr>
                </w:p>
              </w:tc>
              <w:tc>
                <w:tcPr>
                  <w:tcW w:w="599" w:type="pct"/>
                  <w:tcBorders>
                    <w:tl2br w:val="nil"/>
                    <w:tr2bl w:val="nil"/>
                  </w:tcBorders>
                  <w:vAlign w:val="center"/>
                </w:tcPr>
                <w:p w14:paraId="49502B5E">
                  <w:pPr>
                    <w:widowControl/>
                    <w:jc w:val="center"/>
                    <w:textAlignment w:val="baseline"/>
                    <w:rPr>
                      <w:color w:val="auto"/>
                      <w:szCs w:val="21"/>
                    </w:rPr>
                  </w:pPr>
                  <w:r>
                    <w:rPr>
                      <w:rFonts w:hint="eastAsia"/>
                      <w:color w:val="auto"/>
                      <w:szCs w:val="21"/>
                    </w:rPr>
                    <w:t>NMHC</w:t>
                  </w:r>
                </w:p>
              </w:tc>
              <w:tc>
                <w:tcPr>
                  <w:tcW w:w="1963" w:type="pct"/>
                  <w:tcBorders>
                    <w:tl2br w:val="nil"/>
                    <w:tr2bl w:val="nil"/>
                  </w:tcBorders>
                  <w:vAlign w:val="center"/>
                </w:tcPr>
                <w:p w14:paraId="239C9642">
                  <w:pPr>
                    <w:widowControl/>
                    <w:jc w:val="center"/>
                    <w:textAlignment w:val="baseline"/>
                    <w:rPr>
                      <w:color w:val="auto"/>
                      <w:szCs w:val="21"/>
                    </w:rPr>
                  </w:pPr>
                  <w:r>
                    <w:rPr>
                      <w:rFonts w:hint="eastAsia"/>
                      <w:color w:val="auto"/>
                      <w:szCs w:val="21"/>
                    </w:rPr>
                    <w:t>30（监控点处任意一次浓度值）</w:t>
                  </w:r>
                </w:p>
              </w:tc>
              <w:tc>
                <w:tcPr>
                  <w:tcW w:w="1469" w:type="pct"/>
                  <w:vMerge w:val="continue"/>
                  <w:tcBorders>
                    <w:tl2br w:val="nil"/>
                    <w:tr2bl w:val="nil"/>
                  </w:tcBorders>
                  <w:vAlign w:val="center"/>
                </w:tcPr>
                <w:p w14:paraId="493D250A">
                  <w:pPr>
                    <w:widowControl/>
                    <w:jc w:val="center"/>
                    <w:textAlignment w:val="baseline"/>
                    <w:rPr>
                      <w:color w:val="auto"/>
                      <w:szCs w:val="21"/>
                    </w:rPr>
                  </w:pPr>
                </w:p>
              </w:tc>
            </w:tr>
          </w:tbl>
          <w:p w14:paraId="4E631236">
            <w:pPr>
              <w:jc w:val="center"/>
              <w:rPr>
                <w:b/>
                <w:bCs/>
                <w:color w:val="auto"/>
                <w:szCs w:val="21"/>
              </w:rPr>
            </w:pPr>
            <w:r>
              <w:rPr>
                <w:b/>
                <w:bCs/>
                <w:color w:val="auto"/>
                <w:szCs w:val="21"/>
              </w:rPr>
              <w:t>表3-</w:t>
            </w:r>
            <w:r>
              <w:rPr>
                <w:rFonts w:hint="eastAsia"/>
                <w:b/>
                <w:bCs/>
                <w:color w:val="auto"/>
                <w:szCs w:val="21"/>
              </w:rPr>
              <w:t>11 《</w:t>
            </w:r>
            <w:r>
              <w:rPr>
                <w:b/>
                <w:bCs/>
                <w:color w:val="auto"/>
                <w:szCs w:val="21"/>
              </w:rPr>
              <w:t>大气污染物</w:t>
            </w:r>
            <w:r>
              <w:rPr>
                <w:rFonts w:hint="eastAsia"/>
                <w:b/>
                <w:bCs/>
                <w:color w:val="auto"/>
                <w:szCs w:val="21"/>
              </w:rPr>
              <w:t>综合</w:t>
            </w:r>
            <w:r>
              <w:rPr>
                <w:b/>
                <w:bCs/>
                <w:color w:val="auto"/>
                <w:szCs w:val="21"/>
              </w:rPr>
              <w:t>排放标准</w:t>
            </w:r>
            <w:r>
              <w:rPr>
                <w:rFonts w:hint="eastAsia"/>
                <w:b/>
                <w:bCs/>
                <w:color w:val="auto"/>
                <w:szCs w:val="21"/>
              </w:rPr>
              <w:t>》 （GB16297-1996）</w:t>
            </w:r>
          </w:p>
          <w:tbl>
            <w:tblPr>
              <w:tblStyle w:val="31"/>
              <w:tblW w:w="87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8"/>
              <w:gridCol w:w="2728"/>
              <w:gridCol w:w="3303"/>
            </w:tblGrid>
            <w:tr w14:paraId="62985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2728" w:type="dxa"/>
                  <w:vMerge w:val="restart"/>
                  <w:tcBorders>
                    <w:tl2br w:val="nil"/>
                    <w:tr2bl w:val="nil"/>
                  </w:tcBorders>
                  <w:vAlign w:val="center"/>
                </w:tcPr>
                <w:p w14:paraId="49BE710A">
                  <w:pPr>
                    <w:jc w:val="center"/>
                    <w:rPr>
                      <w:color w:val="auto"/>
                      <w:szCs w:val="21"/>
                    </w:rPr>
                  </w:pPr>
                  <w:r>
                    <w:rPr>
                      <w:color w:val="auto"/>
                      <w:szCs w:val="21"/>
                    </w:rPr>
                    <w:t>污染物</w:t>
                  </w:r>
                </w:p>
              </w:tc>
              <w:tc>
                <w:tcPr>
                  <w:tcW w:w="6031" w:type="dxa"/>
                  <w:gridSpan w:val="2"/>
                  <w:tcBorders>
                    <w:tl2br w:val="nil"/>
                    <w:tr2bl w:val="nil"/>
                  </w:tcBorders>
                  <w:vAlign w:val="center"/>
                </w:tcPr>
                <w:p w14:paraId="2A037B27">
                  <w:pPr>
                    <w:jc w:val="center"/>
                    <w:rPr>
                      <w:color w:val="auto"/>
                      <w:szCs w:val="21"/>
                    </w:rPr>
                  </w:pPr>
                  <w:r>
                    <w:rPr>
                      <w:rFonts w:hint="eastAsia"/>
                      <w:color w:val="auto"/>
                      <w:szCs w:val="21"/>
                    </w:rPr>
                    <w:t>无组织排放监控浓度限值</w:t>
                  </w:r>
                </w:p>
              </w:tc>
            </w:tr>
            <w:tr w14:paraId="2F40D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2728" w:type="dxa"/>
                  <w:vMerge w:val="continue"/>
                  <w:tcBorders>
                    <w:tl2br w:val="nil"/>
                    <w:tr2bl w:val="nil"/>
                  </w:tcBorders>
                  <w:vAlign w:val="center"/>
                </w:tcPr>
                <w:p w14:paraId="0A5880B4">
                  <w:pPr>
                    <w:jc w:val="center"/>
                    <w:rPr>
                      <w:color w:val="auto"/>
                      <w:szCs w:val="21"/>
                    </w:rPr>
                  </w:pPr>
                </w:p>
              </w:tc>
              <w:tc>
                <w:tcPr>
                  <w:tcW w:w="2728" w:type="dxa"/>
                  <w:tcBorders>
                    <w:tl2br w:val="nil"/>
                    <w:tr2bl w:val="nil"/>
                  </w:tcBorders>
                  <w:vAlign w:val="center"/>
                </w:tcPr>
                <w:p w14:paraId="004E3BEE">
                  <w:pPr>
                    <w:jc w:val="center"/>
                    <w:rPr>
                      <w:color w:val="auto"/>
                      <w:szCs w:val="21"/>
                    </w:rPr>
                  </w:pPr>
                  <w:r>
                    <w:rPr>
                      <w:rFonts w:hint="eastAsia"/>
                      <w:color w:val="auto"/>
                      <w:szCs w:val="21"/>
                    </w:rPr>
                    <w:t>监控点</w:t>
                  </w:r>
                </w:p>
              </w:tc>
              <w:tc>
                <w:tcPr>
                  <w:tcW w:w="3303" w:type="dxa"/>
                  <w:tcBorders>
                    <w:tl2br w:val="nil"/>
                    <w:tr2bl w:val="nil"/>
                  </w:tcBorders>
                  <w:vAlign w:val="center"/>
                </w:tcPr>
                <w:p w14:paraId="545DD853">
                  <w:pPr>
                    <w:jc w:val="center"/>
                    <w:rPr>
                      <w:color w:val="auto"/>
                      <w:szCs w:val="21"/>
                    </w:rPr>
                  </w:pPr>
                  <w:r>
                    <w:rPr>
                      <w:rFonts w:hint="eastAsia"/>
                      <w:color w:val="auto"/>
                      <w:szCs w:val="21"/>
                    </w:rPr>
                    <w:t>浓度（mg/m³）</w:t>
                  </w:r>
                </w:p>
              </w:tc>
            </w:tr>
            <w:tr w14:paraId="0BC6C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728" w:type="dxa"/>
                  <w:tcBorders>
                    <w:tl2br w:val="nil"/>
                    <w:tr2bl w:val="nil"/>
                  </w:tcBorders>
                  <w:vAlign w:val="center"/>
                </w:tcPr>
                <w:p w14:paraId="64A69314">
                  <w:pPr>
                    <w:jc w:val="center"/>
                    <w:rPr>
                      <w:color w:val="auto"/>
                      <w:szCs w:val="21"/>
                    </w:rPr>
                  </w:pPr>
                  <w:r>
                    <w:rPr>
                      <w:rFonts w:hint="eastAsia"/>
                      <w:color w:val="auto"/>
                      <w:szCs w:val="21"/>
                    </w:rPr>
                    <w:t>颗粒物</w:t>
                  </w:r>
                </w:p>
              </w:tc>
              <w:tc>
                <w:tcPr>
                  <w:tcW w:w="2728" w:type="dxa"/>
                  <w:vMerge w:val="restart"/>
                  <w:tcBorders>
                    <w:tl2br w:val="nil"/>
                    <w:tr2bl w:val="nil"/>
                  </w:tcBorders>
                  <w:vAlign w:val="center"/>
                </w:tcPr>
                <w:p w14:paraId="65654247">
                  <w:pPr>
                    <w:jc w:val="center"/>
                    <w:rPr>
                      <w:color w:val="auto"/>
                      <w:szCs w:val="21"/>
                    </w:rPr>
                  </w:pPr>
                  <w:r>
                    <w:rPr>
                      <w:rFonts w:hint="eastAsia"/>
                      <w:color w:val="auto"/>
                      <w:szCs w:val="21"/>
                    </w:rPr>
                    <w:t>厂界外浓度最高点</w:t>
                  </w:r>
                </w:p>
              </w:tc>
              <w:tc>
                <w:tcPr>
                  <w:tcW w:w="3303" w:type="dxa"/>
                  <w:tcBorders>
                    <w:tl2br w:val="nil"/>
                    <w:tr2bl w:val="nil"/>
                  </w:tcBorders>
                  <w:vAlign w:val="center"/>
                </w:tcPr>
                <w:p w14:paraId="78AC79BA">
                  <w:pPr>
                    <w:jc w:val="center"/>
                    <w:rPr>
                      <w:color w:val="auto"/>
                      <w:szCs w:val="21"/>
                    </w:rPr>
                  </w:pPr>
                  <w:r>
                    <w:rPr>
                      <w:rFonts w:hint="eastAsia"/>
                      <w:color w:val="auto"/>
                      <w:szCs w:val="21"/>
                    </w:rPr>
                    <w:t>1.0</w:t>
                  </w:r>
                </w:p>
              </w:tc>
            </w:tr>
            <w:tr w14:paraId="20C59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728" w:type="dxa"/>
                  <w:tcBorders>
                    <w:tl2br w:val="nil"/>
                    <w:tr2bl w:val="nil"/>
                  </w:tcBorders>
                  <w:vAlign w:val="center"/>
                </w:tcPr>
                <w:p w14:paraId="6522AA28">
                  <w:pPr>
                    <w:jc w:val="center"/>
                    <w:rPr>
                      <w:color w:val="auto"/>
                      <w:szCs w:val="21"/>
                    </w:rPr>
                  </w:pPr>
                  <w:r>
                    <w:rPr>
                      <w:rFonts w:hint="eastAsia"/>
                      <w:color w:val="auto"/>
                      <w:szCs w:val="21"/>
                    </w:rPr>
                    <w:t>非甲烷总烃</w:t>
                  </w:r>
                </w:p>
              </w:tc>
              <w:tc>
                <w:tcPr>
                  <w:tcW w:w="2728" w:type="dxa"/>
                  <w:vMerge w:val="continue"/>
                  <w:tcBorders>
                    <w:tl2br w:val="nil"/>
                    <w:tr2bl w:val="nil"/>
                  </w:tcBorders>
                  <w:vAlign w:val="center"/>
                </w:tcPr>
                <w:p w14:paraId="7DE6A72E">
                  <w:pPr>
                    <w:jc w:val="center"/>
                    <w:rPr>
                      <w:color w:val="auto"/>
                      <w:szCs w:val="21"/>
                    </w:rPr>
                  </w:pPr>
                </w:p>
              </w:tc>
              <w:tc>
                <w:tcPr>
                  <w:tcW w:w="3303" w:type="dxa"/>
                  <w:tcBorders>
                    <w:tl2br w:val="nil"/>
                    <w:tr2bl w:val="nil"/>
                  </w:tcBorders>
                  <w:vAlign w:val="center"/>
                </w:tcPr>
                <w:p w14:paraId="14A88A12">
                  <w:pPr>
                    <w:jc w:val="center"/>
                    <w:rPr>
                      <w:color w:val="auto"/>
                      <w:szCs w:val="21"/>
                    </w:rPr>
                  </w:pPr>
                  <w:r>
                    <w:rPr>
                      <w:rFonts w:hint="eastAsia"/>
                      <w:color w:val="auto"/>
                      <w:szCs w:val="21"/>
                    </w:rPr>
                    <w:t>4.0</w:t>
                  </w:r>
                </w:p>
              </w:tc>
            </w:tr>
            <w:tr w14:paraId="799D7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728" w:type="dxa"/>
                  <w:tcBorders>
                    <w:tl2br w:val="nil"/>
                    <w:tr2bl w:val="nil"/>
                  </w:tcBorders>
                  <w:vAlign w:val="center"/>
                </w:tcPr>
                <w:p w14:paraId="5891EA00">
                  <w:pPr>
                    <w:jc w:val="center"/>
                    <w:rPr>
                      <w:color w:val="auto"/>
                      <w:szCs w:val="21"/>
                    </w:rPr>
                  </w:pPr>
                  <w:r>
                    <w:rPr>
                      <w:rFonts w:hint="eastAsia"/>
                      <w:color w:val="auto"/>
                      <w:szCs w:val="21"/>
                    </w:rPr>
                    <w:t>二甲苯</w:t>
                  </w:r>
                </w:p>
              </w:tc>
              <w:tc>
                <w:tcPr>
                  <w:tcW w:w="2728" w:type="dxa"/>
                  <w:vMerge w:val="continue"/>
                  <w:tcBorders>
                    <w:tl2br w:val="nil"/>
                    <w:tr2bl w:val="nil"/>
                  </w:tcBorders>
                  <w:vAlign w:val="center"/>
                </w:tcPr>
                <w:p w14:paraId="70CAD53E">
                  <w:pPr>
                    <w:jc w:val="center"/>
                    <w:rPr>
                      <w:color w:val="auto"/>
                      <w:szCs w:val="21"/>
                    </w:rPr>
                  </w:pPr>
                </w:p>
              </w:tc>
              <w:tc>
                <w:tcPr>
                  <w:tcW w:w="3303" w:type="dxa"/>
                  <w:tcBorders>
                    <w:tl2br w:val="nil"/>
                    <w:tr2bl w:val="nil"/>
                  </w:tcBorders>
                  <w:vAlign w:val="center"/>
                </w:tcPr>
                <w:p w14:paraId="3063A429">
                  <w:pPr>
                    <w:jc w:val="center"/>
                    <w:rPr>
                      <w:color w:val="auto"/>
                      <w:szCs w:val="21"/>
                    </w:rPr>
                  </w:pPr>
                  <w:r>
                    <w:rPr>
                      <w:rFonts w:hint="eastAsia"/>
                      <w:color w:val="auto"/>
                      <w:szCs w:val="21"/>
                    </w:rPr>
                    <w:t>1.2</w:t>
                  </w:r>
                </w:p>
              </w:tc>
            </w:tr>
          </w:tbl>
          <w:p w14:paraId="29E2ACB3">
            <w:pPr>
              <w:pStyle w:val="95"/>
              <w:spacing w:before="120"/>
              <w:rPr>
                <w:rFonts w:eastAsia="宋体"/>
                <w:b/>
                <w:bCs/>
                <w:color w:val="auto"/>
                <w:sz w:val="21"/>
                <w:szCs w:val="21"/>
              </w:rPr>
            </w:pPr>
            <w:r>
              <w:rPr>
                <w:rFonts w:eastAsia="宋体"/>
                <w:b/>
                <w:bCs/>
                <w:color w:val="auto"/>
                <w:sz w:val="21"/>
                <w:szCs w:val="21"/>
              </w:rPr>
              <w:t xml:space="preserve">表 </w:t>
            </w:r>
            <w:r>
              <w:rPr>
                <w:rFonts w:hint="eastAsia" w:eastAsia="宋体"/>
                <w:b/>
                <w:bCs/>
                <w:color w:val="auto"/>
                <w:sz w:val="21"/>
                <w:szCs w:val="21"/>
              </w:rPr>
              <w:t>3-12</w:t>
            </w:r>
            <w:r>
              <w:rPr>
                <w:rFonts w:eastAsia="宋体"/>
                <w:b/>
                <w:bCs/>
                <w:color w:val="auto"/>
                <w:sz w:val="21"/>
                <w:szCs w:val="21"/>
              </w:rPr>
              <w:t xml:space="preserve"> 《恶臭污染物排放标准》</w:t>
            </w:r>
            <w:r>
              <w:rPr>
                <w:rFonts w:hint="eastAsia" w:eastAsia="宋体"/>
                <w:b/>
                <w:bCs/>
                <w:color w:val="auto"/>
                <w:sz w:val="21"/>
                <w:szCs w:val="21"/>
              </w:rPr>
              <w:t>（</w:t>
            </w:r>
            <w:r>
              <w:rPr>
                <w:rFonts w:eastAsia="宋体"/>
                <w:b/>
                <w:bCs/>
                <w:color w:val="auto"/>
                <w:sz w:val="21"/>
                <w:szCs w:val="21"/>
              </w:rPr>
              <w:t>GB14554-93</w:t>
            </w:r>
            <w:r>
              <w:rPr>
                <w:rFonts w:hint="eastAsia" w:eastAsia="宋体"/>
                <w:b/>
                <w:bCs/>
                <w:color w:val="auto"/>
                <w:sz w:val="21"/>
                <w:szCs w:val="21"/>
              </w:rPr>
              <w:t>）</w:t>
            </w:r>
          </w:p>
          <w:tbl>
            <w:tblPr>
              <w:tblStyle w:val="3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2"/>
              <w:gridCol w:w="1846"/>
              <w:gridCol w:w="1536"/>
              <w:gridCol w:w="1484"/>
              <w:gridCol w:w="1485"/>
            </w:tblGrid>
            <w:tr w14:paraId="3144E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367" w:type="pct"/>
                  <w:tcBorders>
                    <w:tl2br w:val="nil"/>
                    <w:tr2bl w:val="nil"/>
                  </w:tcBorders>
                  <w:vAlign w:val="center"/>
                </w:tcPr>
                <w:p w14:paraId="780815AE">
                  <w:pPr>
                    <w:widowControl/>
                    <w:jc w:val="center"/>
                    <w:textAlignment w:val="baseline"/>
                    <w:rPr>
                      <w:color w:val="auto"/>
                      <w:szCs w:val="21"/>
                    </w:rPr>
                  </w:pPr>
                  <w:r>
                    <w:rPr>
                      <w:rFonts w:hint="eastAsia"/>
                      <w:color w:val="auto"/>
                      <w:szCs w:val="21"/>
                    </w:rPr>
                    <w:t>标准</w:t>
                  </w:r>
                </w:p>
              </w:tc>
              <w:tc>
                <w:tcPr>
                  <w:tcW w:w="1055" w:type="pct"/>
                  <w:tcBorders>
                    <w:tl2br w:val="nil"/>
                    <w:tr2bl w:val="nil"/>
                  </w:tcBorders>
                  <w:vAlign w:val="center"/>
                </w:tcPr>
                <w:p w14:paraId="6934BF6D">
                  <w:pPr>
                    <w:widowControl/>
                    <w:jc w:val="center"/>
                    <w:textAlignment w:val="baseline"/>
                    <w:rPr>
                      <w:color w:val="auto"/>
                      <w:szCs w:val="21"/>
                    </w:rPr>
                  </w:pPr>
                  <w:r>
                    <w:rPr>
                      <w:rFonts w:hint="eastAsia"/>
                      <w:color w:val="auto"/>
                      <w:szCs w:val="21"/>
                    </w:rPr>
                    <w:t>污染物</w:t>
                  </w:r>
                </w:p>
              </w:tc>
              <w:tc>
                <w:tcPr>
                  <w:tcW w:w="878" w:type="pct"/>
                  <w:tcBorders>
                    <w:tl2br w:val="nil"/>
                    <w:tr2bl w:val="nil"/>
                  </w:tcBorders>
                  <w:vAlign w:val="center"/>
                </w:tcPr>
                <w:p w14:paraId="27A0A552">
                  <w:pPr>
                    <w:widowControl/>
                    <w:jc w:val="center"/>
                    <w:textAlignment w:val="baseline"/>
                    <w:rPr>
                      <w:color w:val="auto"/>
                      <w:szCs w:val="21"/>
                    </w:rPr>
                  </w:pPr>
                  <w:r>
                    <w:rPr>
                      <w:rFonts w:hint="eastAsia"/>
                      <w:color w:val="auto"/>
                      <w:szCs w:val="21"/>
                    </w:rPr>
                    <w:t>单位</w:t>
                  </w:r>
                </w:p>
              </w:tc>
              <w:tc>
                <w:tcPr>
                  <w:tcW w:w="848" w:type="pct"/>
                  <w:tcBorders>
                    <w:tl2br w:val="nil"/>
                    <w:tr2bl w:val="nil"/>
                  </w:tcBorders>
                  <w:shd w:val="clear" w:color="auto" w:fill="auto"/>
                  <w:vAlign w:val="center"/>
                </w:tcPr>
                <w:p w14:paraId="28556D80">
                  <w:pPr>
                    <w:widowControl/>
                    <w:jc w:val="center"/>
                    <w:textAlignment w:val="baseline"/>
                    <w:rPr>
                      <w:rFonts w:hint="eastAsia"/>
                      <w:color w:val="auto"/>
                      <w:szCs w:val="21"/>
                    </w:rPr>
                  </w:pPr>
                  <w:r>
                    <w:rPr>
                      <w:rFonts w:hint="eastAsia"/>
                      <w:color w:val="auto"/>
                      <w:szCs w:val="21"/>
                    </w:rPr>
                    <w:t>厂界</w:t>
                  </w:r>
                </w:p>
                <w:p w14:paraId="3302FE42">
                  <w:pPr>
                    <w:widowControl/>
                    <w:jc w:val="center"/>
                    <w:textAlignment w:val="baseline"/>
                    <w:rPr>
                      <w:rFonts w:hint="eastAsia" w:ascii="Times New Roman" w:hAnsi="Times New Roman" w:eastAsia="宋体" w:cs="Times New Roman"/>
                      <w:color w:val="auto"/>
                      <w:kern w:val="2"/>
                      <w:sz w:val="21"/>
                      <w:szCs w:val="21"/>
                      <w:lang w:val="en-US" w:eastAsia="zh-CN" w:bidi="ar-SA"/>
                    </w:rPr>
                  </w:pPr>
                  <w:r>
                    <w:rPr>
                      <w:rFonts w:hint="eastAsia"/>
                      <w:color w:val="auto"/>
                      <w:szCs w:val="21"/>
                    </w:rPr>
                    <w:t>标准值</w:t>
                  </w:r>
                </w:p>
              </w:tc>
              <w:tc>
                <w:tcPr>
                  <w:tcW w:w="849" w:type="pct"/>
                  <w:tcBorders>
                    <w:tl2br w:val="nil"/>
                    <w:tr2bl w:val="nil"/>
                  </w:tcBorders>
                  <w:shd w:val="clear" w:color="auto" w:fill="auto"/>
                  <w:vAlign w:val="center"/>
                </w:tcPr>
                <w:p w14:paraId="5A3315BF">
                  <w:pPr>
                    <w:widowControl/>
                    <w:jc w:val="center"/>
                    <w:textAlignment w:val="baseline"/>
                    <w:rPr>
                      <w:rFonts w:hint="eastAsia"/>
                      <w:color w:val="auto"/>
                      <w:szCs w:val="21"/>
                      <w:lang w:val="en-US" w:eastAsia="zh-CN"/>
                    </w:rPr>
                  </w:pPr>
                  <w:r>
                    <w:rPr>
                      <w:rFonts w:hint="eastAsia"/>
                      <w:color w:val="auto"/>
                      <w:szCs w:val="21"/>
                      <w:lang w:val="en-US" w:eastAsia="zh-CN"/>
                    </w:rPr>
                    <w:t>排气筒排放</w:t>
                  </w:r>
                </w:p>
                <w:p w14:paraId="1818E8A8">
                  <w:pPr>
                    <w:widowControl/>
                    <w:jc w:val="center"/>
                    <w:textAlignment w:val="baseline"/>
                    <w:rPr>
                      <w:rFonts w:hint="eastAsia" w:ascii="Times New Roman" w:hAnsi="Times New Roman" w:eastAsia="宋体" w:cs="Times New Roman"/>
                      <w:color w:val="auto"/>
                      <w:kern w:val="2"/>
                      <w:sz w:val="21"/>
                      <w:szCs w:val="21"/>
                      <w:lang w:val="en-US" w:eastAsia="zh-CN" w:bidi="ar-SA"/>
                    </w:rPr>
                  </w:pPr>
                  <w:r>
                    <w:rPr>
                      <w:rFonts w:hint="eastAsia"/>
                      <w:color w:val="auto"/>
                      <w:szCs w:val="21"/>
                    </w:rPr>
                    <w:t>标准值</w:t>
                  </w:r>
                </w:p>
              </w:tc>
            </w:tr>
            <w:tr w14:paraId="4C9DF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pct"/>
                  <w:vMerge w:val="restart"/>
                  <w:tcBorders>
                    <w:tl2br w:val="nil"/>
                    <w:tr2bl w:val="nil"/>
                  </w:tcBorders>
                  <w:vAlign w:val="center"/>
                </w:tcPr>
                <w:p w14:paraId="40268AE3">
                  <w:pPr>
                    <w:widowControl/>
                    <w:jc w:val="center"/>
                    <w:textAlignment w:val="baseline"/>
                    <w:rPr>
                      <w:color w:val="auto"/>
                      <w:szCs w:val="21"/>
                    </w:rPr>
                  </w:pPr>
                  <w:r>
                    <w:rPr>
                      <w:rFonts w:hint="eastAsia"/>
                      <w:color w:val="auto"/>
                      <w:szCs w:val="21"/>
                    </w:rPr>
                    <w:t>GB14554-93</w:t>
                  </w:r>
                </w:p>
              </w:tc>
              <w:tc>
                <w:tcPr>
                  <w:tcW w:w="1055" w:type="pct"/>
                  <w:tcBorders>
                    <w:tl2br w:val="nil"/>
                    <w:tr2bl w:val="nil"/>
                  </w:tcBorders>
                  <w:vAlign w:val="center"/>
                </w:tcPr>
                <w:p w14:paraId="21AAED20">
                  <w:pPr>
                    <w:widowControl/>
                    <w:jc w:val="center"/>
                    <w:textAlignment w:val="baseline"/>
                    <w:rPr>
                      <w:color w:val="auto"/>
                      <w:szCs w:val="21"/>
                    </w:rPr>
                  </w:pPr>
                  <w:r>
                    <w:rPr>
                      <w:rFonts w:hint="eastAsia"/>
                      <w:color w:val="auto"/>
                      <w:szCs w:val="21"/>
                    </w:rPr>
                    <w:t>苯乙烯</w:t>
                  </w:r>
                </w:p>
              </w:tc>
              <w:tc>
                <w:tcPr>
                  <w:tcW w:w="878" w:type="pct"/>
                  <w:tcBorders>
                    <w:tl2br w:val="nil"/>
                    <w:tr2bl w:val="nil"/>
                  </w:tcBorders>
                  <w:vAlign w:val="center"/>
                </w:tcPr>
                <w:p w14:paraId="3557A31E">
                  <w:pPr>
                    <w:widowControl/>
                    <w:jc w:val="center"/>
                    <w:textAlignment w:val="baseline"/>
                    <w:rPr>
                      <w:color w:val="auto"/>
                      <w:szCs w:val="21"/>
                    </w:rPr>
                  </w:pPr>
                  <w:r>
                    <w:rPr>
                      <w:color w:val="auto"/>
                      <w:szCs w:val="21"/>
                    </w:rPr>
                    <w:t>mg/m</w:t>
                  </w:r>
                  <w:r>
                    <w:rPr>
                      <w:color w:val="auto"/>
                      <w:szCs w:val="21"/>
                      <w:vertAlign w:val="superscript"/>
                    </w:rPr>
                    <w:t>3</w:t>
                  </w:r>
                </w:p>
              </w:tc>
              <w:tc>
                <w:tcPr>
                  <w:tcW w:w="848" w:type="pct"/>
                  <w:tcBorders>
                    <w:tl2br w:val="nil"/>
                    <w:tr2bl w:val="nil"/>
                  </w:tcBorders>
                  <w:shd w:val="clear" w:color="auto" w:fill="auto"/>
                  <w:vAlign w:val="center"/>
                </w:tcPr>
                <w:p w14:paraId="7408BAA7">
                  <w:pPr>
                    <w:widowControl/>
                    <w:jc w:val="center"/>
                    <w:textAlignment w:val="baseline"/>
                    <w:rPr>
                      <w:rFonts w:hint="eastAsia" w:ascii="Times New Roman" w:hAnsi="Times New Roman" w:eastAsia="宋体" w:cs="Times New Roman"/>
                      <w:color w:val="auto"/>
                      <w:kern w:val="2"/>
                      <w:sz w:val="21"/>
                      <w:szCs w:val="21"/>
                      <w:lang w:val="en-US" w:eastAsia="zh-CN" w:bidi="ar-SA"/>
                    </w:rPr>
                  </w:pPr>
                  <w:r>
                    <w:rPr>
                      <w:rFonts w:hint="eastAsia"/>
                      <w:color w:val="auto"/>
                      <w:szCs w:val="21"/>
                    </w:rPr>
                    <w:t>5.0</w:t>
                  </w:r>
                </w:p>
              </w:tc>
              <w:tc>
                <w:tcPr>
                  <w:tcW w:w="849" w:type="pct"/>
                  <w:tcBorders>
                    <w:tl2br w:val="nil"/>
                    <w:tr2bl w:val="nil"/>
                  </w:tcBorders>
                  <w:shd w:val="clear" w:color="auto" w:fill="auto"/>
                  <w:vAlign w:val="center"/>
                </w:tcPr>
                <w:p w14:paraId="16E483EB">
                  <w:pPr>
                    <w:widowControl/>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6.5</w:t>
                  </w:r>
                </w:p>
              </w:tc>
            </w:tr>
            <w:tr w14:paraId="48B6B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pct"/>
                  <w:vMerge w:val="continue"/>
                  <w:tcBorders>
                    <w:tl2br w:val="nil"/>
                    <w:tr2bl w:val="nil"/>
                  </w:tcBorders>
                  <w:vAlign w:val="center"/>
                </w:tcPr>
                <w:p w14:paraId="49F791EA">
                  <w:pPr>
                    <w:widowControl/>
                    <w:jc w:val="center"/>
                    <w:textAlignment w:val="baseline"/>
                    <w:rPr>
                      <w:color w:val="auto"/>
                      <w:szCs w:val="21"/>
                    </w:rPr>
                  </w:pPr>
                </w:p>
              </w:tc>
              <w:tc>
                <w:tcPr>
                  <w:tcW w:w="1055" w:type="pct"/>
                  <w:tcBorders>
                    <w:tl2br w:val="nil"/>
                    <w:tr2bl w:val="nil"/>
                  </w:tcBorders>
                  <w:vAlign w:val="center"/>
                </w:tcPr>
                <w:p w14:paraId="39A59D2B">
                  <w:pPr>
                    <w:widowControl/>
                    <w:jc w:val="center"/>
                    <w:textAlignment w:val="baseline"/>
                    <w:rPr>
                      <w:color w:val="auto"/>
                      <w:szCs w:val="21"/>
                    </w:rPr>
                  </w:pPr>
                  <w:r>
                    <w:rPr>
                      <w:rFonts w:hint="eastAsia"/>
                      <w:color w:val="auto"/>
                      <w:szCs w:val="21"/>
                    </w:rPr>
                    <w:t>臭气浓度</w:t>
                  </w:r>
                </w:p>
              </w:tc>
              <w:tc>
                <w:tcPr>
                  <w:tcW w:w="878" w:type="pct"/>
                  <w:tcBorders>
                    <w:tl2br w:val="nil"/>
                    <w:tr2bl w:val="nil"/>
                  </w:tcBorders>
                  <w:vAlign w:val="center"/>
                </w:tcPr>
                <w:p w14:paraId="218B4853">
                  <w:pPr>
                    <w:widowControl/>
                    <w:jc w:val="center"/>
                    <w:textAlignment w:val="baseline"/>
                    <w:rPr>
                      <w:color w:val="auto"/>
                      <w:szCs w:val="21"/>
                    </w:rPr>
                  </w:pPr>
                  <w:r>
                    <w:rPr>
                      <w:rFonts w:hint="eastAsia"/>
                      <w:color w:val="auto"/>
                      <w:szCs w:val="21"/>
                    </w:rPr>
                    <w:t>无量纲</w:t>
                  </w:r>
                </w:p>
              </w:tc>
              <w:tc>
                <w:tcPr>
                  <w:tcW w:w="848" w:type="pct"/>
                  <w:tcBorders>
                    <w:tl2br w:val="nil"/>
                    <w:tr2bl w:val="nil"/>
                  </w:tcBorders>
                  <w:shd w:val="clear" w:color="auto" w:fill="auto"/>
                  <w:vAlign w:val="center"/>
                </w:tcPr>
                <w:p w14:paraId="28193A30">
                  <w:pPr>
                    <w:widowControl/>
                    <w:jc w:val="center"/>
                    <w:textAlignment w:val="baseline"/>
                    <w:rPr>
                      <w:rFonts w:hint="eastAsia" w:ascii="Times New Roman" w:hAnsi="Times New Roman" w:eastAsia="宋体" w:cs="Times New Roman"/>
                      <w:color w:val="auto"/>
                      <w:kern w:val="2"/>
                      <w:sz w:val="21"/>
                      <w:szCs w:val="21"/>
                      <w:lang w:val="en-US" w:eastAsia="zh-CN" w:bidi="ar-SA"/>
                    </w:rPr>
                  </w:pPr>
                  <w:r>
                    <w:rPr>
                      <w:rFonts w:hint="eastAsia"/>
                      <w:color w:val="auto"/>
                      <w:szCs w:val="21"/>
                    </w:rPr>
                    <w:t>20</w:t>
                  </w:r>
                </w:p>
              </w:tc>
              <w:tc>
                <w:tcPr>
                  <w:tcW w:w="849" w:type="pct"/>
                  <w:tcBorders>
                    <w:tl2br w:val="nil"/>
                    <w:tr2bl w:val="nil"/>
                  </w:tcBorders>
                  <w:shd w:val="clear" w:color="auto" w:fill="auto"/>
                  <w:vAlign w:val="center"/>
                </w:tcPr>
                <w:p w14:paraId="1D83C51F">
                  <w:pPr>
                    <w:widowControl/>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2000</w:t>
                  </w:r>
                </w:p>
              </w:tc>
            </w:tr>
          </w:tbl>
          <w:p w14:paraId="66D95121">
            <w:pPr>
              <w:spacing w:before="120" w:beforeLines="50" w:line="360" w:lineRule="auto"/>
              <w:ind w:firstLine="482" w:firstLineChars="200"/>
              <w:rPr>
                <w:b/>
                <w:bCs/>
                <w:color w:val="auto"/>
                <w:sz w:val="24"/>
              </w:rPr>
            </w:pPr>
            <w:r>
              <w:rPr>
                <w:rFonts w:hint="eastAsia"/>
                <w:b/>
                <w:bCs/>
                <w:color w:val="auto"/>
                <w:sz w:val="24"/>
              </w:rPr>
              <w:t>2、废水</w:t>
            </w:r>
          </w:p>
          <w:p w14:paraId="3A0A5321">
            <w:pPr>
              <w:widowControl/>
              <w:spacing w:line="360" w:lineRule="auto"/>
              <w:ind w:firstLine="480" w:firstLineChars="200"/>
              <w:textAlignment w:val="baseline"/>
              <w:rPr>
                <w:color w:val="auto"/>
                <w:sz w:val="24"/>
              </w:rPr>
            </w:pPr>
            <w:r>
              <w:rPr>
                <w:rFonts w:hint="eastAsia"/>
                <w:color w:val="auto"/>
                <w:sz w:val="24"/>
              </w:rPr>
              <w:t>项目无生产废水排放，外排废水仅为生活污水。生活污水依托园区已建化粪池处理达《污水综合排放标准》（GB8978-1996）表4中三级标准以及湘潭县第一污水处理厂接纳标准，排入市政污水管网，经湘潭县第一污水处理厂处理达《城镇污水处理厂污染物排放标准》（GB18918-2002）一级A标准后，排入湘江。</w:t>
            </w:r>
          </w:p>
          <w:p w14:paraId="3923E14B">
            <w:pPr>
              <w:spacing w:line="360" w:lineRule="auto"/>
              <w:jc w:val="center"/>
              <w:rPr>
                <w:b/>
                <w:bCs/>
                <w:color w:val="auto"/>
                <w:szCs w:val="21"/>
                <w:lang w:bidi="ar"/>
              </w:rPr>
            </w:pPr>
            <w:r>
              <w:rPr>
                <w:b/>
                <w:bCs/>
                <w:color w:val="auto"/>
                <w:szCs w:val="21"/>
                <w:lang w:bidi="ar"/>
              </w:rPr>
              <w:t>表3-</w:t>
            </w:r>
            <w:r>
              <w:rPr>
                <w:rFonts w:hint="eastAsia"/>
                <w:b/>
                <w:bCs/>
                <w:color w:val="auto"/>
                <w:szCs w:val="21"/>
                <w:lang w:bidi="ar"/>
              </w:rPr>
              <w:t xml:space="preserve">13 </w:t>
            </w:r>
            <w:r>
              <w:rPr>
                <w:b/>
                <w:bCs/>
                <w:color w:val="auto"/>
                <w:szCs w:val="21"/>
                <w:lang w:bidi="ar"/>
              </w:rPr>
              <w:t xml:space="preserve"> </w:t>
            </w:r>
            <w:r>
              <w:rPr>
                <w:rFonts w:hint="eastAsia"/>
                <w:b/>
                <w:bCs/>
                <w:color w:val="auto"/>
                <w:szCs w:val="21"/>
                <w:lang w:bidi="ar"/>
              </w:rPr>
              <w:t>营运期废水执行</w:t>
            </w:r>
            <w:r>
              <w:rPr>
                <w:b/>
                <w:bCs/>
                <w:color w:val="auto"/>
                <w:szCs w:val="21"/>
                <w:lang w:bidi="ar"/>
              </w:rPr>
              <w:t>标准（pH为无量纲，单位：mg/L）</w:t>
            </w:r>
          </w:p>
          <w:tbl>
            <w:tblPr>
              <w:tblStyle w:val="31"/>
              <w:tblW w:w="4996" w:type="pct"/>
              <w:tblInd w:w="16"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3318"/>
              <w:gridCol w:w="816"/>
              <w:gridCol w:w="917"/>
              <w:gridCol w:w="850"/>
              <w:gridCol w:w="817"/>
              <w:gridCol w:w="934"/>
              <w:gridCol w:w="1101"/>
            </w:tblGrid>
            <w:tr w14:paraId="05534F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894" w:type="pct"/>
                  <w:tcBorders>
                    <w:tl2br w:val="nil"/>
                    <w:tr2bl w:val="nil"/>
                  </w:tcBorders>
                  <w:vAlign w:val="center"/>
                </w:tcPr>
                <w:p w14:paraId="3086DEF3">
                  <w:pPr>
                    <w:jc w:val="center"/>
                    <w:rPr>
                      <w:b/>
                      <w:bCs/>
                      <w:color w:val="auto"/>
                      <w:szCs w:val="21"/>
                      <w:lang w:bidi="ar"/>
                    </w:rPr>
                  </w:pPr>
                  <w:r>
                    <w:rPr>
                      <w:b/>
                      <w:bCs/>
                      <w:color w:val="auto"/>
                      <w:szCs w:val="21"/>
                      <w:lang w:bidi="ar"/>
                    </w:rPr>
                    <w:t>指标</w:t>
                  </w:r>
                </w:p>
              </w:tc>
              <w:tc>
                <w:tcPr>
                  <w:tcW w:w="466" w:type="pct"/>
                  <w:tcBorders>
                    <w:tl2br w:val="nil"/>
                    <w:tr2bl w:val="nil"/>
                  </w:tcBorders>
                  <w:vAlign w:val="center"/>
                </w:tcPr>
                <w:p w14:paraId="4123EEE9">
                  <w:pPr>
                    <w:jc w:val="center"/>
                    <w:rPr>
                      <w:b/>
                      <w:bCs/>
                      <w:color w:val="auto"/>
                      <w:szCs w:val="21"/>
                      <w:lang w:bidi="ar"/>
                    </w:rPr>
                  </w:pPr>
                  <w:r>
                    <w:rPr>
                      <w:b/>
                      <w:bCs/>
                      <w:color w:val="auto"/>
                      <w:szCs w:val="21"/>
                      <w:lang w:bidi="ar"/>
                    </w:rPr>
                    <w:t>pH</w:t>
                  </w:r>
                </w:p>
              </w:tc>
              <w:tc>
                <w:tcPr>
                  <w:tcW w:w="523" w:type="pct"/>
                  <w:tcBorders>
                    <w:tl2br w:val="nil"/>
                    <w:tr2bl w:val="nil"/>
                  </w:tcBorders>
                  <w:vAlign w:val="center"/>
                </w:tcPr>
                <w:p w14:paraId="1A914A4C">
                  <w:pPr>
                    <w:jc w:val="center"/>
                    <w:rPr>
                      <w:b/>
                      <w:bCs/>
                      <w:color w:val="auto"/>
                      <w:szCs w:val="21"/>
                      <w:lang w:bidi="ar"/>
                    </w:rPr>
                  </w:pPr>
                  <w:r>
                    <w:rPr>
                      <w:b/>
                      <w:bCs/>
                      <w:color w:val="auto"/>
                      <w:szCs w:val="21"/>
                      <w:lang w:bidi="ar"/>
                    </w:rPr>
                    <w:t>COD</w:t>
                  </w:r>
                </w:p>
              </w:tc>
              <w:tc>
                <w:tcPr>
                  <w:tcW w:w="485" w:type="pct"/>
                  <w:tcBorders>
                    <w:tl2br w:val="nil"/>
                    <w:tr2bl w:val="nil"/>
                  </w:tcBorders>
                  <w:vAlign w:val="center"/>
                </w:tcPr>
                <w:p w14:paraId="52DBFD6E">
                  <w:pPr>
                    <w:jc w:val="center"/>
                    <w:rPr>
                      <w:b/>
                      <w:bCs/>
                      <w:color w:val="auto"/>
                      <w:szCs w:val="21"/>
                      <w:lang w:bidi="ar"/>
                    </w:rPr>
                  </w:pPr>
                  <w:r>
                    <w:rPr>
                      <w:b/>
                      <w:bCs/>
                      <w:color w:val="auto"/>
                      <w:szCs w:val="21"/>
                      <w:lang w:bidi="ar"/>
                    </w:rPr>
                    <w:t>BOD</w:t>
                  </w:r>
                  <w:r>
                    <w:rPr>
                      <w:b/>
                      <w:bCs/>
                      <w:color w:val="auto"/>
                      <w:szCs w:val="21"/>
                      <w:vertAlign w:val="subscript"/>
                      <w:lang w:bidi="ar"/>
                    </w:rPr>
                    <w:t>5</w:t>
                  </w:r>
                </w:p>
              </w:tc>
              <w:tc>
                <w:tcPr>
                  <w:tcW w:w="466" w:type="pct"/>
                  <w:tcBorders>
                    <w:tl2br w:val="nil"/>
                    <w:tr2bl w:val="nil"/>
                  </w:tcBorders>
                  <w:vAlign w:val="center"/>
                </w:tcPr>
                <w:p w14:paraId="5C964B29">
                  <w:pPr>
                    <w:jc w:val="center"/>
                    <w:rPr>
                      <w:b/>
                      <w:bCs/>
                      <w:color w:val="auto"/>
                      <w:szCs w:val="21"/>
                      <w:lang w:bidi="ar"/>
                    </w:rPr>
                  </w:pPr>
                  <w:r>
                    <w:rPr>
                      <w:b/>
                      <w:bCs/>
                      <w:color w:val="auto"/>
                      <w:szCs w:val="21"/>
                      <w:lang w:bidi="ar"/>
                    </w:rPr>
                    <w:t>SS</w:t>
                  </w:r>
                </w:p>
              </w:tc>
              <w:tc>
                <w:tcPr>
                  <w:tcW w:w="533" w:type="pct"/>
                  <w:tcBorders>
                    <w:tl2br w:val="nil"/>
                    <w:tr2bl w:val="nil"/>
                  </w:tcBorders>
                  <w:vAlign w:val="center"/>
                </w:tcPr>
                <w:p w14:paraId="0CCE5ACF">
                  <w:pPr>
                    <w:jc w:val="center"/>
                    <w:rPr>
                      <w:b/>
                      <w:bCs/>
                      <w:color w:val="auto"/>
                      <w:szCs w:val="21"/>
                      <w:lang w:bidi="ar"/>
                    </w:rPr>
                  </w:pPr>
                  <w:r>
                    <w:rPr>
                      <w:b/>
                      <w:bCs/>
                      <w:color w:val="auto"/>
                      <w:szCs w:val="21"/>
                      <w:lang w:bidi="ar"/>
                    </w:rPr>
                    <w:t>NH</w:t>
                  </w:r>
                  <w:r>
                    <w:rPr>
                      <w:b/>
                      <w:bCs/>
                      <w:color w:val="auto"/>
                      <w:szCs w:val="21"/>
                      <w:vertAlign w:val="subscript"/>
                      <w:lang w:bidi="ar"/>
                    </w:rPr>
                    <w:t>3</w:t>
                  </w:r>
                  <w:r>
                    <w:rPr>
                      <w:b/>
                      <w:bCs/>
                      <w:color w:val="auto"/>
                      <w:szCs w:val="21"/>
                      <w:lang w:bidi="ar"/>
                    </w:rPr>
                    <w:t>-N</w:t>
                  </w:r>
                </w:p>
              </w:tc>
              <w:tc>
                <w:tcPr>
                  <w:tcW w:w="628" w:type="pct"/>
                  <w:tcBorders>
                    <w:tl2br w:val="nil"/>
                    <w:tr2bl w:val="nil"/>
                  </w:tcBorders>
                  <w:vAlign w:val="center"/>
                </w:tcPr>
                <w:p w14:paraId="637E74CA">
                  <w:pPr>
                    <w:jc w:val="center"/>
                    <w:rPr>
                      <w:b/>
                      <w:bCs/>
                      <w:color w:val="auto"/>
                      <w:szCs w:val="21"/>
                      <w:lang w:bidi="ar"/>
                    </w:rPr>
                  </w:pPr>
                  <w:r>
                    <w:rPr>
                      <w:rFonts w:hint="eastAsia"/>
                      <w:b/>
                      <w:bCs/>
                      <w:color w:val="auto"/>
                      <w:szCs w:val="21"/>
                      <w:lang w:bidi="ar"/>
                    </w:rPr>
                    <w:t>总磷</w:t>
                  </w:r>
                </w:p>
              </w:tc>
            </w:tr>
            <w:tr w14:paraId="5746F7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894" w:type="pct"/>
                  <w:tcBorders>
                    <w:tl2br w:val="nil"/>
                    <w:tr2bl w:val="nil"/>
                  </w:tcBorders>
                  <w:vAlign w:val="center"/>
                </w:tcPr>
                <w:p w14:paraId="680CDEF1">
                  <w:pPr>
                    <w:jc w:val="center"/>
                    <w:rPr>
                      <w:color w:val="auto"/>
                      <w:szCs w:val="21"/>
                      <w:lang w:bidi="ar"/>
                    </w:rPr>
                  </w:pPr>
                  <w:r>
                    <w:rPr>
                      <w:color w:val="auto"/>
                      <w:szCs w:val="21"/>
                      <w:lang w:bidi="ar"/>
                    </w:rPr>
                    <w:t>《污水综合排放标准》（GB8978-1996）表4中三级标准</w:t>
                  </w:r>
                </w:p>
              </w:tc>
              <w:tc>
                <w:tcPr>
                  <w:tcW w:w="466" w:type="pct"/>
                  <w:tcBorders>
                    <w:tl2br w:val="nil"/>
                    <w:tr2bl w:val="nil"/>
                  </w:tcBorders>
                  <w:vAlign w:val="center"/>
                </w:tcPr>
                <w:p w14:paraId="50D1C45A">
                  <w:pPr>
                    <w:jc w:val="center"/>
                    <w:rPr>
                      <w:color w:val="auto"/>
                      <w:szCs w:val="21"/>
                      <w:lang w:bidi="ar"/>
                    </w:rPr>
                  </w:pPr>
                  <w:r>
                    <w:rPr>
                      <w:color w:val="auto"/>
                      <w:szCs w:val="21"/>
                      <w:lang w:bidi="ar"/>
                    </w:rPr>
                    <w:t>6-9</w:t>
                  </w:r>
                </w:p>
              </w:tc>
              <w:tc>
                <w:tcPr>
                  <w:tcW w:w="523" w:type="pct"/>
                  <w:tcBorders>
                    <w:tl2br w:val="nil"/>
                    <w:tr2bl w:val="nil"/>
                  </w:tcBorders>
                  <w:vAlign w:val="center"/>
                </w:tcPr>
                <w:p w14:paraId="1A6693C1">
                  <w:pPr>
                    <w:jc w:val="center"/>
                    <w:rPr>
                      <w:color w:val="auto"/>
                      <w:szCs w:val="21"/>
                      <w:lang w:bidi="ar"/>
                    </w:rPr>
                  </w:pPr>
                  <w:r>
                    <w:rPr>
                      <w:color w:val="auto"/>
                      <w:szCs w:val="21"/>
                      <w:lang w:bidi="ar"/>
                    </w:rPr>
                    <w:t>≤</w:t>
                  </w:r>
                  <w:r>
                    <w:rPr>
                      <w:rFonts w:hint="eastAsia"/>
                      <w:color w:val="auto"/>
                      <w:szCs w:val="21"/>
                      <w:lang w:bidi="ar"/>
                    </w:rPr>
                    <w:t>500</w:t>
                  </w:r>
                </w:p>
              </w:tc>
              <w:tc>
                <w:tcPr>
                  <w:tcW w:w="485" w:type="pct"/>
                  <w:tcBorders>
                    <w:tl2br w:val="nil"/>
                    <w:tr2bl w:val="nil"/>
                  </w:tcBorders>
                  <w:vAlign w:val="center"/>
                </w:tcPr>
                <w:p w14:paraId="6C3F0B88">
                  <w:pPr>
                    <w:jc w:val="center"/>
                    <w:rPr>
                      <w:color w:val="auto"/>
                      <w:szCs w:val="21"/>
                      <w:lang w:bidi="ar"/>
                    </w:rPr>
                  </w:pPr>
                  <w:r>
                    <w:rPr>
                      <w:color w:val="auto"/>
                      <w:szCs w:val="21"/>
                      <w:lang w:bidi="ar"/>
                    </w:rPr>
                    <w:t>≤</w:t>
                  </w:r>
                  <w:r>
                    <w:rPr>
                      <w:rFonts w:hint="eastAsia"/>
                      <w:color w:val="auto"/>
                      <w:szCs w:val="21"/>
                      <w:lang w:bidi="ar"/>
                    </w:rPr>
                    <w:t>300</w:t>
                  </w:r>
                </w:p>
              </w:tc>
              <w:tc>
                <w:tcPr>
                  <w:tcW w:w="466" w:type="pct"/>
                  <w:tcBorders>
                    <w:tl2br w:val="nil"/>
                    <w:tr2bl w:val="nil"/>
                  </w:tcBorders>
                  <w:vAlign w:val="center"/>
                </w:tcPr>
                <w:p w14:paraId="49AA57FE">
                  <w:pPr>
                    <w:jc w:val="center"/>
                    <w:rPr>
                      <w:color w:val="auto"/>
                      <w:szCs w:val="21"/>
                      <w:lang w:bidi="ar"/>
                    </w:rPr>
                  </w:pPr>
                  <w:r>
                    <w:rPr>
                      <w:color w:val="auto"/>
                      <w:szCs w:val="21"/>
                      <w:lang w:bidi="ar"/>
                    </w:rPr>
                    <w:t>≤</w:t>
                  </w:r>
                  <w:r>
                    <w:rPr>
                      <w:rFonts w:hint="eastAsia"/>
                      <w:color w:val="auto"/>
                      <w:szCs w:val="21"/>
                      <w:lang w:bidi="ar"/>
                    </w:rPr>
                    <w:t>400</w:t>
                  </w:r>
                </w:p>
              </w:tc>
              <w:tc>
                <w:tcPr>
                  <w:tcW w:w="533" w:type="pct"/>
                  <w:tcBorders>
                    <w:tl2br w:val="nil"/>
                    <w:tr2bl w:val="nil"/>
                  </w:tcBorders>
                  <w:vAlign w:val="center"/>
                </w:tcPr>
                <w:p w14:paraId="26FE8138">
                  <w:pPr>
                    <w:jc w:val="center"/>
                    <w:rPr>
                      <w:color w:val="auto"/>
                      <w:szCs w:val="21"/>
                      <w:lang w:bidi="ar"/>
                    </w:rPr>
                  </w:pPr>
                  <w:r>
                    <w:rPr>
                      <w:rFonts w:hint="eastAsia"/>
                      <w:color w:val="auto"/>
                      <w:szCs w:val="21"/>
                      <w:lang w:bidi="ar"/>
                    </w:rPr>
                    <w:t>--</w:t>
                  </w:r>
                </w:p>
              </w:tc>
              <w:tc>
                <w:tcPr>
                  <w:tcW w:w="628" w:type="pct"/>
                  <w:tcBorders>
                    <w:tl2br w:val="nil"/>
                    <w:tr2bl w:val="nil"/>
                  </w:tcBorders>
                  <w:vAlign w:val="center"/>
                </w:tcPr>
                <w:p w14:paraId="0CB001EF">
                  <w:pPr>
                    <w:jc w:val="center"/>
                    <w:rPr>
                      <w:color w:val="auto"/>
                      <w:szCs w:val="21"/>
                      <w:lang w:bidi="ar"/>
                    </w:rPr>
                  </w:pPr>
                  <w:r>
                    <w:rPr>
                      <w:rFonts w:hint="eastAsia"/>
                      <w:color w:val="auto"/>
                      <w:szCs w:val="21"/>
                      <w:lang w:bidi="ar"/>
                    </w:rPr>
                    <w:t>-</w:t>
                  </w:r>
                </w:p>
              </w:tc>
            </w:tr>
            <w:tr w14:paraId="7F16345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894" w:type="pct"/>
                  <w:tcBorders>
                    <w:tl2br w:val="nil"/>
                    <w:tr2bl w:val="nil"/>
                  </w:tcBorders>
                  <w:vAlign w:val="center"/>
                </w:tcPr>
                <w:p w14:paraId="588B329F">
                  <w:pPr>
                    <w:jc w:val="center"/>
                    <w:rPr>
                      <w:color w:val="auto"/>
                      <w:szCs w:val="21"/>
                      <w:lang w:bidi="ar"/>
                    </w:rPr>
                  </w:pPr>
                  <w:r>
                    <w:rPr>
                      <w:rFonts w:hint="eastAsia"/>
                      <w:color w:val="auto"/>
                      <w:szCs w:val="21"/>
                      <w:lang w:bidi="ar"/>
                    </w:rPr>
                    <w:t>湘潭县第一污水处理厂</w:t>
                  </w:r>
                  <w:r>
                    <w:rPr>
                      <w:color w:val="auto"/>
                      <w:szCs w:val="21"/>
                      <w:lang w:bidi="ar"/>
                    </w:rPr>
                    <w:t>接纳标准</w:t>
                  </w:r>
                </w:p>
              </w:tc>
              <w:tc>
                <w:tcPr>
                  <w:tcW w:w="466" w:type="pct"/>
                  <w:tcBorders>
                    <w:tl2br w:val="nil"/>
                    <w:tr2bl w:val="nil"/>
                  </w:tcBorders>
                  <w:vAlign w:val="center"/>
                </w:tcPr>
                <w:p w14:paraId="6F21E72F">
                  <w:pPr>
                    <w:adjustRightInd w:val="0"/>
                    <w:snapToGrid w:val="0"/>
                    <w:jc w:val="center"/>
                    <w:textAlignment w:val="center"/>
                    <w:rPr>
                      <w:color w:val="auto"/>
                      <w:szCs w:val="21"/>
                      <w:lang w:bidi="ar"/>
                    </w:rPr>
                  </w:pPr>
                  <w:r>
                    <w:rPr>
                      <w:snapToGrid w:val="0"/>
                      <w:color w:val="auto"/>
                      <w:szCs w:val="21"/>
                      <w:lang w:bidi="ar"/>
                    </w:rPr>
                    <w:t>6~9</w:t>
                  </w:r>
                </w:p>
              </w:tc>
              <w:tc>
                <w:tcPr>
                  <w:tcW w:w="523" w:type="pct"/>
                  <w:tcBorders>
                    <w:tl2br w:val="nil"/>
                    <w:tr2bl w:val="nil"/>
                  </w:tcBorders>
                  <w:vAlign w:val="center"/>
                </w:tcPr>
                <w:p w14:paraId="02AEE5B9">
                  <w:pPr>
                    <w:adjustRightInd w:val="0"/>
                    <w:snapToGrid w:val="0"/>
                    <w:jc w:val="center"/>
                    <w:textAlignment w:val="center"/>
                    <w:rPr>
                      <w:color w:val="auto"/>
                      <w:szCs w:val="21"/>
                      <w:lang w:bidi="ar"/>
                    </w:rPr>
                  </w:pPr>
                  <w:r>
                    <w:rPr>
                      <w:snapToGrid w:val="0"/>
                      <w:color w:val="auto"/>
                      <w:szCs w:val="21"/>
                      <w:lang w:bidi="ar"/>
                    </w:rPr>
                    <w:t>≤300</w:t>
                  </w:r>
                </w:p>
              </w:tc>
              <w:tc>
                <w:tcPr>
                  <w:tcW w:w="485" w:type="pct"/>
                  <w:tcBorders>
                    <w:tl2br w:val="nil"/>
                    <w:tr2bl w:val="nil"/>
                  </w:tcBorders>
                  <w:vAlign w:val="center"/>
                </w:tcPr>
                <w:p w14:paraId="0AAF9033">
                  <w:pPr>
                    <w:adjustRightInd w:val="0"/>
                    <w:snapToGrid w:val="0"/>
                    <w:jc w:val="center"/>
                    <w:textAlignment w:val="center"/>
                    <w:rPr>
                      <w:color w:val="auto"/>
                      <w:szCs w:val="21"/>
                      <w:lang w:bidi="ar"/>
                    </w:rPr>
                  </w:pPr>
                  <w:r>
                    <w:rPr>
                      <w:snapToGrid w:val="0"/>
                      <w:color w:val="auto"/>
                      <w:szCs w:val="21"/>
                      <w:lang w:bidi="ar"/>
                    </w:rPr>
                    <w:t>≤1</w:t>
                  </w:r>
                  <w:r>
                    <w:rPr>
                      <w:rFonts w:hint="eastAsia"/>
                      <w:snapToGrid w:val="0"/>
                      <w:color w:val="auto"/>
                      <w:szCs w:val="21"/>
                      <w:lang w:bidi="ar"/>
                    </w:rPr>
                    <w:t>3</w:t>
                  </w:r>
                  <w:r>
                    <w:rPr>
                      <w:snapToGrid w:val="0"/>
                      <w:color w:val="auto"/>
                      <w:szCs w:val="21"/>
                      <w:lang w:bidi="ar"/>
                    </w:rPr>
                    <w:t>0</w:t>
                  </w:r>
                </w:p>
              </w:tc>
              <w:tc>
                <w:tcPr>
                  <w:tcW w:w="466" w:type="pct"/>
                  <w:tcBorders>
                    <w:tl2br w:val="nil"/>
                    <w:tr2bl w:val="nil"/>
                  </w:tcBorders>
                  <w:vAlign w:val="center"/>
                </w:tcPr>
                <w:p w14:paraId="0C3BAB88">
                  <w:pPr>
                    <w:adjustRightInd w:val="0"/>
                    <w:snapToGrid w:val="0"/>
                    <w:jc w:val="center"/>
                    <w:textAlignment w:val="center"/>
                    <w:rPr>
                      <w:color w:val="auto"/>
                      <w:szCs w:val="21"/>
                      <w:lang w:bidi="ar"/>
                    </w:rPr>
                  </w:pPr>
                  <w:r>
                    <w:rPr>
                      <w:snapToGrid w:val="0"/>
                      <w:color w:val="auto"/>
                      <w:szCs w:val="21"/>
                      <w:lang w:bidi="ar"/>
                    </w:rPr>
                    <w:t>≤220</w:t>
                  </w:r>
                </w:p>
              </w:tc>
              <w:tc>
                <w:tcPr>
                  <w:tcW w:w="533" w:type="pct"/>
                  <w:tcBorders>
                    <w:tl2br w:val="nil"/>
                    <w:tr2bl w:val="nil"/>
                  </w:tcBorders>
                  <w:vAlign w:val="center"/>
                </w:tcPr>
                <w:p w14:paraId="683030F3">
                  <w:pPr>
                    <w:adjustRightInd w:val="0"/>
                    <w:snapToGrid w:val="0"/>
                    <w:jc w:val="center"/>
                    <w:textAlignment w:val="center"/>
                    <w:rPr>
                      <w:color w:val="auto"/>
                      <w:szCs w:val="21"/>
                      <w:lang w:bidi="ar"/>
                    </w:rPr>
                  </w:pPr>
                  <w:r>
                    <w:rPr>
                      <w:snapToGrid w:val="0"/>
                      <w:color w:val="auto"/>
                      <w:szCs w:val="21"/>
                      <w:lang w:bidi="ar"/>
                    </w:rPr>
                    <w:t>≤</w:t>
                  </w:r>
                  <w:r>
                    <w:rPr>
                      <w:rFonts w:hint="eastAsia"/>
                      <w:snapToGrid w:val="0"/>
                      <w:color w:val="auto"/>
                      <w:szCs w:val="21"/>
                      <w:lang w:bidi="ar"/>
                    </w:rPr>
                    <w:t>25</w:t>
                  </w:r>
                </w:p>
              </w:tc>
              <w:tc>
                <w:tcPr>
                  <w:tcW w:w="628" w:type="pct"/>
                  <w:tcBorders>
                    <w:tl2br w:val="nil"/>
                    <w:tr2bl w:val="nil"/>
                  </w:tcBorders>
                  <w:vAlign w:val="center"/>
                </w:tcPr>
                <w:p w14:paraId="1BD2BFD6">
                  <w:pPr>
                    <w:adjustRightInd w:val="0"/>
                    <w:snapToGrid w:val="0"/>
                    <w:jc w:val="center"/>
                    <w:textAlignment w:val="center"/>
                    <w:rPr>
                      <w:color w:val="auto"/>
                      <w:szCs w:val="21"/>
                      <w:lang w:bidi="ar"/>
                    </w:rPr>
                  </w:pPr>
                  <w:r>
                    <w:rPr>
                      <w:snapToGrid w:val="0"/>
                      <w:color w:val="auto"/>
                      <w:szCs w:val="21"/>
                      <w:lang w:bidi="ar"/>
                    </w:rPr>
                    <w:t>≤</w:t>
                  </w:r>
                  <w:r>
                    <w:rPr>
                      <w:rFonts w:hint="eastAsia"/>
                      <w:snapToGrid w:val="0"/>
                      <w:color w:val="auto"/>
                      <w:szCs w:val="21"/>
                      <w:lang w:bidi="ar"/>
                    </w:rPr>
                    <w:t>4</w:t>
                  </w:r>
                </w:p>
              </w:tc>
            </w:tr>
            <w:tr w14:paraId="3E770B2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894" w:type="pct"/>
                  <w:tcBorders>
                    <w:tl2br w:val="nil"/>
                    <w:tr2bl w:val="nil"/>
                  </w:tcBorders>
                  <w:vAlign w:val="center"/>
                </w:tcPr>
                <w:p w14:paraId="11E36911">
                  <w:pPr>
                    <w:jc w:val="center"/>
                    <w:rPr>
                      <w:color w:val="auto"/>
                      <w:szCs w:val="21"/>
                      <w:lang w:bidi="ar"/>
                    </w:rPr>
                  </w:pPr>
                  <w:r>
                    <w:rPr>
                      <w:rFonts w:hint="eastAsia"/>
                      <w:color w:val="auto"/>
                      <w:szCs w:val="21"/>
                      <w:lang w:bidi="ar"/>
                    </w:rPr>
                    <w:t>本项目执行标准</w:t>
                  </w:r>
                </w:p>
              </w:tc>
              <w:tc>
                <w:tcPr>
                  <w:tcW w:w="466" w:type="pct"/>
                  <w:tcBorders>
                    <w:tl2br w:val="nil"/>
                    <w:tr2bl w:val="nil"/>
                  </w:tcBorders>
                  <w:vAlign w:val="center"/>
                </w:tcPr>
                <w:p w14:paraId="5C427B21">
                  <w:pPr>
                    <w:jc w:val="center"/>
                    <w:rPr>
                      <w:color w:val="auto"/>
                      <w:szCs w:val="21"/>
                      <w:lang w:bidi="ar"/>
                    </w:rPr>
                  </w:pPr>
                  <w:r>
                    <w:rPr>
                      <w:rFonts w:hint="eastAsia"/>
                      <w:color w:val="auto"/>
                      <w:szCs w:val="21"/>
                      <w:lang w:bidi="ar"/>
                    </w:rPr>
                    <w:t>6~9</w:t>
                  </w:r>
                </w:p>
              </w:tc>
              <w:tc>
                <w:tcPr>
                  <w:tcW w:w="523" w:type="pct"/>
                  <w:tcBorders>
                    <w:tl2br w:val="nil"/>
                    <w:tr2bl w:val="nil"/>
                  </w:tcBorders>
                  <w:vAlign w:val="center"/>
                </w:tcPr>
                <w:p w14:paraId="7D7A858A">
                  <w:pPr>
                    <w:jc w:val="center"/>
                    <w:rPr>
                      <w:color w:val="auto"/>
                      <w:szCs w:val="21"/>
                      <w:lang w:bidi="ar"/>
                    </w:rPr>
                  </w:pPr>
                  <w:r>
                    <w:rPr>
                      <w:snapToGrid w:val="0"/>
                      <w:color w:val="auto"/>
                      <w:szCs w:val="21"/>
                      <w:lang w:bidi="ar"/>
                    </w:rPr>
                    <w:t>≤</w:t>
                  </w:r>
                  <w:r>
                    <w:rPr>
                      <w:rFonts w:hint="eastAsia"/>
                      <w:color w:val="auto"/>
                      <w:szCs w:val="21"/>
                      <w:lang w:bidi="ar"/>
                    </w:rPr>
                    <w:t>300</w:t>
                  </w:r>
                </w:p>
              </w:tc>
              <w:tc>
                <w:tcPr>
                  <w:tcW w:w="485" w:type="pct"/>
                  <w:tcBorders>
                    <w:tl2br w:val="nil"/>
                    <w:tr2bl w:val="nil"/>
                  </w:tcBorders>
                  <w:vAlign w:val="center"/>
                </w:tcPr>
                <w:p w14:paraId="6061F631">
                  <w:pPr>
                    <w:jc w:val="center"/>
                    <w:rPr>
                      <w:color w:val="auto"/>
                      <w:szCs w:val="21"/>
                      <w:lang w:bidi="ar"/>
                    </w:rPr>
                  </w:pPr>
                  <w:r>
                    <w:rPr>
                      <w:snapToGrid w:val="0"/>
                      <w:color w:val="auto"/>
                      <w:szCs w:val="21"/>
                      <w:lang w:bidi="ar"/>
                    </w:rPr>
                    <w:t>≤</w:t>
                  </w:r>
                  <w:r>
                    <w:rPr>
                      <w:rFonts w:hint="eastAsia"/>
                      <w:color w:val="auto"/>
                      <w:szCs w:val="21"/>
                      <w:lang w:bidi="ar"/>
                    </w:rPr>
                    <w:t>130</w:t>
                  </w:r>
                </w:p>
              </w:tc>
              <w:tc>
                <w:tcPr>
                  <w:tcW w:w="466" w:type="pct"/>
                  <w:tcBorders>
                    <w:tl2br w:val="nil"/>
                    <w:tr2bl w:val="nil"/>
                  </w:tcBorders>
                  <w:vAlign w:val="center"/>
                </w:tcPr>
                <w:p w14:paraId="292EA7C5">
                  <w:pPr>
                    <w:jc w:val="center"/>
                    <w:rPr>
                      <w:color w:val="auto"/>
                      <w:szCs w:val="21"/>
                      <w:lang w:bidi="ar"/>
                    </w:rPr>
                  </w:pPr>
                  <w:r>
                    <w:rPr>
                      <w:snapToGrid w:val="0"/>
                      <w:color w:val="auto"/>
                      <w:szCs w:val="21"/>
                      <w:lang w:bidi="ar"/>
                    </w:rPr>
                    <w:t>≤</w:t>
                  </w:r>
                  <w:r>
                    <w:rPr>
                      <w:rFonts w:hint="eastAsia"/>
                      <w:color w:val="auto"/>
                      <w:szCs w:val="21"/>
                      <w:lang w:bidi="ar"/>
                    </w:rPr>
                    <w:t>220</w:t>
                  </w:r>
                </w:p>
              </w:tc>
              <w:tc>
                <w:tcPr>
                  <w:tcW w:w="533" w:type="pct"/>
                  <w:tcBorders>
                    <w:tl2br w:val="nil"/>
                    <w:tr2bl w:val="nil"/>
                  </w:tcBorders>
                  <w:vAlign w:val="center"/>
                </w:tcPr>
                <w:p w14:paraId="7DE6EE9B">
                  <w:pPr>
                    <w:jc w:val="center"/>
                    <w:rPr>
                      <w:color w:val="auto"/>
                      <w:szCs w:val="21"/>
                      <w:lang w:bidi="ar"/>
                    </w:rPr>
                  </w:pPr>
                  <w:r>
                    <w:rPr>
                      <w:snapToGrid w:val="0"/>
                      <w:color w:val="auto"/>
                      <w:szCs w:val="21"/>
                      <w:lang w:bidi="ar"/>
                    </w:rPr>
                    <w:t>≤</w:t>
                  </w:r>
                  <w:r>
                    <w:rPr>
                      <w:rFonts w:hint="eastAsia"/>
                      <w:color w:val="auto"/>
                      <w:szCs w:val="21"/>
                      <w:lang w:bidi="ar"/>
                    </w:rPr>
                    <w:t>25</w:t>
                  </w:r>
                </w:p>
              </w:tc>
              <w:tc>
                <w:tcPr>
                  <w:tcW w:w="628" w:type="pct"/>
                  <w:tcBorders>
                    <w:tl2br w:val="nil"/>
                    <w:tr2bl w:val="nil"/>
                  </w:tcBorders>
                  <w:vAlign w:val="center"/>
                </w:tcPr>
                <w:p w14:paraId="1F5C996F">
                  <w:pPr>
                    <w:jc w:val="center"/>
                    <w:rPr>
                      <w:color w:val="auto"/>
                      <w:szCs w:val="21"/>
                      <w:lang w:bidi="ar"/>
                    </w:rPr>
                  </w:pPr>
                  <w:r>
                    <w:rPr>
                      <w:snapToGrid w:val="0"/>
                      <w:color w:val="auto"/>
                      <w:szCs w:val="21"/>
                      <w:lang w:bidi="ar"/>
                    </w:rPr>
                    <w:t>≤</w:t>
                  </w:r>
                  <w:r>
                    <w:rPr>
                      <w:rFonts w:hint="eastAsia"/>
                      <w:color w:val="auto"/>
                      <w:szCs w:val="21"/>
                      <w:lang w:bidi="ar"/>
                    </w:rPr>
                    <w:t>4</w:t>
                  </w:r>
                </w:p>
              </w:tc>
            </w:tr>
          </w:tbl>
          <w:p w14:paraId="77F45446">
            <w:pPr>
              <w:spacing w:before="120" w:beforeLines="50" w:line="360" w:lineRule="auto"/>
              <w:ind w:firstLine="482" w:firstLineChars="200"/>
              <w:jc w:val="left"/>
              <w:rPr>
                <w:b/>
                <w:bCs/>
                <w:color w:val="auto"/>
                <w:sz w:val="24"/>
              </w:rPr>
            </w:pPr>
            <w:r>
              <w:rPr>
                <w:rFonts w:hint="eastAsia"/>
                <w:b/>
                <w:bCs/>
                <w:color w:val="auto"/>
                <w:sz w:val="24"/>
              </w:rPr>
              <w:t>3、</w:t>
            </w:r>
            <w:r>
              <w:rPr>
                <w:b/>
                <w:bCs/>
                <w:color w:val="auto"/>
                <w:sz w:val="24"/>
              </w:rPr>
              <w:t>噪声</w:t>
            </w:r>
          </w:p>
          <w:p w14:paraId="7351F198">
            <w:pPr>
              <w:spacing w:line="360" w:lineRule="auto"/>
              <w:ind w:firstLine="480" w:firstLineChars="200"/>
              <w:rPr>
                <w:color w:val="auto"/>
                <w:kern w:val="0"/>
                <w:sz w:val="24"/>
                <w:szCs w:val="20"/>
              </w:rPr>
            </w:pPr>
            <w:r>
              <w:rPr>
                <w:color w:val="auto"/>
                <w:kern w:val="0"/>
                <w:sz w:val="24"/>
                <w:szCs w:val="20"/>
              </w:rPr>
              <w:t>施工期噪声执行《建筑施工场界环境噪声排放标准》（GB12523-2011），营运期噪声执行《工业企业厂界环境噪声排放标准》（GB12348-2008）中3类标准。</w:t>
            </w:r>
          </w:p>
          <w:p w14:paraId="29AE5147">
            <w:pPr>
              <w:spacing w:line="360" w:lineRule="auto"/>
              <w:jc w:val="center"/>
              <w:rPr>
                <w:b/>
                <w:bCs/>
                <w:color w:val="auto"/>
                <w:szCs w:val="21"/>
                <w:lang w:bidi="ar"/>
              </w:rPr>
            </w:pPr>
            <w:r>
              <w:rPr>
                <w:b/>
                <w:bCs/>
                <w:color w:val="auto"/>
                <w:szCs w:val="21"/>
                <w:lang w:bidi="ar"/>
              </w:rPr>
              <w:t>表 3-1</w:t>
            </w:r>
            <w:r>
              <w:rPr>
                <w:rFonts w:hint="eastAsia"/>
                <w:b/>
                <w:bCs/>
                <w:color w:val="auto"/>
                <w:szCs w:val="21"/>
                <w:lang w:bidi="ar"/>
              </w:rPr>
              <w:t>4</w:t>
            </w:r>
            <w:r>
              <w:rPr>
                <w:b/>
                <w:bCs/>
                <w:color w:val="auto"/>
                <w:szCs w:val="21"/>
                <w:lang w:bidi="ar"/>
              </w:rPr>
              <w:t xml:space="preserve"> 噪声排放标准（单位：dB(A)）</w:t>
            </w:r>
          </w:p>
          <w:tbl>
            <w:tblPr>
              <w:tblStyle w:val="3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91"/>
              <w:gridCol w:w="1267"/>
              <w:gridCol w:w="1417"/>
              <w:gridCol w:w="1404"/>
            </w:tblGrid>
            <w:tr w14:paraId="1C07A9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5558" w:type="dxa"/>
                  <w:gridSpan w:val="2"/>
                  <w:tcBorders>
                    <w:tl2br w:val="nil"/>
                    <w:tr2bl w:val="nil"/>
                  </w:tcBorders>
                  <w:vAlign w:val="center"/>
                </w:tcPr>
                <w:p w14:paraId="1F70CA6A">
                  <w:pPr>
                    <w:jc w:val="center"/>
                    <w:rPr>
                      <w:color w:val="auto"/>
                      <w:kern w:val="0"/>
                      <w:szCs w:val="16"/>
                    </w:rPr>
                  </w:pPr>
                  <w:r>
                    <w:rPr>
                      <w:color w:val="auto"/>
                      <w:kern w:val="0"/>
                      <w:szCs w:val="16"/>
                    </w:rPr>
                    <w:t>执行标准</w:t>
                  </w:r>
                </w:p>
              </w:tc>
              <w:tc>
                <w:tcPr>
                  <w:tcW w:w="1417" w:type="dxa"/>
                  <w:tcBorders>
                    <w:tl2br w:val="nil"/>
                    <w:tr2bl w:val="nil"/>
                  </w:tcBorders>
                  <w:vAlign w:val="center"/>
                </w:tcPr>
                <w:p w14:paraId="45121222">
                  <w:pPr>
                    <w:jc w:val="center"/>
                    <w:rPr>
                      <w:color w:val="auto"/>
                      <w:kern w:val="0"/>
                      <w:szCs w:val="16"/>
                    </w:rPr>
                  </w:pPr>
                  <w:r>
                    <w:rPr>
                      <w:color w:val="auto"/>
                      <w:kern w:val="0"/>
                      <w:szCs w:val="16"/>
                    </w:rPr>
                    <w:t>昼间</w:t>
                  </w:r>
                </w:p>
              </w:tc>
              <w:tc>
                <w:tcPr>
                  <w:tcW w:w="1404" w:type="dxa"/>
                  <w:tcBorders>
                    <w:tl2br w:val="nil"/>
                    <w:tr2bl w:val="nil"/>
                  </w:tcBorders>
                  <w:vAlign w:val="center"/>
                </w:tcPr>
                <w:p w14:paraId="614E8315">
                  <w:pPr>
                    <w:jc w:val="center"/>
                    <w:rPr>
                      <w:color w:val="auto"/>
                      <w:kern w:val="0"/>
                      <w:szCs w:val="16"/>
                    </w:rPr>
                  </w:pPr>
                  <w:r>
                    <w:rPr>
                      <w:color w:val="auto"/>
                      <w:kern w:val="0"/>
                      <w:szCs w:val="16"/>
                    </w:rPr>
                    <w:t>夜间</w:t>
                  </w:r>
                </w:p>
              </w:tc>
            </w:tr>
            <w:tr w14:paraId="7546F5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5558" w:type="dxa"/>
                  <w:gridSpan w:val="2"/>
                  <w:tcBorders>
                    <w:tl2br w:val="nil"/>
                    <w:tr2bl w:val="nil"/>
                  </w:tcBorders>
                  <w:vAlign w:val="center"/>
                </w:tcPr>
                <w:p w14:paraId="6D014A49">
                  <w:pPr>
                    <w:jc w:val="center"/>
                    <w:rPr>
                      <w:color w:val="auto"/>
                      <w:kern w:val="0"/>
                      <w:szCs w:val="16"/>
                    </w:rPr>
                  </w:pPr>
                  <w:r>
                    <w:rPr>
                      <w:color w:val="auto"/>
                      <w:kern w:val="0"/>
                      <w:szCs w:val="16"/>
                    </w:rPr>
                    <w:t>《建筑施工场界环境噪声排放标准》（GB12523-2011）</w:t>
                  </w:r>
                </w:p>
              </w:tc>
              <w:tc>
                <w:tcPr>
                  <w:tcW w:w="1417" w:type="dxa"/>
                  <w:tcBorders>
                    <w:tl2br w:val="nil"/>
                    <w:tr2bl w:val="nil"/>
                  </w:tcBorders>
                  <w:vAlign w:val="center"/>
                </w:tcPr>
                <w:p w14:paraId="658BC336">
                  <w:pPr>
                    <w:jc w:val="center"/>
                    <w:rPr>
                      <w:color w:val="auto"/>
                      <w:kern w:val="0"/>
                      <w:szCs w:val="16"/>
                    </w:rPr>
                  </w:pPr>
                  <w:r>
                    <w:rPr>
                      <w:color w:val="auto"/>
                      <w:kern w:val="0"/>
                      <w:szCs w:val="16"/>
                    </w:rPr>
                    <w:t>70</w:t>
                  </w:r>
                </w:p>
              </w:tc>
              <w:tc>
                <w:tcPr>
                  <w:tcW w:w="1404" w:type="dxa"/>
                  <w:tcBorders>
                    <w:tl2br w:val="nil"/>
                    <w:tr2bl w:val="nil"/>
                  </w:tcBorders>
                  <w:vAlign w:val="center"/>
                </w:tcPr>
                <w:p w14:paraId="3DCCCFA6">
                  <w:pPr>
                    <w:jc w:val="center"/>
                    <w:rPr>
                      <w:color w:val="auto"/>
                      <w:kern w:val="0"/>
                      <w:szCs w:val="16"/>
                    </w:rPr>
                  </w:pPr>
                  <w:r>
                    <w:rPr>
                      <w:color w:val="auto"/>
                      <w:kern w:val="0"/>
                      <w:szCs w:val="16"/>
                    </w:rPr>
                    <w:t>55</w:t>
                  </w:r>
                </w:p>
              </w:tc>
            </w:tr>
            <w:tr w14:paraId="238F0A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4291" w:type="dxa"/>
                  <w:tcBorders>
                    <w:tl2br w:val="nil"/>
                    <w:tr2bl w:val="nil"/>
                  </w:tcBorders>
                  <w:vAlign w:val="center"/>
                </w:tcPr>
                <w:p w14:paraId="3E4F073E">
                  <w:pPr>
                    <w:jc w:val="center"/>
                    <w:rPr>
                      <w:color w:val="auto"/>
                      <w:kern w:val="0"/>
                      <w:szCs w:val="16"/>
                    </w:rPr>
                  </w:pPr>
                  <w:r>
                    <w:rPr>
                      <w:color w:val="auto"/>
                      <w:kern w:val="0"/>
                      <w:szCs w:val="16"/>
                    </w:rPr>
                    <w:t>《工业企业厂界环境噪声排放标准》（GB12348-2008）</w:t>
                  </w:r>
                </w:p>
              </w:tc>
              <w:tc>
                <w:tcPr>
                  <w:tcW w:w="1267" w:type="dxa"/>
                  <w:tcBorders>
                    <w:tl2br w:val="nil"/>
                    <w:tr2bl w:val="nil"/>
                  </w:tcBorders>
                  <w:vAlign w:val="center"/>
                </w:tcPr>
                <w:p w14:paraId="78D5A16C">
                  <w:pPr>
                    <w:jc w:val="center"/>
                    <w:rPr>
                      <w:color w:val="auto"/>
                      <w:kern w:val="0"/>
                      <w:szCs w:val="16"/>
                    </w:rPr>
                  </w:pPr>
                  <w:r>
                    <w:rPr>
                      <w:rFonts w:hint="eastAsia"/>
                      <w:color w:val="auto"/>
                      <w:kern w:val="0"/>
                      <w:szCs w:val="16"/>
                    </w:rPr>
                    <w:t>3</w:t>
                  </w:r>
                  <w:r>
                    <w:rPr>
                      <w:color w:val="auto"/>
                      <w:kern w:val="0"/>
                      <w:szCs w:val="16"/>
                    </w:rPr>
                    <w:t>类</w:t>
                  </w:r>
                </w:p>
              </w:tc>
              <w:tc>
                <w:tcPr>
                  <w:tcW w:w="1417" w:type="dxa"/>
                  <w:tcBorders>
                    <w:tl2br w:val="nil"/>
                    <w:tr2bl w:val="nil"/>
                  </w:tcBorders>
                  <w:vAlign w:val="center"/>
                </w:tcPr>
                <w:p w14:paraId="369EAC83">
                  <w:pPr>
                    <w:jc w:val="center"/>
                    <w:rPr>
                      <w:color w:val="auto"/>
                      <w:kern w:val="0"/>
                      <w:szCs w:val="16"/>
                    </w:rPr>
                  </w:pPr>
                  <w:r>
                    <w:rPr>
                      <w:color w:val="auto"/>
                      <w:kern w:val="0"/>
                      <w:szCs w:val="16"/>
                    </w:rPr>
                    <w:t>6</w:t>
                  </w:r>
                  <w:r>
                    <w:rPr>
                      <w:rFonts w:hint="eastAsia"/>
                      <w:color w:val="auto"/>
                      <w:kern w:val="0"/>
                      <w:szCs w:val="16"/>
                    </w:rPr>
                    <w:t>5</w:t>
                  </w:r>
                </w:p>
              </w:tc>
              <w:tc>
                <w:tcPr>
                  <w:tcW w:w="1404" w:type="dxa"/>
                  <w:tcBorders>
                    <w:tl2br w:val="nil"/>
                    <w:tr2bl w:val="nil"/>
                  </w:tcBorders>
                  <w:vAlign w:val="center"/>
                </w:tcPr>
                <w:p w14:paraId="004CF63C">
                  <w:pPr>
                    <w:jc w:val="center"/>
                    <w:rPr>
                      <w:color w:val="auto"/>
                      <w:kern w:val="0"/>
                      <w:szCs w:val="16"/>
                    </w:rPr>
                  </w:pPr>
                  <w:r>
                    <w:rPr>
                      <w:color w:val="auto"/>
                      <w:kern w:val="0"/>
                      <w:szCs w:val="16"/>
                    </w:rPr>
                    <w:t>5</w:t>
                  </w:r>
                  <w:r>
                    <w:rPr>
                      <w:rFonts w:hint="eastAsia"/>
                      <w:color w:val="auto"/>
                      <w:kern w:val="0"/>
                      <w:szCs w:val="16"/>
                    </w:rPr>
                    <w:t>5</w:t>
                  </w:r>
                </w:p>
              </w:tc>
            </w:tr>
          </w:tbl>
          <w:p w14:paraId="419A69FE">
            <w:pPr>
              <w:spacing w:line="360" w:lineRule="auto"/>
              <w:ind w:firstLine="482" w:firstLineChars="200"/>
              <w:rPr>
                <w:color w:val="auto"/>
                <w:kern w:val="0"/>
                <w:sz w:val="24"/>
                <w:szCs w:val="20"/>
              </w:rPr>
            </w:pPr>
            <w:r>
              <w:rPr>
                <w:rFonts w:hint="eastAsia"/>
                <w:b/>
                <w:color w:val="auto"/>
                <w:sz w:val="24"/>
              </w:rPr>
              <w:t>4</w:t>
            </w:r>
            <w:r>
              <w:rPr>
                <w:b/>
                <w:color w:val="auto"/>
                <w:sz w:val="24"/>
              </w:rPr>
              <w:t>、固废</w:t>
            </w:r>
          </w:p>
          <w:p w14:paraId="5BE10BE4">
            <w:pPr>
              <w:widowControl/>
              <w:spacing w:line="360" w:lineRule="auto"/>
              <w:ind w:firstLine="480" w:firstLineChars="200"/>
              <w:textAlignment w:val="baseline"/>
              <w:rPr>
                <w:rFonts w:ascii="宋体" w:hAnsi="宋体" w:cs="宋体"/>
                <w:b/>
                <w:bCs/>
                <w:color w:val="auto"/>
                <w:kern w:val="0"/>
                <w:sz w:val="24"/>
              </w:rPr>
            </w:pPr>
            <w:r>
              <w:rPr>
                <w:color w:val="auto"/>
                <w:sz w:val="24"/>
              </w:rPr>
              <w:t>一般固废参照执行</w:t>
            </w:r>
            <w:r>
              <w:rPr>
                <w:rFonts w:hint="eastAsia"/>
                <w:color w:val="auto"/>
                <w:sz w:val="24"/>
              </w:rPr>
              <w:t>《一般工业固体废物贮存和填埋污染控制标准》（GB18599-2020）。危险废物执行《危险废物贮存污染控制标准》（GB18597-2023）</w:t>
            </w:r>
            <w:r>
              <w:rPr>
                <w:color w:val="auto"/>
                <w:sz w:val="24"/>
              </w:rPr>
              <w:t>。</w:t>
            </w:r>
            <w:r>
              <w:rPr>
                <w:rFonts w:hint="eastAsia"/>
                <w:color w:val="auto"/>
                <w:sz w:val="24"/>
              </w:rPr>
              <w:t>生活垃圾执行《生活垃圾焚烧污染控制标准》（GB18485-2014）及2019 年修改单要求。</w:t>
            </w:r>
          </w:p>
        </w:tc>
      </w:tr>
      <w:tr w14:paraId="1A7807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Align w:val="center"/>
          </w:tcPr>
          <w:p w14:paraId="73810A58">
            <w:pPr>
              <w:adjustRightInd w:val="0"/>
              <w:snapToGrid w:val="0"/>
              <w:jc w:val="center"/>
              <w:rPr>
                <w:rFonts w:ascii="宋体" w:hAnsi="宋体" w:cs="宋体"/>
                <w:color w:val="auto"/>
                <w:kern w:val="0"/>
                <w:szCs w:val="21"/>
              </w:rPr>
            </w:pPr>
            <w:r>
              <w:rPr>
                <w:rFonts w:hint="eastAsia" w:ascii="宋体" w:hAnsi="宋体" w:cs="宋体"/>
                <w:color w:val="auto"/>
                <w:kern w:val="0"/>
                <w:szCs w:val="21"/>
              </w:rPr>
              <w:t>总量</w:t>
            </w:r>
          </w:p>
          <w:p w14:paraId="3876B673">
            <w:pPr>
              <w:adjustRightInd w:val="0"/>
              <w:snapToGrid w:val="0"/>
              <w:jc w:val="center"/>
              <w:rPr>
                <w:rFonts w:ascii="宋体" w:hAnsi="宋体" w:cs="宋体"/>
                <w:color w:val="auto"/>
                <w:kern w:val="0"/>
                <w:szCs w:val="21"/>
              </w:rPr>
            </w:pPr>
            <w:r>
              <w:rPr>
                <w:rFonts w:hint="eastAsia" w:ascii="宋体" w:hAnsi="宋体" w:cs="宋体"/>
                <w:color w:val="auto"/>
                <w:kern w:val="0"/>
                <w:szCs w:val="21"/>
              </w:rPr>
              <w:t>控制</w:t>
            </w:r>
          </w:p>
          <w:p w14:paraId="3D422395">
            <w:pPr>
              <w:adjustRightInd w:val="0"/>
              <w:snapToGrid w:val="0"/>
              <w:jc w:val="center"/>
              <w:rPr>
                <w:rFonts w:ascii="宋体" w:hAnsi="宋体" w:cs="宋体"/>
                <w:color w:val="auto"/>
                <w:kern w:val="0"/>
                <w:szCs w:val="21"/>
              </w:rPr>
            </w:pPr>
            <w:r>
              <w:rPr>
                <w:rFonts w:hint="eastAsia" w:ascii="宋体" w:hAnsi="宋体" w:cs="宋体"/>
                <w:color w:val="auto"/>
                <w:kern w:val="0"/>
                <w:szCs w:val="21"/>
              </w:rPr>
              <w:t>指标</w:t>
            </w:r>
          </w:p>
        </w:tc>
        <w:tc>
          <w:tcPr>
            <w:tcW w:w="8975" w:type="dxa"/>
            <w:vAlign w:val="center"/>
          </w:tcPr>
          <w:p w14:paraId="2D5BE1BF">
            <w:pPr>
              <w:spacing w:line="360" w:lineRule="auto"/>
              <w:ind w:firstLine="480" w:firstLineChars="200"/>
              <w:rPr>
                <w:color w:val="auto"/>
                <w:sz w:val="24"/>
                <w:szCs w:val="32"/>
              </w:rPr>
            </w:pPr>
            <w:r>
              <w:rPr>
                <w:color w:val="auto"/>
                <w:sz w:val="24"/>
                <w:szCs w:val="32"/>
              </w:rPr>
              <w:t>本项目无生产废水外排，外排废水主要为生活污水，生活污水总量指标已纳入湘潭市第一污水处理厂，故不涉及水污染物总量控制指标。</w:t>
            </w:r>
          </w:p>
          <w:p w14:paraId="38F03554">
            <w:pPr>
              <w:spacing w:line="360" w:lineRule="auto"/>
              <w:ind w:firstLine="480" w:firstLineChars="200"/>
              <w:rPr>
                <w:color w:val="auto"/>
                <w:sz w:val="24"/>
                <w:szCs w:val="32"/>
                <w:u w:val="single"/>
              </w:rPr>
            </w:pPr>
            <w:r>
              <w:rPr>
                <w:rFonts w:hint="eastAsia"/>
                <w:color w:val="auto"/>
                <w:sz w:val="24"/>
                <w:szCs w:val="32"/>
                <w:u w:val="single"/>
              </w:rPr>
              <w:t>本项目废气中二氧化硫排放量为0.02t/a，氮氧化物为0.0</w:t>
            </w:r>
            <w:r>
              <w:rPr>
                <w:rFonts w:hint="eastAsia"/>
                <w:color w:val="auto"/>
                <w:sz w:val="24"/>
                <w:szCs w:val="32"/>
                <w:u w:val="single"/>
                <w:lang w:val="en-US" w:eastAsia="zh-CN"/>
              </w:rPr>
              <w:t>7</w:t>
            </w:r>
            <w:r>
              <w:rPr>
                <w:rFonts w:hint="eastAsia"/>
                <w:color w:val="auto"/>
                <w:sz w:val="24"/>
                <w:szCs w:val="32"/>
                <w:u w:val="single"/>
              </w:rPr>
              <w:t>t/a，VOC</w:t>
            </w:r>
            <w:r>
              <w:rPr>
                <w:rFonts w:hint="eastAsia"/>
                <w:color w:val="auto"/>
                <w:sz w:val="24"/>
                <w:szCs w:val="32"/>
                <w:u w:val="single"/>
                <w:vertAlign w:val="subscript"/>
              </w:rPr>
              <w:t>S</w:t>
            </w:r>
            <w:r>
              <w:rPr>
                <w:rFonts w:hint="eastAsia"/>
                <w:color w:val="auto"/>
                <w:sz w:val="24"/>
                <w:szCs w:val="32"/>
                <w:u w:val="single"/>
              </w:rPr>
              <w:t>为</w:t>
            </w:r>
            <w:r>
              <w:rPr>
                <w:rFonts w:hint="eastAsia"/>
                <w:color w:val="auto"/>
                <w:sz w:val="24"/>
                <w:szCs w:val="32"/>
                <w:u w:val="single"/>
                <w:lang w:val="en-US" w:eastAsia="zh-CN"/>
              </w:rPr>
              <w:t>1.228</w:t>
            </w:r>
            <w:r>
              <w:rPr>
                <w:rFonts w:hint="eastAsia"/>
                <w:color w:val="auto"/>
                <w:sz w:val="24"/>
                <w:szCs w:val="32"/>
                <w:u w:val="single"/>
              </w:rPr>
              <w:t>t/a（其中有组织</w:t>
            </w:r>
            <w:r>
              <w:rPr>
                <w:rFonts w:hint="eastAsia"/>
                <w:color w:val="auto"/>
                <w:sz w:val="24"/>
                <w:szCs w:val="32"/>
                <w:u w:val="single"/>
                <w:lang w:val="en-US" w:eastAsia="zh-CN"/>
              </w:rPr>
              <w:t>0.6831</w:t>
            </w:r>
            <w:r>
              <w:rPr>
                <w:rFonts w:hint="eastAsia"/>
                <w:color w:val="auto"/>
                <w:sz w:val="24"/>
                <w:szCs w:val="32"/>
                <w:u w:val="single"/>
              </w:rPr>
              <w:t>t/a，无组织0.</w:t>
            </w:r>
            <w:r>
              <w:rPr>
                <w:rFonts w:hint="eastAsia"/>
                <w:color w:val="auto"/>
                <w:sz w:val="24"/>
                <w:szCs w:val="32"/>
                <w:u w:val="single"/>
                <w:lang w:val="en-US" w:eastAsia="zh-CN"/>
              </w:rPr>
              <w:t>5449</w:t>
            </w:r>
            <w:r>
              <w:rPr>
                <w:rFonts w:hint="eastAsia"/>
                <w:color w:val="auto"/>
                <w:sz w:val="24"/>
                <w:szCs w:val="32"/>
                <w:u w:val="single"/>
              </w:rPr>
              <w:t>t/a。）</w:t>
            </w:r>
          </w:p>
          <w:p w14:paraId="723AA24B">
            <w:pPr>
              <w:spacing w:line="360" w:lineRule="auto"/>
              <w:ind w:firstLine="480" w:firstLineChars="200"/>
              <w:rPr>
                <w:color w:val="auto"/>
                <w:sz w:val="24"/>
                <w:szCs w:val="32"/>
                <w:u w:val="single"/>
              </w:rPr>
            </w:pPr>
            <w:r>
              <w:rPr>
                <w:rFonts w:hint="eastAsia"/>
                <w:color w:val="auto"/>
                <w:sz w:val="24"/>
                <w:szCs w:val="32"/>
                <w:u w:val="single"/>
              </w:rPr>
              <w:t>建议向当地环保主管部门申请总量，由区域内</w:t>
            </w:r>
            <w:r>
              <w:rPr>
                <w:color w:val="auto"/>
                <w:sz w:val="24"/>
                <w:szCs w:val="32"/>
                <w:u w:val="single"/>
              </w:rPr>
              <w:t>统筹解决</w:t>
            </w:r>
            <w:r>
              <w:rPr>
                <w:rFonts w:hint="eastAsia"/>
                <w:color w:val="auto"/>
                <w:sz w:val="24"/>
                <w:szCs w:val="32"/>
                <w:u w:val="single"/>
              </w:rPr>
              <w:t>进行削减替代</w:t>
            </w:r>
            <w:r>
              <w:rPr>
                <w:color w:val="auto"/>
                <w:sz w:val="24"/>
                <w:szCs w:val="32"/>
                <w:u w:val="single"/>
              </w:rPr>
              <w:t>。总量指标通过排污权交易购买获得</w:t>
            </w:r>
            <w:r>
              <w:rPr>
                <w:rFonts w:hint="eastAsia"/>
                <w:color w:val="auto"/>
                <w:sz w:val="24"/>
                <w:szCs w:val="32"/>
                <w:u w:val="single"/>
              </w:rPr>
              <w:t>。</w:t>
            </w:r>
          </w:p>
          <w:p w14:paraId="4E70FBB9">
            <w:pPr>
              <w:adjustRightInd w:val="0"/>
              <w:snapToGrid w:val="0"/>
              <w:jc w:val="left"/>
              <w:rPr>
                <w:color w:val="auto"/>
              </w:rPr>
            </w:pPr>
          </w:p>
          <w:p w14:paraId="5F75D860">
            <w:pPr>
              <w:rPr>
                <w:color w:val="auto"/>
              </w:rPr>
            </w:pPr>
          </w:p>
          <w:p w14:paraId="46FAB17E">
            <w:pPr>
              <w:rPr>
                <w:color w:val="auto"/>
              </w:rPr>
            </w:pPr>
          </w:p>
        </w:tc>
      </w:tr>
    </w:tbl>
    <w:p w14:paraId="09CCC243">
      <w:pPr>
        <w:pStyle w:val="26"/>
        <w:jc w:val="center"/>
        <w:outlineLvl w:val="0"/>
        <w:rPr>
          <w:rFonts w:ascii="黑体" w:hAnsi="黑体" w:eastAsia="黑体"/>
          <w:snapToGrid w:val="0"/>
          <w:sz w:val="30"/>
          <w:szCs w:val="30"/>
        </w:rPr>
      </w:pPr>
      <w:r>
        <w:rPr>
          <w:rFonts w:ascii="黑体" w:hAnsi="黑体" w:eastAsia="黑体"/>
          <w:snapToGrid w:val="0"/>
          <w:sz w:val="36"/>
          <w:szCs w:val="36"/>
        </w:rPr>
        <w:br w:type="page"/>
      </w:r>
      <w:bookmarkStart w:id="3" w:name="_Toc21014"/>
      <w:r>
        <w:rPr>
          <w:rFonts w:hint="eastAsia" w:ascii="黑体" w:hAnsi="黑体" w:eastAsia="黑体"/>
          <w:snapToGrid w:val="0"/>
          <w:sz w:val="30"/>
          <w:szCs w:val="30"/>
        </w:rPr>
        <w:t>四、主要环境影响和保护措施</w:t>
      </w:r>
      <w:bookmarkEnd w:id="3"/>
    </w:p>
    <w:tbl>
      <w:tblPr>
        <w:tblStyle w:val="30"/>
        <w:tblW w:w="932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96"/>
        <w:gridCol w:w="9025"/>
      </w:tblGrid>
      <w:tr w14:paraId="3B5331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16" w:hRule="atLeast"/>
          <w:jc w:val="center"/>
        </w:trPr>
        <w:tc>
          <w:tcPr>
            <w:tcW w:w="296" w:type="dxa"/>
            <w:tcMar>
              <w:left w:w="28" w:type="dxa"/>
              <w:right w:w="28" w:type="dxa"/>
            </w:tcMar>
            <w:vAlign w:val="center"/>
          </w:tcPr>
          <w:p w14:paraId="0F454275">
            <w:pPr>
              <w:pStyle w:val="26"/>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施工</w:t>
            </w:r>
          </w:p>
          <w:p w14:paraId="6F134C3B">
            <w:pPr>
              <w:pStyle w:val="26"/>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期环</w:t>
            </w:r>
          </w:p>
          <w:p w14:paraId="52606972">
            <w:pPr>
              <w:pStyle w:val="26"/>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境保</w:t>
            </w:r>
          </w:p>
          <w:p w14:paraId="57BA178C">
            <w:pPr>
              <w:pStyle w:val="26"/>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护措</w:t>
            </w:r>
          </w:p>
          <w:p w14:paraId="19264D99">
            <w:pPr>
              <w:pStyle w:val="26"/>
              <w:adjustRightInd w:val="0"/>
              <w:snapToGrid w:val="0"/>
              <w:spacing w:before="0" w:beforeAutospacing="0" w:after="0" w:afterAutospacing="0"/>
              <w:jc w:val="center"/>
              <w:rPr>
                <w:rFonts w:ascii="Times New Roman" w:hAnsi="Times New Roman"/>
                <w:bCs/>
                <w:color w:val="auto"/>
                <w:kern w:val="2"/>
                <w:szCs w:val="24"/>
              </w:rPr>
            </w:pPr>
            <w:r>
              <w:rPr>
                <w:rFonts w:ascii="Times New Roman" w:hAnsi="Times New Roman"/>
                <w:color w:val="auto"/>
                <w:kern w:val="2"/>
                <w:szCs w:val="24"/>
              </w:rPr>
              <w:t>施</w:t>
            </w:r>
          </w:p>
        </w:tc>
        <w:tc>
          <w:tcPr>
            <w:tcW w:w="9025" w:type="dxa"/>
            <w:vAlign w:val="center"/>
          </w:tcPr>
          <w:p w14:paraId="6D7BA419">
            <w:pPr>
              <w:tabs>
                <w:tab w:val="left" w:pos="2985"/>
              </w:tabs>
              <w:spacing w:line="440" w:lineRule="exact"/>
              <w:ind w:firstLine="480" w:firstLineChars="200"/>
              <w:rPr>
                <w:bCs/>
                <w:color w:val="auto"/>
                <w:spacing w:val="-10"/>
                <w:szCs w:val="21"/>
              </w:rPr>
            </w:pPr>
            <w:r>
              <w:rPr>
                <w:rFonts w:hint="eastAsia" w:cs="宋体"/>
                <w:color w:val="auto"/>
                <w:sz w:val="24"/>
              </w:rPr>
              <w:t>项目厂房已建成，施工期主要为生产设备安装调试及厂房内部局部调整，对外环境影响小。因此，不再评述项目施工期污染问题。</w:t>
            </w:r>
          </w:p>
        </w:tc>
      </w:tr>
      <w:tr w14:paraId="3D4DD7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16" w:hRule="atLeast"/>
          <w:jc w:val="center"/>
        </w:trPr>
        <w:tc>
          <w:tcPr>
            <w:tcW w:w="296" w:type="dxa"/>
            <w:tcMar>
              <w:left w:w="28" w:type="dxa"/>
              <w:right w:w="28" w:type="dxa"/>
            </w:tcMar>
            <w:vAlign w:val="center"/>
          </w:tcPr>
          <w:p w14:paraId="01AA0301">
            <w:pPr>
              <w:adjustRightInd w:val="0"/>
              <w:snapToGrid w:val="0"/>
              <w:jc w:val="center"/>
              <w:rPr>
                <w:bCs/>
                <w:color w:val="auto"/>
                <w:sz w:val="24"/>
              </w:rPr>
            </w:pPr>
            <w:r>
              <w:rPr>
                <w:bCs/>
                <w:color w:val="auto"/>
                <w:sz w:val="24"/>
              </w:rPr>
              <w:t>运营</w:t>
            </w:r>
          </w:p>
          <w:p w14:paraId="7241F110">
            <w:pPr>
              <w:adjustRightInd w:val="0"/>
              <w:snapToGrid w:val="0"/>
              <w:jc w:val="center"/>
              <w:rPr>
                <w:bCs/>
                <w:color w:val="auto"/>
                <w:sz w:val="24"/>
              </w:rPr>
            </w:pPr>
            <w:r>
              <w:rPr>
                <w:bCs/>
                <w:color w:val="auto"/>
                <w:sz w:val="24"/>
              </w:rPr>
              <w:t>期环</w:t>
            </w:r>
          </w:p>
          <w:p w14:paraId="66C9D963">
            <w:pPr>
              <w:adjustRightInd w:val="0"/>
              <w:snapToGrid w:val="0"/>
              <w:jc w:val="center"/>
              <w:rPr>
                <w:bCs/>
                <w:color w:val="auto"/>
                <w:sz w:val="24"/>
              </w:rPr>
            </w:pPr>
            <w:r>
              <w:rPr>
                <w:bCs/>
                <w:color w:val="auto"/>
                <w:sz w:val="24"/>
              </w:rPr>
              <w:t>境影</w:t>
            </w:r>
          </w:p>
          <w:p w14:paraId="68A5A9F7">
            <w:pPr>
              <w:adjustRightInd w:val="0"/>
              <w:snapToGrid w:val="0"/>
              <w:jc w:val="center"/>
              <w:rPr>
                <w:bCs/>
                <w:color w:val="auto"/>
                <w:sz w:val="24"/>
              </w:rPr>
            </w:pPr>
            <w:r>
              <w:rPr>
                <w:bCs/>
                <w:color w:val="auto"/>
                <w:sz w:val="24"/>
              </w:rPr>
              <w:t>响和</w:t>
            </w:r>
          </w:p>
          <w:p w14:paraId="3676645D">
            <w:pPr>
              <w:adjustRightInd w:val="0"/>
              <w:snapToGrid w:val="0"/>
              <w:jc w:val="center"/>
              <w:rPr>
                <w:bCs/>
                <w:color w:val="auto"/>
                <w:sz w:val="24"/>
              </w:rPr>
            </w:pPr>
            <w:r>
              <w:rPr>
                <w:bCs/>
                <w:color w:val="auto"/>
                <w:sz w:val="24"/>
              </w:rPr>
              <w:t>保护</w:t>
            </w:r>
          </w:p>
          <w:p w14:paraId="76F51262">
            <w:pPr>
              <w:pStyle w:val="26"/>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bCs/>
                <w:color w:val="auto"/>
                <w:szCs w:val="24"/>
              </w:rPr>
              <w:t>措施</w:t>
            </w:r>
          </w:p>
        </w:tc>
        <w:tc>
          <w:tcPr>
            <w:tcW w:w="9025" w:type="dxa"/>
            <w:vAlign w:val="center"/>
          </w:tcPr>
          <w:p w14:paraId="32CF2832">
            <w:pPr>
              <w:adjustRightInd w:val="0"/>
              <w:snapToGrid w:val="0"/>
              <w:spacing w:line="360" w:lineRule="auto"/>
              <w:jc w:val="left"/>
              <w:rPr>
                <w:rFonts w:cs="宋体"/>
                <w:b/>
                <w:bCs/>
                <w:color w:val="auto"/>
                <w:sz w:val="24"/>
              </w:rPr>
            </w:pPr>
            <w:r>
              <w:rPr>
                <w:rFonts w:hint="eastAsia" w:cs="宋体"/>
                <w:b/>
                <w:bCs/>
                <w:color w:val="auto"/>
                <w:sz w:val="24"/>
              </w:rPr>
              <w:t>1、废气</w:t>
            </w:r>
          </w:p>
          <w:p w14:paraId="5045E3E6">
            <w:pPr>
              <w:spacing w:line="360" w:lineRule="auto"/>
              <w:ind w:firstLine="512" w:firstLineChars="200"/>
              <w:rPr>
                <w:rFonts w:cs="宋体"/>
                <w:color w:val="auto"/>
                <w:spacing w:val="8"/>
                <w:sz w:val="24"/>
              </w:rPr>
            </w:pPr>
            <w:r>
              <w:rPr>
                <w:rFonts w:hint="eastAsia" w:cs="宋体"/>
                <w:color w:val="auto"/>
                <w:spacing w:val="8"/>
                <w:sz w:val="24"/>
              </w:rPr>
              <w:t>（</w:t>
            </w:r>
            <w:r>
              <w:rPr>
                <w:rFonts w:hint="eastAsia" w:cs="宋体"/>
                <w:b/>
                <w:bCs/>
                <w:color w:val="auto"/>
                <w:spacing w:val="8"/>
                <w:sz w:val="24"/>
              </w:rPr>
              <w:t>1）废气产排情况</w:t>
            </w:r>
          </w:p>
          <w:p w14:paraId="2444D150">
            <w:pPr>
              <w:spacing w:line="360" w:lineRule="auto"/>
              <w:ind w:firstLine="512" w:firstLineChars="200"/>
              <w:rPr>
                <w:rFonts w:cs="宋体"/>
                <w:color w:val="auto"/>
                <w:spacing w:val="8"/>
                <w:sz w:val="24"/>
              </w:rPr>
            </w:pPr>
            <w:r>
              <w:rPr>
                <w:rFonts w:hint="eastAsia" w:cs="宋体"/>
                <w:color w:val="auto"/>
                <w:spacing w:val="8"/>
                <w:sz w:val="24"/>
              </w:rPr>
              <w:t>产污环节：主要为锅炉废气、发泡废气、熔炼废气、造型浇注废气、砂处理粉尘、打磨、去冒口和抛丸粉尘、焊接烟尘、喷漆废气等。</w:t>
            </w:r>
          </w:p>
          <w:p w14:paraId="7F1EACF8">
            <w:pPr>
              <w:spacing w:line="360" w:lineRule="auto"/>
              <w:ind w:firstLine="512" w:firstLineChars="200"/>
              <w:rPr>
                <w:rFonts w:cs="宋体"/>
                <w:color w:val="auto"/>
                <w:spacing w:val="8"/>
                <w:sz w:val="24"/>
              </w:rPr>
            </w:pPr>
            <w:r>
              <w:rPr>
                <w:rFonts w:hint="eastAsia" w:cs="宋体"/>
                <w:color w:val="auto"/>
                <w:spacing w:val="8"/>
                <w:sz w:val="24"/>
              </w:rPr>
              <w:t>本项目属于金属铸造行业，根据《排放源统计调查产排污核算方法和系数手册》（生态环境部公告2021 年第 24 号）中“33 金属制品业、34 通用设备制造业、35 专用设备制造业、36 汽车制造业、37 铁路、船舶、航空航天和其他运输设备制造业、431 金属制品修理、432 通用设备修理、433 专用设备修理、434 铁路、船舶、航空航天等运输设备修理（不包括电镀工艺）行业系数手册”，项目主要涉及产污系数如下。</w:t>
            </w:r>
          </w:p>
          <w:p w14:paraId="56DEAE2A">
            <w:pPr>
              <w:pStyle w:val="38"/>
              <w:jc w:val="center"/>
              <w:rPr>
                <w:b/>
                <w:bCs/>
                <w:color w:val="auto"/>
                <w:sz w:val="21"/>
                <w:szCs w:val="21"/>
              </w:rPr>
            </w:pPr>
            <w:r>
              <w:rPr>
                <w:rFonts w:hint="eastAsia"/>
                <w:b/>
                <w:bCs/>
                <w:color w:val="auto"/>
                <w:sz w:val="21"/>
                <w:szCs w:val="21"/>
              </w:rPr>
              <w:t>表 4-1 项目行业主要产污系数一览表</w:t>
            </w:r>
          </w:p>
          <w:tbl>
            <w:tblPr>
              <w:tblStyle w:val="3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709"/>
              <w:gridCol w:w="1739"/>
              <w:gridCol w:w="1162"/>
              <w:gridCol w:w="1620"/>
              <w:gridCol w:w="1771"/>
              <w:gridCol w:w="1021"/>
            </w:tblGrid>
            <w:tr w14:paraId="6EE7B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39" w:type="pct"/>
                  <w:vAlign w:val="center"/>
                </w:tcPr>
                <w:p w14:paraId="37CC55B4">
                  <w:pPr>
                    <w:jc w:val="center"/>
                    <w:rPr>
                      <w:color w:val="auto"/>
                    </w:rPr>
                  </w:pPr>
                  <w:r>
                    <w:rPr>
                      <w:rFonts w:hint="eastAsia"/>
                      <w:color w:val="auto"/>
                    </w:rPr>
                    <w:t>工段名称</w:t>
                  </w:r>
                </w:p>
              </w:tc>
              <w:tc>
                <w:tcPr>
                  <w:tcW w:w="403" w:type="pct"/>
                  <w:vAlign w:val="center"/>
                </w:tcPr>
                <w:p w14:paraId="3500A911">
                  <w:pPr>
                    <w:jc w:val="center"/>
                    <w:rPr>
                      <w:color w:val="auto"/>
                    </w:rPr>
                  </w:pPr>
                  <w:r>
                    <w:rPr>
                      <w:rFonts w:hint="eastAsia"/>
                      <w:color w:val="auto"/>
                    </w:rPr>
                    <w:t>产品名称</w:t>
                  </w:r>
                </w:p>
              </w:tc>
              <w:tc>
                <w:tcPr>
                  <w:tcW w:w="988" w:type="pct"/>
                  <w:vAlign w:val="center"/>
                </w:tcPr>
                <w:p w14:paraId="7562C05F">
                  <w:pPr>
                    <w:jc w:val="center"/>
                    <w:rPr>
                      <w:color w:val="auto"/>
                    </w:rPr>
                  </w:pPr>
                  <w:r>
                    <w:rPr>
                      <w:rFonts w:hint="eastAsia"/>
                      <w:color w:val="auto"/>
                    </w:rPr>
                    <w:t>原料名称</w:t>
                  </w:r>
                </w:p>
              </w:tc>
              <w:tc>
                <w:tcPr>
                  <w:tcW w:w="660" w:type="pct"/>
                  <w:vAlign w:val="center"/>
                </w:tcPr>
                <w:p w14:paraId="687AFC7D">
                  <w:pPr>
                    <w:jc w:val="center"/>
                    <w:rPr>
                      <w:color w:val="auto"/>
                    </w:rPr>
                  </w:pPr>
                  <w:r>
                    <w:rPr>
                      <w:rFonts w:hint="eastAsia"/>
                      <w:color w:val="auto"/>
                    </w:rPr>
                    <w:t>工艺名称</w:t>
                  </w:r>
                </w:p>
              </w:tc>
              <w:tc>
                <w:tcPr>
                  <w:tcW w:w="920" w:type="pct"/>
                  <w:vAlign w:val="center"/>
                </w:tcPr>
                <w:p w14:paraId="51352A8A">
                  <w:pPr>
                    <w:jc w:val="center"/>
                    <w:rPr>
                      <w:color w:val="auto"/>
                    </w:rPr>
                  </w:pPr>
                  <w:r>
                    <w:rPr>
                      <w:rFonts w:hint="eastAsia"/>
                      <w:color w:val="auto"/>
                    </w:rPr>
                    <w:t>污染物指标</w:t>
                  </w:r>
                </w:p>
              </w:tc>
              <w:tc>
                <w:tcPr>
                  <w:tcW w:w="1006" w:type="pct"/>
                  <w:vAlign w:val="center"/>
                </w:tcPr>
                <w:p w14:paraId="7FADD5E2">
                  <w:pPr>
                    <w:jc w:val="center"/>
                    <w:rPr>
                      <w:color w:val="auto"/>
                    </w:rPr>
                  </w:pPr>
                  <w:r>
                    <w:rPr>
                      <w:rFonts w:hint="eastAsia"/>
                      <w:color w:val="auto"/>
                    </w:rPr>
                    <w:t>单位</w:t>
                  </w:r>
                </w:p>
              </w:tc>
              <w:tc>
                <w:tcPr>
                  <w:tcW w:w="580" w:type="pct"/>
                  <w:vAlign w:val="center"/>
                </w:tcPr>
                <w:p w14:paraId="4AF33291">
                  <w:pPr>
                    <w:jc w:val="center"/>
                    <w:rPr>
                      <w:color w:val="auto"/>
                    </w:rPr>
                  </w:pPr>
                  <w:r>
                    <w:rPr>
                      <w:rFonts w:hint="eastAsia"/>
                      <w:color w:val="auto"/>
                    </w:rPr>
                    <w:t>产污系数</w:t>
                  </w:r>
                </w:p>
              </w:tc>
            </w:tr>
            <w:tr w14:paraId="0DBBA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39" w:type="pct"/>
                  <w:vMerge w:val="restart"/>
                  <w:vAlign w:val="center"/>
                </w:tcPr>
                <w:p w14:paraId="4B006593">
                  <w:pPr>
                    <w:jc w:val="center"/>
                    <w:rPr>
                      <w:color w:val="auto"/>
                    </w:rPr>
                  </w:pPr>
                  <w:r>
                    <w:rPr>
                      <w:rFonts w:hint="eastAsia"/>
                      <w:color w:val="auto"/>
                    </w:rPr>
                    <w:t>铸造</w:t>
                  </w:r>
                </w:p>
              </w:tc>
              <w:tc>
                <w:tcPr>
                  <w:tcW w:w="403" w:type="pct"/>
                  <w:vMerge w:val="restart"/>
                  <w:vAlign w:val="center"/>
                </w:tcPr>
                <w:p w14:paraId="69458F8B">
                  <w:pPr>
                    <w:jc w:val="center"/>
                    <w:rPr>
                      <w:color w:val="auto"/>
                    </w:rPr>
                  </w:pPr>
                  <w:r>
                    <w:rPr>
                      <w:rFonts w:hint="eastAsia"/>
                      <w:color w:val="auto"/>
                    </w:rPr>
                    <w:t>铸件</w:t>
                  </w:r>
                </w:p>
              </w:tc>
              <w:tc>
                <w:tcPr>
                  <w:tcW w:w="988" w:type="pct"/>
                  <w:vMerge w:val="restart"/>
                  <w:vAlign w:val="center"/>
                </w:tcPr>
                <w:p w14:paraId="2CA0AADA">
                  <w:pPr>
                    <w:jc w:val="center"/>
                    <w:rPr>
                      <w:color w:val="auto"/>
                    </w:rPr>
                  </w:pPr>
                  <w:r>
                    <w:rPr>
                      <w:rFonts w:hint="eastAsia"/>
                      <w:color w:val="auto"/>
                    </w:rPr>
                    <w:t>生铁、废钢、铁合金、中间合金锭、石灰石、增碳剂、电解铜</w:t>
                  </w:r>
                </w:p>
              </w:tc>
              <w:tc>
                <w:tcPr>
                  <w:tcW w:w="660" w:type="pct"/>
                  <w:vMerge w:val="restart"/>
                  <w:vAlign w:val="center"/>
                </w:tcPr>
                <w:p w14:paraId="2AC7417E">
                  <w:pPr>
                    <w:jc w:val="center"/>
                    <w:rPr>
                      <w:color w:val="auto"/>
                    </w:rPr>
                  </w:pPr>
                  <w:r>
                    <w:rPr>
                      <w:rFonts w:hint="eastAsia"/>
                      <w:color w:val="auto"/>
                    </w:rPr>
                    <w:t>熔炼（感应电炉/电阻炉及其他）</w:t>
                  </w:r>
                </w:p>
              </w:tc>
              <w:tc>
                <w:tcPr>
                  <w:tcW w:w="920" w:type="pct"/>
                  <w:vAlign w:val="center"/>
                </w:tcPr>
                <w:p w14:paraId="39283F83">
                  <w:pPr>
                    <w:jc w:val="center"/>
                    <w:rPr>
                      <w:color w:val="auto"/>
                    </w:rPr>
                  </w:pPr>
                  <w:r>
                    <w:rPr>
                      <w:rFonts w:hint="eastAsia"/>
                      <w:color w:val="auto"/>
                    </w:rPr>
                    <w:t>工业废气量</w:t>
                  </w:r>
                </w:p>
              </w:tc>
              <w:tc>
                <w:tcPr>
                  <w:tcW w:w="1006" w:type="pct"/>
                  <w:vAlign w:val="center"/>
                </w:tcPr>
                <w:p w14:paraId="58195C08">
                  <w:pPr>
                    <w:jc w:val="center"/>
                    <w:rPr>
                      <w:color w:val="auto"/>
                    </w:rPr>
                  </w:pPr>
                  <w:r>
                    <w:rPr>
                      <w:rFonts w:hint="eastAsia"/>
                      <w:color w:val="auto"/>
                    </w:rPr>
                    <w:t>立方米/吨-产品</w:t>
                  </w:r>
                </w:p>
              </w:tc>
              <w:tc>
                <w:tcPr>
                  <w:tcW w:w="580" w:type="pct"/>
                  <w:vAlign w:val="center"/>
                </w:tcPr>
                <w:p w14:paraId="5FEC77C5">
                  <w:pPr>
                    <w:jc w:val="center"/>
                    <w:rPr>
                      <w:color w:val="auto"/>
                    </w:rPr>
                  </w:pPr>
                  <w:r>
                    <w:rPr>
                      <w:rFonts w:hint="eastAsia"/>
                      <w:color w:val="auto"/>
                    </w:rPr>
                    <w:t>7483</w:t>
                  </w:r>
                </w:p>
              </w:tc>
            </w:tr>
            <w:tr w14:paraId="28F89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9" w:type="pct"/>
                  <w:vMerge w:val="continue"/>
                  <w:vAlign w:val="center"/>
                </w:tcPr>
                <w:p w14:paraId="7391FD42">
                  <w:pPr>
                    <w:jc w:val="center"/>
                    <w:rPr>
                      <w:color w:val="auto"/>
                    </w:rPr>
                  </w:pPr>
                </w:p>
              </w:tc>
              <w:tc>
                <w:tcPr>
                  <w:tcW w:w="403" w:type="pct"/>
                  <w:vMerge w:val="continue"/>
                  <w:vAlign w:val="center"/>
                </w:tcPr>
                <w:p w14:paraId="42ADBCB2">
                  <w:pPr>
                    <w:jc w:val="center"/>
                    <w:rPr>
                      <w:color w:val="auto"/>
                    </w:rPr>
                  </w:pPr>
                </w:p>
              </w:tc>
              <w:tc>
                <w:tcPr>
                  <w:tcW w:w="988" w:type="pct"/>
                  <w:vMerge w:val="continue"/>
                  <w:vAlign w:val="center"/>
                </w:tcPr>
                <w:p w14:paraId="1E2CCBE9">
                  <w:pPr>
                    <w:jc w:val="center"/>
                    <w:rPr>
                      <w:color w:val="auto"/>
                    </w:rPr>
                  </w:pPr>
                </w:p>
              </w:tc>
              <w:tc>
                <w:tcPr>
                  <w:tcW w:w="660" w:type="pct"/>
                  <w:vMerge w:val="continue"/>
                  <w:vAlign w:val="center"/>
                </w:tcPr>
                <w:p w14:paraId="37977BEB">
                  <w:pPr>
                    <w:jc w:val="center"/>
                    <w:rPr>
                      <w:color w:val="auto"/>
                    </w:rPr>
                  </w:pPr>
                </w:p>
              </w:tc>
              <w:tc>
                <w:tcPr>
                  <w:tcW w:w="920" w:type="pct"/>
                  <w:vAlign w:val="center"/>
                </w:tcPr>
                <w:p w14:paraId="4979AAC8">
                  <w:pPr>
                    <w:jc w:val="center"/>
                    <w:rPr>
                      <w:color w:val="auto"/>
                    </w:rPr>
                  </w:pPr>
                  <w:r>
                    <w:rPr>
                      <w:rFonts w:hint="eastAsia"/>
                      <w:color w:val="auto"/>
                    </w:rPr>
                    <w:t>颗粒物</w:t>
                  </w:r>
                </w:p>
              </w:tc>
              <w:tc>
                <w:tcPr>
                  <w:tcW w:w="1006" w:type="pct"/>
                  <w:vAlign w:val="center"/>
                </w:tcPr>
                <w:p w14:paraId="5B998E46">
                  <w:pPr>
                    <w:jc w:val="center"/>
                    <w:rPr>
                      <w:color w:val="auto"/>
                    </w:rPr>
                  </w:pPr>
                  <w:r>
                    <w:rPr>
                      <w:rFonts w:hint="eastAsia"/>
                      <w:color w:val="auto"/>
                    </w:rPr>
                    <w:t>千克/吨-产品</w:t>
                  </w:r>
                </w:p>
              </w:tc>
              <w:tc>
                <w:tcPr>
                  <w:tcW w:w="580" w:type="pct"/>
                  <w:vAlign w:val="center"/>
                </w:tcPr>
                <w:p w14:paraId="2CF4088B">
                  <w:pPr>
                    <w:jc w:val="center"/>
                    <w:rPr>
                      <w:color w:val="auto"/>
                    </w:rPr>
                  </w:pPr>
                  <w:r>
                    <w:rPr>
                      <w:rFonts w:hint="eastAsia"/>
                      <w:color w:val="auto"/>
                    </w:rPr>
                    <w:t>0.479</w:t>
                  </w:r>
                </w:p>
              </w:tc>
            </w:tr>
            <w:tr w14:paraId="7557F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39" w:type="pct"/>
                  <w:vMerge w:val="continue"/>
                  <w:vAlign w:val="center"/>
                </w:tcPr>
                <w:p w14:paraId="631F5940">
                  <w:pPr>
                    <w:jc w:val="center"/>
                    <w:rPr>
                      <w:color w:val="auto"/>
                    </w:rPr>
                  </w:pPr>
                </w:p>
              </w:tc>
              <w:tc>
                <w:tcPr>
                  <w:tcW w:w="403" w:type="pct"/>
                  <w:vMerge w:val="continue"/>
                  <w:vAlign w:val="center"/>
                </w:tcPr>
                <w:p w14:paraId="44AFCFC1">
                  <w:pPr>
                    <w:jc w:val="center"/>
                    <w:rPr>
                      <w:color w:val="auto"/>
                    </w:rPr>
                  </w:pPr>
                </w:p>
              </w:tc>
              <w:tc>
                <w:tcPr>
                  <w:tcW w:w="988" w:type="pct"/>
                  <w:vMerge w:val="restart"/>
                  <w:vAlign w:val="center"/>
                </w:tcPr>
                <w:p w14:paraId="27C20159">
                  <w:pPr>
                    <w:jc w:val="center"/>
                    <w:rPr>
                      <w:color w:val="auto"/>
                    </w:rPr>
                  </w:pPr>
                  <w:r>
                    <w:rPr>
                      <w:rFonts w:hint="eastAsia"/>
                      <w:color w:val="auto"/>
                    </w:rPr>
                    <w:t>原砂、再生砂、树脂、硬化剂、涂料、白模</w:t>
                  </w:r>
                </w:p>
              </w:tc>
              <w:tc>
                <w:tcPr>
                  <w:tcW w:w="660" w:type="pct"/>
                  <w:vMerge w:val="restart"/>
                  <w:vAlign w:val="center"/>
                </w:tcPr>
                <w:p w14:paraId="58BA6BD4">
                  <w:pPr>
                    <w:jc w:val="center"/>
                    <w:rPr>
                      <w:color w:val="auto"/>
                    </w:rPr>
                  </w:pPr>
                  <w:r>
                    <w:rPr>
                      <w:rFonts w:hint="eastAsia"/>
                      <w:color w:val="auto"/>
                    </w:rPr>
                    <w:t>造型/浇注（消失模/实型）</w:t>
                  </w:r>
                </w:p>
              </w:tc>
              <w:tc>
                <w:tcPr>
                  <w:tcW w:w="920" w:type="pct"/>
                  <w:vAlign w:val="center"/>
                </w:tcPr>
                <w:p w14:paraId="02C77C36">
                  <w:pPr>
                    <w:jc w:val="center"/>
                    <w:rPr>
                      <w:color w:val="auto"/>
                    </w:rPr>
                  </w:pPr>
                  <w:r>
                    <w:rPr>
                      <w:rFonts w:hint="eastAsia"/>
                      <w:color w:val="auto"/>
                    </w:rPr>
                    <w:t>工业废气量</w:t>
                  </w:r>
                </w:p>
              </w:tc>
              <w:tc>
                <w:tcPr>
                  <w:tcW w:w="1006" w:type="pct"/>
                  <w:vAlign w:val="center"/>
                </w:tcPr>
                <w:p w14:paraId="39F4CF14">
                  <w:pPr>
                    <w:jc w:val="center"/>
                    <w:rPr>
                      <w:color w:val="auto"/>
                    </w:rPr>
                  </w:pPr>
                  <w:r>
                    <w:rPr>
                      <w:rFonts w:hint="eastAsia"/>
                      <w:color w:val="auto"/>
                    </w:rPr>
                    <w:t>立方米/吨-产品</w:t>
                  </w:r>
                </w:p>
              </w:tc>
              <w:tc>
                <w:tcPr>
                  <w:tcW w:w="580" w:type="pct"/>
                  <w:vAlign w:val="center"/>
                </w:tcPr>
                <w:p w14:paraId="7FB8F33A">
                  <w:pPr>
                    <w:jc w:val="center"/>
                    <w:rPr>
                      <w:color w:val="auto"/>
                    </w:rPr>
                  </w:pPr>
                  <w:r>
                    <w:rPr>
                      <w:rFonts w:hint="eastAsia"/>
                      <w:color w:val="auto"/>
                    </w:rPr>
                    <w:t>1103</w:t>
                  </w:r>
                </w:p>
              </w:tc>
            </w:tr>
            <w:tr w14:paraId="03911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9" w:type="pct"/>
                  <w:vMerge w:val="continue"/>
                  <w:vAlign w:val="center"/>
                </w:tcPr>
                <w:p w14:paraId="4B5521BF">
                  <w:pPr>
                    <w:jc w:val="center"/>
                    <w:rPr>
                      <w:color w:val="auto"/>
                    </w:rPr>
                  </w:pPr>
                </w:p>
              </w:tc>
              <w:tc>
                <w:tcPr>
                  <w:tcW w:w="403" w:type="pct"/>
                  <w:vMerge w:val="continue"/>
                  <w:vAlign w:val="center"/>
                </w:tcPr>
                <w:p w14:paraId="1BFC6931">
                  <w:pPr>
                    <w:jc w:val="center"/>
                    <w:rPr>
                      <w:color w:val="auto"/>
                    </w:rPr>
                  </w:pPr>
                </w:p>
              </w:tc>
              <w:tc>
                <w:tcPr>
                  <w:tcW w:w="988" w:type="pct"/>
                  <w:vMerge w:val="continue"/>
                  <w:vAlign w:val="center"/>
                </w:tcPr>
                <w:p w14:paraId="3D5C373F">
                  <w:pPr>
                    <w:jc w:val="center"/>
                    <w:rPr>
                      <w:color w:val="auto"/>
                    </w:rPr>
                  </w:pPr>
                </w:p>
              </w:tc>
              <w:tc>
                <w:tcPr>
                  <w:tcW w:w="660" w:type="pct"/>
                  <w:vMerge w:val="continue"/>
                  <w:vAlign w:val="center"/>
                </w:tcPr>
                <w:p w14:paraId="15C03971">
                  <w:pPr>
                    <w:jc w:val="center"/>
                    <w:rPr>
                      <w:color w:val="auto"/>
                    </w:rPr>
                  </w:pPr>
                </w:p>
              </w:tc>
              <w:tc>
                <w:tcPr>
                  <w:tcW w:w="920" w:type="pct"/>
                  <w:vAlign w:val="center"/>
                </w:tcPr>
                <w:p w14:paraId="0A685775">
                  <w:pPr>
                    <w:jc w:val="center"/>
                    <w:rPr>
                      <w:color w:val="auto"/>
                    </w:rPr>
                  </w:pPr>
                  <w:r>
                    <w:rPr>
                      <w:rFonts w:hint="eastAsia"/>
                      <w:color w:val="auto"/>
                    </w:rPr>
                    <w:t>颗粒物</w:t>
                  </w:r>
                </w:p>
              </w:tc>
              <w:tc>
                <w:tcPr>
                  <w:tcW w:w="1006" w:type="pct"/>
                  <w:vAlign w:val="center"/>
                </w:tcPr>
                <w:p w14:paraId="5FEFC7D8">
                  <w:pPr>
                    <w:jc w:val="center"/>
                    <w:rPr>
                      <w:color w:val="auto"/>
                    </w:rPr>
                  </w:pPr>
                  <w:r>
                    <w:rPr>
                      <w:rFonts w:hint="eastAsia"/>
                      <w:color w:val="auto"/>
                    </w:rPr>
                    <w:t>千克/吨-产品</w:t>
                  </w:r>
                </w:p>
              </w:tc>
              <w:tc>
                <w:tcPr>
                  <w:tcW w:w="580" w:type="pct"/>
                  <w:vAlign w:val="center"/>
                </w:tcPr>
                <w:p w14:paraId="0CD286FC">
                  <w:pPr>
                    <w:jc w:val="center"/>
                    <w:rPr>
                      <w:color w:val="auto"/>
                    </w:rPr>
                  </w:pPr>
                  <w:r>
                    <w:rPr>
                      <w:rFonts w:hint="eastAsia"/>
                      <w:color w:val="auto"/>
                    </w:rPr>
                    <w:t>0.967</w:t>
                  </w:r>
                </w:p>
              </w:tc>
            </w:tr>
            <w:tr w14:paraId="39432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9" w:type="pct"/>
                  <w:vMerge w:val="continue"/>
                  <w:vAlign w:val="center"/>
                </w:tcPr>
                <w:p w14:paraId="707A3D8B">
                  <w:pPr>
                    <w:jc w:val="center"/>
                    <w:rPr>
                      <w:color w:val="auto"/>
                    </w:rPr>
                  </w:pPr>
                </w:p>
              </w:tc>
              <w:tc>
                <w:tcPr>
                  <w:tcW w:w="403" w:type="pct"/>
                  <w:vMerge w:val="continue"/>
                  <w:vAlign w:val="center"/>
                </w:tcPr>
                <w:p w14:paraId="1C97DE15">
                  <w:pPr>
                    <w:jc w:val="center"/>
                    <w:rPr>
                      <w:color w:val="auto"/>
                    </w:rPr>
                  </w:pPr>
                </w:p>
              </w:tc>
              <w:tc>
                <w:tcPr>
                  <w:tcW w:w="988" w:type="pct"/>
                  <w:vMerge w:val="continue"/>
                  <w:vAlign w:val="center"/>
                </w:tcPr>
                <w:p w14:paraId="092F845A">
                  <w:pPr>
                    <w:jc w:val="center"/>
                    <w:rPr>
                      <w:color w:val="auto"/>
                    </w:rPr>
                  </w:pPr>
                </w:p>
              </w:tc>
              <w:tc>
                <w:tcPr>
                  <w:tcW w:w="660" w:type="pct"/>
                  <w:vMerge w:val="continue"/>
                  <w:vAlign w:val="center"/>
                </w:tcPr>
                <w:p w14:paraId="7EF5376D">
                  <w:pPr>
                    <w:jc w:val="center"/>
                    <w:rPr>
                      <w:color w:val="auto"/>
                    </w:rPr>
                  </w:pPr>
                </w:p>
              </w:tc>
              <w:tc>
                <w:tcPr>
                  <w:tcW w:w="920" w:type="pct"/>
                  <w:vAlign w:val="center"/>
                </w:tcPr>
                <w:p w14:paraId="205C3C6C">
                  <w:pPr>
                    <w:jc w:val="center"/>
                    <w:rPr>
                      <w:color w:val="auto"/>
                    </w:rPr>
                  </w:pPr>
                  <w:r>
                    <w:rPr>
                      <w:rFonts w:hint="eastAsia"/>
                      <w:color w:val="auto"/>
                    </w:rPr>
                    <w:t>挥发性有机物</w:t>
                  </w:r>
                </w:p>
              </w:tc>
              <w:tc>
                <w:tcPr>
                  <w:tcW w:w="1006" w:type="pct"/>
                  <w:vAlign w:val="center"/>
                </w:tcPr>
                <w:p w14:paraId="0D86BD66">
                  <w:pPr>
                    <w:jc w:val="center"/>
                    <w:rPr>
                      <w:color w:val="auto"/>
                    </w:rPr>
                  </w:pPr>
                  <w:r>
                    <w:rPr>
                      <w:rFonts w:hint="eastAsia"/>
                      <w:color w:val="auto"/>
                    </w:rPr>
                    <w:t>千克/吨-产品</w:t>
                  </w:r>
                </w:p>
              </w:tc>
              <w:tc>
                <w:tcPr>
                  <w:tcW w:w="580" w:type="pct"/>
                  <w:vAlign w:val="center"/>
                </w:tcPr>
                <w:p w14:paraId="051CB472">
                  <w:pPr>
                    <w:jc w:val="center"/>
                    <w:rPr>
                      <w:color w:val="auto"/>
                    </w:rPr>
                  </w:pPr>
                  <w:r>
                    <w:rPr>
                      <w:rFonts w:hint="eastAsia"/>
                      <w:color w:val="auto"/>
                    </w:rPr>
                    <w:t>0.453</w:t>
                  </w:r>
                </w:p>
              </w:tc>
            </w:tr>
            <w:tr w14:paraId="1A1AB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39" w:type="pct"/>
                  <w:vMerge w:val="continue"/>
                  <w:vAlign w:val="center"/>
                </w:tcPr>
                <w:p w14:paraId="60BC3CE5">
                  <w:pPr>
                    <w:jc w:val="center"/>
                    <w:rPr>
                      <w:color w:val="auto"/>
                    </w:rPr>
                  </w:pPr>
                </w:p>
              </w:tc>
              <w:tc>
                <w:tcPr>
                  <w:tcW w:w="403" w:type="pct"/>
                  <w:vMerge w:val="continue"/>
                  <w:vAlign w:val="center"/>
                </w:tcPr>
                <w:p w14:paraId="30790F9C">
                  <w:pPr>
                    <w:jc w:val="center"/>
                    <w:rPr>
                      <w:color w:val="auto"/>
                    </w:rPr>
                  </w:pPr>
                </w:p>
              </w:tc>
              <w:tc>
                <w:tcPr>
                  <w:tcW w:w="988" w:type="pct"/>
                  <w:vMerge w:val="restart"/>
                  <w:vAlign w:val="center"/>
                </w:tcPr>
                <w:p w14:paraId="2F589529">
                  <w:pPr>
                    <w:jc w:val="center"/>
                    <w:rPr>
                      <w:color w:val="auto"/>
                    </w:rPr>
                  </w:pPr>
                  <w:r>
                    <w:rPr>
                      <w:rFonts w:hint="eastAsia"/>
                      <w:color w:val="auto"/>
                    </w:rPr>
                    <w:t>模料、水玻璃、硅溶胶、原砂、再生砂、硬化剂、其他辅助材料</w:t>
                  </w:r>
                </w:p>
              </w:tc>
              <w:tc>
                <w:tcPr>
                  <w:tcW w:w="660" w:type="pct"/>
                  <w:vMerge w:val="restart"/>
                  <w:vAlign w:val="center"/>
                </w:tcPr>
                <w:p w14:paraId="745F164A">
                  <w:pPr>
                    <w:jc w:val="center"/>
                    <w:rPr>
                      <w:color w:val="auto"/>
                    </w:rPr>
                  </w:pPr>
                  <w:r>
                    <w:rPr>
                      <w:rFonts w:hint="eastAsia"/>
                      <w:color w:val="auto"/>
                    </w:rPr>
                    <w:t>造型/浇注（熔模）</w:t>
                  </w:r>
                </w:p>
              </w:tc>
              <w:tc>
                <w:tcPr>
                  <w:tcW w:w="920" w:type="pct"/>
                  <w:vAlign w:val="center"/>
                </w:tcPr>
                <w:p w14:paraId="7EE71143">
                  <w:pPr>
                    <w:jc w:val="center"/>
                    <w:rPr>
                      <w:color w:val="auto"/>
                    </w:rPr>
                  </w:pPr>
                  <w:r>
                    <w:rPr>
                      <w:rFonts w:hint="eastAsia"/>
                      <w:color w:val="auto"/>
                    </w:rPr>
                    <w:t>工业废气量</w:t>
                  </w:r>
                </w:p>
              </w:tc>
              <w:tc>
                <w:tcPr>
                  <w:tcW w:w="1006" w:type="pct"/>
                  <w:vAlign w:val="center"/>
                </w:tcPr>
                <w:p w14:paraId="018E2544">
                  <w:pPr>
                    <w:jc w:val="center"/>
                    <w:rPr>
                      <w:color w:val="auto"/>
                    </w:rPr>
                  </w:pPr>
                  <w:r>
                    <w:rPr>
                      <w:rFonts w:hint="eastAsia"/>
                      <w:color w:val="auto"/>
                    </w:rPr>
                    <w:t>立方米/吨-产品</w:t>
                  </w:r>
                </w:p>
              </w:tc>
              <w:tc>
                <w:tcPr>
                  <w:tcW w:w="580" w:type="pct"/>
                  <w:vAlign w:val="center"/>
                </w:tcPr>
                <w:p w14:paraId="453840CC">
                  <w:pPr>
                    <w:jc w:val="center"/>
                    <w:rPr>
                      <w:color w:val="auto"/>
                    </w:rPr>
                  </w:pPr>
                  <w:r>
                    <w:rPr>
                      <w:rFonts w:hint="eastAsia"/>
                      <w:color w:val="auto"/>
                    </w:rPr>
                    <w:t>4331</w:t>
                  </w:r>
                </w:p>
              </w:tc>
            </w:tr>
            <w:tr w14:paraId="560F2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39" w:type="pct"/>
                  <w:vMerge w:val="continue"/>
                  <w:vAlign w:val="center"/>
                </w:tcPr>
                <w:p w14:paraId="0E73ED33">
                  <w:pPr>
                    <w:jc w:val="center"/>
                    <w:rPr>
                      <w:color w:val="auto"/>
                    </w:rPr>
                  </w:pPr>
                </w:p>
              </w:tc>
              <w:tc>
                <w:tcPr>
                  <w:tcW w:w="403" w:type="pct"/>
                  <w:vMerge w:val="continue"/>
                  <w:vAlign w:val="center"/>
                </w:tcPr>
                <w:p w14:paraId="105F6A90">
                  <w:pPr>
                    <w:jc w:val="center"/>
                    <w:rPr>
                      <w:color w:val="auto"/>
                    </w:rPr>
                  </w:pPr>
                </w:p>
              </w:tc>
              <w:tc>
                <w:tcPr>
                  <w:tcW w:w="988" w:type="pct"/>
                  <w:vMerge w:val="continue"/>
                  <w:vAlign w:val="center"/>
                </w:tcPr>
                <w:p w14:paraId="3787D028">
                  <w:pPr>
                    <w:jc w:val="center"/>
                    <w:rPr>
                      <w:color w:val="auto"/>
                    </w:rPr>
                  </w:pPr>
                </w:p>
              </w:tc>
              <w:tc>
                <w:tcPr>
                  <w:tcW w:w="660" w:type="pct"/>
                  <w:vMerge w:val="continue"/>
                  <w:vAlign w:val="center"/>
                </w:tcPr>
                <w:p w14:paraId="7049710F">
                  <w:pPr>
                    <w:jc w:val="center"/>
                    <w:rPr>
                      <w:color w:val="auto"/>
                    </w:rPr>
                  </w:pPr>
                </w:p>
              </w:tc>
              <w:tc>
                <w:tcPr>
                  <w:tcW w:w="920" w:type="pct"/>
                  <w:vAlign w:val="center"/>
                </w:tcPr>
                <w:p w14:paraId="4C83472E">
                  <w:pPr>
                    <w:jc w:val="center"/>
                    <w:rPr>
                      <w:color w:val="auto"/>
                    </w:rPr>
                  </w:pPr>
                  <w:r>
                    <w:rPr>
                      <w:rFonts w:hint="eastAsia"/>
                      <w:color w:val="auto"/>
                    </w:rPr>
                    <w:t>颗粒物</w:t>
                  </w:r>
                </w:p>
              </w:tc>
              <w:tc>
                <w:tcPr>
                  <w:tcW w:w="1006" w:type="pct"/>
                  <w:vAlign w:val="center"/>
                </w:tcPr>
                <w:p w14:paraId="634E9DEE">
                  <w:pPr>
                    <w:jc w:val="center"/>
                    <w:rPr>
                      <w:color w:val="auto"/>
                    </w:rPr>
                  </w:pPr>
                  <w:r>
                    <w:rPr>
                      <w:rFonts w:hint="eastAsia"/>
                      <w:color w:val="auto"/>
                    </w:rPr>
                    <w:t>千克/吨-产品</w:t>
                  </w:r>
                </w:p>
              </w:tc>
              <w:tc>
                <w:tcPr>
                  <w:tcW w:w="580" w:type="pct"/>
                  <w:vAlign w:val="center"/>
                </w:tcPr>
                <w:p w14:paraId="5A0D94B7">
                  <w:pPr>
                    <w:jc w:val="center"/>
                    <w:rPr>
                      <w:color w:val="auto"/>
                    </w:rPr>
                  </w:pPr>
                  <w:r>
                    <w:rPr>
                      <w:rFonts w:hint="eastAsia"/>
                      <w:color w:val="auto"/>
                    </w:rPr>
                    <w:t>0.560</w:t>
                  </w:r>
                </w:p>
              </w:tc>
            </w:tr>
            <w:tr w14:paraId="41B11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39" w:type="pct"/>
                  <w:vMerge w:val="continue"/>
                  <w:vAlign w:val="center"/>
                </w:tcPr>
                <w:p w14:paraId="1E784A82">
                  <w:pPr>
                    <w:jc w:val="center"/>
                    <w:rPr>
                      <w:color w:val="auto"/>
                    </w:rPr>
                  </w:pPr>
                </w:p>
              </w:tc>
              <w:tc>
                <w:tcPr>
                  <w:tcW w:w="403" w:type="pct"/>
                  <w:vMerge w:val="continue"/>
                  <w:vAlign w:val="center"/>
                </w:tcPr>
                <w:p w14:paraId="07CF2A2F">
                  <w:pPr>
                    <w:jc w:val="center"/>
                    <w:rPr>
                      <w:color w:val="auto"/>
                    </w:rPr>
                  </w:pPr>
                </w:p>
              </w:tc>
              <w:tc>
                <w:tcPr>
                  <w:tcW w:w="988" w:type="pct"/>
                  <w:vMerge w:val="continue"/>
                  <w:vAlign w:val="center"/>
                </w:tcPr>
                <w:p w14:paraId="3191EF18">
                  <w:pPr>
                    <w:jc w:val="center"/>
                    <w:rPr>
                      <w:color w:val="auto"/>
                    </w:rPr>
                  </w:pPr>
                </w:p>
              </w:tc>
              <w:tc>
                <w:tcPr>
                  <w:tcW w:w="660" w:type="pct"/>
                  <w:vMerge w:val="continue"/>
                  <w:vAlign w:val="center"/>
                </w:tcPr>
                <w:p w14:paraId="468E3107">
                  <w:pPr>
                    <w:jc w:val="center"/>
                    <w:rPr>
                      <w:color w:val="auto"/>
                    </w:rPr>
                  </w:pPr>
                </w:p>
              </w:tc>
              <w:tc>
                <w:tcPr>
                  <w:tcW w:w="920" w:type="pct"/>
                  <w:vAlign w:val="center"/>
                </w:tcPr>
                <w:p w14:paraId="57FBB40E">
                  <w:pPr>
                    <w:jc w:val="center"/>
                    <w:rPr>
                      <w:color w:val="auto"/>
                    </w:rPr>
                  </w:pPr>
                  <w:r>
                    <w:rPr>
                      <w:rFonts w:hint="eastAsia"/>
                      <w:color w:val="auto"/>
                    </w:rPr>
                    <w:t>挥发性有机物</w:t>
                  </w:r>
                </w:p>
              </w:tc>
              <w:tc>
                <w:tcPr>
                  <w:tcW w:w="1006" w:type="pct"/>
                  <w:vAlign w:val="center"/>
                </w:tcPr>
                <w:p w14:paraId="6E37671B">
                  <w:pPr>
                    <w:jc w:val="center"/>
                    <w:rPr>
                      <w:color w:val="auto"/>
                    </w:rPr>
                  </w:pPr>
                  <w:r>
                    <w:rPr>
                      <w:rFonts w:hint="eastAsia"/>
                      <w:color w:val="auto"/>
                    </w:rPr>
                    <w:t>千克/吨-产品</w:t>
                  </w:r>
                </w:p>
              </w:tc>
              <w:tc>
                <w:tcPr>
                  <w:tcW w:w="580" w:type="pct"/>
                  <w:vAlign w:val="center"/>
                </w:tcPr>
                <w:p w14:paraId="5E7B77D5">
                  <w:pPr>
                    <w:jc w:val="center"/>
                    <w:rPr>
                      <w:color w:val="auto"/>
                    </w:rPr>
                  </w:pPr>
                  <w:r>
                    <w:rPr>
                      <w:rFonts w:hint="eastAsia"/>
                      <w:color w:val="auto"/>
                    </w:rPr>
                    <w:t>0.333</w:t>
                  </w:r>
                </w:p>
              </w:tc>
            </w:tr>
            <w:tr w14:paraId="649DC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39" w:type="pct"/>
                  <w:vMerge w:val="continue"/>
                  <w:vAlign w:val="center"/>
                </w:tcPr>
                <w:p w14:paraId="42EB81C5">
                  <w:pPr>
                    <w:jc w:val="center"/>
                    <w:rPr>
                      <w:color w:val="auto"/>
                    </w:rPr>
                  </w:pPr>
                </w:p>
              </w:tc>
              <w:tc>
                <w:tcPr>
                  <w:tcW w:w="403" w:type="pct"/>
                  <w:vMerge w:val="continue"/>
                  <w:vAlign w:val="center"/>
                </w:tcPr>
                <w:p w14:paraId="5FDE2CAB">
                  <w:pPr>
                    <w:jc w:val="center"/>
                    <w:rPr>
                      <w:color w:val="auto"/>
                    </w:rPr>
                  </w:pPr>
                </w:p>
              </w:tc>
              <w:tc>
                <w:tcPr>
                  <w:tcW w:w="988" w:type="pct"/>
                  <w:vMerge w:val="restart"/>
                  <w:vAlign w:val="center"/>
                </w:tcPr>
                <w:p w14:paraId="69648E9C">
                  <w:pPr>
                    <w:jc w:val="center"/>
                    <w:rPr>
                      <w:color w:val="auto"/>
                    </w:rPr>
                  </w:pPr>
                  <w:r>
                    <w:rPr>
                      <w:rFonts w:hint="eastAsia"/>
                      <w:color w:val="auto"/>
                    </w:rPr>
                    <w:t>原砂</w:t>
                  </w:r>
                </w:p>
              </w:tc>
              <w:tc>
                <w:tcPr>
                  <w:tcW w:w="660" w:type="pct"/>
                  <w:vMerge w:val="restart"/>
                  <w:vAlign w:val="center"/>
                </w:tcPr>
                <w:p w14:paraId="51BFE57D">
                  <w:pPr>
                    <w:jc w:val="center"/>
                    <w:rPr>
                      <w:color w:val="auto"/>
                    </w:rPr>
                  </w:pPr>
                  <w:r>
                    <w:rPr>
                      <w:rFonts w:hint="eastAsia"/>
                      <w:color w:val="auto"/>
                    </w:rPr>
                    <w:t>砂处理（干砂：消失模/V法）</w:t>
                  </w:r>
                </w:p>
              </w:tc>
              <w:tc>
                <w:tcPr>
                  <w:tcW w:w="920" w:type="pct"/>
                  <w:vAlign w:val="center"/>
                </w:tcPr>
                <w:p w14:paraId="49D3DF0D">
                  <w:pPr>
                    <w:jc w:val="center"/>
                    <w:rPr>
                      <w:color w:val="auto"/>
                    </w:rPr>
                  </w:pPr>
                  <w:r>
                    <w:rPr>
                      <w:rFonts w:hint="eastAsia"/>
                      <w:color w:val="auto"/>
                    </w:rPr>
                    <w:t>工业废气量</w:t>
                  </w:r>
                </w:p>
              </w:tc>
              <w:tc>
                <w:tcPr>
                  <w:tcW w:w="1006" w:type="pct"/>
                  <w:vAlign w:val="center"/>
                </w:tcPr>
                <w:p w14:paraId="6020CC1D">
                  <w:pPr>
                    <w:jc w:val="center"/>
                    <w:rPr>
                      <w:color w:val="auto"/>
                    </w:rPr>
                  </w:pPr>
                  <w:r>
                    <w:rPr>
                      <w:rFonts w:hint="eastAsia"/>
                      <w:color w:val="auto"/>
                    </w:rPr>
                    <w:t>立方米/吨-产品</w:t>
                  </w:r>
                </w:p>
              </w:tc>
              <w:tc>
                <w:tcPr>
                  <w:tcW w:w="580" w:type="pct"/>
                  <w:vAlign w:val="center"/>
                </w:tcPr>
                <w:p w14:paraId="65435EEE">
                  <w:pPr>
                    <w:jc w:val="center"/>
                    <w:rPr>
                      <w:color w:val="auto"/>
                    </w:rPr>
                  </w:pPr>
                  <w:r>
                    <w:rPr>
                      <w:rFonts w:hint="eastAsia"/>
                      <w:color w:val="auto"/>
                    </w:rPr>
                    <w:t>29685</w:t>
                  </w:r>
                </w:p>
              </w:tc>
            </w:tr>
            <w:tr w14:paraId="11641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9" w:type="pct"/>
                  <w:vMerge w:val="continue"/>
                  <w:vAlign w:val="center"/>
                </w:tcPr>
                <w:p w14:paraId="14F36017">
                  <w:pPr>
                    <w:jc w:val="center"/>
                    <w:rPr>
                      <w:color w:val="auto"/>
                    </w:rPr>
                  </w:pPr>
                </w:p>
              </w:tc>
              <w:tc>
                <w:tcPr>
                  <w:tcW w:w="403" w:type="pct"/>
                  <w:vMerge w:val="continue"/>
                  <w:vAlign w:val="center"/>
                </w:tcPr>
                <w:p w14:paraId="57BA0049">
                  <w:pPr>
                    <w:jc w:val="center"/>
                    <w:rPr>
                      <w:color w:val="auto"/>
                    </w:rPr>
                  </w:pPr>
                </w:p>
              </w:tc>
              <w:tc>
                <w:tcPr>
                  <w:tcW w:w="988" w:type="pct"/>
                  <w:vMerge w:val="continue"/>
                  <w:vAlign w:val="center"/>
                </w:tcPr>
                <w:p w14:paraId="15A9D7A0">
                  <w:pPr>
                    <w:jc w:val="center"/>
                    <w:rPr>
                      <w:color w:val="auto"/>
                    </w:rPr>
                  </w:pPr>
                </w:p>
              </w:tc>
              <w:tc>
                <w:tcPr>
                  <w:tcW w:w="660" w:type="pct"/>
                  <w:vMerge w:val="continue"/>
                  <w:vAlign w:val="center"/>
                </w:tcPr>
                <w:p w14:paraId="2FC1C634">
                  <w:pPr>
                    <w:jc w:val="center"/>
                    <w:rPr>
                      <w:color w:val="auto"/>
                    </w:rPr>
                  </w:pPr>
                </w:p>
              </w:tc>
              <w:tc>
                <w:tcPr>
                  <w:tcW w:w="920" w:type="pct"/>
                  <w:vAlign w:val="center"/>
                </w:tcPr>
                <w:p w14:paraId="37DD91C2">
                  <w:pPr>
                    <w:jc w:val="center"/>
                    <w:rPr>
                      <w:color w:val="auto"/>
                    </w:rPr>
                  </w:pPr>
                  <w:r>
                    <w:rPr>
                      <w:rFonts w:hint="eastAsia"/>
                      <w:color w:val="auto"/>
                    </w:rPr>
                    <w:t>颗粒物</w:t>
                  </w:r>
                </w:p>
              </w:tc>
              <w:tc>
                <w:tcPr>
                  <w:tcW w:w="1006" w:type="pct"/>
                  <w:vAlign w:val="center"/>
                </w:tcPr>
                <w:p w14:paraId="4A2D8349">
                  <w:pPr>
                    <w:jc w:val="center"/>
                    <w:rPr>
                      <w:color w:val="auto"/>
                    </w:rPr>
                  </w:pPr>
                  <w:r>
                    <w:rPr>
                      <w:rFonts w:hint="eastAsia"/>
                      <w:color w:val="auto"/>
                    </w:rPr>
                    <w:t>千克/吨-原料</w:t>
                  </w:r>
                </w:p>
              </w:tc>
              <w:tc>
                <w:tcPr>
                  <w:tcW w:w="580" w:type="pct"/>
                  <w:vAlign w:val="center"/>
                </w:tcPr>
                <w:p w14:paraId="4F12701E">
                  <w:pPr>
                    <w:jc w:val="center"/>
                    <w:rPr>
                      <w:color w:val="auto"/>
                    </w:rPr>
                  </w:pPr>
                  <w:r>
                    <w:rPr>
                      <w:rFonts w:hint="eastAsia"/>
                      <w:color w:val="auto"/>
                    </w:rPr>
                    <w:t>7.90</w:t>
                  </w:r>
                </w:p>
              </w:tc>
            </w:tr>
            <w:tr w14:paraId="7C01B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39" w:type="pct"/>
                  <w:vMerge w:val="continue"/>
                  <w:vAlign w:val="center"/>
                </w:tcPr>
                <w:p w14:paraId="48F76692">
                  <w:pPr>
                    <w:jc w:val="center"/>
                    <w:rPr>
                      <w:color w:val="auto"/>
                    </w:rPr>
                  </w:pPr>
                </w:p>
              </w:tc>
              <w:tc>
                <w:tcPr>
                  <w:tcW w:w="403" w:type="pct"/>
                  <w:vMerge w:val="continue"/>
                  <w:vAlign w:val="center"/>
                </w:tcPr>
                <w:p w14:paraId="5626BA57">
                  <w:pPr>
                    <w:jc w:val="center"/>
                    <w:rPr>
                      <w:color w:val="auto"/>
                    </w:rPr>
                  </w:pPr>
                </w:p>
              </w:tc>
              <w:tc>
                <w:tcPr>
                  <w:tcW w:w="988" w:type="pct"/>
                  <w:vMerge w:val="restart"/>
                  <w:vAlign w:val="center"/>
                </w:tcPr>
                <w:p w14:paraId="26C78A80">
                  <w:pPr>
                    <w:jc w:val="center"/>
                    <w:rPr>
                      <w:color w:val="auto"/>
                    </w:rPr>
                  </w:pPr>
                  <w:r>
                    <w:rPr>
                      <w:rFonts w:hint="eastAsia"/>
                      <w:color w:val="auto"/>
                    </w:rPr>
                    <w:t>水玻璃、硅溶胶、原砂、再生砂、硬化剂</w:t>
                  </w:r>
                </w:p>
              </w:tc>
              <w:tc>
                <w:tcPr>
                  <w:tcW w:w="660" w:type="pct"/>
                  <w:vMerge w:val="restart"/>
                  <w:vAlign w:val="center"/>
                </w:tcPr>
                <w:p w14:paraId="501923BF">
                  <w:pPr>
                    <w:jc w:val="center"/>
                    <w:rPr>
                      <w:color w:val="auto"/>
                    </w:rPr>
                  </w:pPr>
                  <w:r>
                    <w:rPr>
                      <w:rFonts w:hint="eastAsia"/>
                      <w:color w:val="auto"/>
                    </w:rPr>
                    <w:t>砂处理（熔模）</w:t>
                  </w:r>
                </w:p>
              </w:tc>
              <w:tc>
                <w:tcPr>
                  <w:tcW w:w="920" w:type="pct"/>
                  <w:vAlign w:val="center"/>
                </w:tcPr>
                <w:p w14:paraId="6F7D28A8">
                  <w:pPr>
                    <w:jc w:val="center"/>
                    <w:rPr>
                      <w:color w:val="auto"/>
                    </w:rPr>
                  </w:pPr>
                  <w:r>
                    <w:rPr>
                      <w:rFonts w:hint="eastAsia"/>
                      <w:color w:val="auto"/>
                    </w:rPr>
                    <w:t>工业废气量</w:t>
                  </w:r>
                </w:p>
              </w:tc>
              <w:tc>
                <w:tcPr>
                  <w:tcW w:w="1006" w:type="pct"/>
                  <w:vAlign w:val="center"/>
                </w:tcPr>
                <w:p w14:paraId="2F8D9FCE">
                  <w:pPr>
                    <w:jc w:val="center"/>
                    <w:rPr>
                      <w:color w:val="auto"/>
                    </w:rPr>
                  </w:pPr>
                  <w:r>
                    <w:rPr>
                      <w:rFonts w:hint="eastAsia"/>
                      <w:color w:val="auto"/>
                    </w:rPr>
                    <w:t>立方米/吨-产品</w:t>
                  </w:r>
                </w:p>
              </w:tc>
              <w:tc>
                <w:tcPr>
                  <w:tcW w:w="580" w:type="pct"/>
                  <w:vAlign w:val="center"/>
                </w:tcPr>
                <w:p w14:paraId="67387587">
                  <w:pPr>
                    <w:jc w:val="center"/>
                    <w:rPr>
                      <w:color w:val="auto"/>
                    </w:rPr>
                  </w:pPr>
                  <w:r>
                    <w:rPr>
                      <w:rFonts w:hint="eastAsia"/>
                      <w:color w:val="auto"/>
                    </w:rPr>
                    <w:t>15347</w:t>
                  </w:r>
                </w:p>
              </w:tc>
            </w:tr>
            <w:tr w14:paraId="413F6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39" w:type="pct"/>
                  <w:vMerge w:val="continue"/>
                  <w:vAlign w:val="center"/>
                </w:tcPr>
                <w:p w14:paraId="690175AB">
                  <w:pPr>
                    <w:jc w:val="center"/>
                    <w:rPr>
                      <w:color w:val="auto"/>
                    </w:rPr>
                  </w:pPr>
                </w:p>
              </w:tc>
              <w:tc>
                <w:tcPr>
                  <w:tcW w:w="403" w:type="pct"/>
                  <w:vMerge w:val="continue"/>
                  <w:vAlign w:val="center"/>
                </w:tcPr>
                <w:p w14:paraId="780C1D6D">
                  <w:pPr>
                    <w:jc w:val="center"/>
                    <w:rPr>
                      <w:color w:val="auto"/>
                    </w:rPr>
                  </w:pPr>
                </w:p>
              </w:tc>
              <w:tc>
                <w:tcPr>
                  <w:tcW w:w="988" w:type="pct"/>
                  <w:vMerge w:val="continue"/>
                  <w:vAlign w:val="center"/>
                </w:tcPr>
                <w:p w14:paraId="03D1C58E">
                  <w:pPr>
                    <w:jc w:val="center"/>
                    <w:rPr>
                      <w:color w:val="auto"/>
                    </w:rPr>
                  </w:pPr>
                </w:p>
              </w:tc>
              <w:tc>
                <w:tcPr>
                  <w:tcW w:w="660" w:type="pct"/>
                  <w:vMerge w:val="continue"/>
                  <w:vAlign w:val="center"/>
                </w:tcPr>
                <w:p w14:paraId="21947BE1">
                  <w:pPr>
                    <w:jc w:val="center"/>
                    <w:rPr>
                      <w:color w:val="auto"/>
                    </w:rPr>
                  </w:pPr>
                </w:p>
              </w:tc>
              <w:tc>
                <w:tcPr>
                  <w:tcW w:w="920" w:type="pct"/>
                  <w:vAlign w:val="center"/>
                </w:tcPr>
                <w:p w14:paraId="58612F6B">
                  <w:pPr>
                    <w:jc w:val="center"/>
                    <w:rPr>
                      <w:color w:val="auto"/>
                    </w:rPr>
                  </w:pPr>
                  <w:r>
                    <w:rPr>
                      <w:rFonts w:hint="eastAsia"/>
                      <w:color w:val="auto"/>
                    </w:rPr>
                    <w:t>颗粒物</w:t>
                  </w:r>
                </w:p>
              </w:tc>
              <w:tc>
                <w:tcPr>
                  <w:tcW w:w="1006" w:type="pct"/>
                  <w:vAlign w:val="center"/>
                </w:tcPr>
                <w:p w14:paraId="2364FD0E">
                  <w:pPr>
                    <w:jc w:val="center"/>
                    <w:rPr>
                      <w:color w:val="auto"/>
                    </w:rPr>
                  </w:pPr>
                  <w:r>
                    <w:rPr>
                      <w:rFonts w:hint="eastAsia"/>
                      <w:color w:val="auto"/>
                    </w:rPr>
                    <w:t>千克/吨-原料</w:t>
                  </w:r>
                </w:p>
              </w:tc>
              <w:tc>
                <w:tcPr>
                  <w:tcW w:w="580" w:type="pct"/>
                  <w:vAlign w:val="center"/>
                </w:tcPr>
                <w:p w14:paraId="744CCC1D">
                  <w:pPr>
                    <w:jc w:val="center"/>
                    <w:rPr>
                      <w:color w:val="auto"/>
                    </w:rPr>
                  </w:pPr>
                  <w:r>
                    <w:rPr>
                      <w:rFonts w:hint="eastAsia"/>
                      <w:color w:val="auto"/>
                    </w:rPr>
                    <w:t>3.48</w:t>
                  </w:r>
                </w:p>
              </w:tc>
            </w:tr>
            <w:tr w14:paraId="6F55F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39" w:type="pct"/>
                  <w:vMerge w:val="restart"/>
                  <w:vAlign w:val="center"/>
                </w:tcPr>
                <w:p w14:paraId="3754EC1A">
                  <w:pPr>
                    <w:jc w:val="center"/>
                    <w:rPr>
                      <w:color w:val="auto"/>
                    </w:rPr>
                  </w:pPr>
                  <w:r>
                    <w:rPr>
                      <w:rFonts w:hint="eastAsia"/>
                      <w:color w:val="auto"/>
                    </w:rPr>
                    <w:t>预处理</w:t>
                  </w:r>
                </w:p>
              </w:tc>
              <w:tc>
                <w:tcPr>
                  <w:tcW w:w="403" w:type="pct"/>
                  <w:vMerge w:val="restart"/>
                  <w:vAlign w:val="center"/>
                </w:tcPr>
                <w:p w14:paraId="4FF27451">
                  <w:pPr>
                    <w:jc w:val="center"/>
                    <w:rPr>
                      <w:color w:val="auto"/>
                    </w:rPr>
                  </w:pPr>
                  <w:r>
                    <w:rPr>
                      <w:rFonts w:hint="eastAsia"/>
                      <w:color w:val="auto"/>
                    </w:rPr>
                    <w:t>干式预处理件</w:t>
                  </w:r>
                </w:p>
              </w:tc>
              <w:tc>
                <w:tcPr>
                  <w:tcW w:w="988" w:type="pct"/>
                  <w:vMerge w:val="restart"/>
                  <w:vAlign w:val="center"/>
                </w:tcPr>
                <w:p w14:paraId="23651D39">
                  <w:pPr>
                    <w:jc w:val="center"/>
                    <w:rPr>
                      <w:color w:val="auto"/>
                    </w:rPr>
                  </w:pPr>
                  <w:r>
                    <w:rPr>
                      <w:rFonts w:hint="eastAsia"/>
                      <w:color w:val="auto"/>
                    </w:rPr>
                    <w:t>钢材（含板材、构件等）、铝材（含板材、构件等）、铝合金（含板材、构件等）、铁材、其它金属材料</w:t>
                  </w:r>
                </w:p>
              </w:tc>
              <w:tc>
                <w:tcPr>
                  <w:tcW w:w="660" w:type="pct"/>
                  <w:vMerge w:val="restart"/>
                  <w:vAlign w:val="center"/>
                </w:tcPr>
                <w:p w14:paraId="791EC65B">
                  <w:pPr>
                    <w:jc w:val="center"/>
                    <w:rPr>
                      <w:color w:val="auto"/>
                    </w:rPr>
                  </w:pPr>
                  <w:r>
                    <w:rPr>
                      <w:rFonts w:hint="eastAsia"/>
                      <w:color w:val="auto"/>
                    </w:rPr>
                    <w:t>抛丸、喷砂、打磨、滚筒</w:t>
                  </w:r>
                </w:p>
              </w:tc>
              <w:tc>
                <w:tcPr>
                  <w:tcW w:w="920" w:type="pct"/>
                  <w:vAlign w:val="center"/>
                </w:tcPr>
                <w:p w14:paraId="2CAC892C">
                  <w:pPr>
                    <w:jc w:val="center"/>
                    <w:rPr>
                      <w:color w:val="auto"/>
                    </w:rPr>
                  </w:pPr>
                  <w:r>
                    <w:rPr>
                      <w:rFonts w:hint="eastAsia"/>
                      <w:color w:val="auto"/>
                    </w:rPr>
                    <w:t>工业废气量</w:t>
                  </w:r>
                </w:p>
              </w:tc>
              <w:tc>
                <w:tcPr>
                  <w:tcW w:w="1006" w:type="pct"/>
                  <w:vAlign w:val="center"/>
                </w:tcPr>
                <w:p w14:paraId="7217170D">
                  <w:pPr>
                    <w:jc w:val="center"/>
                    <w:rPr>
                      <w:color w:val="auto"/>
                    </w:rPr>
                  </w:pPr>
                  <w:r>
                    <w:rPr>
                      <w:rFonts w:hint="eastAsia"/>
                      <w:color w:val="auto"/>
                    </w:rPr>
                    <w:t>立方米/吨-产品</w:t>
                  </w:r>
                </w:p>
              </w:tc>
              <w:tc>
                <w:tcPr>
                  <w:tcW w:w="580" w:type="pct"/>
                  <w:vAlign w:val="center"/>
                </w:tcPr>
                <w:p w14:paraId="7ADC4528">
                  <w:pPr>
                    <w:jc w:val="center"/>
                    <w:rPr>
                      <w:color w:val="auto"/>
                    </w:rPr>
                  </w:pPr>
                  <w:r>
                    <w:rPr>
                      <w:rFonts w:hint="eastAsia"/>
                      <w:color w:val="auto"/>
                    </w:rPr>
                    <w:t>8500</w:t>
                  </w:r>
                </w:p>
              </w:tc>
            </w:tr>
            <w:tr w14:paraId="0EE09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9" w:type="pct"/>
                  <w:vMerge w:val="continue"/>
                  <w:vAlign w:val="center"/>
                </w:tcPr>
                <w:p w14:paraId="51000F90">
                  <w:pPr>
                    <w:jc w:val="center"/>
                    <w:rPr>
                      <w:color w:val="auto"/>
                    </w:rPr>
                  </w:pPr>
                </w:p>
              </w:tc>
              <w:tc>
                <w:tcPr>
                  <w:tcW w:w="403" w:type="pct"/>
                  <w:vMerge w:val="continue"/>
                  <w:vAlign w:val="center"/>
                </w:tcPr>
                <w:p w14:paraId="0A61F53C">
                  <w:pPr>
                    <w:jc w:val="center"/>
                    <w:rPr>
                      <w:color w:val="auto"/>
                    </w:rPr>
                  </w:pPr>
                </w:p>
              </w:tc>
              <w:tc>
                <w:tcPr>
                  <w:tcW w:w="988" w:type="pct"/>
                  <w:vMerge w:val="continue"/>
                  <w:vAlign w:val="center"/>
                </w:tcPr>
                <w:p w14:paraId="6B09C42E">
                  <w:pPr>
                    <w:jc w:val="center"/>
                    <w:rPr>
                      <w:color w:val="auto"/>
                    </w:rPr>
                  </w:pPr>
                </w:p>
              </w:tc>
              <w:tc>
                <w:tcPr>
                  <w:tcW w:w="660" w:type="pct"/>
                  <w:vMerge w:val="continue"/>
                  <w:vAlign w:val="center"/>
                </w:tcPr>
                <w:p w14:paraId="70B7FA31">
                  <w:pPr>
                    <w:jc w:val="center"/>
                    <w:rPr>
                      <w:color w:val="auto"/>
                    </w:rPr>
                  </w:pPr>
                </w:p>
              </w:tc>
              <w:tc>
                <w:tcPr>
                  <w:tcW w:w="920" w:type="pct"/>
                  <w:vMerge w:val="restart"/>
                  <w:vAlign w:val="center"/>
                </w:tcPr>
                <w:p w14:paraId="5D060FC7">
                  <w:pPr>
                    <w:jc w:val="center"/>
                    <w:rPr>
                      <w:color w:val="auto"/>
                    </w:rPr>
                  </w:pPr>
                  <w:r>
                    <w:rPr>
                      <w:rFonts w:hint="eastAsia"/>
                      <w:color w:val="auto"/>
                    </w:rPr>
                    <w:t>颗粒物</w:t>
                  </w:r>
                </w:p>
              </w:tc>
              <w:tc>
                <w:tcPr>
                  <w:tcW w:w="1006" w:type="pct"/>
                  <w:vMerge w:val="restart"/>
                  <w:vAlign w:val="center"/>
                </w:tcPr>
                <w:p w14:paraId="4C982760">
                  <w:pPr>
                    <w:jc w:val="center"/>
                    <w:rPr>
                      <w:color w:val="auto"/>
                    </w:rPr>
                  </w:pPr>
                  <w:r>
                    <w:rPr>
                      <w:rFonts w:hint="eastAsia"/>
                      <w:color w:val="auto"/>
                    </w:rPr>
                    <w:t>千克/吨-原料</w:t>
                  </w:r>
                </w:p>
              </w:tc>
              <w:tc>
                <w:tcPr>
                  <w:tcW w:w="580" w:type="pct"/>
                  <w:vMerge w:val="restart"/>
                  <w:vAlign w:val="center"/>
                </w:tcPr>
                <w:p w14:paraId="042B5ECD">
                  <w:pPr>
                    <w:jc w:val="center"/>
                    <w:rPr>
                      <w:color w:val="auto"/>
                    </w:rPr>
                  </w:pPr>
                  <w:r>
                    <w:rPr>
                      <w:rFonts w:hint="eastAsia"/>
                      <w:color w:val="auto"/>
                    </w:rPr>
                    <w:t>2.19</w:t>
                  </w:r>
                </w:p>
              </w:tc>
            </w:tr>
            <w:tr w14:paraId="4ED59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9" w:type="pct"/>
                  <w:vMerge w:val="continue"/>
                  <w:vAlign w:val="center"/>
                </w:tcPr>
                <w:p w14:paraId="5948DD91">
                  <w:pPr>
                    <w:jc w:val="center"/>
                    <w:rPr>
                      <w:color w:val="auto"/>
                    </w:rPr>
                  </w:pPr>
                </w:p>
              </w:tc>
              <w:tc>
                <w:tcPr>
                  <w:tcW w:w="403" w:type="pct"/>
                  <w:vMerge w:val="continue"/>
                  <w:vAlign w:val="center"/>
                </w:tcPr>
                <w:p w14:paraId="5B68F20B">
                  <w:pPr>
                    <w:jc w:val="center"/>
                    <w:rPr>
                      <w:color w:val="auto"/>
                    </w:rPr>
                  </w:pPr>
                </w:p>
              </w:tc>
              <w:tc>
                <w:tcPr>
                  <w:tcW w:w="988" w:type="pct"/>
                  <w:vMerge w:val="continue"/>
                  <w:vAlign w:val="center"/>
                </w:tcPr>
                <w:p w14:paraId="641A7F30">
                  <w:pPr>
                    <w:jc w:val="center"/>
                    <w:rPr>
                      <w:color w:val="auto"/>
                    </w:rPr>
                  </w:pPr>
                </w:p>
              </w:tc>
              <w:tc>
                <w:tcPr>
                  <w:tcW w:w="660" w:type="pct"/>
                  <w:vMerge w:val="continue"/>
                  <w:vAlign w:val="center"/>
                </w:tcPr>
                <w:p w14:paraId="678E438E">
                  <w:pPr>
                    <w:jc w:val="center"/>
                    <w:rPr>
                      <w:color w:val="auto"/>
                    </w:rPr>
                  </w:pPr>
                </w:p>
              </w:tc>
              <w:tc>
                <w:tcPr>
                  <w:tcW w:w="920" w:type="pct"/>
                  <w:vMerge w:val="continue"/>
                  <w:vAlign w:val="center"/>
                </w:tcPr>
                <w:p w14:paraId="57C286BC">
                  <w:pPr>
                    <w:jc w:val="center"/>
                    <w:rPr>
                      <w:color w:val="auto"/>
                    </w:rPr>
                  </w:pPr>
                </w:p>
              </w:tc>
              <w:tc>
                <w:tcPr>
                  <w:tcW w:w="1006" w:type="pct"/>
                  <w:vMerge w:val="continue"/>
                  <w:vAlign w:val="center"/>
                </w:tcPr>
                <w:p w14:paraId="5CB7C691">
                  <w:pPr>
                    <w:jc w:val="center"/>
                    <w:rPr>
                      <w:color w:val="auto"/>
                    </w:rPr>
                  </w:pPr>
                </w:p>
              </w:tc>
              <w:tc>
                <w:tcPr>
                  <w:tcW w:w="580" w:type="pct"/>
                  <w:vMerge w:val="continue"/>
                  <w:vAlign w:val="center"/>
                </w:tcPr>
                <w:p w14:paraId="11499493">
                  <w:pPr>
                    <w:jc w:val="center"/>
                    <w:rPr>
                      <w:color w:val="auto"/>
                    </w:rPr>
                  </w:pPr>
                </w:p>
              </w:tc>
            </w:tr>
            <w:tr w14:paraId="20355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9" w:type="pct"/>
                  <w:vMerge w:val="continue"/>
                  <w:vAlign w:val="center"/>
                </w:tcPr>
                <w:p w14:paraId="72AD2A29">
                  <w:pPr>
                    <w:jc w:val="center"/>
                    <w:rPr>
                      <w:color w:val="auto"/>
                    </w:rPr>
                  </w:pPr>
                </w:p>
              </w:tc>
              <w:tc>
                <w:tcPr>
                  <w:tcW w:w="403" w:type="pct"/>
                  <w:vMerge w:val="continue"/>
                  <w:vAlign w:val="center"/>
                </w:tcPr>
                <w:p w14:paraId="7837690B">
                  <w:pPr>
                    <w:jc w:val="center"/>
                    <w:rPr>
                      <w:color w:val="auto"/>
                    </w:rPr>
                  </w:pPr>
                </w:p>
              </w:tc>
              <w:tc>
                <w:tcPr>
                  <w:tcW w:w="988" w:type="pct"/>
                  <w:vMerge w:val="continue"/>
                  <w:vAlign w:val="center"/>
                </w:tcPr>
                <w:p w14:paraId="00C5B878">
                  <w:pPr>
                    <w:jc w:val="center"/>
                    <w:rPr>
                      <w:color w:val="auto"/>
                    </w:rPr>
                  </w:pPr>
                </w:p>
              </w:tc>
              <w:tc>
                <w:tcPr>
                  <w:tcW w:w="660" w:type="pct"/>
                  <w:vMerge w:val="continue"/>
                  <w:vAlign w:val="center"/>
                </w:tcPr>
                <w:p w14:paraId="3C42959B">
                  <w:pPr>
                    <w:jc w:val="center"/>
                    <w:rPr>
                      <w:color w:val="auto"/>
                    </w:rPr>
                  </w:pPr>
                </w:p>
              </w:tc>
              <w:tc>
                <w:tcPr>
                  <w:tcW w:w="920" w:type="pct"/>
                  <w:vMerge w:val="continue"/>
                  <w:vAlign w:val="center"/>
                </w:tcPr>
                <w:p w14:paraId="6172361F">
                  <w:pPr>
                    <w:jc w:val="center"/>
                    <w:rPr>
                      <w:color w:val="auto"/>
                    </w:rPr>
                  </w:pPr>
                </w:p>
              </w:tc>
              <w:tc>
                <w:tcPr>
                  <w:tcW w:w="1006" w:type="pct"/>
                  <w:vMerge w:val="continue"/>
                  <w:vAlign w:val="center"/>
                </w:tcPr>
                <w:p w14:paraId="75932E42">
                  <w:pPr>
                    <w:jc w:val="center"/>
                    <w:rPr>
                      <w:color w:val="auto"/>
                    </w:rPr>
                  </w:pPr>
                </w:p>
              </w:tc>
              <w:tc>
                <w:tcPr>
                  <w:tcW w:w="580" w:type="pct"/>
                  <w:vMerge w:val="continue"/>
                  <w:vAlign w:val="center"/>
                </w:tcPr>
                <w:p w14:paraId="2A628281">
                  <w:pPr>
                    <w:jc w:val="center"/>
                    <w:rPr>
                      <w:color w:val="auto"/>
                    </w:rPr>
                  </w:pPr>
                </w:p>
              </w:tc>
            </w:tr>
            <w:tr w14:paraId="41556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9" w:type="pct"/>
                  <w:vMerge w:val="continue"/>
                  <w:vAlign w:val="center"/>
                </w:tcPr>
                <w:p w14:paraId="387DBB6A">
                  <w:pPr>
                    <w:jc w:val="center"/>
                    <w:rPr>
                      <w:color w:val="auto"/>
                    </w:rPr>
                  </w:pPr>
                </w:p>
              </w:tc>
              <w:tc>
                <w:tcPr>
                  <w:tcW w:w="403" w:type="pct"/>
                  <w:vMerge w:val="continue"/>
                  <w:vAlign w:val="center"/>
                </w:tcPr>
                <w:p w14:paraId="4A8B9851">
                  <w:pPr>
                    <w:jc w:val="center"/>
                    <w:rPr>
                      <w:color w:val="auto"/>
                    </w:rPr>
                  </w:pPr>
                </w:p>
              </w:tc>
              <w:tc>
                <w:tcPr>
                  <w:tcW w:w="988" w:type="pct"/>
                  <w:vMerge w:val="continue"/>
                  <w:vAlign w:val="center"/>
                </w:tcPr>
                <w:p w14:paraId="685F27DA">
                  <w:pPr>
                    <w:jc w:val="center"/>
                    <w:rPr>
                      <w:color w:val="auto"/>
                    </w:rPr>
                  </w:pPr>
                </w:p>
              </w:tc>
              <w:tc>
                <w:tcPr>
                  <w:tcW w:w="660" w:type="pct"/>
                  <w:vMerge w:val="continue"/>
                  <w:vAlign w:val="center"/>
                </w:tcPr>
                <w:p w14:paraId="2588BA87">
                  <w:pPr>
                    <w:jc w:val="center"/>
                    <w:rPr>
                      <w:color w:val="auto"/>
                    </w:rPr>
                  </w:pPr>
                </w:p>
              </w:tc>
              <w:tc>
                <w:tcPr>
                  <w:tcW w:w="920" w:type="pct"/>
                  <w:vMerge w:val="continue"/>
                  <w:vAlign w:val="center"/>
                </w:tcPr>
                <w:p w14:paraId="096888D7">
                  <w:pPr>
                    <w:jc w:val="center"/>
                    <w:rPr>
                      <w:color w:val="auto"/>
                    </w:rPr>
                  </w:pPr>
                </w:p>
              </w:tc>
              <w:tc>
                <w:tcPr>
                  <w:tcW w:w="1006" w:type="pct"/>
                  <w:vMerge w:val="continue"/>
                  <w:vAlign w:val="center"/>
                </w:tcPr>
                <w:p w14:paraId="0A5651A3">
                  <w:pPr>
                    <w:jc w:val="center"/>
                    <w:rPr>
                      <w:color w:val="auto"/>
                    </w:rPr>
                  </w:pPr>
                </w:p>
              </w:tc>
              <w:tc>
                <w:tcPr>
                  <w:tcW w:w="580" w:type="pct"/>
                  <w:vMerge w:val="continue"/>
                  <w:vAlign w:val="center"/>
                </w:tcPr>
                <w:p w14:paraId="2C86902A">
                  <w:pPr>
                    <w:jc w:val="center"/>
                    <w:rPr>
                      <w:color w:val="auto"/>
                    </w:rPr>
                  </w:pPr>
                </w:p>
              </w:tc>
            </w:tr>
            <w:tr w14:paraId="102FC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9" w:type="pct"/>
                  <w:vMerge w:val="continue"/>
                  <w:vAlign w:val="center"/>
                </w:tcPr>
                <w:p w14:paraId="0538203E">
                  <w:pPr>
                    <w:jc w:val="center"/>
                    <w:rPr>
                      <w:color w:val="auto"/>
                    </w:rPr>
                  </w:pPr>
                </w:p>
              </w:tc>
              <w:tc>
                <w:tcPr>
                  <w:tcW w:w="403" w:type="pct"/>
                  <w:vMerge w:val="continue"/>
                  <w:vAlign w:val="center"/>
                </w:tcPr>
                <w:p w14:paraId="55399EBF">
                  <w:pPr>
                    <w:jc w:val="center"/>
                    <w:rPr>
                      <w:color w:val="auto"/>
                    </w:rPr>
                  </w:pPr>
                </w:p>
              </w:tc>
              <w:tc>
                <w:tcPr>
                  <w:tcW w:w="988" w:type="pct"/>
                  <w:vMerge w:val="continue"/>
                  <w:vAlign w:val="center"/>
                </w:tcPr>
                <w:p w14:paraId="1E8BF662">
                  <w:pPr>
                    <w:jc w:val="center"/>
                    <w:rPr>
                      <w:color w:val="auto"/>
                    </w:rPr>
                  </w:pPr>
                </w:p>
              </w:tc>
              <w:tc>
                <w:tcPr>
                  <w:tcW w:w="660" w:type="pct"/>
                  <w:vMerge w:val="continue"/>
                  <w:vAlign w:val="center"/>
                </w:tcPr>
                <w:p w14:paraId="7A77BDC7">
                  <w:pPr>
                    <w:jc w:val="center"/>
                    <w:rPr>
                      <w:color w:val="auto"/>
                    </w:rPr>
                  </w:pPr>
                </w:p>
              </w:tc>
              <w:tc>
                <w:tcPr>
                  <w:tcW w:w="920" w:type="pct"/>
                  <w:vMerge w:val="continue"/>
                  <w:vAlign w:val="center"/>
                </w:tcPr>
                <w:p w14:paraId="5EB873A0">
                  <w:pPr>
                    <w:jc w:val="center"/>
                    <w:rPr>
                      <w:color w:val="auto"/>
                    </w:rPr>
                  </w:pPr>
                </w:p>
              </w:tc>
              <w:tc>
                <w:tcPr>
                  <w:tcW w:w="1006" w:type="pct"/>
                  <w:vMerge w:val="continue"/>
                  <w:vAlign w:val="center"/>
                </w:tcPr>
                <w:p w14:paraId="6538B689">
                  <w:pPr>
                    <w:jc w:val="center"/>
                    <w:rPr>
                      <w:color w:val="auto"/>
                    </w:rPr>
                  </w:pPr>
                </w:p>
              </w:tc>
              <w:tc>
                <w:tcPr>
                  <w:tcW w:w="580" w:type="pct"/>
                  <w:vMerge w:val="continue"/>
                  <w:vAlign w:val="center"/>
                </w:tcPr>
                <w:p w14:paraId="4BBF97CF">
                  <w:pPr>
                    <w:jc w:val="center"/>
                    <w:rPr>
                      <w:color w:val="auto"/>
                    </w:rPr>
                  </w:pPr>
                </w:p>
              </w:tc>
            </w:tr>
            <w:tr w14:paraId="096B4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9" w:type="pct"/>
                  <w:vMerge w:val="continue"/>
                  <w:vAlign w:val="center"/>
                </w:tcPr>
                <w:p w14:paraId="14A1850C">
                  <w:pPr>
                    <w:jc w:val="center"/>
                    <w:rPr>
                      <w:color w:val="auto"/>
                    </w:rPr>
                  </w:pPr>
                </w:p>
              </w:tc>
              <w:tc>
                <w:tcPr>
                  <w:tcW w:w="403" w:type="pct"/>
                  <w:vMerge w:val="continue"/>
                  <w:vAlign w:val="center"/>
                </w:tcPr>
                <w:p w14:paraId="1379CB25">
                  <w:pPr>
                    <w:jc w:val="center"/>
                    <w:rPr>
                      <w:color w:val="auto"/>
                    </w:rPr>
                  </w:pPr>
                </w:p>
              </w:tc>
              <w:tc>
                <w:tcPr>
                  <w:tcW w:w="988" w:type="pct"/>
                  <w:vMerge w:val="continue"/>
                  <w:vAlign w:val="center"/>
                </w:tcPr>
                <w:p w14:paraId="4272FD3E">
                  <w:pPr>
                    <w:jc w:val="center"/>
                    <w:rPr>
                      <w:color w:val="auto"/>
                    </w:rPr>
                  </w:pPr>
                </w:p>
              </w:tc>
              <w:tc>
                <w:tcPr>
                  <w:tcW w:w="660" w:type="pct"/>
                  <w:vMerge w:val="continue"/>
                  <w:vAlign w:val="center"/>
                </w:tcPr>
                <w:p w14:paraId="506A1335">
                  <w:pPr>
                    <w:jc w:val="center"/>
                    <w:rPr>
                      <w:color w:val="auto"/>
                    </w:rPr>
                  </w:pPr>
                </w:p>
              </w:tc>
              <w:tc>
                <w:tcPr>
                  <w:tcW w:w="920" w:type="pct"/>
                  <w:vMerge w:val="continue"/>
                  <w:vAlign w:val="center"/>
                </w:tcPr>
                <w:p w14:paraId="106FB05F">
                  <w:pPr>
                    <w:jc w:val="center"/>
                    <w:rPr>
                      <w:color w:val="auto"/>
                    </w:rPr>
                  </w:pPr>
                </w:p>
              </w:tc>
              <w:tc>
                <w:tcPr>
                  <w:tcW w:w="1006" w:type="pct"/>
                  <w:vMerge w:val="continue"/>
                  <w:vAlign w:val="center"/>
                </w:tcPr>
                <w:p w14:paraId="27CDF75E">
                  <w:pPr>
                    <w:jc w:val="center"/>
                    <w:rPr>
                      <w:color w:val="auto"/>
                    </w:rPr>
                  </w:pPr>
                </w:p>
              </w:tc>
              <w:tc>
                <w:tcPr>
                  <w:tcW w:w="580" w:type="pct"/>
                  <w:vMerge w:val="continue"/>
                  <w:vAlign w:val="center"/>
                </w:tcPr>
                <w:p w14:paraId="2397963C">
                  <w:pPr>
                    <w:jc w:val="center"/>
                    <w:rPr>
                      <w:color w:val="auto"/>
                    </w:rPr>
                  </w:pPr>
                </w:p>
              </w:tc>
            </w:tr>
            <w:tr w14:paraId="03E40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9" w:type="pct"/>
                  <w:vMerge w:val="continue"/>
                  <w:vAlign w:val="center"/>
                </w:tcPr>
                <w:p w14:paraId="72B902CD">
                  <w:pPr>
                    <w:jc w:val="center"/>
                    <w:rPr>
                      <w:color w:val="auto"/>
                    </w:rPr>
                  </w:pPr>
                </w:p>
              </w:tc>
              <w:tc>
                <w:tcPr>
                  <w:tcW w:w="403" w:type="pct"/>
                  <w:vMerge w:val="continue"/>
                  <w:vAlign w:val="center"/>
                </w:tcPr>
                <w:p w14:paraId="3EAD7260">
                  <w:pPr>
                    <w:jc w:val="center"/>
                    <w:rPr>
                      <w:color w:val="auto"/>
                    </w:rPr>
                  </w:pPr>
                </w:p>
              </w:tc>
              <w:tc>
                <w:tcPr>
                  <w:tcW w:w="988" w:type="pct"/>
                  <w:vMerge w:val="continue"/>
                  <w:vAlign w:val="center"/>
                </w:tcPr>
                <w:p w14:paraId="1F09A91D">
                  <w:pPr>
                    <w:jc w:val="center"/>
                    <w:rPr>
                      <w:color w:val="auto"/>
                    </w:rPr>
                  </w:pPr>
                </w:p>
              </w:tc>
              <w:tc>
                <w:tcPr>
                  <w:tcW w:w="660" w:type="pct"/>
                  <w:vMerge w:val="continue"/>
                  <w:vAlign w:val="center"/>
                </w:tcPr>
                <w:p w14:paraId="50A98803">
                  <w:pPr>
                    <w:jc w:val="center"/>
                    <w:rPr>
                      <w:color w:val="auto"/>
                    </w:rPr>
                  </w:pPr>
                </w:p>
              </w:tc>
              <w:tc>
                <w:tcPr>
                  <w:tcW w:w="920" w:type="pct"/>
                  <w:vMerge w:val="continue"/>
                  <w:vAlign w:val="center"/>
                </w:tcPr>
                <w:p w14:paraId="12D3CA10">
                  <w:pPr>
                    <w:jc w:val="center"/>
                    <w:rPr>
                      <w:color w:val="auto"/>
                    </w:rPr>
                  </w:pPr>
                </w:p>
              </w:tc>
              <w:tc>
                <w:tcPr>
                  <w:tcW w:w="1006" w:type="pct"/>
                  <w:vMerge w:val="continue"/>
                  <w:vAlign w:val="center"/>
                </w:tcPr>
                <w:p w14:paraId="61FB7BA9">
                  <w:pPr>
                    <w:jc w:val="center"/>
                    <w:rPr>
                      <w:color w:val="auto"/>
                    </w:rPr>
                  </w:pPr>
                </w:p>
              </w:tc>
              <w:tc>
                <w:tcPr>
                  <w:tcW w:w="580" w:type="pct"/>
                  <w:vMerge w:val="continue"/>
                  <w:vAlign w:val="center"/>
                </w:tcPr>
                <w:p w14:paraId="07C3F6E9">
                  <w:pPr>
                    <w:jc w:val="center"/>
                    <w:rPr>
                      <w:color w:val="auto"/>
                    </w:rPr>
                  </w:pPr>
                </w:p>
              </w:tc>
            </w:tr>
          </w:tbl>
          <w:p w14:paraId="5EE4050F">
            <w:pPr>
              <w:rPr>
                <w:color w:val="auto"/>
              </w:rPr>
            </w:pPr>
          </w:p>
          <w:p w14:paraId="6CA2F0F4">
            <w:pPr>
              <w:spacing w:line="360" w:lineRule="auto"/>
              <w:ind w:firstLine="512" w:firstLineChars="200"/>
              <w:rPr>
                <w:rFonts w:cs="宋体"/>
                <w:color w:val="auto"/>
                <w:spacing w:val="8"/>
                <w:sz w:val="24"/>
              </w:rPr>
            </w:pPr>
            <w:r>
              <w:rPr>
                <w:rFonts w:hint="eastAsia" w:cs="宋体"/>
                <w:color w:val="auto"/>
                <w:spacing w:val="8"/>
                <w:sz w:val="24"/>
              </w:rPr>
              <w:t>①锅炉废气</w:t>
            </w:r>
          </w:p>
          <w:p w14:paraId="4202BF0B">
            <w:pPr>
              <w:spacing w:line="360" w:lineRule="auto"/>
              <w:ind w:firstLine="512" w:firstLineChars="200"/>
              <w:rPr>
                <w:color w:val="auto"/>
                <w:sz w:val="24"/>
              </w:rPr>
            </w:pPr>
            <w:r>
              <w:rPr>
                <w:rFonts w:hint="eastAsia" w:cs="宋体"/>
                <w:color w:val="auto"/>
                <w:spacing w:val="8"/>
                <w:sz w:val="24"/>
              </w:rPr>
              <w:t>本项目锅炉为燃天然气锅炉，其型号为1t/h，根据建设单位提供资料，锅炉每天工作8小时，每年运行200天，该锅炉满负荷运转时天然气用量为10万m</w:t>
            </w:r>
            <w:r>
              <w:rPr>
                <w:rFonts w:hint="eastAsia" w:cs="宋体"/>
                <w:color w:val="auto"/>
                <w:spacing w:val="8"/>
                <w:sz w:val="24"/>
                <w:vertAlign w:val="superscript"/>
              </w:rPr>
              <w:t>3</w:t>
            </w:r>
            <w:r>
              <w:rPr>
                <w:rFonts w:hint="eastAsia" w:cs="宋体"/>
                <w:color w:val="auto"/>
                <w:spacing w:val="8"/>
                <w:sz w:val="24"/>
              </w:rPr>
              <w:t>/a。</w:t>
            </w:r>
            <w:r>
              <w:rPr>
                <w:color w:val="auto"/>
                <w:sz w:val="24"/>
              </w:rPr>
              <w:t>根据《排污许可证申请与核发技术规范 锅炉》（HJ953-2018），烟气量的产生量为V</w:t>
            </w:r>
            <w:r>
              <w:rPr>
                <w:color w:val="auto"/>
                <w:sz w:val="24"/>
                <w:vertAlign w:val="subscript"/>
              </w:rPr>
              <w:t>gy</w:t>
            </w:r>
            <w:r>
              <w:rPr>
                <w:color w:val="auto"/>
                <w:sz w:val="24"/>
              </w:rPr>
              <w:t>=0.285Q</w:t>
            </w:r>
            <w:r>
              <w:rPr>
                <w:color w:val="auto"/>
                <w:sz w:val="24"/>
                <w:vertAlign w:val="subscript"/>
              </w:rPr>
              <w:t>net</w:t>
            </w:r>
            <w:r>
              <w:rPr>
                <w:color w:val="auto"/>
                <w:sz w:val="24"/>
              </w:rPr>
              <w:t>+0.343Nm</w:t>
            </w:r>
            <w:r>
              <w:rPr>
                <w:color w:val="auto"/>
                <w:sz w:val="24"/>
                <w:vertAlign w:val="superscript"/>
              </w:rPr>
              <w:t>3</w:t>
            </w:r>
            <w:r>
              <w:rPr>
                <w:color w:val="auto"/>
                <w:sz w:val="24"/>
              </w:rPr>
              <w:t>/m</w:t>
            </w:r>
            <w:r>
              <w:rPr>
                <w:color w:val="auto"/>
                <w:sz w:val="24"/>
                <w:vertAlign w:val="superscript"/>
              </w:rPr>
              <w:t>3</w:t>
            </w:r>
            <w:r>
              <w:rPr>
                <w:color w:val="auto"/>
                <w:sz w:val="24"/>
              </w:rPr>
              <w:t>，天然气低位发热量Q</w:t>
            </w:r>
            <w:r>
              <w:rPr>
                <w:color w:val="auto"/>
                <w:sz w:val="24"/>
                <w:vertAlign w:val="subscript"/>
              </w:rPr>
              <w:t>net</w:t>
            </w:r>
            <w:r>
              <w:rPr>
                <w:color w:val="auto"/>
                <w:sz w:val="24"/>
              </w:rPr>
              <w:t>为35.0MJ/m</w:t>
            </w:r>
            <w:r>
              <w:rPr>
                <w:color w:val="auto"/>
                <w:sz w:val="24"/>
                <w:vertAlign w:val="superscript"/>
              </w:rPr>
              <w:t>3</w:t>
            </w:r>
            <w:r>
              <w:rPr>
                <w:color w:val="auto"/>
                <w:sz w:val="24"/>
              </w:rPr>
              <w:t>，</w:t>
            </w:r>
            <w:r>
              <w:rPr>
                <w:rFonts w:hint="eastAsia"/>
                <w:color w:val="auto"/>
                <w:sz w:val="24"/>
              </w:rPr>
              <w:t>基准烟气量</w:t>
            </w:r>
            <w:r>
              <w:rPr>
                <w:color w:val="auto"/>
                <w:sz w:val="24"/>
              </w:rPr>
              <w:t>V</w:t>
            </w:r>
            <w:r>
              <w:rPr>
                <w:color w:val="auto"/>
                <w:sz w:val="24"/>
                <w:vertAlign w:val="subscript"/>
              </w:rPr>
              <w:t>gy</w:t>
            </w:r>
            <w:r>
              <w:rPr>
                <w:rFonts w:hint="eastAsia"/>
                <w:color w:val="auto"/>
                <w:sz w:val="24"/>
              </w:rPr>
              <w:t>为10.318</w:t>
            </w:r>
            <w:r>
              <w:rPr>
                <w:color w:val="auto"/>
                <w:sz w:val="24"/>
              </w:rPr>
              <w:t>Nm</w:t>
            </w:r>
            <w:r>
              <w:rPr>
                <w:color w:val="auto"/>
                <w:sz w:val="24"/>
                <w:vertAlign w:val="superscript"/>
              </w:rPr>
              <w:t>3</w:t>
            </w:r>
            <w:r>
              <w:rPr>
                <w:color w:val="auto"/>
                <w:sz w:val="24"/>
              </w:rPr>
              <w:t>/m</w:t>
            </w:r>
            <w:r>
              <w:rPr>
                <w:color w:val="auto"/>
                <w:sz w:val="24"/>
                <w:vertAlign w:val="superscript"/>
              </w:rPr>
              <w:t>3</w:t>
            </w:r>
            <w:r>
              <w:rPr>
                <w:color w:val="auto"/>
                <w:sz w:val="24"/>
              </w:rPr>
              <w:t>，</w:t>
            </w:r>
            <w:r>
              <w:rPr>
                <w:rFonts w:hint="eastAsia"/>
                <w:color w:val="auto"/>
                <w:sz w:val="24"/>
              </w:rPr>
              <w:t>锅炉运行时间约为1600h，</w:t>
            </w:r>
            <w:r>
              <w:rPr>
                <w:color w:val="auto"/>
                <w:sz w:val="24"/>
              </w:rPr>
              <w:t>天然气</w:t>
            </w:r>
            <w:r>
              <w:rPr>
                <w:rFonts w:hint="eastAsia"/>
                <w:color w:val="auto"/>
                <w:sz w:val="24"/>
              </w:rPr>
              <w:t>用</w:t>
            </w:r>
            <w:r>
              <w:rPr>
                <w:color w:val="auto"/>
                <w:sz w:val="24"/>
              </w:rPr>
              <w:t>量约为</w:t>
            </w:r>
            <w:r>
              <w:rPr>
                <w:rFonts w:hint="eastAsia"/>
                <w:color w:val="auto"/>
                <w:sz w:val="24"/>
              </w:rPr>
              <w:t>62.5</w:t>
            </w:r>
            <w:r>
              <w:rPr>
                <w:color w:val="auto"/>
                <w:sz w:val="24"/>
              </w:rPr>
              <w:t>m</w:t>
            </w:r>
            <w:r>
              <w:rPr>
                <w:color w:val="auto"/>
                <w:sz w:val="24"/>
                <w:vertAlign w:val="superscript"/>
              </w:rPr>
              <w:t>3</w:t>
            </w:r>
            <w:r>
              <w:rPr>
                <w:color w:val="auto"/>
                <w:sz w:val="24"/>
              </w:rPr>
              <w:t>/h，核算时段内标态干烟气排放量Q为</w:t>
            </w:r>
            <w:r>
              <w:rPr>
                <w:rFonts w:hint="eastAsia"/>
                <w:color w:val="auto"/>
                <w:sz w:val="24"/>
              </w:rPr>
              <w:t>644.875</w:t>
            </w:r>
            <w:r>
              <w:rPr>
                <w:color w:val="auto"/>
                <w:sz w:val="24"/>
              </w:rPr>
              <w:t>m</w:t>
            </w:r>
            <w:r>
              <w:rPr>
                <w:color w:val="auto"/>
                <w:sz w:val="24"/>
                <w:vertAlign w:val="superscript"/>
              </w:rPr>
              <w:t>3</w:t>
            </w:r>
            <w:r>
              <w:rPr>
                <w:color w:val="auto"/>
                <w:sz w:val="24"/>
              </w:rPr>
              <w:t>/h。</w:t>
            </w:r>
          </w:p>
          <w:p w14:paraId="7E67F351">
            <w:pPr>
              <w:spacing w:line="360" w:lineRule="auto"/>
              <w:ind w:firstLine="480"/>
              <w:rPr>
                <w:color w:val="auto"/>
                <w:sz w:val="24"/>
              </w:rPr>
            </w:pPr>
            <w:r>
              <w:rPr>
                <w:color w:val="auto"/>
                <w:sz w:val="24"/>
              </w:rPr>
              <w:t>根据《污染源源强核算技术指南 锅炉》（HJ991-2018）“新（改、扩）建工程正常工况时，废气有组织源强优先采用物料衡算法核算，其次采用类比法、产污系数法核算</w:t>
            </w:r>
            <w:r>
              <w:rPr>
                <w:rFonts w:hint="eastAsia"/>
                <w:color w:val="auto"/>
                <w:sz w:val="24"/>
              </w:rPr>
              <w:t>。</w:t>
            </w:r>
            <w:r>
              <w:rPr>
                <w:color w:val="auto"/>
                <w:sz w:val="24"/>
              </w:rPr>
              <w:t>”</w:t>
            </w:r>
            <w:r>
              <w:rPr>
                <w:rFonts w:hint="eastAsia"/>
                <w:color w:val="auto"/>
                <w:sz w:val="24"/>
              </w:rPr>
              <w:t>，</w:t>
            </w:r>
            <w:r>
              <w:rPr>
                <w:color w:val="auto"/>
                <w:sz w:val="24"/>
              </w:rPr>
              <w:t>因此本项目</w:t>
            </w:r>
            <w:r>
              <w:rPr>
                <w:rFonts w:hint="eastAsia"/>
                <w:color w:val="auto"/>
                <w:sz w:val="24"/>
              </w:rPr>
              <w:t>蒸汽发生器</w:t>
            </w:r>
            <w:r>
              <w:rPr>
                <w:color w:val="auto"/>
                <w:sz w:val="24"/>
              </w:rPr>
              <w:t>废气中的SO</w:t>
            </w:r>
            <w:r>
              <w:rPr>
                <w:color w:val="auto"/>
                <w:sz w:val="24"/>
                <w:vertAlign w:val="subscript"/>
              </w:rPr>
              <w:t>2</w:t>
            </w:r>
            <w:r>
              <w:rPr>
                <w:color w:val="auto"/>
                <w:sz w:val="24"/>
              </w:rPr>
              <w:t>采用物料衡算法核算</w:t>
            </w:r>
            <w:r>
              <w:rPr>
                <w:rFonts w:hint="eastAsia"/>
                <w:color w:val="auto"/>
                <w:sz w:val="24"/>
              </w:rPr>
              <w:t>，</w:t>
            </w:r>
            <w:r>
              <w:rPr>
                <w:color w:val="auto"/>
                <w:sz w:val="24"/>
              </w:rPr>
              <w:t>颗粒物、NOx</w:t>
            </w:r>
            <w:r>
              <w:rPr>
                <w:rFonts w:hint="eastAsia"/>
                <w:color w:val="auto"/>
                <w:sz w:val="24"/>
              </w:rPr>
              <w:t>使用</w:t>
            </w:r>
            <w:r>
              <w:rPr>
                <w:color w:val="auto"/>
                <w:sz w:val="24"/>
              </w:rPr>
              <w:t>产污系数法核算锅炉排放浓度。</w:t>
            </w:r>
          </w:p>
          <w:p w14:paraId="74EE60F6">
            <w:pPr>
              <w:spacing w:line="360" w:lineRule="auto"/>
              <w:jc w:val="center"/>
              <w:rPr>
                <w:color w:val="auto"/>
                <w:sz w:val="24"/>
              </w:rPr>
            </w:pPr>
            <w:r>
              <w:rPr>
                <w:color w:val="auto"/>
                <w:sz w:val="24"/>
              </w:rPr>
              <w:t>E</w:t>
            </w:r>
            <w:r>
              <w:rPr>
                <w:color w:val="auto"/>
                <w:sz w:val="24"/>
                <w:vertAlign w:val="subscript"/>
              </w:rPr>
              <w:t>SO2</w:t>
            </w:r>
            <w:r>
              <w:rPr>
                <w:color w:val="auto"/>
                <w:sz w:val="24"/>
              </w:rPr>
              <w:t>=2R×S</w:t>
            </w:r>
            <w:r>
              <w:rPr>
                <w:color w:val="auto"/>
                <w:sz w:val="24"/>
                <w:vertAlign w:val="subscript"/>
              </w:rPr>
              <w:t>t</w:t>
            </w:r>
            <w:r>
              <w:rPr>
                <w:color w:val="auto"/>
                <w:sz w:val="24"/>
              </w:rPr>
              <w:t>×（1-</w:t>
            </w:r>
            <w:r>
              <w:rPr>
                <w:color w:val="auto"/>
                <w:sz w:val="24"/>
              </w:rPr>
              <w:sym w:font="Symbol" w:char="F068"/>
            </w:r>
            <w:r>
              <w:rPr>
                <w:color w:val="auto"/>
                <w:sz w:val="24"/>
                <w:vertAlign w:val="subscript"/>
              </w:rPr>
              <w:t>s</w:t>
            </w:r>
            <w:r>
              <w:rPr>
                <w:color w:val="auto"/>
                <w:sz w:val="24"/>
              </w:rPr>
              <w:t>/100）×K×10</w:t>
            </w:r>
            <w:r>
              <w:rPr>
                <w:color w:val="auto"/>
                <w:sz w:val="24"/>
                <w:vertAlign w:val="superscript"/>
              </w:rPr>
              <w:t>-</w:t>
            </w:r>
            <w:r>
              <w:rPr>
                <w:rFonts w:hint="eastAsia"/>
                <w:color w:val="auto"/>
                <w:sz w:val="24"/>
                <w:vertAlign w:val="superscript"/>
              </w:rPr>
              <w:t>5</w:t>
            </w:r>
          </w:p>
          <w:p w14:paraId="780AA4FD">
            <w:pPr>
              <w:spacing w:line="360" w:lineRule="auto"/>
              <w:ind w:firstLine="480"/>
              <w:rPr>
                <w:color w:val="auto"/>
                <w:sz w:val="24"/>
              </w:rPr>
            </w:pPr>
            <w:r>
              <w:rPr>
                <w:color w:val="auto"/>
                <w:sz w:val="24"/>
              </w:rPr>
              <w:t>式中：E</w:t>
            </w:r>
            <w:r>
              <w:rPr>
                <w:color w:val="auto"/>
                <w:sz w:val="24"/>
                <w:vertAlign w:val="subscript"/>
              </w:rPr>
              <w:t>SO2</w:t>
            </w:r>
            <w:r>
              <w:rPr>
                <w:color w:val="auto"/>
                <w:sz w:val="24"/>
              </w:rPr>
              <w:t>——核算时段内二氧化硫排放量，t；</w:t>
            </w:r>
          </w:p>
          <w:p w14:paraId="4B688634">
            <w:pPr>
              <w:spacing w:line="360" w:lineRule="auto"/>
              <w:ind w:firstLine="1200" w:firstLineChars="500"/>
              <w:rPr>
                <w:color w:val="auto"/>
                <w:sz w:val="24"/>
              </w:rPr>
            </w:pPr>
            <w:r>
              <w:rPr>
                <w:color w:val="auto"/>
                <w:sz w:val="24"/>
              </w:rPr>
              <w:t>R——核算时段内锅炉燃料耗量，万m</w:t>
            </w:r>
            <w:r>
              <w:rPr>
                <w:color w:val="auto"/>
                <w:sz w:val="24"/>
                <w:vertAlign w:val="superscript"/>
              </w:rPr>
              <w:t>3</w:t>
            </w:r>
            <w:r>
              <w:rPr>
                <w:color w:val="auto"/>
                <w:sz w:val="24"/>
              </w:rPr>
              <w:t>；</w:t>
            </w:r>
          </w:p>
          <w:p w14:paraId="03F16252">
            <w:pPr>
              <w:spacing w:line="360" w:lineRule="auto"/>
              <w:ind w:firstLine="1200" w:firstLineChars="500"/>
              <w:rPr>
                <w:color w:val="auto"/>
                <w:sz w:val="24"/>
              </w:rPr>
            </w:pPr>
            <w:r>
              <w:rPr>
                <w:color w:val="auto"/>
                <w:sz w:val="24"/>
              </w:rPr>
              <w:t>S</w:t>
            </w:r>
            <w:r>
              <w:rPr>
                <w:color w:val="auto"/>
                <w:sz w:val="24"/>
                <w:vertAlign w:val="subscript"/>
              </w:rPr>
              <w:t>t</w:t>
            </w:r>
            <w:r>
              <w:rPr>
                <w:color w:val="auto"/>
                <w:sz w:val="24"/>
              </w:rPr>
              <w:t>——燃料总硫的质量浓度，mg/m</w:t>
            </w:r>
            <w:r>
              <w:rPr>
                <w:color w:val="auto"/>
                <w:sz w:val="24"/>
                <w:vertAlign w:val="superscript"/>
              </w:rPr>
              <w:t>3</w:t>
            </w:r>
            <w:r>
              <w:rPr>
                <w:color w:val="auto"/>
                <w:sz w:val="24"/>
              </w:rPr>
              <w:t>；</w:t>
            </w:r>
          </w:p>
          <w:p w14:paraId="5E5586B4">
            <w:pPr>
              <w:spacing w:line="360" w:lineRule="auto"/>
              <w:ind w:firstLine="1200" w:firstLineChars="500"/>
              <w:rPr>
                <w:color w:val="auto"/>
                <w:sz w:val="24"/>
              </w:rPr>
            </w:pPr>
            <w:r>
              <w:rPr>
                <w:color w:val="auto"/>
                <w:sz w:val="24"/>
              </w:rPr>
              <w:sym w:font="Symbol" w:char="F068"/>
            </w:r>
            <w:r>
              <w:rPr>
                <w:color w:val="auto"/>
                <w:sz w:val="24"/>
                <w:vertAlign w:val="subscript"/>
              </w:rPr>
              <w:t>s</w:t>
            </w:r>
            <w:r>
              <w:rPr>
                <w:color w:val="auto"/>
                <w:sz w:val="24"/>
              </w:rPr>
              <w:t>——脱硫效率，%；</w:t>
            </w:r>
          </w:p>
          <w:p w14:paraId="121D99F6">
            <w:pPr>
              <w:spacing w:line="360" w:lineRule="auto"/>
              <w:ind w:firstLine="1200" w:firstLineChars="500"/>
              <w:rPr>
                <w:color w:val="auto"/>
                <w:sz w:val="24"/>
              </w:rPr>
            </w:pPr>
            <w:r>
              <w:rPr>
                <w:color w:val="auto"/>
                <w:sz w:val="24"/>
              </w:rPr>
              <w:t>K——燃料中的硫燃烧后氧化成二氧化硫的份额，量纲一的量</w:t>
            </w:r>
          </w:p>
          <w:p w14:paraId="14A81B6E">
            <w:pPr>
              <w:keepNext/>
              <w:overflowPunct w:val="0"/>
              <w:snapToGrid w:val="0"/>
              <w:spacing w:line="360" w:lineRule="auto"/>
              <w:ind w:firstLine="420"/>
              <w:rPr>
                <w:color w:val="auto"/>
                <w:sz w:val="24"/>
              </w:rPr>
            </w:pPr>
            <w:r>
              <w:rPr>
                <w:color w:val="auto"/>
                <w:sz w:val="24"/>
              </w:rPr>
              <w:t>核算时段内</w:t>
            </w:r>
            <w:r>
              <w:rPr>
                <w:rFonts w:hint="eastAsia"/>
                <w:color w:val="auto"/>
                <w:sz w:val="24"/>
              </w:rPr>
              <w:t>锅炉</w:t>
            </w:r>
            <w:r>
              <w:rPr>
                <w:color w:val="auto"/>
                <w:sz w:val="24"/>
              </w:rPr>
              <w:t>燃料耗量为</w:t>
            </w:r>
            <w:r>
              <w:rPr>
                <w:rFonts w:hint="eastAsia"/>
                <w:color w:val="auto"/>
                <w:sz w:val="24"/>
              </w:rPr>
              <w:t>10</w:t>
            </w:r>
            <w:r>
              <w:rPr>
                <w:color w:val="auto"/>
                <w:sz w:val="24"/>
              </w:rPr>
              <w:t>万m</w:t>
            </w:r>
            <w:r>
              <w:rPr>
                <w:color w:val="auto"/>
                <w:sz w:val="24"/>
                <w:vertAlign w:val="superscript"/>
              </w:rPr>
              <w:t>3</w:t>
            </w:r>
            <w:r>
              <w:rPr>
                <w:rFonts w:hint="eastAsia" w:cs="宋体"/>
                <w:color w:val="auto"/>
                <w:spacing w:val="8"/>
                <w:sz w:val="24"/>
              </w:rPr>
              <w:t>/</w:t>
            </w:r>
            <w:r>
              <w:rPr>
                <w:rFonts w:hint="eastAsia"/>
                <w:color w:val="auto"/>
                <w:sz w:val="24"/>
              </w:rPr>
              <w:t>a</w:t>
            </w:r>
            <w:r>
              <w:rPr>
                <w:color w:val="auto"/>
                <w:sz w:val="24"/>
              </w:rPr>
              <w:t>，根据《天然气》（GB17820-2018）中的规定，项目所用天然气为</w:t>
            </w:r>
            <w:r>
              <w:rPr>
                <w:rFonts w:hint="eastAsia"/>
                <w:color w:val="auto"/>
                <w:sz w:val="24"/>
              </w:rPr>
              <w:t>二</w:t>
            </w:r>
            <w:r>
              <w:rPr>
                <w:color w:val="auto"/>
                <w:sz w:val="24"/>
              </w:rPr>
              <w:t>类天然气质量，报告按最大值</w:t>
            </w:r>
            <w:r>
              <w:rPr>
                <w:rFonts w:hint="eastAsia"/>
                <w:color w:val="auto"/>
                <w:sz w:val="24"/>
              </w:rPr>
              <w:t>100</w:t>
            </w:r>
            <w:r>
              <w:rPr>
                <w:color w:val="auto"/>
                <w:sz w:val="24"/>
              </w:rPr>
              <w:t xml:space="preserve"> 毫克/立方米计，则 S=</w:t>
            </w:r>
            <w:r>
              <w:rPr>
                <w:rFonts w:hint="eastAsia"/>
                <w:color w:val="auto"/>
                <w:sz w:val="24"/>
              </w:rPr>
              <w:t>10</w:t>
            </w:r>
            <w:r>
              <w:rPr>
                <w:color w:val="auto"/>
                <w:sz w:val="24"/>
              </w:rPr>
              <w:t>0</w:t>
            </w:r>
            <w:r>
              <w:rPr>
                <w:rFonts w:hint="eastAsia"/>
                <w:color w:val="auto"/>
                <w:sz w:val="24"/>
              </w:rPr>
              <w:t>。</w:t>
            </w:r>
            <w:r>
              <w:rPr>
                <w:color w:val="auto"/>
                <w:sz w:val="24"/>
              </w:rPr>
              <w:t>天然气中总硫的质量浓度为</w:t>
            </w:r>
            <w:r>
              <w:rPr>
                <w:rFonts w:hint="eastAsia"/>
                <w:color w:val="auto"/>
                <w:sz w:val="24"/>
              </w:rPr>
              <w:t>10</w:t>
            </w:r>
            <w:r>
              <w:rPr>
                <w:color w:val="auto"/>
                <w:sz w:val="24"/>
              </w:rPr>
              <w:t>0mg/m</w:t>
            </w:r>
            <w:r>
              <w:rPr>
                <w:color w:val="auto"/>
                <w:sz w:val="24"/>
                <w:vertAlign w:val="superscript"/>
              </w:rPr>
              <w:t>3</w:t>
            </w:r>
            <w:r>
              <w:rPr>
                <w:color w:val="auto"/>
                <w:sz w:val="24"/>
              </w:rPr>
              <w:t>，未采取脱硫措施，脱硫效率为0，燃料中的硫燃烧后氧化成二氧化硫的份额取100%，经计算，本项目锅炉烟气中SO</w:t>
            </w:r>
            <w:r>
              <w:rPr>
                <w:color w:val="auto"/>
                <w:sz w:val="24"/>
                <w:vertAlign w:val="subscript"/>
              </w:rPr>
              <w:t>2</w:t>
            </w:r>
            <w:r>
              <w:rPr>
                <w:color w:val="auto"/>
                <w:sz w:val="24"/>
              </w:rPr>
              <w:t>排放量为0.0</w:t>
            </w:r>
            <w:r>
              <w:rPr>
                <w:rFonts w:hint="eastAsia"/>
                <w:color w:val="auto"/>
                <w:sz w:val="24"/>
              </w:rPr>
              <w:t>2</w:t>
            </w:r>
            <w:r>
              <w:rPr>
                <w:color w:val="auto"/>
                <w:sz w:val="24"/>
              </w:rPr>
              <w:t>t/a。</w:t>
            </w:r>
          </w:p>
          <w:p w14:paraId="1031131F">
            <w:pPr>
              <w:spacing w:line="360" w:lineRule="auto"/>
              <w:ind w:firstLine="480" w:firstLineChars="200"/>
              <w:rPr>
                <w:color w:val="auto"/>
                <w:sz w:val="24"/>
              </w:rPr>
            </w:pPr>
            <w:r>
              <w:rPr>
                <w:rFonts w:hint="eastAsia"/>
                <w:color w:val="auto"/>
                <w:sz w:val="24"/>
              </w:rPr>
              <w:t>根据</w:t>
            </w:r>
            <w:r>
              <w:rPr>
                <w:rFonts w:hint="eastAsia" w:ascii="宋体" w:cs="宋体"/>
                <w:color w:val="auto"/>
                <w:kern w:val="0"/>
                <w:sz w:val="24"/>
                <w:lang w:bidi="ar"/>
              </w:rPr>
              <w:t>《排放源统计调查产排污核算方法和系数手册》</w:t>
            </w:r>
            <w:r>
              <w:rPr>
                <w:rFonts w:hint="eastAsia"/>
                <w:color w:val="auto"/>
                <w:sz w:val="24"/>
              </w:rPr>
              <w:t>中燃气锅炉中氮氧化物的产排污系数，使用低氮燃烧，</w:t>
            </w:r>
            <w:r>
              <w:rPr>
                <w:rFonts w:hint="eastAsia"/>
                <w:color w:val="auto"/>
                <w:kern w:val="0"/>
                <w:sz w:val="24"/>
              </w:rPr>
              <w:t>产污系数为</w:t>
            </w:r>
            <w:r>
              <w:rPr>
                <w:rFonts w:hint="eastAsia"/>
                <w:color w:val="auto"/>
                <w:kern w:val="0"/>
                <w:sz w:val="24"/>
                <w:lang w:val="en-US" w:eastAsia="zh-CN"/>
              </w:rPr>
              <w:t>6.97</w:t>
            </w:r>
            <w:r>
              <w:rPr>
                <w:rFonts w:hint="eastAsia"/>
                <w:color w:val="auto"/>
                <w:kern w:val="0"/>
                <w:sz w:val="24"/>
              </w:rPr>
              <w:t>kg/万m</w:t>
            </w:r>
            <w:r>
              <w:rPr>
                <w:rFonts w:hint="eastAsia"/>
                <w:color w:val="auto"/>
                <w:kern w:val="0"/>
                <w:sz w:val="24"/>
                <w:vertAlign w:val="superscript"/>
              </w:rPr>
              <w:t>3</w:t>
            </w:r>
            <w:r>
              <w:rPr>
                <w:rFonts w:hint="eastAsia"/>
                <w:color w:val="auto"/>
                <w:kern w:val="0"/>
                <w:sz w:val="24"/>
              </w:rPr>
              <w:t>-原料，则氮氧化物产生量为0.0</w:t>
            </w:r>
            <w:r>
              <w:rPr>
                <w:rFonts w:hint="eastAsia"/>
                <w:color w:val="auto"/>
                <w:kern w:val="0"/>
                <w:sz w:val="24"/>
                <w:lang w:val="en-US" w:eastAsia="zh-CN"/>
              </w:rPr>
              <w:t>70</w:t>
            </w:r>
            <w:r>
              <w:rPr>
                <w:color w:val="auto"/>
                <w:sz w:val="24"/>
              </w:rPr>
              <w:t>t/a。</w:t>
            </w:r>
          </w:p>
          <w:p w14:paraId="45B73CAA">
            <w:pPr>
              <w:spacing w:line="360" w:lineRule="auto"/>
              <w:ind w:firstLine="480" w:firstLineChars="200"/>
              <w:rPr>
                <w:color w:val="auto"/>
                <w:sz w:val="24"/>
                <w:szCs w:val="32"/>
              </w:rPr>
            </w:pPr>
            <w:r>
              <w:rPr>
                <w:rFonts w:hint="eastAsia"/>
                <w:color w:val="auto"/>
                <w:sz w:val="24"/>
                <w:szCs w:val="32"/>
              </w:rPr>
              <w:t>依据《关于发布计算污染物排放量的排污系数和物料衡算方法的公告》（环境保护部公告2017年第81号）的附件1《纳入排污许可管理的火电等17个行业污染物排放量计算方法（含排污系数、物料衡算方法）（试行）》 中附录 A，每燃烧 1m</w:t>
            </w:r>
            <w:r>
              <w:rPr>
                <w:rFonts w:hint="eastAsia"/>
                <w:color w:val="auto"/>
                <w:sz w:val="24"/>
                <w:szCs w:val="32"/>
                <w:vertAlign w:val="superscript"/>
              </w:rPr>
              <w:t>3</w:t>
            </w:r>
            <w:r>
              <w:rPr>
                <w:rFonts w:hint="eastAsia"/>
                <w:color w:val="auto"/>
                <w:sz w:val="24"/>
                <w:szCs w:val="32"/>
              </w:rPr>
              <w:t>天然气产生颗粒物为103.90mg，则本项目颗粒物产生量为0.010t/a。</w:t>
            </w:r>
          </w:p>
          <w:p w14:paraId="219F2CA3">
            <w:pPr>
              <w:pStyle w:val="12"/>
              <w:spacing w:after="0" w:line="240" w:lineRule="auto"/>
              <w:jc w:val="center"/>
              <w:rPr>
                <w:b/>
                <w:color w:val="auto"/>
                <w:sz w:val="21"/>
                <w:szCs w:val="21"/>
              </w:rPr>
            </w:pPr>
            <w:r>
              <w:rPr>
                <w:rStyle w:val="33"/>
                <w:color w:val="auto"/>
                <w:sz w:val="21"/>
                <w:szCs w:val="21"/>
              </w:rPr>
              <w:t>表4-</w:t>
            </w:r>
            <w:r>
              <w:rPr>
                <w:rStyle w:val="33"/>
                <w:rFonts w:hint="eastAsia"/>
                <w:color w:val="auto"/>
                <w:sz w:val="21"/>
                <w:szCs w:val="21"/>
              </w:rPr>
              <w:t>2</w:t>
            </w:r>
            <w:r>
              <w:rPr>
                <w:rStyle w:val="33"/>
                <w:color w:val="auto"/>
                <w:sz w:val="21"/>
                <w:szCs w:val="21"/>
              </w:rPr>
              <w:t xml:space="preserve">  项目</w:t>
            </w:r>
            <w:r>
              <w:rPr>
                <w:rStyle w:val="33"/>
                <w:rFonts w:hint="eastAsia"/>
                <w:color w:val="auto"/>
                <w:sz w:val="21"/>
                <w:szCs w:val="21"/>
              </w:rPr>
              <w:t>锅炉</w:t>
            </w:r>
            <w:r>
              <w:rPr>
                <w:rStyle w:val="33"/>
                <w:color w:val="auto"/>
                <w:sz w:val="21"/>
                <w:szCs w:val="21"/>
              </w:rPr>
              <w:t>废气产排情况一览表</w:t>
            </w:r>
          </w:p>
          <w:tbl>
            <w:tblPr>
              <w:tblStyle w:val="31"/>
              <w:tblW w:w="489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04"/>
              <w:gridCol w:w="998"/>
              <w:gridCol w:w="943"/>
              <w:gridCol w:w="976"/>
              <w:gridCol w:w="1167"/>
              <w:gridCol w:w="911"/>
              <w:gridCol w:w="887"/>
              <w:gridCol w:w="945"/>
              <w:gridCol w:w="858"/>
            </w:tblGrid>
            <w:tr w14:paraId="30822F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6" w:type="pct"/>
                  <w:vMerge w:val="restart"/>
                  <w:tcBorders>
                    <w:top w:val="single" w:color="auto" w:sz="6" w:space="0"/>
                    <w:left w:val="single" w:color="auto" w:sz="6" w:space="0"/>
                    <w:bottom w:val="single" w:color="auto" w:sz="6" w:space="0"/>
                    <w:right w:val="single" w:color="auto" w:sz="6" w:space="0"/>
                  </w:tcBorders>
                  <w:vAlign w:val="center"/>
                </w:tcPr>
                <w:p w14:paraId="72802BC0">
                  <w:pPr>
                    <w:pStyle w:val="87"/>
                    <w:rPr>
                      <w:color w:val="auto"/>
                    </w:rPr>
                  </w:pPr>
                  <w:r>
                    <w:rPr>
                      <w:color w:val="auto"/>
                    </w:rPr>
                    <w:t>污染源</w:t>
                  </w:r>
                </w:p>
              </w:tc>
              <w:tc>
                <w:tcPr>
                  <w:tcW w:w="1698" w:type="pct"/>
                  <w:gridSpan w:val="3"/>
                  <w:tcBorders>
                    <w:top w:val="single" w:color="auto" w:sz="6" w:space="0"/>
                    <w:left w:val="single" w:color="auto" w:sz="6" w:space="0"/>
                    <w:bottom w:val="single" w:color="auto" w:sz="6" w:space="0"/>
                    <w:right w:val="single" w:color="auto" w:sz="6" w:space="0"/>
                  </w:tcBorders>
                  <w:vAlign w:val="center"/>
                </w:tcPr>
                <w:p w14:paraId="3A1B49FB">
                  <w:pPr>
                    <w:pStyle w:val="87"/>
                    <w:rPr>
                      <w:color w:val="auto"/>
                    </w:rPr>
                  </w:pPr>
                  <w:r>
                    <w:rPr>
                      <w:color w:val="auto"/>
                    </w:rPr>
                    <w:t>产生情况</w:t>
                  </w:r>
                </w:p>
              </w:tc>
              <w:tc>
                <w:tcPr>
                  <w:tcW w:w="679" w:type="pct"/>
                  <w:vMerge w:val="restart"/>
                  <w:tcBorders>
                    <w:top w:val="single" w:color="auto" w:sz="6" w:space="0"/>
                    <w:left w:val="single" w:color="auto" w:sz="6" w:space="0"/>
                    <w:bottom w:val="single" w:color="auto" w:sz="6" w:space="0"/>
                    <w:right w:val="single" w:color="auto" w:sz="6" w:space="0"/>
                  </w:tcBorders>
                  <w:vAlign w:val="center"/>
                </w:tcPr>
                <w:p w14:paraId="43F1E4F2">
                  <w:pPr>
                    <w:pStyle w:val="87"/>
                    <w:rPr>
                      <w:color w:val="auto"/>
                    </w:rPr>
                  </w:pPr>
                  <w:r>
                    <w:rPr>
                      <w:color w:val="auto"/>
                    </w:rPr>
                    <w:t>治理</w:t>
                  </w:r>
                </w:p>
                <w:p w14:paraId="31E8EBAF">
                  <w:pPr>
                    <w:pStyle w:val="87"/>
                    <w:rPr>
                      <w:color w:val="auto"/>
                    </w:rPr>
                  </w:pPr>
                  <w:r>
                    <w:rPr>
                      <w:color w:val="auto"/>
                    </w:rPr>
                    <w:t>措施</w:t>
                  </w:r>
                </w:p>
              </w:tc>
              <w:tc>
                <w:tcPr>
                  <w:tcW w:w="1596" w:type="pct"/>
                  <w:gridSpan w:val="3"/>
                  <w:tcBorders>
                    <w:top w:val="single" w:color="auto" w:sz="6" w:space="0"/>
                    <w:left w:val="single" w:color="auto" w:sz="6" w:space="0"/>
                    <w:bottom w:val="single" w:color="auto" w:sz="6" w:space="0"/>
                    <w:right w:val="single" w:color="auto" w:sz="6" w:space="0"/>
                  </w:tcBorders>
                  <w:vAlign w:val="center"/>
                </w:tcPr>
                <w:p w14:paraId="4FA67543">
                  <w:pPr>
                    <w:pStyle w:val="87"/>
                    <w:rPr>
                      <w:color w:val="auto"/>
                    </w:rPr>
                  </w:pPr>
                  <w:r>
                    <w:rPr>
                      <w:color w:val="auto"/>
                    </w:rPr>
                    <w:t>排放情况</w:t>
                  </w:r>
                </w:p>
              </w:tc>
              <w:tc>
                <w:tcPr>
                  <w:tcW w:w="499" w:type="pct"/>
                  <w:vMerge w:val="restart"/>
                  <w:tcBorders>
                    <w:top w:val="single" w:color="auto" w:sz="6" w:space="0"/>
                    <w:left w:val="single" w:color="auto" w:sz="6" w:space="0"/>
                    <w:bottom w:val="single" w:color="auto" w:sz="6" w:space="0"/>
                    <w:right w:val="single" w:color="auto" w:sz="6" w:space="0"/>
                  </w:tcBorders>
                  <w:vAlign w:val="center"/>
                </w:tcPr>
                <w:p w14:paraId="3FED5944">
                  <w:pPr>
                    <w:pStyle w:val="87"/>
                    <w:rPr>
                      <w:color w:val="auto"/>
                    </w:rPr>
                  </w:pPr>
                  <w:r>
                    <w:rPr>
                      <w:color w:val="auto"/>
                    </w:rPr>
                    <w:t>排放限值</w:t>
                  </w:r>
                </w:p>
                <w:p w14:paraId="0F865BF3">
                  <w:pPr>
                    <w:pStyle w:val="87"/>
                    <w:rPr>
                      <w:color w:val="auto"/>
                    </w:rPr>
                  </w:pPr>
                  <w:r>
                    <w:rPr>
                      <w:color w:val="auto"/>
                    </w:rPr>
                    <w:t>mg/m</w:t>
                  </w:r>
                  <w:r>
                    <w:rPr>
                      <w:color w:val="auto"/>
                      <w:vertAlign w:val="superscript"/>
                    </w:rPr>
                    <w:t>3</w:t>
                  </w:r>
                </w:p>
              </w:tc>
            </w:tr>
            <w:tr w14:paraId="382004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6" w:type="pct"/>
                  <w:vMerge w:val="continue"/>
                  <w:tcBorders>
                    <w:top w:val="single" w:color="auto" w:sz="6" w:space="0"/>
                    <w:left w:val="single" w:color="auto" w:sz="6" w:space="0"/>
                    <w:bottom w:val="single" w:color="auto" w:sz="6" w:space="0"/>
                    <w:right w:val="single" w:color="auto" w:sz="6" w:space="0"/>
                  </w:tcBorders>
                  <w:vAlign w:val="center"/>
                </w:tcPr>
                <w:p w14:paraId="0D605543">
                  <w:pPr>
                    <w:pStyle w:val="87"/>
                    <w:rPr>
                      <w:color w:val="auto"/>
                    </w:rPr>
                  </w:pPr>
                </w:p>
              </w:tc>
              <w:tc>
                <w:tcPr>
                  <w:tcW w:w="581" w:type="pct"/>
                  <w:tcBorders>
                    <w:top w:val="single" w:color="auto" w:sz="6" w:space="0"/>
                    <w:left w:val="single" w:color="auto" w:sz="6" w:space="0"/>
                    <w:bottom w:val="single" w:color="auto" w:sz="6" w:space="0"/>
                    <w:right w:val="single" w:color="auto" w:sz="6" w:space="0"/>
                  </w:tcBorders>
                  <w:vAlign w:val="center"/>
                </w:tcPr>
                <w:p w14:paraId="43B3A795">
                  <w:pPr>
                    <w:pStyle w:val="87"/>
                    <w:rPr>
                      <w:color w:val="auto"/>
                    </w:rPr>
                  </w:pPr>
                  <w:r>
                    <w:rPr>
                      <w:color w:val="auto"/>
                    </w:rPr>
                    <w:t>产生量t/a</w:t>
                  </w:r>
                </w:p>
              </w:tc>
              <w:tc>
                <w:tcPr>
                  <w:tcW w:w="549" w:type="pct"/>
                  <w:tcBorders>
                    <w:top w:val="single" w:color="auto" w:sz="6" w:space="0"/>
                    <w:left w:val="single" w:color="auto" w:sz="6" w:space="0"/>
                    <w:bottom w:val="single" w:color="auto" w:sz="6" w:space="0"/>
                    <w:right w:val="single" w:color="auto" w:sz="6" w:space="0"/>
                  </w:tcBorders>
                  <w:vAlign w:val="center"/>
                </w:tcPr>
                <w:p w14:paraId="5E30DA77">
                  <w:pPr>
                    <w:pStyle w:val="87"/>
                    <w:rPr>
                      <w:color w:val="auto"/>
                    </w:rPr>
                  </w:pPr>
                  <w:r>
                    <w:rPr>
                      <w:color w:val="auto"/>
                    </w:rPr>
                    <w:t>速率kg/h</w:t>
                  </w:r>
                </w:p>
              </w:tc>
              <w:tc>
                <w:tcPr>
                  <w:tcW w:w="567" w:type="pct"/>
                  <w:tcBorders>
                    <w:top w:val="single" w:color="auto" w:sz="6" w:space="0"/>
                    <w:left w:val="single" w:color="auto" w:sz="6" w:space="0"/>
                    <w:bottom w:val="single" w:color="auto" w:sz="6" w:space="0"/>
                    <w:right w:val="single" w:color="auto" w:sz="6" w:space="0"/>
                  </w:tcBorders>
                  <w:vAlign w:val="center"/>
                </w:tcPr>
                <w:p w14:paraId="1339F12F">
                  <w:pPr>
                    <w:pStyle w:val="87"/>
                    <w:rPr>
                      <w:color w:val="auto"/>
                    </w:rPr>
                  </w:pPr>
                  <w:r>
                    <w:rPr>
                      <w:color w:val="auto"/>
                    </w:rPr>
                    <w:t>浓度mg/m</w:t>
                  </w:r>
                  <w:r>
                    <w:rPr>
                      <w:color w:val="auto"/>
                      <w:vertAlign w:val="superscript"/>
                    </w:rPr>
                    <w:t>3</w:t>
                  </w:r>
                </w:p>
              </w:tc>
              <w:tc>
                <w:tcPr>
                  <w:tcW w:w="679" w:type="pct"/>
                  <w:vMerge w:val="continue"/>
                  <w:tcBorders>
                    <w:top w:val="single" w:color="auto" w:sz="6" w:space="0"/>
                    <w:left w:val="single" w:color="auto" w:sz="6" w:space="0"/>
                    <w:bottom w:val="single" w:color="auto" w:sz="6" w:space="0"/>
                    <w:right w:val="single" w:color="auto" w:sz="6" w:space="0"/>
                  </w:tcBorders>
                  <w:vAlign w:val="center"/>
                </w:tcPr>
                <w:p w14:paraId="30E64568">
                  <w:pPr>
                    <w:pStyle w:val="87"/>
                    <w:rPr>
                      <w:color w:val="auto"/>
                    </w:rPr>
                  </w:pPr>
                </w:p>
              </w:tc>
              <w:tc>
                <w:tcPr>
                  <w:tcW w:w="530" w:type="pct"/>
                  <w:tcBorders>
                    <w:top w:val="single" w:color="auto" w:sz="6" w:space="0"/>
                    <w:left w:val="single" w:color="auto" w:sz="6" w:space="0"/>
                    <w:bottom w:val="single" w:color="auto" w:sz="6" w:space="0"/>
                    <w:right w:val="single" w:color="auto" w:sz="6" w:space="0"/>
                  </w:tcBorders>
                  <w:vAlign w:val="center"/>
                </w:tcPr>
                <w:p w14:paraId="0D017C81">
                  <w:pPr>
                    <w:pStyle w:val="87"/>
                    <w:rPr>
                      <w:color w:val="auto"/>
                    </w:rPr>
                  </w:pPr>
                  <w:r>
                    <w:rPr>
                      <w:color w:val="auto"/>
                    </w:rPr>
                    <w:t>排放量t/a</w:t>
                  </w:r>
                </w:p>
              </w:tc>
              <w:tc>
                <w:tcPr>
                  <w:tcW w:w="516" w:type="pct"/>
                  <w:tcBorders>
                    <w:top w:val="single" w:color="auto" w:sz="6" w:space="0"/>
                    <w:left w:val="single" w:color="auto" w:sz="6" w:space="0"/>
                    <w:bottom w:val="single" w:color="auto" w:sz="6" w:space="0"/>
                    <w:right w:val="single" w:color="auto" w:sz="6" w:space="0"/>
                  </w:tcBorders>
                  <w:vAlign w:val="center"/>
                </w:tcPr>
                <w:p w14:paraId="0D120C8D">
                  <w:pPr>
                    <w:pStyle w:val="87"/>
                    <w:rPr>
                      <w:color w:val="auto"/>
                    </w:rPr>
                  </w:pPr>
                  <w:r>
                    <w:rPr>
                      <w:color w:val="auto"/>
                    </w:rPr>
                    <w:t>速率kg/h</w:t>
                  </w:r>
                </w:p>
              </w:tc>
              <w:tc>
                <w:tcPr>
                  <w:tcW w:w="549" w:type="pct"/>
                  <w:tcBorders>
                    <w:top w:val="single" w:color="auto" w:sz="6" w:space="0"/>
                    <w:left w:val="single" w:color="auto" w:sz="6" w:space="0"/>
                    <w:bottom w:val="single" w:color="auto" w:sz="6" w:space="0"/>
                    <w:right w:val="single" w:color="auto" w:sz="6" w:space="0"/>
                  </w:tcBorders>
                  <w:vAlign w:val="center"/>
                </w:tcPr>
                <w:p w14:paraId="08782CBB">
                  <w:pPr>
                    <w:pStyle w:val="87"/>
                    <w:rPr>
                      <w:color w:val="auto"/>
                    </w:rPr>
                  </w:pPr>
                  <w:r>
                    <w:rPr>
                      <w:color w:val="auto"/>
                    </w:rPr>
                    <w:t>浓度mg/m</w:t>
                  </w:r>
                  <w:r>
                    <w:rPr>
                      <w:color w:val="auto"/>
                      <w:vertAlign w:val="superscript"/>
                    </w:rPr>
                    <w:t>3</w:t>
                  </w:r>
                </w:p>
              </w:tc>
              <w:tc>
                <w:tcPr>
                  <w:tcW w:w="499" w:type="pct"/>
                  <w:vMerge w:val="continue"/>
                  <w:tcBorders>
                    <w:top w:val="single" w:color="auto" w:sz="6" w:space="0"/>
                    <w:left w:val="single" w:color="auto" w:sz="6" w:space="0"/>
                    <w:bottom w:val="single" w:color="auto" w:sz="6" w:space="0"/>
                    <w:right w:val="single" w:color="auto" w:sz="6" w:space="0"/>
                  </w:tcBorders>
                  <w:vAlign w:val="center"/>
                </w:tcPr>
                <w:p w14:paraId="0558BB8F">
                  <w:pPr>
                    <w:pStyle w:val="87"/>
                    <w:rPr>
                      <w:color w:val="auto"/>
                    </w:rPr>
                  </w:pPr>
                </w:p>
              </w:tc>
            </w:tr>
            <w:tr w14:paraId="3AB7D9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6" w:type="pct"/>
                  <w:tcBorders>
                    <w:top w:val="single" w:color="auto" w:sz="6" w:space="0"/>
                    <w:left w:val="single" w:color="auto" w:sz="6" w:space="0"/>
                    <w:bottom w:val="single" w:color="auto" w:sz="6" w:space="0"/>
                    <w:right w:val="single" w:color="auto" w:sz="6" w:space="0"/>
                  </w:tcBorders>
                  <w:vAlign w:val="center"/>
                </w:tcPr>
                <w:p w14:paraId="3F4E6C5A">
                  <w:pPr>
                    <w:pStyle w:val="87"/>
                    <w:rPr>
                      <w:color w:val="auto"/>
                    </w:rPr>
                  </w:pPr>
                  <w:r>
                    <w:rPr>
                      <w:rFonts w:hint="eastAsia"/>
                      <w:color w:val="auto"/>
                    </w:rPr>
                    <w:t>烟气量</w:t>
                  </w:r>
                </w:p>
              </w:tc>
              <w:tc>
                <w:tcPr>
                  <w:tcW w:w="1698" w:type="pct"/>
                  <w:gridSpan w:val="3"/>
                  <w:tcBorders>
                    <w:top w:val="single" w:color="auto" w:sz="6" w:space="0"/>
                    <w:left w:val="single" w:color="auto" w:sz="6" w:space="0"/>
                    <w:bottom w:val="single" w:color="auto" w:sz="6" w:space="0"/>
                    <w:right w:val="single" w:color="auto" w:sz="6" w:space="0"/>
                  </w:tcBorders>
                  <w:vAlign w:val="center"/>
                </w:tcPr>
                <w:p w14:paraId="3E9F7F47">
                  <w:pPr>
                    <w:pStyle w:val="87"/>
                    <w:rPr>
                      <w:color w:val="auto"/>
                    </w:rPr>
                  </w:pPr>
                  <w:r>
                    <w:rPr>
                      <w:rFonts w:hint="eastAsia"/>
                      <w:color w:val="auto"/>
                    </w:rPr>
                    <w:t>644.875m</w:t>
                  </w:r>
                  <w:r>
                    <w:rPr>
                      <w:rFonts w:hint="eastAsia"/>
                      <w:color w:val="auto"/>
                      <w:vertAlign w:val="superscript"/>
                    </w:rPr>
                    <w:t>3</w:t>
                  </w:r>
                  <w:r>
                    <w:rPr>
                      <w:rFonts w:hint="eastAsia"/>
                      <w:color w:val="auto"/>
                    </w:rPr>
                    <w:t>/h</w:t>
                  </w:r>
                </w:p>
              </w:tc>
              <w:tc>
                <w:tcPr>
                  <w:tcW w:w="679" w:type="pct"/>
                  <w:tcBorders>
                    <w:top w:val="single" w:color="auto" w:sz="6" w:space="0"/>
                    <w:left w:val="single" w:color="auto" w:sz="6" w:space="0"/>
                    <w:bottom w:val="single" w:color="auto" w:sz="6" w:space="0"/>
                    <w:right w:val="single" w:color="auto" w:sz="6" w:space="0"/>
                  </w:tcBorders>
                  <w:vAlign w:val="center"/>
                </w:tcPr>
                <w:p w14:paraId="07E2A4AF">
                  <w:pPr>
                    <w:pStyle w:val="87"/>
                    <w:rPr>
                      <w:color w:val="auto"/>
                    </w:rPr>
                  </w:pPr>
                  <w:r>
                    <w:rPr>
                      <w:rFonts w:hint="eastAsia"/>
                      <w:color w:val="auto"/>
                    </w:rPr>
                    <w:t>/</w:t>
                  </w:r>
                </w:p>
              </w:tc>
              <w:tc>
                <w:tcPr>
                  <w:tcW w:w="1596" w:type="pct"/>
                  <w:gridSpan w:val="3"/>
                  <w:tcBorders>
                    <w:top w:val="single" w:color="auto" w:sz="6" w:space="0"/>
                    <w:left w:val="single" w:color="auto" w:sz="6" w:space="0"/>
                    <w:bottom w:val="single" w:color="auto" w:sz="6" w:space="0"/>
                    <w:right w:val="single" w:color="auto" w:sz="6" w:space="0"/>
                  </w:tcBorders>
                  <w:vAlign w:val="center"/>
                </w:tcPr>
                <w:p w14:paraId="1CD4718B">
                  <w:pPr>
                    <w:pStyle w:val="87"/>
                    <w:rPr>
                      <w:color w:val="auto"/>
                    </w:rPr>
                  </w:pPr>
                  <w:r>
                    <w:rPr>
                      <w:rFonts w:hint="eastAsia"/>
                      <w:color w:val="auto"/>
                    </w:rPr>
                    <w:t>644.875m</w:t>
                  </w:r>
                  <w:r>
                    <w:rPr>
                      <w:rFonts w:hint="eastAsia"/>
                      <w:color w:val="auto"/>
                      <w:vertAlign w:val="superscript"/>
                    </w:rPr>
                    <w:t>3</w:t>
                  </w:r>
                  <w:r>
                    <w:rPr>
                      <w:rFonts w:hint="eastAsia"/>
                      <w:color w:val="auto"/>
                    </w:rPr>
                    <w:t>/h</w:t>
                  </w:r>
                </w:p>
              </w:tc>
              <w:tc>
                <w:tcPr>
                  <w:tcW w:w="499" w:type="pct"/>
                  <w:tcBorders>
                    <w:top w:val="single" w:color="auto" w:sz="6" w:space="0"/>
                    <w:left w:val="single" w:color="auto" w:sz="6" w:space="0"/>
                    <w:bottom w:val="single" w:color="auto" w:sz="6" w:space="0"/>
                    <w:right w:val="single" w:color="auto" w:sz="6" w:space="0"/>
                  </w:tcBorders>
                  <w:vAlign w:val="center"/>
                </w:tcPr>
                <w:p w14:paraId="1D149C2B">
                  <w:pPr>
                    <w:pStyle w:val="87"/>
                    <w:rPr>
                      <w:color w:val="auto"/>
                    </w:rPr>
                  </w:pPr>
                  <w:r>
                    <w:rPr>
                      <w:rFonts w:hint="eastAsia"/>
                      <w:color w:val="auto"/>
                    </w:rPr>
                    <w:t>/</w:t>
                  </w:r>
                </w:p>
              </w:tc>
            </w:tr>
            <w:tr w14:paraId="0F6BC4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6" w:type="pct"/>
                  <w:tcBorders>
                    <w:top w:val="single" w:color="auto" w:sz="6" w:space="0"/>
                    <w:left w:val="single" w:color="auto" w:sz="6" w:space="0"/>
                    <w:bottom w:val="single" w:color="auto" w:sz="6" w:space="0"/>
                    <w:right w:val="single" w:color="auto" w:sz="6" w:space="0"/>
                  </w:tcBorders>
                  <w:vAlign w:val="center"/>
                </w:tcPr>
                <w:p w14:paraId="3A280EE2">
                  <w:pPr>
                    <w:pStyle w:val="87"/>
                    <w:rPr>
                      <w:color w:val="auto"/>
                    </w:rPr>
                  </w:pPr>
                  <w:r>
                    <w:rPr>
                      <w:color w:val="auto"/>
                    </w:rPr>
                    <w:t>SO</w:t>
                  </w:r>
                  <w:r>
                    <w:rPr>
                      <w:color w:val="auto"/>
                      <w:vertAlign w:val="subscript"/>
                    </w:rPr>
                    <w:t>2</w:t>
                  </w:r>
                </w:p>
              </w:tc>
              <w:tc>
                <w:tcPr>
                  <w:tcW w:w="581" w:type="pct"/>
                  <w:tcBorders>
                    <w:top w:val="single" w:color="auto" w:sz="6" w:space="0"/>
                    <w:left w:val="single" w:color="auto" w:sz="6" w:space="0"/>
                    <w:bottom w:val="single" w:color="auto" w:sz="6" w:space="0"/>
                    <w:right w:val="single" w:color="auto" w:sz="6" w:space="0"/>
                  </w:tcBorders>
                  <w:vAlign w:val="center"/>
                </w:tcPr>
                <w:p w14:paraId="2DCFBFEE">
                  <w:pPr>
                    <w:pStyle w:val="87"/>
                    <w:rPr>
                      <w:color w:val="auto"/>
                    </w:rPr>
                  </w:pPr>
                  <w:r>
                    <w:rPr>
                      <w:rFonts w:hint="eastAsia"/>
                      <w:color w:val="auto"/>
                    </w:rPr>
                    <w:t>0.02</w:t>
                  </w:r>
                </w:p>
              </w:tc>
              <w:tc>
                <w:tcPr>
                  <w:tcW w:w="549" w:type="pct"/>
                  <w:tcBorders>
                    <w:top w:val="single" w:color="auto" w:sz="6" w:space="0"/>
                    <w:left w:val="single" w:color="auto" w:sz="6" w:space="0"/>
                    <w:bottom w:val="single" w:color="auto" w:sz="6" w:space="0"/>
                    <w:right w:val="single" w:color="auto" w:sz="6" w:space="0"/>
                  </w:tcBorders>
                  <w:vAlign w:val="center"/>
                </w:tcPr>
                <w:p w14:paraId="1602E069">
                  <w:pPr>
                    <w:pStyle w:val="87"/>
                    <w:rPr>
                      <w:color w:val="auto"/>
                    </w:rPr>
                  </w:pPr>
                  <w:r>
                    <w:rPr>
                      <w:rFonts w:hint="eastAsia"/>
                      <w:color w:val="auto"/>
                    </w:rPr>
                    <w:t>0.0125</w:t>
                  </w:r>
                </w:p>
              </w:tc>
              <w:tc>
                <w:tcPr>
                  <w:tcW w:w="567" w:type="pct"/>
                  <w:tcBorders>
                    <w:top w:val="single" w:color="auto" w:sz="6" w:space="0"/>
                    <w:left w:val="single" w:color="auto" w:sz="6" w:space="0"/>
                    <w:bottom w:val="single" w:color="auto" w:sz="6" w:space="0"/>
                    <w:right w:val="single" w:color="auto" w:sz="6" w:space="0"/>
                  </w:tcBorders>
                  <w:vAlign w:val="center"/>
                </w:tcPr>
                <w:p w14:paraId="0767D28C">
                  <w:pPr>
                    <w:pStyle w:val="87"/>
                    <w:rPr>
                      <w:color w:val="auto"/>
                    </w:rPr>
                  </w:pPr>
                  <w:r>
                    <w:rPr>
                      <w:rFonts w:hint="eastAsia"/>
                      <w:color w:val="auto"/>
                    </w:rPr>
                    <w:t>19.38</w:t>
                  </w:r>
                </w:p>
              </w:tc>
              <w:tc>
                <w:tcPr>
                  <w:tcW w:w="679" w:type="pct"/>
                  <w:tcBorders>
                    <w:top w:val="single" w:color="auto" w:sz="6" w:space="0"/>
                    <w:left w:val="single" w:color="auto" w:sz="6" w:space="0"/>
                    <w:bottom w:val="single" w:color="auto" w:sz="6" w:space="0"/>
                    <w:right w:val="single" w:color="auto" w:sz="6" w:space="0"/>
                  </w:tcBorders>
                  <w:vAlign w:val="center"/>
                </w:tcPr>
                <w:p w14:paraId="3504F364">
                  <w:pPr>
                    <w:pStyle w:val="87"/>
                    <w:rPr>
                      <w:color w:val="auto"/>
                    </w:rPr>
                  </w:pPr>
                  <w:r>
                    <w:rPr>
                      <w:rFonts w:hint="eastAsia"/>
                      <w:color w:val="auto"/>
                    </w:rPr>
                    <w:t>/</w:t>
                  </w:r>
                </w:p>
              </w:tc>
              <w:tc>
                <w:tcPr>
                  <w:tcW w:w="864" w:type="dxa"/>
                  <w:tcBorders>
                    <w:top w:val="single" w:color="auto" w:sz="6" w:space="0"/>
                    <w:left w:val="single" w:color="auto" w:sz="6" w:space="0"/>
                    <w:bottom w:val="single" w:color="auto" w:sz="6" w:space="0"/>
                    <w:right w:val="single" w:color="auto" w:sz="6" w:space="0"/>
                  </w:tcBorders>
                  <w:vAlign w:val="center"/>
                </w:tcPr>
                <w:p w14:paraId="19FA1574">
                  <w:pPr>
                    <w:pStyle w:val="87"/>
                    <w:rPr>
                      <w:color w:val="auto"/>
                    </w:rPr>
                  </w:pPr>
                  <w:r>
                    <w:rPr>
                      <w:rFonts w:hint="eastAsia"/>
                      <w:color w:val="auto"/>
                    </w:rPr>
                    <w:t>0.02</w:t>
                  </w:r>
                </w:p>
              </w:tc>
              <w:tc>
                <w:tcPr>
                  <w:tcW w:w="841" w:type="dxa"/>
                  <w:tcBorders>
                    <w:top w:val="single" w:color="auto" w:sz="6" w:space="0"/>
                    <w:left w:val="single" w:color="auto" w:sz="6" w:space="0"/>
                    <w:bottom w:val="single" w:color="auto" w:sz="6" w:space="0"/>
                    <w:right w:val="single" w:color="auto" w:sz="6" w:space="0"/>
                  </w:tcBorders>
                  <w:vAlign w:val="center"/>
                </w:tcPr>
                <w:p w14:paraId="2A15B99D">
                  <w:pPr>
                    <w:pStyle w:val="87"/>
                    <w:rPr>
                      <w:color w:val="auto"/>
                    </w:rPr>
                  </w:pPr>
                  <w:r>
                    <w:rPr>
                      <w:rFonts w:hint="eastAsia"/>
                      <w:color w:val="auto"/>
                    </w:rPr>
                    <w:t>0.0125</w:t>
                  </w:r>
                </w:p>
              </w:tc>
              <w:tc>
                <w:tcPr>
                  <w:tcW w:w="897" w:type="dxa"/>
                  <w:tcBorders>
                    <w:top w:val="single" w:color="auto" w:sz="6" w:space="0"/>
                    <w:left w:val="single" w:color="auto" w:sz="6" w:space="0"/>
                    <w:bottom w:val="single" w:color="auto" w:sz="6" w:space="0"/>
                    <w:right w:val="single" w:color="auto" w:sz="6" w:space="0"/>
                  </w:tcBorders>
                  <w:vAlign w:val="center"/>
                </w:tcPr>
                <w:p w14:paraId="1E7E97E6">
                  <w:pPr>
                    <w:pStyle w:val="87"/>
                    <w:rPr>
                      <w:color w:val="auto"/>
                    </w:rPr>
                  </w:pPr>
                  <w:r>
                    <w:rPr>
                      <w:rFonts w:hint="eastAsia"/>
                      <w:color w:val="auto"/>
                    </w:rPr>
                    <w:t>19.38</w:t>
                  </w:r>
                </w:p>
              </w:tc>
              <w:tc>
                <w:tcPr>
                  <w:tcW w:w="499" w:type="pct"/>
                  <w:tcBorders>
                    <w:top w:val="single" w:color="auto" w:sz="6" w:space="0"/>
                    <w:left w:val="single" w:color="auto" w:sz="6" w:space="0"/>
                    <w:bottom w:val="single" w:color="auto" w:sz="6" w:space="0"/>
                    <w:right w:val="single" w:color="auto" w:sz="6" w:space="0"/>
                  </w:tcBorders>
                  <w:vAlign w:val="center"/>
                </w:tcPr>
                <w:p w14:paraId="7996208D">
                  <w:pPr>
                    <w:pStyle w:val="87"/>
                    <w:rPr>
                      <w:color w:val="auto"/>
                    </w:rPr>
                  </w:pPr>
                  <w:r>
                    <w:rPr>
                      <w:color w:val="auto"/>
                    </w:rPr>
                    <w:t>50</w:t>
                  </w:r>
                </w:p>
              </w:tc>
            </w:tr>
            <w:tr w14:paraId="202EBC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6" w:type="pct"/>
                  <w:tcBorders>
                    <w:top w:val="single" w:color="auto" w:sz="6" w:space="0"/>
                    <w:left w:val="single" w:color="auto" w:sz="6" w:space="0"/>
                    <w:bottom w:val="single" w:color="auto" w:sz="6" w:space="0"/>
                    <w:right w:val="single" w:color="auto" w:sz="6" w:space="0"/>
                  </w:tcBorders>
                  <w:vAlign w:val="center"/>
                </w:tcPr>
                <w:p w14:paraId="34699E73">
                  <w:pPr>
                    <w:pStyle w:val="87"/>
                    <w:rPr>
                      <w:color w:val="auto"/>
                    </w:rPr>
                  </w:pPr>
                  <w:r>
                    <w:rPr>
                      <w:color w:val="auto"/>
                    </w:rPr>
                    <w:t>NOx</w:t>
                  </w:r>
                </w:p>
              </w:tc>
              <w:tc>
                <w:tcPr>
                  <w:tcW w:w="948" w:type="dxa"/>
                  <w:tcBorders>
                    <w:top w:val="single" w:color="auto" w:sz="6" w:space="0"/>
                    <w:left w:val="single" w:color="auto" w:sz="6" w:space="0"/>
                    <w:bottom w:val="single" w:color="auto" w:sz="6" w:space="0"/>
                    <w:right w:val="single" w:color="auto" w:sz="6" w:space="0"/>
                  </w:tcBorders>
                  <w:vAlign w:val="center"/>
                </w:tcPr>
                <w:p w14:paraId="52F08189">
                  <w:pPr>
                    <w:pStyle w:val="87"/>
                    <w:rPr>
                      <w:color w:val="auto"/>
                    </w:rPr>
                  </w:pPr>
                  <w:r>
                    <w:rPr>
                      <w:rFonts w:hint="eastAsia"/>
                      <w:color w:val="auto"/>
                    </w:rPr>
                    <w:t>0.0</w:t>
                  </w:r>
                  <w:r>
                    <w:rPr>
                      <w:rFonts w:hint="eastAsia"/>
                      <w:color w:val="auto"/>
                      <w:lang w:val="en-US" w:eastAsia="zh-CN"/>
                    </w:rPr>
                    <w:t>7</w:t>
                  </w:r>
                  <w:r>
                    <w:rPr>
                      <w:rFonts w:hint="eastAsia"/>
                      <w:color w:val="auto"/>
                    </w:rPr>
                    <w:t>0</w:t>
                  </w:r>
                </w:p>
              </w:tc>
              <w:tc>
                <w:tcPr>
                  <w:tcW w:w="895" w:type="dxa"/>
                  <w:tcBorders>
                    <w:top w:val="single" w:color="auto" w:sz="6" w:space="0"/>
                    <w:left w:val="single" w:color="auto" w:sz="6" w:space="0"/>
                    <w:bottom w:val="single" w:color="auto" w:sz="6" w:space="0"/>
                    <w:right w:val="single" w:color="auto" w:sz="6" w:space="0"/>
                  </w:tcBorders>
                  <w:vAlign w:val="center"/>
                </w:tcPr>
                <w:p w14:paraId="6FA643DA">
                  <w:pPr>
                    <w:pStyle w:val="87"/>
                    <w:rPr>
                      <w:rFonts w:hint="default" w:eastAsia="宋体"/>
                      <w:color w:val="auto"/>
                      <w:lang w:val="en-US" w:eastAsia="zh-CN"/>
                    </w:rPr>
                  </w:pPr>
                  <w:r>
                    <w:rPr>
                      <w:rFonts w:hint="eastAsia"/>
                      <w:color w:val="auto"/>
                    </w:rPr>
                    <w:t>0.0</w:t>
                  </w:r>
                  <w:r>
                    <w:rPr>
                      <w:rFonts w:hint="eastAsia"/>
                      <w:color w:val="auto"/>
                      <w:lang w:val="en-US" w:eastAsia="zh-CN"/>
                    </w:rPr>
                    <w:t>436</w:t>
                  </w:r>
                </w:p>
              </w:tc>
              <w:tc>
                <w:tcPr>
                  <w:tcW w:w="925" w:type="dxa"/>
                  <w:tcBorders>
                    <w:top w:val="single" w:color="auto" w:sz="6" w:space="0"/>
                    <w:left w:val="single" w:color="auto" w:sz="6" w:space="0"/>
                    <w:bottom w:val="single" w:color="000000" w:sz="6" w:space="0"/>
                    <w:right w:val="single" w:color="auto" w:sz="6" w:space="0"/>
                  </w:tcBorders>
                  <w:vAlign w:val="center"/>
                </w:tcPr>
                <w:p w14:paraId="5885EF4A">
                  <w:pPr>
                    <w:pStyle w:val="87"/>
                    <w:rPr>
                      <w:rFonts w:hint="default" w:eastAsia="宋体"/>
                      <w:color w:val="auto"/>
                      <w:lang w:val="en-US" w:eastAsia="zh-CN"/>
                    </w:rPr>
                  </w:pPr>
                  <w:r>
                    <w:rPr>
                      <w:rFonts w:hint="eastAsia"/>
                      <w:color w:val="auto"/>
                      <w:lang w:val="en-US" w:eastAsia="zh-CN"/>
                    </w:rPr>
                    <w:t>67.61</w:t>
                  </w:r>
                </w:p>
              </w:tc>
              <w:tc>
                <w:tcPr>
                  <w:tcW w:w="679" w:type="pct"/>
                  <w:tcBorders>
                    <w:top w:val="single" w:color="auto" w:sz="6" w:space="0"/>
                    <w:left w:val="single" w:color="auto" w:sz="6" w:space="0"/>
                    <w:bottom w:val="single" w:color="000000" w:sz="6" w:space="0"/>
                    <w:right w:val="single" w:color="auto" w:sz="6" w:space="0"/>
                  </w:tcBorders>
                  <w:vAlign w:val="center"/>
                </w:tcPr>
                <w:p w14:paraId="2539D5B5">
                  <w:pPr>
                    <w:pStyle w:val="87"/>
                    <w:rPr>
                      <w:color w:val="auto"/>
                    </w:rPr>
                  </w:pPr>
                  <w:r>
                    <w:rPr>
                      <w:rFonts w:hint="eastAsia"/>
                      <w:color w:val="auto"/>
                    </w:rPr>
                    <w:t>低氮燃烧</w:t>
                  </w:r>
                </w:p>
              </w:tc>
              <w:tc>
                <w:tcPr>
                  <w:tcW w:w="864" w:type="dxa"/>
                  <w:tcBorders>
                    <w:top w:val="single" w:color="auto" w:sz="6" w:space="0"/>
                    <w:left w:val="single" w:color="auto" w:sz="6" w:space="0"/>
                    <w:bottom w:val="single" w:color="auto" w:sz="6" w:space="0"/>
                    <w:right w:val="single" w:color="auto" w:sz="6" w:space="0"/>
                  </w:tcBorders>
                  <w:vAlign w:val="center"/>
                </w:tcPr>
                <w:p w14:paraId="36C842D7">
                  <w:pPr>
                    <w:pStyle w:val="87"/>
                    <w:rPr>
                      <w:color w:val="auto"/>
                    </w:rPr>
                  </w:pPr>
                  <w:r>
                    <w:rPr>
                      <w:rFonts w:hint="eastAsia"/>
                      <w:color w:val="auto"/>
                    </w:rPr>
                    <w:t>0.0</w:t>
                  </w:r>
                  <w:r>
                    <w:rPr>
                      <w:rFonts w:hint="eastAsia"/>
                      <w:color w:val="auto"/>
                      <w:lang w:val="en-US" w:eastAsia="zh-CN"/>
                    </w:rPr>
                    <w:t>7</w:t>
                  </w:r>
                  <w:r>
                    <w:rPr>
                      <w:rFonts w:hint="eastAsia"/>
                      <w:color w:val="auto"/>
                    </w:rPr>
                    <w:t>0</w:t>
                  </w:r>
                </w:p>
              </w:tc>
              <w:tc>
                <w:tcPr>
                  <w:tcW w:w="841" w:type="dxa"/>
                  <w:tcBorders>
                    <w:top w:val="single" w:color="auto" w:sz="6" w:space="0"/>
                    <w:left w:val="single" w:color="auto" w:sz="6" w:space="0"/>
                    <w:bottom w:val="single" w:color="auto" w:sz="6" w:space="0"/>
                    <w:right w:val="single" w:color="auto" w:sz="6" w:space="0"/>
                  </w:tcBorders>
                  <w:vAlign w:val="center"/>
                </w:tcPr>
                <w:p w14:paraId="3BB913E3">
                  <w:pPr>
                    <w:pStyle w:val="87"/>
                    <w:rPr>
                      <w:color w:val="auto"/>
                    </w:rPr>
                  </w:pPr>
                  <w:r>
                    <w:rPr>
                      <w:rFonts w:hint="eastAsia"/>
                      <w:color w:val="auto"/>
                    </w:rPr>
                    <w:t>0.0</w:t>
                  </w:r>
                  <w:r>
                    <w:rPr>
                      <w:rFonts w:hint="eastAsia"/>
                      <w:color w:val="auto"/>
                      <w:lang w:val="en-US" w:eastAsia="zh-CN"/>
                    </w:rPr>
                    <w:t>436</w:t>
                  </w:r>
                </w:p>
              </w:tc>
              <w:tc>
                <w:tcPr>
                  <w:tcW w:w="897" w:type="dxa"/>
                  <w:tcBorders>
                    <w:top w:val="single" w:color="auto" w:sz="6" w:space="0"/>
                    <w:left w:val="single" w:color="auto" w:sz="6" w:space="0"/>
                    <w:bottom w:val="single" w:color="auto" w:sz="6" w:space="0"/>
                    <w:right w:val="single" w:color="auto" w:sz="6" w:space="0"/>
                  </w:tcBorders>
                  <w:vAlign w:val="center"/>
                </w:tcPr>
                <w:p w14:paraId="463CC6E1">
                  <w:pPr>
                    <w:pStyle w:val="87"/>
                    <w:rPr>
                      <w:color w:val="auto"/>
                    </w:rPr>
                  </w:pPr>
                  <w:r>
                    <w:rPr>
                      <w:rFonts w:hint="eastAsia"/>
                      <w:color w:val="auto"/>
                      <w:lang w:val="en-US" w:eastAsia="zh-CN"/>
                    </w:rPr>
                    <w:t>67.61</w:t>
                  </w:r>
                </w:p>
              </w:tc>
              <w:tc>
                <w:tcPr>
                  <w:tcW w:w="499" w:type="pct"/>
                  <w:tcBorders>
                    <w:top w:val="single" w:color="auto" w:sz="6" w:space="0"/>
                    <w:left w:val="single" w:color="auto" w:sz="6" w:space="0"/>
                    <w:bottom w:val="single" w:color="auto" w:sz="6" w:space="0"/>
                    <w:right w:val="single" w:color="auto" w:sz="6" w:space="0"/>
                  </w:tcBorders>
                  <w:vAlign w:val="center"/>
                </w:tcPr>
                <w:p w14:paraId="24A6704B">
                  <w:pPr>
                    <w:pStyle w:val="87"/>
                    <w:rPr>
                      <w:color w:val="auto"/>
                    </w:rPr>
                  </w:pPr>
                  <w:r>
                    <w:rPr>
                      <w:rFonts w:hint="eastAsia"/>
                      <w:color w:val="auto"/>
                    </w:rPr>
                    <w:t>150</w:t>
                  </w:r>
                </w:p>
              </w:tc>
            </w:tr>
            <w:tr w14:paraId="6B6233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6" w:type="pct"/>
                  <w:tcBorders>
                    <w:top w:val="single" w:color="auto" w:sz="6" w:space="0"/>
                    <w:left w:val="single" w:color="auto" w:sz="6" w:space="0"/>
                    <w:bottom w:val="single" w:color="auto" w:sz="6" w:space="0"/>
                    <w:right w:val="single" w:color="auto" w:sz="6" w:space="0"/>
                  </w:tcBorders>
                  <w:vAlign w:val="center"/>
                </w:tcPr>
                <w:p w14:paraId="3C0E9A62">
                  <w:pPr>
                    <w:pStyle w:val="87"/>
                    <w:rPr>
                      <w:color w:val="auto"/>
                    </w:rPr>
                  </w:pPr>
                  <w:r>
                    <w:rPr>
                      <w:rFonts w:hint="eastAsia"/>
                      <w:color w:val="auto"/>
                    </w:rPr>
                    <w:t>颗粒物</w:t>
                  </w:r>
                </w:p>
              </w:tc>
              <w:tc>
                <w:tcPr>
                  <w:tcW w:w="948" w:type="dxa"/>
                  <w:tcBorders>
                    <w:top w:val="single" w:color="auto" w:sz="6" w:space="0"/>
                    <w:left w:val="single" w:color="auto" w:sz="6" w:space="0"/>
                    <w:bottom w:val="single" w:color="auto" w:sz="6" w:space="0"/>
                    <w:right w:val="single" w:color="auto" w:sz="6" w:space="0"/>
                  </w:tcBorders>
                  <w:vAlign w:val="center"/>
                </w:tcPr>
                <w:p w14:paraId="17457021">
                  <w:pPr>
                    <w:pStyle w:val="87"/>
                    <w:rPr>
                      <w:color w:val="auto"/>
                    </w:rPr>
                  </w:pPr>
                  <w:r>
                    <w:rPr>
                      <w:rFonts w:hint="eastAsia"/>
                      <w:color w:val="auto"/>
                    </w:rPr>
                    <w:t>0.010</w:t>
                  </w:r>
                </w:p>
              </w:tc>
              <w:tc>
                <w:tcPr>
                  <w:tcW w:w="895" w:type="dxa"/>
                  <w:tcBorders>
                    <w:top w:val="single" w:color="auto" w:sz="6" w:space="0"/>
                    <w:left w:val="single" w:color="auto" w:sz="6" w:space="0"/>
                    <w:bottom w:val="single" w:color="auto" w:sz="6" w:space="0"/>
                    <w:right w:val="single" w:color="auto" w:sz="6" w:space="0"/>
                  </w:tcBorders>
                  <w:vAlign w:val="center"/>
                </w:tcPr>
                <w:p w14:paraId="5DEB6340">
                  <w:pPr>
                    <w:pStyle w:val="87"/>
                    <w:rPr>
                      <w:color w:val="auto"/>
                    </w:rPr>
                  </w:pPr>
                  <w:r>
                    <w:rPr>
                      <w:rFonts w:hint="eastAsia"/>
                      <w:color w:val="auto"/>
                    </w:rPr>
                    <w:t>0.0063</w:t>
                  </w:r>
                </w:p>
              </w:tc>
              <w:tc>
                <w:tcPr>
                  <w:tcW w:w="925" w:type="dxa"/>
                  <w:tcBorders>
                    <w:top w:val="single" w:color="000000" w:sz="6" w:space="0"/>
                    <w:left w:val="single" w:color="auto" w:sz="6" w:space="0"/>
                    <w:bottom w:val="single" w:color="auto" w:sz="6" w:space="0"/>
                    <w:right w:val="single" w:color="auto" w:sz="6" w:space="0"/>
                  </w:tcBorders>
                  <w:vAlign w:val="center"/>
                </w:tcPr>
                <w:p w14:paraId="2A4B701C">
                  <w:pPr>
                    <w:pStyle w:val="87"/>
                    <w:rPr>
                      <w:color w:val="auto"/>
                    </w:rPr>
                  </w:pPr>
                  <w:r>
                    <w:rPr>
                      <w:rFonts w:hint="eastAsia"/>
                      <w:color w:val="auto"/>
                    </w:rPr>
                    <w:t>9.77</w:t>
                  </w:r>
                </w:p>
              </w:tc>
              <w:tc>
                <w:tcPr>
                  <w:tcW w:w="679" w:type="pct"/>
                  <w:tcBorders>
                    <w:top w:val="single" w:color="000000" w:sz="6" w:space="0"/>
                    <w:left w:val="single" w:color="auto" w:sz="6" w:space="0"/>
                    <w:bottom w:val="single" w:color="auto" w:sz="6" w:space="0"/>
                    <w:right w:val="single" w:color="auto" w:sz="6" w:space="0"/>
                  </w:tcBorders>
                  <w:vAlign w:val="center"/>
                </w:tcPr>
                <w:p w14:paraId="2B189E31">
                  <w:pPr>
                    <w:pStyle w:val="87"/>
                    <w:rPr>
                      <w:color w:val="auto"/>
                    </w:rPr>
                  </w:pPr>
                  <w:r>
                    <w:rPr>
                      <w:rFonts w:hint="eastAsia"/>
                      <w:color w:val="auto"/>
                    </w:rPr>
                    <w:t>/</w:t>
                  </w:r>
                </w:p>
              </w:tc>
              <w:tc>
                <w:tcPr>
                  <w:tcW w:w="864" w:type="dxa"/>
                  <w:tcBorders>
                    <w:top w:val="single" w:color="auto" w:sz="6" w:space="0"/>
                    <w:left w:val="single" w:color="auto" w:sz="6" w:space="0"/>
                    <w:bottom w:val="single" w:color="auto" w:sz="6" w:space="0"/>
                    <w:right w:val="single" w:color="auto" w:sz="6" w:space="0"/>
                  </w:tcBorders>
                  <w:vAlign w:val="center"/>
                </w:tcPr>
                <w:p w14:paraId="6A79843B">
                  <w:pPr>
                    <w:pStyle w:val="87"/>
                    <w:rPr>
                      <w:color w:val="auto"/>
                    </w:rPr>
                  </w:pPr>
                  <w:r>
                    <w:rPr>
                      <w:rFonts w:hint="eastAsia"/>
                      <w:color w:val="auto"/>
                    </w:rPr>
                    <w:t>0.010</w:t>
                  </w:r>
                </w:p>
              </w:tc>
              <w:tc>
                <w:tcPr>
                  <w:tcW w:w="841" w:type="dxa"/>
                  <w:tcBorders>
                    <w:top w:val="single" w:color="auto" w:sz="6" w:space="0"/>
                    <w:left w:val="single" w:color="auto" w:sz="6" w:space="0"/>
                    <w:bottom w:val="single" w:color="auto" w:sz="6" w:space="0"/>
                    <w:right w:val="single" w:color="auto" w:sz="6" w:space="0"/>
                  </w:tcBorders>
                  <w:vAlign w:val="center"/>
                </w:tcPr>
                <w:p w14:paraId="52D2C1BF">
                  <w:pPr>
                    <w:pStyle w:val="87"/>
                    <w:rPr>
                      <w:color w:val="auto"/>
                    </w:rPr>
                  </w:pPr>
                  <w:r>
                    <w:rPr>
                      <w:rFonts w:hint="eastAsia"/>
                      <w:color w:val="auto"/>
                    </w:rPr>
                    <w:t>0.0063</w:t>
                  </w:r>
                </w:p>
              </w:tc>
              <w:tc>
                <w:tcPr>
                  <w:tcW w:w="897" w:type="dxa"/>
                  <w:tcBorders>
                    <w:top w:val="single" w:color="auto" w:sz="6" w:space="0"/>
                    <w:left w:val="single" w:color="auto" w:sz="6" w:space="0"/>
                    <w:bottom w:val="single" w:color="auto" w:sz="6" w:space="0"/>
                    <w:right w:val="single" w:color="auto" w:sz="6" w:space="0"/>
                  </w:tcBorders>
                  <w:vAlign w:val="center"/>
                </w:tcPr>
                <w:p w14:paraId="7A5F8EF4">
                  <w:pPr>
                    <w:pStyle w:val="87"/>
                    <w:rPr>
                      <w:color w:val="auto"/>
                    </w:rPr>
                  </w:pPr>
                  <w:r>
                    <w:rPr>
                      <w:rFonts w:hint="eastAsia"/>
                      <w:color w:val="auto"/>
                    </w:rPr>
                    <w:t>9.77</w:t>
                  </w:r>
                </w:p>
              </w:tc>
              <w:tc>
                <w:tcPr>
                  <w:tcW w:w="499" w:type="pct"/>
                  <w:tcBorders>
                    <w:top w:val="single" w:color="auto" w:sz="6" w:space="0"/>
                    <w:left w:val="single" w:color="auto" w:sz="6" w:space="0"/>
                    <w:bottom w:val="single" w:color="auto" w:sz="6" w:space="0"/>
                    <w:right w:val="single" w:color="auto" w:sz="6" w:space="0"/>
                  </w:tcBorders>
                  <w:vAlign w:val="center"/>
                </w:tcPr>
                <w:p w14:paraId="3EFC2D4A">
                  <w:pPr>
                    <w:pStyle w:val="87"/>
                    <w:rPr>
                      <w:color w:val="auto"/>
                    </w:rPr>
                  </w:pPr>
                  <w:r>
                    <w:rPr>
                      <w:rFonts w:hint="eastAsia"/>
                      <w:color w:val="auto"/>
                    </w:rPr>
                    <w:t>20</w:t>
                  </w:r>
                </w:p>
              </w:tc>
            </w:tr>
          </w:tbl>
          <w:p w14:paraId="314EF6F0">
            <w:pPr>
              <w:spacing w:line="360" w:lineRule="auto"/>
              <w:ind w:firstLine="512" w:firstLineChars="200"/>
              <w:rPr>
                <w:rFonts w:cs="宋体"/>
                <w:color w:val="auto"/>
                <w:spacing w:val="8"/>
                <w:sz w:val="24"/>
              </w:rPr>
            </w:pPr>
            <w:r>
              <w:rPr>
                <w:rFonts w:hint="eastAsia" w:cs="宋体"/>
                <w:color w:val="auto"/>
                <w:spacing w:val="8"/>
                <w:sz w:val="24"/>
              </w:rPr>
              <w:t>锅炉废气直接通过1根15m高排气筒（DA001）外排，可达到《锅炉大气污染物排放标准》（GB13271-2014）表3特别排放限值要求。</w:t>
            </w:r>
          </w:p>
          <w:p w14:paraId="3D641926">
            <w:pPr>
              <w:pStyle w:val="38"/>
              <w:spacing w:line="360" w:lineRule="auto"/>
              <w:ind w:firstLine="512" w:firstLineChars="200"/>
              <w:rPr>
                <w:rFonts w:ascii="Times New Roman" w:hAnsi="Times New Roman"/>
                <w:bCs/>
                <w:color w:val="auto"/>
                <w:spacing w:val="8"/>
                <w:kern w:val="2"/>
                <w:u w:val="single"/>
              </w:rPr>
            </w:pPr>
            <w:r>
              <w:rPr>
                <w:rFonts w:hint="eastAsia" w:ascii="Times New Roman" w:hAnsi="Times New Roman"/>
                <w:bCs/>
                <w:color w:val="auto"/>
                <w:spacing w:val="8"/>
                <w:kern w:val="2"/>
                <w:u w:val="single"/>
              </w:rPr>
              <w:t>②</w:t>
            </w:r>
            <w:r>
              <w:rPr>
                <w:rFonts w:ascii="Times New Roman" w:hAnsi="Times New Roman"/>
                <w:bCs/>
                <w:color w:val="auto"/>
                <w:spacing w:val="8"/>
                <w:kern w:val="2"/>
                <w:u w:val="single"/>
              </w:rPr>
              <w:t>发泡废气</w:t>
            </w:r>
          </w:p>
          <w:p w14:paraId="442596FA">
            <w:pPr>
              <w:pStyle w:val="38"/>
              <w:spacing w:line="360" w:lineRule="auto"/>
              <w:ind w:firstLine="512" w:firstLineChars="200"/>
              <w:rPr>
                <w:rFonts w:ascii="Times New Roman" w:hAnsi="Times New Roman"/>
                <w:bCs/>
                <w:color w:val="auto"/>
                <w:spacing w:val="8"/>
                <w:kern w:val="2"/>
              </w:rPr>
            </w:pPr>
            <w:r>
              <w:rPr>
                <w:rFonts w:ascii="Times New Roman" w:hAnsi="Times New Roman"/>
                <w:bCs/>
                <w:color w:val="auto"/>
                <w:spacing w:val="8"/>
                <w:kern w:val="2"/>
                <w:u w:val="single"/>
              </w:rPr>
              <w:t>本项目泡沫模具需采用 EPS 珠粒和共聚料珠粒进行发泡，发泡时无化学反应产生，</w:t>
            </w:r>
            <w:r>
              <w:rPr>
                <w:rFonts w:hint="eastAsia" w:ascii="Times New Roman"/>
                <w:bCs/>
                <w:color w:val="auto"/>
                <w:spacing w:val="8"/>
                <w:kern w:val="2"/>
                <w:u w:val="single"/>
              </w:rPr>
              <w:t>参考《排放源统计调查产排污核算方法和系数手册》（生态环境部2021.6.11）塑料制品行业系数手册中“2924 泡沫塑料制造行业系数表”，在模塑发泡工序过程中挥发性有机物的产污系数为30kg/吨-产品，</w:t>
            </w:r>
            <w:r>
              <w:rPr>
                <w:rFonts w:ascii="Times New Roman" w:hAnsi="Times New Roman"/>
                <w:bCs/>
                <w:color w:val="auto"/>
                <w:spacing w:val="8"/>
                <w:kern w:val="2"/>
                <w:u w:val="single"/>
              </w:rPr>
              <w:t>本项目EPS珠粒用量为</w:t>
            </w:r>
            <w:r>
              <w:rPr>
                <w:rFonts w:hint="eastAsia" w:ascii="Times New Roman" w:hAnsi="Times New Roman"/>
                <w:bCs/>
                <w:color w:val="auto"/>
                <w:spacing w:val="8"/>
                <w:kern w:val="2"/>
                <w:u w:val="single"/>
              </w:rPr>
              <w:t>10</w:t>
            </w:r>
            <w:r>
              <w:rPr>
                <w:rFonts w:ascii="Times New Roman" w:hAnsi="Times New Roman"/>
                <w:bCs/>
                <w:color w:val="auto"/>
                <w:spacing w:val="8"/>
                <w:kern w:val="2"/>
                <w:u w:val="single"/>
              </w:rPr>
              <w:t>t，共聚料珠粒用量为2t，本项目发泡废气中</w:t>
            </w:r>
            <w:r>
              <w:rPr>
                <w:rFonts w:hint="eastAsia" w:ascii="Times New Roman" w:hAnsi="Times New Roman"/>
                <w:bCs/>
                <w:color w:val="auto"/>
                <w:spacing w:val="8"/>
                <w:kern w:val="2"/>
                <w:u w:val="single"/>
              </w:rPr>
              <w:t>VOC</w:t>
            </w:r>
            <w:r>
              <w:rPr>
                <w:rFonts w:hint="eastAsia" w:ascii="Times New Roman" w:hAnsi="Times New Roman"/>
                <w:bCs/>
                <w:color w:val="auto"/>
                <w:spacing w:val="8"/>
                <w:kern w:val="2"/>
                <w:u w:val="single"/>
                <w:vertAlign w:val="subscript"/>
              </w:rPr>
              <w:t>S</w:t>
            </w:r>
            <w:r>
              <w:rPr>
                <w:rFonts w:ascii="Times New Roman" w:hAnsi="Times New Roman"/>
                <w:bCs/>
                <w:color w:val="auto"/>
                <w:spacing w:val="8"/>
                <w:kern w:val="2"/>
                <w:u w:val="single"/>
              </w:rPr>
              <w:t>产生量为</w:t>
            </w:r>
            <w:r>
              <w:rPr>
                <w:rFonts w:hint="eastAsia" w:ascii="Times New Roman"/>
                <w:bCs/>
                <w:color w:val="auto"/>
                <w:spacing w:val="8"/>
                <w:kern w:val="2"/>
                <w:u w:val="single"/>
              </w:rPr>
              <w:t>0.36</w:t>
            </w:r>
            <w:r>
              <w:rPr>
                <w:rFonts w:ascii="Times New Roman" w:hAnsi="Times New Roman"/>
                <w:bCs/>
                <w:color w:val="auto"/>
                <w:spacing w:val="8"/>
                <w:kern w:val="2"/>
                <w:u w:val="single"/>
              </w:rPr>
              <w:t>t/a，产生速率为</w:t>
            </w:r>
            <w:r>
              <w:rPr>
                <w:rFonts w:hint="eastAsia" w:ascii="Times New Roman"/>
                <w:bCs/>
                <w:color w:val="auto"/>
                <w:spacing w:val="8"/>
                <w:kern w:val="2"/>
                <w:u w:val="single"/>
              </w:rPr>
              <w:t>0.9</w:t>
            </w:r>
            <w:r>
              <w:rPr>
                <w:rFonts w:ascii="Times New Roman" w:hAnsi="Times New Roman"/>
                <w:bCs/>
                <w:color w:val="auto"/>
                <w:spacing w:val="8"/>
                <w:kern w:val="2"/>
                <w:u w:val="single"/>
              </w:rPr>
              <w:t>kg/h。根据《可发性聚苯乙烯(EPS)树脂》(QB/T 4009-2010)</w:t>
            </w:r>
            <w:r>
              <w:rPr>
                <w:rFonts w:hint="eastAsia" w:ascii="Times New Roman" w:hAnsi="Times New Roman"/>
                <w:bCs/>
                <w:color w:val="auto"/>
                <w:spacing w:val="8"/>
                <w:kern w:val="2"/>
                <w:u w:val="single"/>
              </w:rPr>
              <w:t>中</w:t>
            </w:r>
            <w:r>
              <w:rPr>
                <w:rFonts w:ascii="Times New Roman" w:hAnsi="Times New Roman"/>
                <w:bCs/>
                <w:color w:val="auto"/>
                <w:spacing w:val="8"/>
                <w:kern w:val="2"/>
                <w:u w:val="single"/>
              </w:rPr>
              <w:t>技术指标，EPS树脂残余苯乙烯普通级≤0.6%，本项目挥发苯乙烯以0.6%计，则苯乙烯产生量为0.</w:t>
            </w:r>
            <w:r>
              <w:rPr>
                <w:rFonts w:hint="eastAsia" w:ascii="Times New Roman"/>
                <w:bCs/>
                <w:color w:val="auto"/>
                <w:spacing w:val="8"/>
                <w:kern w:val="2"/>
                <w:u w:val="single"/>
              </w:rPr>
              <w:t>072</w:t>
            </w:r>
            <w:r>
              <w:rPr>
                <w:rFonts w:ascii="Times New Roman" w:hAnsi="Times New Roman"/>
                <w:bCs/>
                <w:color w:val="auto"/>
                <w:spacing w:val="8"/>
                <w:kern w:val="2"/>
                <w:u w:val="single"/>
              </w:rPr>
              <w:t>t/a</w:t>
            </w:r>
            <w:r>
              <w:rPr>
                <w:rFonts w:hint="eastAsia" w:ascii="Times New Roman" w:hAnsi="Times New Roman"/>
                <w:bCs/>
                <w:color w:val="auto"/>
                <w:spacing w:val="8"/>
                <w:kern w:val="2"/>
                <w:u w:val="single"/>
              </w:rPr>
              <w:t>，</w:t>
            </w:r>
            <w:r>
              <w:rPr>
                <w:rFonts w:ascii="Times New Roman" w:hAnsi="Times New Roman"/>
                <w:bCs/>
                <w:color w:val="auto"/>
                <w:spacing w:val="8"/>
                <w:kern w:val="2"/>
                <w:u w:val="single"/>
              </w:rPr>
              <w:t>产生速率为</w:t>
            </w:r>
            <w:r>
              <w:rPr>
                <w:rFonts w:hint="eastAsia" w:ascii="Times New Roman"/>
                <w:bCs/>
                <w:color w:val="auto"/>
                <w:spacing w:val="8"/>
                <w:kern w:val="2"/>
                <w:u w:val="single"/>
              </w:rPr>
              <w:t>0.18</w:t>
            </w:r>
            <w:r>
              <w:rPr>
                <w:rFonts w:ascii="Times New Roman" w:hAnsi="Times New Roman"/>
                <w:bCs/>
                <w:color w:val="auto"/>
                <w:spacing w:val="8"/>
                <w:kern w:val="2"/>
                <w:u w:val="single"/>
              </w:rPr>
              <w:t>kg/h。本项目发泡废气经集气罩收集后由</w:t>
            </w:r>
            <w:r>
              <w:rPr>
                <w:rFonts w:hint="eastAsia" w:ascii="Times New Roman" w:hAnsi="Times New Roman"/>
                <w:bCs/>
                <w:color w:val="auto"/>
                <w:spacing w:val="8"/>
                <w:kern w:val="2"/>
                <w:u w:val="single"/>
              </w:rPr>
              <w:t>二级</w:t>
            </w:r>
            <w:r>
              <w:rPr>
                <w:rFonts w:ascii="Times New Roman" w:hAnsi="Times New Roman"/>
                <w:bCs/>
                <w:color w:val="auto"/>
                <w:spacing w:val="8"/>
                <w:kern w:val="2"/>
                <w:u w:val="single"/>
              </w:rPr>
              <w:t>活性炭吸附</w:t>
            </w:r>
            <w:r>
              <w:rPr>
                <w:rFonts w:hint="eastAsia" w:ascii="Times New Roman" w:hAnsi="Times New Roman"/>
                <w:bCs/>
                <w:color w:val="auto"/>
                <w:spacing w:val="8"/>
                <w:kern w:val="2"/>
                <w:u w:val="single"/>
              </w:rPr>
              <w:t>（TA001）</w:t>
            </w:r>
            <w:r>
              <w:rPr>
                <w:rFonts w:ascii="Times New Roman" w:hAnsi="Times New Roman"/>
                <w:bCs/>
                <w:color w:val="auto"/>
                <w:spacing w:val="8"/>
                <w:kern w:val="2"/>
                <w:u w:val="single"/>
              </w:rPr>
              <w:t>处理后15米高排气筒（DA00</w:t>
            </w:r>
            <w:r>
              <w:rPr>
                <w:rFonts w:hint="eastAsia" w:ascii="Times New Roman" w:hAnsi="Times New Roman"/>
                <w:bCs/>
                <w:color w:val="auto"/>
                <w:spacing w:val="8"/>
                <w:kern w:val="2"/>
                <w:u w:val="single"/>
              </w:rPr>
              <w:t>2</w:t>
            </w:r>
            <w:r>
              <w:rPr>
                <w:rFonts w:ascii="Times New Roman" w:hAnsi="Times New Roman"/>
                <w:bCs/>
                <w:color w:val="auto"/>
                <w:spacing w:val="8"/>
                <w:kern w:val="2"/>
                <w:u w:val="single"/>
              </w:rPr>
              <w:t>）高空排放，</w:t>
            </w:r>
            <w:r>
              <w:rPr>
                <w:rFonts w:hint="eastAsia" w:ascii="Times New Roman" w:hAnsi="Times New Roman"/>
                <w:bCs/>
                <w:color w:val="auto"/>
                <w:spacing w:val="8"/>
                <w:kern w:val="2"/>
                <w:u w:val="single"/>
                <w:lang w:val="en-US" w:eastAsia="zh-CN"/>
              </w:rPr>
              <w:t>参照《主要污染物总量减排核算技术指南（2022年修订）》中“表2-3 VOCs废气收集率和治理设施去除率通用系数”，符合标准要求的外部集气罩收集率为30%，</w:t>
            </w:r>
            <w:r>
              <w:rPr>
                <w:rFonts w:ascii="Times New Roman" w:hAnsi="Times New Roman"/>
                <w:bCs/>
                <w:color w:val="auto"/>
                <w:spacing w:val="8"/>
                <w:kern w:val="2"/>
                <w:u w:val="single"/>
              </w:rPr>
              <w:t>本次评价收集效率取</w:t>
            </w:r>
            <w:r>
              <w:rPr>
                <w:rFonts w:hint="eastAsia" w:ascii="Times New Roman" w:hAnsi="Times New Roman"/>
                <w:bCs/>
                <w:color w:val="auto"/>
                <w:spacing w:val="8"/>
                <w:kern w:val="2"/>
                <w:u w:val="single"/>
                <w:lang w:val="en-US" w:eastAsia="zh-CN"/>
              </w:rPr>
              <w:t>3</w:t>
            </w:r>
            <w:r>
              <w:rPr>
                <w:rFonts w:ascii="Times New Roman" w:hAnsi="Times New Roman"/>
                <w:bCs/>
                <w:color w:val="auto"/>
                <w:spacing w:val="8"/>
                <w:kern w:val="2"/>
                <w:u w:val="single"/>
              </w:rPr>
              <w:t>0%，</w:t>
            </w:r>
            <w:r>
              <w:rPr>
                <w:rFonts w:hint="eastAsia" w:ascii="Times New Roman" w:hAnsi="Times New Roman"/>
                <w:bCs/>
                <w:color w:val="auto"/>
                <w:spacing w:val="8"/>
                <w:kern w:val="2"/>
                <w:u w:val="single"/>
                <w:lang w:val="en-US" w:eastAsia="zh-CN"/>
              </w:rPr>
              <w:t>二级活性炭吸附</w:t>
            </w:r>
            <w:r>
              <w:rPr>
                <w:rFonts w:ascii="Times New Roman" w:hAnsi="Times New Roman"/>
                <w:bCs/>
                <w:color w:val="auto"/>
                <w:spacing w:val="8"/>
                <w:kern w:val="2"/>
                <w:u w:val="single"/>
              </w:rPr>
              <w:t>处理效率取</w:t>
            </w:r>
            <w:r>
              <w:rPr>
                <w:rFonts w:hint="eastAsia" w:ascii="Times New Roman" w:hAnsi="Times New Roman"/>
                <w:bCs/>
                <w:color w:val="auto"/>
                <w:spacing w:val="8"/>
                <w:kern w:val="2"/>
                <w:u w:val="single"/>
                <w:lang w:val="en-US" w:eastAsia="zh-CN"/>
              </w:rPr>
              <w:t>75</w:t>
            </w:r>
            <w:r>
              <w:rPr>
                <w:rFonts w:ascii="Times New Roman" w:hAnsi="Times New Roman"/>
                <w:bCs/>
                <w:color w:val="auto"/>
                <w:spacing w:val="8"/>
                <w:kern w:val="2"/>
                <w:u w:val="single"/>
              </w:rPr>
              <w:t>%，故发泡废气</w:t>
            </w:r>
            <w:r>
              <w:rPr>
                <w:rFonts w:hint="eastAsia" w:ascii="Times New Roman" w:hAnsi="Times New Roman"/>
                <w:bCs/>
                <w:color w:val="auto"/>
                <w:spacing w:val="8"/>
                <w:kern w:val="2"/>
                <w:u w:val="single"/>
              </w:rPr>
              <w:t>VOC</w:t>
            </w:r>
            <w:r>
              <w:rPr>
                <w:rFonts w:hint="eastAsia" w:ascii="Times New Roman" w:hAnsi="Times New Roman"/>
                <w:bCs/>
                <w:color w:val="auto"/>
                <w:spacing w:val="8"/>
                <w:kern w:val="2"/>
                <w:u w:val="single"/>
                <w:vertAlign w:val="subscript"/>
              </w:rPr>
              <w:t>S</w:t>
            </w:r>
            <w:r>
              <w:rPr>
                <w:rFonts w:hint="eastAsia" w:ascii="Times New Roman" w:hAnsi="Times New Roman"/>
                <w:bCs/>
                <w:color w:val="auto"/>
                <w:spacing w:val="8"/>
                <w:kern w:val="2"/>
                <w:u w:val="single"/>
                <w:lang w:val="en-US" w:eastAsia="zh-CN"/>
              </w:rPr>
              <w:t>有</w:t>
            </w:r>
            <w:r>
              <w:rPr>
                <w:rFonts w:ascii="Times New Roman" w:hAnsi="Times New Roman"/>
                <w:bCs/>
                <w:color w:val="auto"/>
                <w:spacing w:val="8"/>
                <w:kern w:val="2"/>
                <w:u w:val="single"/>
              </w:rPr>
              <w:t>组织排放量为0.</w:t>
            </w:r>
            <w:r>
              <w:rPr>
                <w:rFonts w:hint="eastAsia" w:ascii="Times New Roman" w:hAnsi="Times New Roman"/>
                <w:bCs/>
                <w:color w:val="auto"/>
                <w:spacing w:val="8"/>
                <w:kern w:val="2"/>
                <w:u w:val="single"/>
              </w:rPr>
              <w:t>0</w:t>
            </w:r>
            <w:r>
              <w:rPr>
                <w:rFonts w:hint="eastAsia" w:ascii="Times New Roman" w:hAnsi="Times New Roman"/>
                <w:bCs/>
                <w:color w:val="auto"/>
                <w:spacing w:val="8"/>
                <w:kern w:val="2"/>
                <w:u w:val="single"/>
                <w:lang w:val="en-US" w:eastAsia="zh-CN"/>
              </w:rPr>
              <w:t>27</w:t>
            </w:r>
            <w:r>
              <w:rPr>
                <w:rFonts w:ascii="Times New Roman" w:hAnsi="Times New Roman"/>
                <w:bCs/>
                <w:color w:val="auto"/>
                <w:spacing w:val="8"/>
                <w:kern w:val="2"/>
                <w:u w:val="single"/>
              </w:rPr>
              <w:t>t/a，</w:t>
            </w:r>
            <w:r>
              <w:rPr>
                <w:rFonts w:hint="eastAsia" w:ascii="Times New Roman" w:hAnsi="Times New Roman"/>
                <w:bCs/>
                <w:color w:val="auto"/>
                <w:spacing w:val="8"/>
                <w:kern w:val="2"/>
                <w:u w:val="single"/>
                <w:lang w:val="en-US" w:eastAsia="zh-CN"/>
              </w:rPr>
              <w:t>无</w:t>
            </w:r>
            <w:r>
              <w:rPr>
                <w:rFonts w:ascii="Times New Roman" w:hAnsi="Times New Roman"/>
                <w:bCs/>
                <w:color w:val="auto"/>
                <w:spacing w:val="8"/>
                <w:kern w:val="2"/>
                <w:u w:val="single"/>
              </w:rPr>
              <w:t>组织排放量为0.</w:t>
            </w:r>
            <w:r>
              <w:rPr>
                <w:rFonts w:hint="eastAsia" w:ascii="Times New Roman" w:hAnsi="Times New Roman"/>
                <w:bCs/>
                <w:color w:val="auto"/>
                <w:spacing w:val="8"/>
                <w:kern w:val="2"/>
                <w:u w:val="single"/>
                <w:lang w:val="en-US" w:eastAsia="zh-CN"/>
              </w:rPr>
              <w:t>252</w:t>
            </w:r>
            <w:r>
              <w:rPr>
                <w:rFonts w:ascii="Times New Roman" w:hAnsi="Times New Roman"/>
                <w:bCs/>
                <w:color w:val="auto"/>
                <w:spacing w:val="8"/>
                <w:kern w:val="2"/>
                <w:u w:val="single"/>
              </w:rPr>
              <w:t>t/a</w:t>
            </w:r>
            <w:r>
              <w:rPr>
                <w:rFonts w:hint="eastAsia" w:ascii="Times New Roman"/>
                <w:bCs/>
                <w:color w:val="auto"/>
                <w:spacing w:val="8"/>
                <w:kern w:val="2"/>
                <w:u w:val="single"/>
              </w:rPr>
              <w:t>；苯乙烯</w:t>
            </w:r>
            <w:r>
              <w:rPr>
                <w:rFonts w:hint="eastAsia" w:ascii="Times New Roman"/>
                <w:bCs/>
                <w:color w:val="auto"/>
                <w:spacing w:val="8"/>
                <w:kern w:val="2"/>
                <w:u w:val="single"/>
                <w:lang w:val="en-US" w:eastAsia="zh-CN"/>
              </w:rPr>
              <w:t>有</w:t>
            </w:r>
            <w:r>
              <w:rPr>
                <w:rFonts w:ascii="Times New Roman" w:hAnsi="Times New Roman"/>
                <w:bCs/>
                <w:color w:val="auto"/>
                <w:spacing w:val="8"/>
                <w:kern w:val="2"/>
                <w:u w:val="single"/>
              </w:rPr>
              <w:t>组织排放量为0.</w:t>
            </w:r>
            <w:r>
              <w:rPr>
                <w:rFonts w:hint="eastAsia" w:ascii="Times New Roman"/>
                <w:bCs/>
                <w:color w:val="auto"/>
                <w:spacing w:val="8"/>
                <w:kern w:val="2"/>
                <w:u w:val="single"/>
              </w:rPr>
              <w:t>0</w:t>
            </w:r>
            <w:r>
              <w:rPr>
                <w:rFonts w:hint="eastAsia" w:ascii="Times New Roman"/>
                <w:bCs/>
                <w:color w:val="auto"/>
                <w:spacing w:val="8"/>
                <w:kern w:val="2"/>
                <w:u w:val="single"/>
                <w:lang w:val="en-US" w:eastAsia="zh-CN"/>
              </w:rPr>
              <w:t>05</w:t>
            </w:r>
            <w:r>
              <w:rPr>
                <w:rFonts w:ascii="Times New Roman" w:hAnsi="Times New Roman"/>
                <w:bCs/>
                <w:color w:val="auto"/>
                <w:spacing w:val="8"/>
                <w:kern w:val="2"/>
                <w:u w:val="single"/>
              </w:rPr>
              <w:t>t/a，</w:t>
            </w:r>
            <w:r>
              <w:rPr>
                <w:rFonts w:hint="eastAsia" w:ascii="Times New Roman" w:hAnsi="Times New Roman"/>
                <w:bCs/>
                <w:color w:val="auto"/>
                <w:spacing w:val="8"/>
                <w:kern w:val="2"/>
                <w:u w:val="single"/>
                <w:lang w:val="en-US" w:eastAsia="zh-CN"/>
              </w:rPr>
              <w:t>无</w:t>
            </w:r>
            <w:r>
              <w:rPr>
                <w:rFonts w:ascii="Times New Roman" w:hAnsi="Times New Roman"/>
                <w:bCs/>
                <w:color w:val="auto"/>
                <w:spacing w:val="8"/>
                <w:kern w:val="2"/>
                <w:u w:val="single"/>
              </w:rPr>
              <w:t>组织排放量为0.</w:t>
            </w:r>
            <w:r>
              <w:rPr>
                <w:rFonts w:hint="eastAsia" w:ascii="Times New Roman"/>
                <w:bCs/>
                <w:color w:val="auto"/>
                <w:spacing w:val="8"/>
                <w:kern w:val="2"/>
                <w:u w:val="single"/>
              </w:rPr>
              <w:t>0</w:t>
            </w:r>
            <w:r>
              <w:rPr>
                <w:rFonts w:hint="eastAsia" w:ascii="Times New Roman"/>
                <w:bCs/>
                <w:color w:val="auto"/>
                <w:spacing w:val="8"/>
                <w:kern w:val="2"/>
                <w:u w:val="single"/>
                <w:lang w:val="en-US" w:eastAsia="zh-CN"/>
              </w:rPr>
              <w:t>50</w:t>
            </w:r>
            <w:r>
              <w:rPr>
                <w:rFonts w:ascii="Times New Roman" w:hAnsi="Times New Roman"/>
                <w:bCs/>
                <w:color w:val="auto"/>
                <w:spacing w:val="8"/>
                <w:kern w:val="2"/>
                <w:u w:val="single"/>
              </w:rPr>
              <w:t>t/a。</w:t>
            </w:r>
          </w:p>
          <w:p w14:paraId="104BE9C8">
            <w:pPr>
              <w:spacing w:line="360" w:lineRule="auto"/>
              <w:ind w:firstLine="480" w:firstLineChars="200"/>
              <w:rPr>
                <w:color w:val="auto"/>
                <w:sz w:val="24"/>
                <w:u w:val="single"/>
              </w:rPr>
            </w:pPr>
            <w:r>
              <w:rPr>
                <w:color w:val="auto"/>
                <w:sz w:val="24"/>
                <w:u w:val="single"/>
                <w:lang w:val="zh-CN"/>
              </w:rPr>
              <w:t>恶臭</w:t>
            </w:r>
            <w:r>
              <w:rPr>
                <w:rFonts w:hint="eastAsia"/>
                <w:color w:val="auto"/>
                <w:sz w:val="24"/>
                <w:u w:val="single"/>
                <w:lang w:val="en-US" w:eastAsia="zh-CN"/>
              </w:rPr>
              <w:t>异味</w:t>
            </w:r>
            <w:r>
              <w:rPr>
                <w:color w:val="auto"/>
                <w:sz w:val="24"/>
                <w:u w:val="single"/>
                <w:lang w:val="zh-CN"/>
              </w:rPr>
              <w:t>主要来源于</w:t>
            </w:r>
            <w:r>
              <w:rPr>
                <w:rFonts w:hint="eastAsia"/>
                <w:color w:val="auto"/>
                <w:sz w:val="24"/>
                <w:u w:val="single"/>
                <w:lang w:val="en-US" w:eastAsia="zh-CN"/>
              </w:rPr>
              <w:t>发泡</w:t>
            </w:r>
            <w:r>
              <w:rPr>
                <w:color w:val="auto"/>
                <w:sz w:val="24"/>
                <w:u w:val="single"/>
                <w:lang w:val="zh-CN"/>
              </w:rPr>
              <w:t>工序</w:t>
            </w:r>
            <w:r>
              <w:rPr>
                <w:rFonts w:hint="eastAsia"/>
                <w:color w:val="auto"/>
                <w:sz w:val="24"/>
                <w:u w:val="single"/>
                <w:lang w:val="en-US" w:eastAsia="zh-CN"/>
              </w:rPr>
              <w:t>苯乙烯</w:t>
            </w:r>
            <w:r>
              <w:rPr>
                <w:color w:val="auto"/>
                <w:sz w:val="24"/>
                <w:u w:val="single"/>
                <w:lang w:val="zh-CN"/>
              </w:rPr>
              <w:t>挥发生成，恶臭气体只做定性分析</w:t>
            </w:r>
            <w:r>
              <w:rPr>
                <w:rFonts w:hint="eastAsia"/>
                <w:color w:val="auto"/>
                <w:sz w:val="24"/>
                <w:u w:val="single"/>
                <w:lang w:val="zh-CN"/>
              </w:rPr>
              <w:t>。</w:t>
            </w:r>
            <w:r>
              <w:rPr>
                <w:rFonts w:hint="eastAsia"/>
                <w:color w:val="auto"/>
                <w:sz w:val="24"/>
                <w:u w:val="single"/>
                <w:lang w:val="en-US" w:eastAsia="zh-CN"/>
              </w:rPr>
              <w:t>本项目发泡工序废气</w:t>
            </w:r>
            <w:r>
              <w:rPr>
                <w:rFonts w:hint="eastAsia"/>
                <w:color w:val="auto"/>
                <w:sz w:val="24"/>
                <w:u w:val="single"/>
                <w:lang w:val="zh-CN" w:eastAsia="zh-CN"/>
              </w:rPr>
              <w:t>采用</w:t>
            </w:r>
            <w:r>
              <w:rPr>
                <w:rFonts w:hint="eastAsia"/>
                <w:color w:val="auto"/>
                <w:sz w:val="24"/>
                <w:u w:val="single"/>
                <w:lang w:val="en-US" w:eastAsia="zh-CN"/>
              </w:rPr>
              <w:t>集气罩</w:t>
            </w:r>
            <w:r>
              <w:rPr>
                <w:rFonts w:hint="eastAsia"/>
                <w:color w:val="auto"/>
                <w:sz w:val="24"/>
                <w:u w:val="single"/>
                <w:lang w:val="zh-CN" w:eastAsia="zh-CN"/>
              </w:rPr>
              <w:t>收集，</w:t>
            </w:r>
            <w:r>
              <w:rPr>
                <w:rFonts w:hint="eastAsia"/>
                <w:color w:val="auto"/>
                <w:sz w:val="24"/>
                <w:u w:val="single"/>
                <w:lang w:val="en-US" w:eastAsia="zh-CN"/>
              </w:rPr>
              <w:t>经二级活性炭吸附</w:t>
            </w:r>
            <w:r>
              <w:rPr>
                <w:color w:val="auto"/>
                <w:sz w:val="24"/>
                <w:u w:val="single"/>
                <w:lang w:val="zh-CN"/>
              </w:rPr>
              <w:t>处理</w:t>
            </w:r>
            <w:r>
              <w:rPr>
                <w:rFonts w:hint="eastAsia"/>
                <w:color w:val="auto"/>
                <w:sz w:val="24"/>
                <w:u w:val="single"/>
                <w:lang w:val="zh-CN" w:eastAsia="zh-CN"/>
              </w:rPr>
              <w:t>后通过排气筒</w:t>
            </w:r>
            <w:r>
              <w:rPr>
                <w:rFonts w:hint="default"/>
                <w:color w:val="auto"/>
                <w:sz w:val="24"/>
                <w:u w:val="single"/>
                <w:lang w:val="zh-CN"/>
              </w:rPr>
              <w:t>有组织排放</w:t>
            </w:r>
            <w:r>
              <w:rPr>
                <w:rFonts w:hint="eastAsia"/>
                <w:color w:val="auto"/>
                <w:sz w:val="24"/>
                <w:u w:val="single"/>
                <w:lang w:val="zh-CN" w:eastAsia="zh-CN"/>
              </w:rPr>
              <w:t>，排放量较小，</w:t>
            </w:r>
            <w:r>
              <w:rPr>
                <w:rFonts w:hint="eastAsia"/>
                <w:color w:val="auto"/>
                <w:sz w:val="24"/>
                <w:u w:val="single"/>
                <w:lang w:val="en-US" w:eastAsia="zh-CN"/>
              </w:rPr>
              <w:t>在</w:t>
            </w:r>
            <w:r>
              <w:rPr>
                <w:color w:val="auto"/>
                <w:sz w:val="24"/>
                <w:u w:val="single"/>
                <w:lang w:val="zh-CN"/>
              </w:rPr>
              <w:t>加强车间通风后</w:t>
            </w:r>
            <w:r>
              <w:rPr>
                <w:rFonts w:hint="eastAsia"/>
                <w:color w:val="auto"/>
                <w:sz w:val="24"/>
                <w:u w:val="single"/>
                <w:lang w:val="zh-CN"/>
              </w:rPr>
              <w:t>，</w:t>
            </w:r>
            <w:r>
              <w:rPr>
                <w:rFonts w:hint="eastAsia"/>
                <w:color w:val="auto"/>
                <w:sz w:val="24"/>
                <w:u w:val="single"/>
                <w:lang w:val="en-US" w:eastAsia="zh-CN"/>
              </w:rPr>
              <w:t>产生的恶臭</w:t>
            </w:r>
            <w:r>
              <w:rPr>
                <w:color w:val="auto"/>
                <w:sz w:val="24"/>
                <w:u w:val="single"/>
                <w:lang w:val="zh-CN"/>
              </w:rPr>
              <w:t>对周边环境影响</w:t>
            </w:r>
            <w:r>
              <w:rPr>
                <w:rFonts w:hint="eastAsia"/>
                <w:color w:val="auto"/>
                <w:sz w:val="24"/>
                <w:u w:val="single"/>
                <w:lang w:val="en-US" w:eastAsia="zh-CN"/>
              </w:rPr>
              <w:t>较小</w:t>
            </w:r>
            <w:r>
              <w:rPr>
                <w:color w:val="auto"/>
                <w:sz w:val="24"/>
                <w:u w:val="single"/>
                <w:lang w:val="zh-CN"/>
              </w:rPr>
              <w:t>。</w:t>
            </w:r>
          </w:p>
          <w:p w14:paraId="711DDC4B">
            <w:pPr>
              <w:spacing w:line="360" w:lineRule="auto"/>
              <w:ind w:firstLine="480" w:firstLineChars="200"/>
              <w:rPr>
                <w:color w:val="auto"/>
                <w:sz w:val="24"/>
                <w:u w:val="single"/>
              </w:rPr>
            </w:pPr>
            <w:r>
              <w:rPr>
                <w:color w:val="auto"/>
                <w:sz w:val="24"/>
                <w:u w:val="single"/>
              </w:rPr>
              <w:t>根据《环境工程设计手册》中的有关规定，按以下经验公式计算得出产污设备所需的风量L。</w:t>
            </w:r>
          </w:p>
          <w:p w14:paraId="21992388">
            <w:pPr>
              <w:spacing w:line="360" w:lineRule="auto"/>
              <w:ind w:firstLine="480" w:firstLineChars="200"/>
              <w:rPr>
                <w:color w:val="auto"/>
                <w:sz w:val="24"/>
                <w:u w:val="single"/>
              </w:rPr>
            </w:pPr>
            <w:r>
              <w:rPr>
                <w:color w:val="auto"/>
                <w:sz w:val="24"/>
                <w:u w:val="single"/>
              </w:rPr>
              <w:t>L=3600（5</w:t>
            </w:r>
            <w:r>
              <w:rPr>
                <w:rFonts w:hint="eastAsia"/>
                <w:color w:val="auto"/>
                <w:sz w:val="24"/>
                <w:u w:val="single"/>
              </w:rPr>
              <w:t>X</w:t>
            </w:r>
            <w:r>
              <w:rPr>
                <w:color w:val="auto"/>
                <w:sz w:val="24"/>
                <w:u w:val="single"/>
                <w:vertAlign w:val="superscript"/>
              </w:rPr>
              <w:t>2</w:t>
            </w:r>
            <w:r>
              <w:rPr>
                <w:color w:val="auto"/>
                <w:sz w:val="24"/>
                <w:u w:val="single"/>
              </w:rPr>
              <w:t>+F）×Vx</w:t>
            </w:r>
          </w:p>
          <w:p w14:paraId="0AF4DCAB">
            <w:pPr>
              <w:spacing w:line="360" w:lineRule="auto"/>
              <w:ind w:firstLine="480" w:firstLineChars="200"/>
              <w:rPr>
                <w:color w:val="auto"/>
                <w:sz w:val="24"/>
                <w:u w:val="single"/>
              </w:rPr>
            </w:pPr>
            <w:r>
              <w:rPr>
                <w:color w:val="auto"/>
                <w:sz w:val="24"/>
                <w:u w:val="single"/>
              </w:rPr>
              <w:t>其中：</w:t>
            </w:r>
            <w:r>
              <w:rPr>
                <w:rFonts w:hint="eastAsia"/>
                <w:color w:val="auto"/>
                <w:sz w:val="24"/>
                <w:u w:val="single"/>
              </w:rPr>
              <w:t>X</w:t>
            </w:r>
            <w:r>
              <w:rPr>
                <w:color w:val="auto"/>
                <w:sz w:val="24"/>
                <w:u w:val="single"/>
              </w:rPr>
              <w:t>----集气罩至污染源的距离；</w:t>
            </w:r>
          </w:p>
          <w:p w14:paraId="6EC251CD">
            <w:pPr>
              <w:spacing w:line="360" w:lineRule="auto"/>
              <w:ind w:firstLine="480" w:firstLineChars="200"/>
              <w:rPr>
                <w:color w:val="auto"/>
                <w:sz w:val="24"/>
                <w:u w:val="single"/>
              </w:rPr>
            </w:pPr>
            <w:r>
              <w:rPr>
                <w:rFonts w:hint="eastAsia"/>
                <w:color w:val="auto"/>
                <w:sz w:val="24"/>
                <w:u w:val="single"/>
              </w:rPr>
              <w:t>F</w:t>
            </w:r>
            <w:r>
              <w:rPr>
                <w:color w:val="auto"/>
                <w:sz w:val="24"/>
                <w:u w:val="single"/>
              </w:rPr>
              <w:t>---集气罩口面积；</w:t>
            </w:r>
          </w:p>
          <w:p w14:paraId="2FC922D4">
            <w:pPr>
              <w:spacing w:line="360" w:lineRule="auto"/>
              <w:ind w:firstLine="480" w:firstLineChars="200"/>
              <w:rPr>
                <w:color w:val="auto"/>
                <w:sz w:val="24"/>
                <w:u w:val="single"/>
              </w:rPr>
            </w:pPr>
            <w:r>
              <w:rPr>
                <w:color w:val="auto"/>
                <w:sz w:val="24"/>
                <w:u w:val="single"/>
              </w:rPr>
              <w:t>V</w:t>
            </w:r>
            <w:r>
              <w:rPr>
                <w:rFonts w:hint="eastAsia"/>
                <w:color w:val="auto"/>
                <w:sz w:val="24"/>
                <w:u w:val="single"/>
              </w:rPr>
              <w:t>x</w:t>
            </w:r>
            <w:r>
              <w:rPr>
                <w:color w:val="auto"/>
                <w:sz w:val="24"/>
                <w:u w:val="single"/>
              </w:rPr>
              <w:t>---控制风速。</w:t>
            </w:r>
          </w:p>
          <w:p w14:paraId="5249F482">
            <w:pPr>
              <w:adjustRightInd w:val="0"/>
              <w:snapToGrid w:val="0"/>
              <w:spacing w:line="360" w:lineRule="auto"/>
              <w:ind w:firstLine="480" w:firstLineChars="200"/>
              <w:rPr>
                <w:color w:val="auto"/>
                <w:sz w:val="24"/>
                <w:u w:val="single"/>
              </w:rPr>
            </w:pPr>
            <w:r>
              <w:rPr>
                <w:rFonts w:hint="eastAsia"/>
                <w:color w:val="auto"/>
                <w:sz w:val="24"/>
                <w:u w:val="single"/>
              </w:rPr>
              <w:t>发泡工序集气罩至污染源距离约为0.3m，集气罩面积约为1.0*0.8=0.8m</w:t>
            </w:r>
            <w:r>
              <w:rPr>
                <w:rFonts w:hint="eastAsia"/>
                <w:color w:val="auto"/>
                <w:sz w:val="24"/>
                <w:u w:val="single"/>
                <w:vertAlign w:val="superscript"/>
              </w:rPr>
              <w:t>2</w:t>
            </w:r>
            <w:r>
              <w:rPr>
                <w:rFonts w:hint="eastAsia"/>
                <w:color w:val="auto"/>
                <w:sz w:val="24"/>
                <w:u w:val="single"/>
              </w:rPr>
              <w:t>，一般控制风速为0.5m/s，集气罩需要风量为2250m</w:t>
            </w:r>
            <w:r>
              <w:rPr>
                <w:rFonts w:hint="eastAsia"/>
                <w:color w:val="auto"/>
                <w:sz w:val="24"/>
                <w:u w:val="single"/>
                <w:vertAlign w:val="superscript"/>
              </w:rPr>
              <w:t>3</w:t>
            </w:r>
            <w:r>
              <w:rPr>
                <w:rFonts w:hint="eastAsia"/>
                <w:color w:val="auto"/>
                <w:sz w:val="24"/>
                <w:u w:val="single"/>
              </w:rPr>
              <w:t>/h。</w:t>
            </w:r>
          </w:p>
          <w:p w14:paraId="7A3602BA">
            <w:pPr>
              <w:pStyle w:val="12"/>
              <w:spacing w:before="0" w:after="0" w:line="360" w:lineRule="auto"/>
              <w:ind w:right="0" w:firstLine="420"/>
              <w:rPr>
                <w:color w:val="auto"/>
                <w:kern w:val="18"/>
                <w:sz w:val="24"/>
                <w:szCs w:val="24"/>
              </w:rPr>
            </w:pPr>
            <w:r>
              <w:rPr>
                <w:rFonts w:hint="eastAsia"/>
                <w:color w:val="auto"/>
                <w:sz w:val="24"/>
                <w:szCs w:val="24"/>
              </w:rPr>
              <w:t>③</w:t>
            </w:r>
            <w:r>
              <w:rPr>
                <w:rFonts w:hint="eastAsia"/>
                <w:color w:val="auto"/>
                <w:kern w:val="18"/>
                <w:sz w:val="24"/>
                <w:szCs w:val="24"/>
              </w:rPr>
              <w:t>泡沫切割</w:t>
            </w:r>
            <w:r>
              <w:rPr>
                <w:color w:val="auto"/>
                <w:kern w:val="18"/>
                <w:sz w:val="24"/>
                <w:szCs w:val="24"/>
              </w:rPr>
              <w:t>废气</w:t>
            </w:r>
          </w:p>
          <w:p w14:paraId="0513A22B">
            <w:pPr>
              <w:pStyle w:val="12"/>
              <w:spacing w:before="0" w:after="0" w:line="360" w:lineRule="auto"/>
              <w:ind w:right="0" w:firstLine="420"/>
              <w:rPr>
                <w:color w:val="auto"/>
                <w:kern w:val="18"/>
                <w:sz w:val="24"/>
                <w:szCs w:val="24"/>
              </w:rPr>
            </w:pPr>
            <w:r>
              <w:rPr>
                <w:color w:val="auto"/>
                <w:kern w:val="18"/>
                <w:sz w:val="24"/>
                <w:szCs w:val="24"/>
              </w:rPr>
              <w:t>本项目</w:t>
            </w:r>
            <w:r>
              <w:rPr>
                <w:rFonts w:hint="eastAsia"/>
                <w:color w:val="auto"/>
                <w:kern w:val="18"/>
                <w:sz w:val="24"/>
                <w:szCs w:val="24"/>
              </w:rPr>
              <w:t>消失模工艺</w:t>
            </w:r>
            <w:r>
              <w:rPr>
                <w:color w:val="auto"/>
                <w:kern w:val="18"/>
                <w:sz w:val="24"/>
                <w:szCs w:val="24"/>
              </w:rPr>
              <w:t>泡沫模具</w:t>
            </w:r>
            <w:r>
              <w:rPr>
                <w:rFonts w:hint="eastAsia"/>
                <w:color w:val="auto"/>
                <w:kern w:val="18"/>
                <w:sz w:val="24"/>
                <w:szCs w:val="24"/>
              </w:rPr>
              <w:t>切割</w:t>
            </w:r>
            <w:r>
              <w:rPr>
                <w:color w:val="auto"/>
                <w:kern w:val="18"/>
                <w:sz w:val="24"/>
                <w:szCs w:val="24"/>
              </w:rPr>
              <w:t>会产生废气，</w:t>
            </w:r>
            <w:r>
              <w:rPr>
                <w:rFonts w:hint="eastAsia"/>
                <w:color w:val="auto"/>
                <w:kern w:val="18"/>
                <w:sz w:val="24"/>
                <w:szCs w:val="24"/>
              </w:rPr>
              <w:t>采用电热丝加热切割</w:t>
            </w:r>
            <w:r>
              <w:rPr>
                <w:color w:val="auto"/>
                <w:kern w:val="18"/>
                <w:sz w:val="24"/>
                <w:szCs w:val="24"/>
              </w:rPr>
              <w:t>，</w:t>
            </w:r>
            <w:r>
              <w:rPr>
                <w:rFonts w:hint="eastAsia"/>
                <w:color w:val="auto"/>
                <w:kern w:val="18"/>
                <w:sz w:val="24"/>
                <w:szCs w:val="24"/>
              </w:rPr>
              <w:t>切割温度为70-110℃，类似熔融过程，</w:t>
            </w:r>
            <w:r>
              <w:rPr>
                <w:color w:val="auto"/>
                <w:kern w:val="18"/>
                <w:sz w:val="24"/>
                <w:szCs w:val="24"/>
              </w:rPr>
              <w:t>其主要污染物为挥发性有机物，</w:t>
            </w:r>
            <w:r>
              <w:rPr>
                <w:rFonts w:hint="eastAsia"/>
                <w:color w:val="auto"/>
                <w:kern w:val="18"/>
                <w:sz w:val="24"/>
                <w:szCs w:val="24"/>
              </w:rPr>
              <w:t>以非甲烷总烃计。参考《第二次全国污染源普查工业污染源产排污系数手册》中“2924 泡沫塑料制造行业系数表”，在挤出发泡工序过程中挥发性有机物的产污系数为1.5kg/吨-产品，因本项目的泡沫并非全部熔融，仅与电热丝接触处熔融，熔融量约占总使用量的3~5%左右，本项目取大值5%，</w:t>
            </w:r>
            <w:r>
              <w:rPr>
                <w:color w:val="auto"/>
                <w:kern w:val="18"/>
                <w:sz w:val="24"/>
                <w:szCs w:val="24"/>
              </w:rPr>
              <w:t>本项目使用</w:t>
            </w:r>
            <w:r>
              <w:rPr>
                <w:rFonts w:hint="eastAsia"/>
                <w:color w:val="auto"/>
                <w:kern w:val="18"/>
                <w:sz w:val="24"/>
                <w:szCs w:val="24"/>
              </w:rPr>
              <w:t>泡沫模具及</w:t>
            </w:r>
            <w:r>
              <w:rPr>
                <w:color w:val="auto"/>
                <w:kern w:val="18"/>
                <w:sz w:val="24"/>
                <w:szCs w:val="24"/>
              </w:rPr>
              <w:t>泡沫</w:t>
            </w:r>
            <w:r>
              <w:rPr>
                <w:rFonts w:hint="eastAsia"/>
                <w:color w:val="auto"/>
                <w:kern w:val="18"/>
                <w:sz w:val="24"/>
                <w:szCs w:val="24"/>
              </w:rPr>
              <w:t>板共17</w:t>
            </w:r>
            <w:r>
              <w:rPr>
                <w:color w:val="auto"/>
                <w:kern w:val="18"/>
                <w:sz w:val="24"/>
                <w:szCs w:val="24"/>
              </w:rPr>
              <w:t>t/a，则本</w:t>
            </w:r>
            <w:r>
              <w:rPr>
                <w:rFonts w:hint="eastAsia"/>
                <w:color w:val="auto"/>
                <w:kern w:val="18"/>
                <w:sz w:val="24"/>
                <w:szCs w:val="24"/>
              </w:rPr>
              <w:t>工序</w:t>
            </w:r>
            <w:r>
              <w:rPr>
                <w:color w:val="auto"/>
                <w:kern w:val="18"/>
                <w:sz w:val="24"/>
                <w:szCs w:val="24"/>
              </w:rPr>
              <w:t>非甲烷总烃产生量为</w:t>
            </w:r>
            <w:r>
              <w:rPr>
                <w:rFonts w:hint="eastAsia"/>
                <w:color w:val="auto"/>
                <w:kern w:val="18"/>
                <w:sz w:val="24"/>
                <w:szCs w:val="24"/>
              </w:rPr>
              <w:t>0.0013t</w:t>
            </w:r>
            <w:r>
              <w:rPr>
                <w:color w:val="auto"/>
                <w:kern w:val="18"/>
                <w:sz w:val="24"/>
                <w:szCs w:val="24"/>
              </w:rPr>
              <w:t>/a</w:t>
            </w:r>
            <w:r>
              <w:rPr>
                <w:rFonts w:hint="eastAsia"/>
                <w:color w:val="auto"/>
                <w:kern w:val="18"/>
                <w:sz w:val="24"/>
                <w:szCs w:val="24"/>
              </w:rPr>
              <w:t>。</w:t>
            </w:r>
            <w:r>
              <w:rPr>
                <w:color w:val="auto"/>
                <w:kern w:val="18"/>
                <w:sz w:val="24"/>
                <w:szCs w:val="24"/>
              </w:rPr>
              <w:t>本项目设置集气罩收集切割工序中产生的废气，收集效率为</w:t>
            </w:r>
            <w:r>
              <w:rPr>
                <w:rFonts w:hint="eastAsia"/>
                <w:color w:val="auto"/>
                <w:kern w:val="18"/>
                <w:sz w:val="24"/>
                <w:szCs w:val="24"/>
                <w:lang w:val="en-US" w:eastAsia="zh-CN"/>
              </w:rPr>
              <w:t>3</w:t>
            </w:r>
            <w:r>
              <w:rPr>
                <w:color w:val="auto"/>
                <w:kern w:val="18"/>
                <w:sz w:val="24"/>
                <w:szCs w:val="24"/>
              </w:rPr>
              <w:t>0%，收集后的废气由二级活性炭吸附（TA001）处理后</w:t>
            </w:r>
            <w:r>
              <w:rPr>
                <w:rFonts w:hint="eastAsia"/>
                <w:color w:val="auto"/>
                <w:kern w:val="18"/>
                <w:sz w:val="24"/>
                <w:szCs w:val="24"/>
              </w:rPr>
              <w:t>经</w:t>
            </w:r>
            <w:r>
              <w:rPr>
                <w:color w:val="auto"/>
                <w:kern w:val="18"/>
                <w:sz w:val="24"/>
                <w:szCs w:val="24"/>
              </w:rPr>
              <w:t>15米高排气筒（DA002）高空排放</w:t>
            </w:r>
            <w:r>
              <w:rPr>
                <w:rFonts w:hint="eastAsia"/>
                <w:color w:val="auto"/>
                <w:kern w:val="18"/>
                <w:sz w:val="24"/>
                <w:szCs w:val="24"/>
              </w:rPr>
              <w:t>，</w:t>
            </w:r>
            <w:r>
              <w:rPr>
                <w:color w:val="auto"/>
                <w:kern w:val="18"/>
                <w:sz w:val="24"/>
                <w:szCs w:val="24"/>
              </w:rPr>
              <w:t>去除效率以</w:t>
            </w:r>
            <w:r>
              <w:rPr>
                <w:rFonts w:hint="eastAsia"/>
                <w:color w:val="auto"/>
                <w:kern w:val="18"/>
                <w:sz w:val="24"/>
                <w:szCs w:val="24"/>
                <w:lang w:val="en-US" w:eastAsia="zh-CN"/>
              </w:rPr>
              <w:t>75</w:t>
            </w:r>
            <w:r>
              <w:rPr>
                <w:color w:val="auto"/>
                <w:kern w:val="18"/>
                <w:sz w:val="24"/>
                <w:szCs w:val="24"/>
              </w:rPr>
              <w:t>%计。则</w:t>
            </w:r>
            <w:r>
              <w:rPr>
                <w:rFonts w:hint="eastAsia"/>
                <w:color w:val="auto"/>
                <w:kern w:val="18"/>
                <w:sz w:val="24"/>
                <w:szCs w:val="24"/>
              </w:rPr>
              <w:t>切割工序</w:t>
            </w:r>
            <w:r>
              <w:rPr>
                <w:color w:val="auto"/>
                <w:kern w:val="18"/>
                <w:sz w:val="24"/>
                <w:szCs w:val="24"/>
              </w:rPr>
              <w:t>非甲烷总烃有组织排放量为0.</w:t>
            </w:r>
            <w:r>
              <w:rPr>
                <w:rFonts w:hint="eastAsia"/>
                <w:color w:val="auto"/>
                <w:kern w:val="18"/>
                <w:sz w:val="24"/>
                <w:szCs w:val="24"/>
              </w:rPr>
              <w:t>000</w:t>
            </w:r>
            <w:r>
              <w:rPr>
                <w:rFonts w:hint="eastAsia"/>
                <w:color w:val="auto"/>
                <w:kern w:val="18"/>
                <w:sz w:val="24"/>
                <w:szCs w:val="24"/>
                <w:lang w:val="en-US" w:eastAsia="zh-CN"/>
              </w:rPr>
              <w:t>1</w:t>
            </w:r>
            <w:r>
              <w:rPr>
                <w:rFonts w:hint="eastAsia"/>
                <w:color w:val="auto"/>
                <w:kern w:val="18"/>
                <w:sz w:val="24"/>
                <w:szCs w:val="24"/>
              </w:rPr>
              <w:t>t</w:t>
            </w:r>
            <w:r>
              <w:rPr>
                <w:color w:val="auto"/>
                <w:kern w:val="18"/>
                <w:sz w:val="24"/>
                <w:szCs w:val="24"/>
              </w:rPr>
              <w:t>/a，无组织排放量为0.</w:t>
            </w:r>
            <w:r>
              <w:rPr>
                <w:rFonts w:hint="eastAsia"/>
                <w:color w:val="auto"/>
                <w:kern w:val="18"/>
                <w:sz w:val="24"/>
                <w:szCs w:val="24"/>
              </w:rPr>
              <w:t>000</w:t>
            </w:r>
            <w:r>
              <w:rPr>
                <w:rFonts w:hint="eastAsia"/>
                <w:color w:val="auto"/>
                <w:kern w:val="18"/>
                <w:sz w:val="24"/>
                <w:szCs w:val="24"/>
                <w:lang w:val="en-US" w:eastAsia="zh-CN"/>
              </w:rPr>
              <w:t>9</w:t>
            </w:r>
            <w:r>
              <w:rPr>
                <w:rFonts w:hint="eastAsia"/>
                <w:color w:val="auto"/>
                <w:kern w:val="18"/>
                <w:sz w:val="24"/>
                <w:szCs w:val="24"/>
              </w:rPr>
              <w:t>t</w:t>
            </w:r>
            <w:r>
              <w:rPr>
                <w:color w:val="auto"/>
                <w:kern w:val="18"/>
                <w:sz w:val="24"/>
                <w:szCs w:val="24"/>
              </w:rPr>
              <w:t>/a。</w:t>
            </w:r>
          </w:p>
          <w:p w14:paraId="5D410431">
            <w:pPr>
              <w:pStyle w:val="12"/>
              <w:spacing w:before="0" w:after="0" w:line="360" w:lineRule="auto"/>
              <w:ind w:right="0" w:firstLine="420"/>
              <w:rPr>
                <w:color w:val="auto"/>
                <w:kern w:val="18"/>
                <w:sz w:val="24"/>
                <w:szCs w:val="24"/>
                <w:u w:val="single"/>
              </w:rPr>
            </w:pPr>
            <w:r>
              <w:rPr>
                <w:rFonts w:hint="eastAsia"/>
                <w:color w:val="auto"/>
                <w:kern w:val="18"/>
                <w:sz w:val="24"/>
                <w:szCs w:val="24"/>
                <w:u w:val="single"/>
              </w:rPr>
              <w:t>切割工序</w:t>
            </w:r>
            <w:r>
              <w:rPr>
                <w:rFonts w:hint="eastAsia"/>
                <w:color w:val="auto"/>
                <w:sz w:val="24"/>
                <w:szCs w:val="24"/>
                <w:u w:val="single"/>
              </w:rPr>
              <w:t>集气罩至污染源距离约为0.3m，集气罩面积约为3*0.3=0.9m</w:t>
            </w:r>
            <w:r>
              <w:rPr>
                <w:rFonts w:hint="eastAsia"/>
                <w:color w:val="auto"/>
                <w:sz w:val="24"/>
                <w:szCs w:val="24"/>
                <w:u w:val="single"/>
                <w:vertAlign w:val="superscript"/>
              </w:rPr>
              <w:t>2</w:t>
            </w:r>
            <w:r>
              <w:rPr>
                <w:rFonts w:hint="eastAsia"/>
                <w:color w:val="auto"/>
                <w:sz w:val="24"/>
                <w:szCs w:val="24"/>
                <w:u w:val="single"/>
              </w:rPr>
              <w:t>，一般控制风速为0.5m/s，根据上述公式计算，集气罩需要风量为2430m</w:t>
            </w:r>
            <w:r>
              <w:rPr>
                <w:rFonts w:hint="eastAsia"/>
                <w:color w:val="auto"/>
                <w:sz w:val="24"/>
                <w:szCs w:val="24"/>
                <w:u w:val="single"/>
                <w:vertAlign w:val="superscript"/>
              </w:rPr>
              <w:t>3</w:t>
            </w:r>
            <w:r>
              <w:rPr>
                <w:rFonts w:hint="eastAsia"/>
                <w:color w:val="auto"/>
                <w:sz w:val="24"/>
                <w:szCs w:val="24"/>
                <w:u w:val="single"/>
              </w:rPr>
              <w:t>/h。</w:t>
            </w:r>
          </w:p>
          <w:p w14:paraId="229625E2">
            <w:pPr>
              <w:pStyle w:val="12"/>
              <w:spacing w:before="0" w:after="0" w:line="360" w:lineRule="auto"/>
              <w:ind w:right="0" w:firstLine="420"/>
              <w:rPr>
                <w:rFonts w:hint="eastAsia"/>
                <w:color w:val="auto"/>
                <w:sz w:val="24"/>
                <w:szCs w:val="28"/>
                <w:u w:val="single"/>
              </w:rPr>
            </w:pPr>
            <w:r>
              <w:rPr>
                <w:rFonts w:hint="eastAsia"/>
                <w:color w:val="auto"/>
                <w:kern w:val="18"/>
                <w:sz w:val="24"/>
                <w:szCs w:val="24"/>
                <w:u w:val="single"/>
              </w:rPr>
              <w:t>本项目发泡及切割废气分别由集气罩收集后共同经一套</w:t>
            </w:r>
            <w:r>
              <w:rPr>
                <w:color w:val="auto"/>
                <w:kern w:val="18"/>
                <w:sz w:val="24"/>
                <w:szCs w:val="24"/>
                <w:u w:val="single"/>
              </w:rPr>
              <w:t>二级活性炭吸附</w:t>
            </w:r>
            <w:r>
              <w:rPr>
                <w:rFonts w:hint="eastAsia"/>
                <w:color w:val="auto"/>
                <w:kern w:val="18"/>
                <w:sz w:val="24"/>
                <w:szCs w:val="24"/>
                <w:u w:val="single"/>
                <w:lang w:val="en-US" w:eastAsia="zh-CN"/>
              </w:rPr>
              <w:t>装置</w:t>
            </w:r>
            <w:r>
              <w:rPr>
                <w:color w:val="auto"/>
                <w:kern w:val="18"/>
                <w:sz w:val="24"/>
                <w:szCs w:val="24"/>
                <w:u w:val="single"/>
              </w:rPr>
              <w:t>（TA001）处理后</w:t>
            </w:r>
            <w:r>
              <w:rPr>
                <w:rFonts w:hint="eastAsia"/>
                <w:color w:val="auto"/>
                <w:kern w:val="18"/>
                <w:sz w:val="24"/>
                <w:szCs w:val="24"/>
                <w:u w:val="single"/>
              </w:rPr>
              <w:t>通过</w:t>
            </w:r>
            <w:r>
              <w:rPr>
                <w:color w:val="auto"/>
                <w:kern w:val="18"/>
                <w:sz w:val="24"/>
                <w:szCs w:val="24"/>
                <w:u w:val="single"/>
              </w:rPr>
              <w:t>15米高排气筒（DA002）高空排放</w:t>
            </w:r>
            <w:r>
              <w:rPr>
                <w:rFonts w:hint="eastAsia"/>
                <w:color w:val="auto"/>
                <w:kern w:val="18"/>
                <w:sz w:val="24"/>
                <w:szCs w:val="24"/>
                <w:u w:val="single"/>
              </w:rPr>
              <w:t>，风机风量为6000</w:t>
            </w:r>
            <w:r>
              <w:rPr>
                <w:color w:val="auto"/>
                <w:sz w:val="24"/>
                <w:szCs w:val="28"/>
                <w:u w:val="single"/>
              </w:rPr>
              <w:t>m</w:t>
            </w:r>
            <w:r>
              <w:rPr>
                <w:color w:val="auto"/>
                <w:sz w:val="24"/>
                <w:szCs w:val="28"/>
                <w:u w:val="single"/>
                <w:vertAlign w:val="superscript"/>
              </w:rPr>
              <w:t>3</w:t>
            </w:r>
            <w:r>
              <w:rPr>
                <w:color w:val="auto"/>
                <w:sz w:val="24"/>
                <w:szCs w:val="28"/>
                <w:u w:val="single"/>
              </w:rPr>
              <w:t>/h</w:t>
            </w:r>
            <w:r>
              <w:rPr>
                <w:rFonts w:hint="eastAsia"/>
                <w:color w:val="auto"/>
                <w:kern w:val="18"/>
                <w:sz w:val="24"/>
                <w:szCs w:val="24"/>
                <w:u w:val="single"/>
              </w:rPr>
              <w:t>，满足集气罩风量要求。</w:t>
            </w:r>
            <w:r>
              <w:rPr>
                <w:rFonts w:hint="eastAsia" w:cs="宋体"/>
                <w:bCs/>
                <w:color w:val="auto"/>
                <w:spacing w:val="8"/>
                <w:kern w:val="2"/>
                <w:sz w:val="24"/>
                <w:szCs w:val="24"/>
                <w:u w:val="single"/>
              </w:rPr>
              <w:t>VOC</w:t>
            </w:r>
            <w:r>
              <w:rPr>
                <w:rFonts w:hint="eastAsia" w:cs="宋体"/>
                <w:bCs/>
                <w:color w:val="auto"/>
                <w:spacing w:val="8"/>
                <w:kern w:val="2"/>
                <w:sz w:val="24"/>
                <w:szCs w:val="24"/>
                <w:u w:val="single"/>
                <w:vertAlign w:val="subscript"/>
              </w:rPr>
              <w:t>S</w:t>
            </w:r>
            <w:r>
              <w:rPr>
                <w:color w:val="auto"/>
                <w:kern w:val="18"/>
                <w:sz w:val="24"/>
                <w:szCs w:val="24"/>
                <w:u w:val="single"/>
              </w:rPr>
              <w:t>有组织排放量为0.</w:t>
            </w:r>
            <w:r>
              <w:rPr>
                <w:rFonts w:hint="eastAsia"/>
                <w:color w:val="auto"/>
                <w:kern w:val="18"/>
                <w:sz w:val="24"/>
                <w:szCs w:val="24"/>
                <w:u w:val="single"/>
                <w:lang w:val="en-US" w:eastAsia="zh-CN"/>
              </w:rPr>
              <w:t>0271</w:t>
            </w:r>
            <w:r>
              <w:rPr>
                <w:rFonts w:hint="eastAsia"/>
                <w:color w:val="auto"/>
                <w:kern w:val="18"/>
                <w:sz w:val="24"/>
                <w:szCs w:val="24"/>
                <w:u w:val="single"/>
              </w:rPr>
              <w:t>t</w:t>
            </w:r>
            <w:r>
              <w:rPr>
                <w:color w:val="auto"/>
                <w:kern w:val="18"/>
                <w:sz w:val="24"/>
                <w:szCs w:val="24"/>
                <w:u w:val="single"/>
              </w:rPr>
              <w:t>/a，</w:t>
            </w:r>
            <w:r>
              <w:rPr>
                <w:rFonts w:hint="eastAsia"/>
                <w:color w:val="auto"/>
                <w:kern w:val="18"/>
                <w:sz w:val="24"/>
                <w:szCs w:val="24"/>
                <w:u w:val="single"/>
              </w:rPr>
              <w:t>无</w:t>
            </w:r>
            <w:r>
              <w:rPr>
                <w:color w:val="auto"/>
                <w:kern w:val="18"/>
                <w:sz w:val="24"/>
                <w:szCs w:val="24"/>
                <w:u w:val="single"/>
              </w:rPr>
              <w:t>组织排放量为0.</w:t>
            </w:r>
            <w:r>
              <w:rPr>
                <w:rFonts w:hint="eastAsia"/>
                <w:color w:val="auto"/>
                <w:kern w:val="18"/>
                <w:sz w:val="24"/>
                <w:szCs w:val="24"/>
                <w:u w:val="single"/>
                <w:lang w:val="en-US" w:eastAsia="zh-CN"/>
              </w:rPr>
              <w:t>2529</w:t>
            </w:r>
            <w:r>
              <w:rPr>
                <w:rFonts w:hint="eastAsia"/>
                <w:color w:val="auto"/>
                <w:kern w:val="18"/>
                <w:sz w:val="24"/>
                <w:szCs w:val="24"/>
                <w:u w:val="single"/>
              </w:rPr>
              <w:t>t</w:t>
            </w:r>
            <w:r>
              <w:rPr>
                <w:color w:val="auto"/>
                <w:kern w:val="18"/>
                <w:sz w:val="24"/>
                <w:szCs w:val="24"/>
                <w:u w:val="single"/>
              </w:rPr>
              <w:t>/a，</w:t>
            </w:r>
            <w:r>
              <w:rPr>
                <w:color w:val="auto"/>
                <w:sz w:val="24"/>
                <w:szCs w:val="28"/>
                <w:u w:val="single"/>
              </w:rPr>
              <w:t>活性炭吸附量为 0.</w:t>
            </w:r>
            <w:r>
              <w:rPr>
                <w:rFonts w:hint="eastAsia"/>
                <w:color w:val="auto"/>
                <w:sz w:val="24"/>
                <w:szCs w:val="28"/>
                <w:u w:val="single"/>
                <w:lang w:val="en-US" w:eastAsia="zh-CN"/>
              </w:rPr>
              <w:t>0813</w:t>
            </w:r>
            <w:r>
              <w:rPr>
                <w:color w:val="auto"/>
                <w:sz w:val="24"/>
                <w:szCs w:val="28"/>
                <w:u w:val="single"/>
              </w:rPr>
              <w:t>t/a</w:t>
            </w:r>
            <w:r>
              <w:rPr>
                <w:rFonts w:hint="eastAsia"/>
                <w:color w:val="auto"/>
                <w:sz w:val="24"/>
                <w:szCs w:val="28"/>
                <w:u w:val="single"/>
              </w:rPr>
              <w:t>。</w:t>
            </w:r>
          </w:p>
          <w:p w14:paraId="224AAAF6">
            <w:pPr>
              <w:pStyle w:val="12"/>
              <w:spacing w:before="0" w:after="0" w:line="360" w:lineRule="auto"/>
              <w:ind w:right="0" w:firstLine="420"/>
              <w:rPr>
                <w:rFonts w:hint="default"/>
                <w:color w:val="auto"/>
                <w:kern w:val="18"/>
                <w:sz w:val="24"/>
                <w:szCs w:val="24"/>
                <w:u w:val="single"/>
                <w:lang w:val="en-US"/>
              </w:rPr>
            </w:pPr>
            <w:r>
              <w:rPr>
                <w:rFonts w:hint="eastAsia"/>
                <w:color w:val="auto"/>
                <w:sz w:val="24"/>
                <w:szCs w:val="28"/>
                <w:u w:val="single"/>
                <w:lang w:val="en-US" w:eastAsia="zh-CN"/>
              </w:rPr>
              <w:t>本项目采用二级活性炭吸附处理挥发性有机废气，类比同类采用二级活性炭吸附装置处理有机废气项目验收监测数据，如湘潭市清新环保设备有限公司年产600t塑料设备加工制造扩建项目竣工环境保护验收报告中熔融挤出废气采用二级活性炭吸附处理，非甲烷总烃处理效率为90.1%，湖南科普森电缆材料有限公司年产2400吨硅烷交联聚乙烯电缆料、2400吨低烟无卤电缆料扩建项目竣工环境保护验收监测报告表中造粒、挤出、密炼废气中非甲烷总烃处理效率为85.9%，湖南欧锐格科技有限公司年产碳纤维及玻璃纤维制品各500套项目竣工环境保护验收监测报告表中采用二级活性炭处理粘接、调胶、糊制、固化产生的挥发性有机物，处理效率为74.7%。因此，本项目采用二级活性炭吸附处理挥发性有机废气，处理效率取75%可行。</w:t>
            </w:r>
          </w:p>
          <w:p w14:paraId="258D6D12">
            <w:pPr>
              <w:pStyle w:val="12"/>
              <w:spacing w:before="0" w:after="0" w:line="360" w:lineRule="auto"/>
              <w:ind w:right="0" w:firstLine="420"/>
              <w:rPr>
                <w:color w:val="auto"/>
                <w:kern w:val="18"/>
                <w:sz w:val="24"/>
                <w:szCs w:val="24"/>
              </w:rPr>
            </w:pPr>
            <w:r>
              <w:rPr>
                <w:rFonts w:hint="eastAsia"/>
                <w:color w:val="auto"/>
                <w:sz w:val="24"/>
                <w:szCs w:val="24"/>
              </w:rPr>
              <w:t>④</w:t>
            </w:r>
            <w:r>
              <w:rPr>
                <w:color w:val="auto"/>
                <w:kern w:val="18"/>
                <w:sz w:val="24"/>
                <w:szCs w:val="24"/>
              </w:rPr>
              <w:t>胶粘废气</w:t>
            </w:r>
          </w:p>
          <w:p w14:paraId="3D9E0CE1">
            <w:pPr>
              <w:pStyle w:val="12"/>
              <w:spacing w:before="0" w:after="0" w:line="360" w:lineRule="auto"/>
              <w:ind w:right="0" w:firstLine="420"/>
              <w:rPr>
                <w:color w:val="auto"/>
                <w:kern w:val="18"/>
                <w:sz w:val="24"/>
                <w:szCs w:val="24"/>
              </w:rPr>
            </w:pPr>
            <w:r>
              <w:rPr>
                <w:color w:val="auto"/>
                <w:kern w:val="18"/>
                <w:sz w:val="24"/>
                <w:szCs w:val="24"/>
              </w:rPr>
              <w:t>本项目</w:t>
            </w:r>
            <w:r>
              <w:rPr>
                <w:rFonts w:hint="eastAsia"/>
                <w:color w:val="auto"/>
                <w:kern w:val="18"/>
                <w:sz w:val="24"/>
                <w:szCs w:val="24"/>
              </w:rPr>
              <w:t>消失模工艺</w:t>
            </w:r>
            <w:r>
              <w:rPr>
                <w:color w:val="auto"/>
                <w:kern w:val="18"/>
                <w:sz w:val="24"/>
                <w:szCs w:val="24"/>
              </w:rPr>
              <w:t>泡沫模具粘接工序会产生胶粘废气，其主要污染物为挥发性有机物，本项所用胶为胶棒或冷胶，</w:t>
            </w:r>
            <w:r>
              <w:rPr>
                <w:rFonts w:hint="eastAsia"/>
                <w:color w:val="auto"/>
                <w:kern w:val="18"/>
                <w:sz w:val="24"/>
                <w:szCs w:val="24"/>
              </w:rPr>
              <w:t>根据成分分析报告，</w:t>
            </w:r>
            <w:r>
              <w:rPr>
                <w:color w:val="auto"/>
                <w:kern w:val="18"/>
                <w:sz w:val="24"/>
                <w:szCs w:val="24"/>
              </w:rPr>
              <w:t>其所含挥发性有机物量极少，对周围环境影响小，本评价不进行定量分析。</w:t>
            </w:r>
          </w:p>
          <w:p w14:paraId="7360D632">
            <w:pPr>
              <w:pStyle w:val="12"/>
              <w:spacing w:before="0" w:after="0" w:line="360" w:lineRule="auto"/>
              <w:ind w:right="0" w:firstLine="420"/>
              <w:rPr>
                <w:color w:val="auto"/>
                <w:kern w:val="18"/>
                <w:sz w:val="24"/>
                <w:szCs w:val="24"/>
              </w:rPr>
            </w:pPr>
            <w:r>
              <w:rPr>
                <w:rFonts w:hint="eastAsia"/>
                <w:color w:val="auto"/>
                <w:kern w:val="18"/>
                <w:sz w:val="24"/>
                <w:szCs w:val="24"/>
              </w:rPr>
              <w:t>⑤</w:t>
            </w:r>
            <w:r>
              <w:rPr>
                <w:color w:val="auto"/>
                <w:kern w:val="18"/>
                <w:sz w:val="24"/>
                <w:szCs w:val="24"/>
              </w:rPr>
              <w:t>水性粉末涂料调制废气</w:t>
            </w:r>
          </w:p>
          <w:p w14:paraId="650640C9">
            <w:pPr>
              <w:pStyle w:val="12"/>
              <w:spacing w:before="0" w:after="0" w:line="360" w:lineRule="auto"/>
              <w:ind w:right="0" w:firstLine="420"/>
              <w:rPr>
                <w:color w:val="auto"/>
                <w:kern w:val="18"/>
                <w:sz w:val="24"/>
                <w:szCs w:val="24"/>
              </w:rPr>
            </w:pPr>
            <w:r>
              <w:rPr>
                <w:color w:val="auto"/>
                <w:kern w:val="18"/>
                <w:sz w:val="24"/>
                <w:szCs w:val="24"/>
              </w:rPr>
              <w:t>本项目涂料为水性粉末涂料，</w:t>
            </w:r>
            <w:r>
              <w:rPr>
                <w:rFonts w:hint="eastAsia"/>
                <w:color w:val="auto"/>
                <w:kern w:val="18"/>
                <w:sz w:val="24"/>
                <w:szCs w:val="24"/>
              </w:rPr>
              <w:t>主要为金属氧化物，</w:t>
            </w:r>
            <w:r>
              <w:rPr>
                <w:color w:val="auto"/>
                <w:kern w:val="18"/>
                <w:sz w:val="24"/>
                <w:szCs w:val="24"/>
              </w:rPr>
              <w:t>使用前需要加水进行调制，其调制比例为水性粉末涂料，水：涂料=3：5。在调制时会产生极少量的调制粉尘，</w:t>
            </w:r>
            <w:r>
              <w:rPr>
                <w:rFonts w:hint="eastAsia"/>
                <w:color w:val="auto"/>
                <w:kern w:val="18"/>
                <w:sz w:val="24"/>
                <w:szCs w:val="24"/>
              </w:rPr>
              <w:t>无挥发性有机废气产生，由于调制过程中加水，</w:t>
            </w:r>
            <w:r>
              <w:rPr>
                <w:color w:val="auto"/>
                <w:kern w:val="18"/>
                <w:sz w:val="24"/>
                <w:szCs w:val="24"/>
              </w:rPr>
              <w:t>对周围环境影响小，本评价不进行定量分析。</w:t>
            </w:r>
          </w:p>
          <w:p w14:paraId="3BF04C57">
            <w:pPr>
              <w:pStyle w:val="12"/>
              <w:spacing w:before="0" w:after="0" w:line="360" w:lineRule="auto"/>
              <w:ind w:right="0" w:firstLine="420"/>
              <w:rPr>
                <w:color w:val="auto"/>
                <w:kern w:val="18"/>
                <w:sz w:val="24"/>
                <w:szCs w:val="24"/>
              </w:rPr>
            </w:pPr>
            <w:r>
              <w:rPr>
                <w:rFonts w:hint="eastAsia"/>
                <w:color w:val="auto"/>
                <w:kern w:val="18"/>
                <w:sz w:val="24"/>
                <w:szCs w:val="24"/>
              </w:rPr>
              <w:t>⑥</w:t>
            </w:r>
            <w:r>
              <w:rPr>
                <w:color w:val="auto"/>
                <w:kern w:val="18"/>
                <w:sz w:val="24"/>
                <w:szCs w:val="24"/>
              </w:rPr>
              <w:t>泡沫模具烘干废气和</w:t>
            </w:r>
            <w:r>
              <w:rPr>
                <w:rFonts w:hint="eastAsia"/>
                <w:color w:val="auto"/>
                <w:kern w:val="18"/>
                <w:sz w:val="24"/>
                <w:szCs w:val="24"/>
                <w:lang w:val="en-US" w:eastAsia="zh-CN"/>
              </w:rPr>
              <w:t>耐火</w:t>
            </w:r>
            <w:r>
              <w:rPr>
                <w:color w:val="auto"/>
                <w:kern w:val="18"/>
                <w:sz w:val="24"/>
                <w:szCs w:val="24"/>
              </w:rPr>
              <w:t>涂料烘干废气</w:t>
            </w:r>
          </w:p>
          <w:p w14:paraId="0CAD7FF9">
            <w:pPr>
              <w:pStyle w:val="12"/>
              <w:spacing w:before="0" w:after="0" w:line="360" w:lineRule="auto"/>
              <w:ind w:right="0" w:firstLine="420"/>
              <w:rPr>
                <w:color w:val="auto"/>
                <w:kern w:val="18"/>
                <w:sz w:val="24"/>
                <w:szCs w:val="24"/>
              </w:rPr>
            </w:pPr>
            <w:r>
              <w:rPr>
                <w:color w:val="auto"/>
                <w:kern w:val="18"/>
                <w:sz w:val="24"/>
                <w:szCs w:val="24"/>
              </w:rPr>
              <w:t>泡沫模具胶粘后需烘干其中水蒸气，浸过耐火涂料的泡沫模具需在30-</w:t>
            </w:r>
            <w:r>
              <w:rPr>
                <w:rFonts w:hint="eastAsia"/>
                <w:color w:val="auto"/>
                <w:kern w:val="18"/>
                <w:sz w:val="24"/>
                <w:szCs w:val="24"/>
              </w:rPr>
              <w:t>5</w:t>
            </w:r>
            <w:r>
              <w:rPr>
                <w:color w:val="auto"/>
                <w:kern w:val="18"/>
                <w:sz w:val="24"/>
                <w:szCs w:val="24"/>
              </w:rPr>
              <w:t>0℃下烘干</w:t>
            </w:r>
            <w:r>
              <w:rPr>
                <w:rFonts w:hint="eastAsia"/>
                <w:color w:val="auto"/>
                <w:kern w:val="18"/>
                <w:sz w:val="24"/>
                <w:szCs w:val="24"/>
              </w:rPr>
              <w:t>1</w:t>
            </w:r>
            <w:r>
              <w:rPr>
                <w:color w:val="auto"/>
                <w:kern w:val="18"/>
                <w:sz w:val="24"/>
                <w:szCs w:val="24"/>
              </w:rPr>
              <w:t>2-3</w:t>
            </w:r>
            <w:r>
              <w:rPr>
                <w:rFonts w:hint="eastAsia"/>
                <w:color w:val="auto"/>
                <w:kern w:val="18"/>
                <w:sz w:val="24"/>
                <w:szCs w:val="24"/>
              </w:rPr>
              <w:t>6</w:t>
            </w:r>
            <w:r>
              <w:rPr>
                <w:color w:val="auto"/>
                <w:kern w:val="18"/>
                <w:sz w:val="24"/>
                <w:szCs w:val="24"/>
              </w:rPr>
              <w:t>小时，两个烘干工序所产生的的污染物均为水蒸气，在车间内无组织排放。</w:t>
            </w:r>
          </w:p>
          <w:p w14:paraId="7713292D">
            <w:pPr>
              <w:snapToGrid w:val="0"/>
              <w:spacing w:line="360" w:lineRule="auto"/>
              <w:ind w:firstLine="480" w:firstLineChars="200"/>
              <w:rPr>
                <w:color w:val="auto"/>
                <w:sz w:val="24"/>
              </w:rPr>
            </w:pPr>
            <w:r>
              <w:rPr>
                <w:rFonts w:hint="eastAsia"/>
                <w:color w:val="auto"/>
                <w:kern w:val="18"/>
                <w:sz w:val="24"/>
              </w:rPr>
              <w:t>⑦</w:t>
            </w:r>
            <w:r>
              <w:rPr>
                <w:rFonts w:hint="eastAsia"/>
                <w:color w:val="auto"/>
                <w:sz w:val="24"/>
              </w:rPr>
              <w:t>感应电炉熔炼废气</w:t>
            </w:r>
          </w:p>
          <w:p w14:paraId="351FAC9E">
            <w:pPr>
              <w:snapToGrid w:val="0"/>
              <w:spacing w:line="360" w:lineRule="auto"/>
              <w:ind w:firstLine="480" w:firstLineChars="200"/>
              <w:rPr>
                <w:color w:val="auto"/>
                <w:sz w:val="24"/>
              </w:rPr>
            </w:pPr>
            <w:r>
              <w:rPr>
                <w:color w:val="auto"/>
                <w:sz w:val="24"/>
              </w:rPr>
              <w:t>本项目采用</w:t>
            </w:r>
            <w:r>
              <w:rPr>
                <w:rFonts w:hint="eastAsia"/>
                <w:color w:val="auto"/>
                <w:sz w:val="24"/>
              </w:rPr>
              <w:t>中频感应电炉</w:t>
            </w:r>
            <w:r>
              <w:rPr>
                <w:color w:val="auto"/>
                <w:sz w:val="24"/>
              </w:rPr>
              <w:t>对废钢</w:t>
            </w:r>
            <w:r>
              <w:rPr>
                <w:rFonts w:hint="eastAsia"/>
                <w:color w:val="auto"/>
                <w:sz w:val="24"/>
              </w:rPr>
              <w:t>料等</w:t>
            </w:r>
            <w:r>
              <w:rPr>
                <w:color w:val="auto"/>
                <w:sz w:val="24"/>
              </w:rPr>
              <w:t>进行熔化，金属在高温时气化会产生烟尘，烟尘中主要成分为金属及金属氧化物。参照《排放源统计调查产排污核算方法和系数手册》（生态环境部2021.6.11）</w:t>
            </w:r>
            <w:r>
              <w:rPr>
                <w:rFonts w:ascii="宋体" w:hAnsi="宋体" w:cs="宋体"/>
                <w:color w:val="auto"/>
                <w:sz w:val="24"/>
              </w:rPr>
              <w:t>机械行业系数手册</w:t>
            </w:r>
            <w:r>
              <w:rPr>
                <w:color w:val="auto"/>
                <w:sz w:val="24"/>
              </w:rPr>
              <w:t>中“</w:t>
            </w:r>
            <w:r>
              <w:rPr>
                <w:rFonts w:hint="eastAsia"/>
                <w:color w:val="auto"/>
                <w:sz w:val="24"/>
              </w:rPr>
              <w:t>铸造</w:t>
            </w:r>
            <w:r>
              <w:rPr>
                <w:color w:val="auto"/>
                <w:sz w:val="24"/>
              </w:rPr>
              <w:t>”</w:t>
            </w:r>
            <w:r>
              <w:rPr>
                <w:rFonts w:hint="eastAsia"/>
                <w:color w:val="auto"/>
                <w:kern w:val="18"/>
                <w:sz w:val="24"/>
              </w:rPr>
              <w:t>，</w:t>
            </w:r>
            <w:r>
              <w:rPr>
                <w:color w:val="auto"/>
                <w:sz w:val="24"/>
              </w:rPr>
              <w:t>产排污系数情况见表</w:t>
            </w:r>
            <w:r>
              <w:rPr>
                <w:rFonts w:hint="eastAsia"/>
                <w:color w:val="auto"/>
                <w:sz w:val="24"/>
              </w:rPr>
              <w:t>4-1</w:t>
            </w:r>
            <w:r>
              <w:rPr>
                <w:color w:val="auto"/>
                <w:sz w:val="24"/>
              </w:rPr>
              <w:t>，</w:t>
            </w:r>
            <w:r>
              <w:rPr>
                <w:rFonts w:hint="eastAsia"/>
                <w:color w:val="auto"/>
                <w:sz w:val="24"/>
              </w:rPr>
              <w:t>颗粒物</w:t>
            </w:r>
            <w:r>
              <w:rPr>
                <w:color w:val="auto"/>
                <w:kern w:val="18"/>
                <w:sz w:val="24"/>
              </w:rPr>
              <w:t>产污系数为 0.4</w:t>
            </w:r>
            <w:r>
              <w:rPr>
                <w:rFonts w:hint="eastAsia"/>
                <w:color w:val="auto"/>
                <w:kern w:val="18"/>
                <w:sz w:val="24"/>
              </w:rPr>
              <w:t>79</w:t>
            </w:r>
            <w:r>
              <w:rPr>
                <w:color w:val="auto"/>
                <w:kern w:val="18"/>
                <w:sz w:val="24"/>
              </w:rPr>
              <w:t>kg/t产品</w:t>
            </w:r>
            <w:r>
              <w:rPr>
                <w:color w:val="auto"/>
                <w:sz w:val="24"/>
              </w:rPr>
              <w:t>。</w:t>
            </w:r>
          </w:p>
          <w:p w14:paraId="1B2DFA40">
            <w:pPr>
              <w:snapToGrid w:val="0"/>
              <w:spacing w:line="360" w:lineRule="auto"/>
              <w:ind w:firstLine="480" w:firstLineChars="200"/>
              <w:rPr>
                <w:color w:val="auto"/>
                <w:sz w:val="24"/>
              </w:rPr>
            </w:pPr>
            <w:r>
              <w:rPr>
                <w:rFonts w:hint="eastAsia"/>
                <w:color w:val="auto"/>
                <w:sz w:val="24"/>
              </w:rPr>
              <w:t>本</w:t>
            </w:r>
            <w:r>
              <w:rPr>
                <w:color w:val="auto"/>
                <w:sz w:val="24"/>
              </w:rPr>
              <w:t>项目生产规模为</w:t>
            </w:r>
            <w:r>
              <w:rPr>
                <w:rFonts w:hint="eastAsia"/>
                <w:color w:val="auto"/>
                <w:sz w:val="24"/>
              </w:rPr>
              <w:t>5000</w:t>
            </w:r>
            <w:r>
              <w:rPr>
                <w:color w:val="auto"/>
                <w:sz w:val="24"/>
              </w:rPr>
              <w:t>吨/年，工作</w:t>
            </w:r>
            <w:r>
              <w:rPr>
                <w:rFonts w:hint="eastAsia"/>
                <w:color w:val="auto"/>
                <w:sz w:val="24"/>
              </w:rPr>
              <w:t>300</w:t>
            </w:r>
            <w:r>
              <w:rPr>
                <w:color w:val="auto"/>
                <w:sz w:val="24"/>
              </w:rPr>
              <w:t>天，每天8小时，经计算，</w:t>
            </w:r>
            <w:r>
              <w:rPr>
                <w:rFonts w:hint="eastAsia"/>
                <w:color w:val="auto"/>
                <w:sz w:val="24"/>
              </w:rPr>
              <w:t>颗粒物</w:t>
            </w:r>
            <w:r>
              <w:rPr>
                <w:color w:val="auto"/>
                <w:sz w:val="24"/>
              </w:rPr>
              <w:t>产生量为</w:t>
            </w:r>
            <w:r>
              <w:rPr>
                <w:rFonts w:hint="eastAsia"/>
                <w:color w:val="auto"/>
                <w:sz w:val="24"/>
              </w:rPr>
              <w:t>2.395</w:t>
            </w:r>
            <w:r>
              <w:rPr>
                <w:color w:val="auto"/>
                <w:sz w:val="24"/>
              </w:rPr>
              <w:t>t/a。</w:t>
            </w:r>
            <w:r>
              <w:rPr>
                <w:rFonts w:hint="eastAsia"/>
                <w:color w:val="auto"/>
                <w:sz w:val="24"/>
              </w:rPr>
              <w:t>感应电炉废气经集气罩</w:t>
            </w:r>
            <w:r>
              <w:rPr>
                <w:color w:val="auto"/>
                <w:sz w:val="24"/>
              </w:rPr>
              <w:t>收集后经</w:t>
            </w:r>
            <w:r>
              <w:rPr>
                <w:rFonts w:hint="eastAsia"/>
                <w:color w:val="auto"/>
                <w:sz w:val="24"/>
              </w:rPr>
              <w:t>高温布袋除尘器（TA002）</w:t>
            </w:r>
            <w:r>
              <w:rPr>
                <w:color w:val="auto"/>
                <w:kern w:val="18"/>
                <w:sz w:val="24"/>
                <w:szCs w:val="24"/>
                <w:u w:val="none"/>
              </w:rPr>
              <w:t>+</w:t>
            </w:r>
            <w:r>
              <w:rPr>
                <w:rFonts w:hint="eastAsia"/>
                <w:color w:val="auto"/>
                <w:kern w:val="18"/>
                <w:sz w:val="24"/>
                <w:szCs w:val="24"/>
                <w:u w:val="none"/>
              </w:rPr>
              <w:t>二级</w:t>
            </w:r>
            <w:r>
              <w:rPr>
                <w:color w:val="auto"/>
                <w:kern w:val="18"/>
                <w:sz w:val="24"/>
                <w:szCs w:val="24"/>
                <w:u w:val="none"/>
              </w:rPr>
              <w:t>活性炭吸附</w:t>
            </w:r>
            <w:r>
              <w:rPr>
                <w:rFonts w:hint="eastAsia"/>
                <w:color w:val="auto"/>
                <w:sz w:val="24"/>
                <w:szCs w:val="24"/>
                <w:u w:val="none"/>
              </w:rPr>
              <w:t>（TA003）</w:t>
            </w:r>
            <w:r>
              <w:rPr>
                <w:color w:val="auto"/>
                <w:sz w:val="24"/>
              </w:rPr>
              <w:t>处理后</w:t>
            </w:r>
            <w:r>
              <w:rPr>
                <w:rFonts w:hint="eastAsia"/>
                <w:color w:val="auto"/>
                <w:sz w:val="24"/>
              </w:rPr>
              <w:t>通过</w:t>
            </w:r>
            <w:r>
              <w:rPr>
                <w:color w:val="auto"/>
                <w:sz w:val="24"/>
              </w:rPr>
              <w:t>1根15m（DA00</w:t>
            </w:r>
            <w:r>
              <w:rPr>
                <w:rFonts w:hint="eastAsia"/>
                <w:color w:val="auto"/>
                <w:sz w:val="24"/>
              </w:rPr>
              <w:t>3</w:t>
            </w:r>
            <w:r>
              <w:rPr>
                <w:color w:val="auto"/>
                <w:sz w:val="24"/>
              </w:rPr>
              <w:t>）高排气筒排放。风机风量为</w:t>
            </w:r>
            <w:r>
              <w:rPr>
                <w:rFonts w:hint="eastAsia"/>
                <w:color w:val="auto"/>
                <w:sz w:val="24"/>
              </w:rPr>
              <w:t>15917</w:t>
            </w:r>
            <w:r>
              <w:rPr>
                <w:color w:val="auto"/>
                <w:sz w:val="24"/>
              </w:rPr>
              <w:t>m</w:t>
            </w:r>
            <w:r>
              <w:rPr>
                <w:color w:val="auto"/>
                <w:sz w:val="24"/>
                <w:vertAlign w:val="superscript"/>
              </w:rPr>
              <w:t>3</w:t>
            </w:r>
            <w:r>
              <w:rPr>
                <w:color w:val="auto"/>
                <w:sz w:val="24"/>
              </w:rPr>
              <w:t>/h，</w:t>
            </w:r>
            <w:r>
              <w:rPr>
                <w:rFonts w:hint="eastAsia"/>
                <w:color w:val="auto"/>
                <w:sz w:val="24"/>
              </w:rPr>
              <w:t>收集效率为80</w:t>
            </w:r>
            <w:r>
              <w:rPr>
                <w:color w:val="auto"/>
                <w:sz w:val="24"/>
              </w:rPr>
              <w:t>%，</w:t>
            </w:r>
            <w:r>
              <w:rPr>
                <w:rFonts w:hint="eastAsia"/>
                <w:color w:val="auto"/>
                <w:sz w:val="24"/>
                <w:lang w:val="en-US" w:eastAsia="zh-CN"/>
              </w:rPr>
              <w:t>布袋</w:t>
            </w:r>
            <w:r>
              <w:rPr>
                <w:color w:val="auto"/>
                <w:sz w:val="24"/>
              </w:rPr>
              <w:t>除尘</w:t>
            </w:r>
            <w:r>
              <w:rPr>
                <w:rFonts w:hint="eastAsia"/>
                <w:color w:val="auto"/>
                <w:sz w:val="24"/>
              </w:rPr>
              <w:t>效</w:t>
            </w:r>
            <w:r>
              <w:rPr>
                <w:color w:val="auto"/>
                <w:sz w:val="24"/>
              </w:rPr>
              <w:t>率</w:t>
            </w:r>
            <w:r>
              <w:rPr>
                <w:rFonts w:hint="eastAsia"/>
                <w:color w:val="auto"/>
                <w:sz w:val="24"/>
              </w:rPr>
              <w:t>95</w:t>
            </w:r>
            <w:r>
              <w:rPr>
                <w:color w:val="auto"/>
                <w:sz w:val="24"/>
              </w:rPr>
              <w:t>%，</w:t>
            </w:r>
            <w:r>
              <w:rPr>
                <w:rFonts w:hint="eastAsia"/>
                <w:color w:val="auto"/>
                <w:sz w:val="24"/>
                <w:lang w:val="en-US" w:eastAsia="zh-CN"/>
              </w:rPr>
              <w:t>不考虑活性炭对颗粒物处理效率，</w:t>
            </w:r>
            <w:r>
              <w:rPr>
                <w:color w:val="auto"/>
                <w:sz w:val="24"/>
              </w:rPr>
              <w:t>则颗粒物无组织排放量约为</w:t>
            </w:r>
            <w:r>
              <w:rPr>
                <w:rFonts w:hint="eastAsia"/>
                <w:color w:val="auto"/>
                <w:sz w:val="24"/>
              </w:rPr>
              <w:t>0.479</w:t>
            </w:r>
            <w:r>
              <w:rPr>
                <w:color w:val="auto"/>
                <w:sz w:val="24"/>
              </w:rPr>
              <w:t>t/a（</w:t>
            </w:r>
            <w:r>
              <w:rPr>
                <w:rFonts w:hint="eastAsia"/>
                <w:color w:val="auto"/>
                <w:sz w:val="24"/>
              </w:rPr>
              <w:t>0.1</w:t>
            </w:r>
            <w:r>
              <w:rPr>
                <w:color w:val="auto"/>
                <w:sz w:val="24"/>
              </w:rPr>
              <w:t>kg/h），有组织排放量约为</w:t>
            </w:r>
            <w:r>
              <w:rPr>
                <w:rFonts w:hint="eastAsia"/>
                <w:color w:val="auto"/>
                <w:sz w:val="24"/>
              </w:rPr>
              <w:t>0.096</w:t>
            </w:r>
            <w:r>
              <w:rPr>
                <w:color w:val="auto"/>
                <w:sz w:val="24"/>
              </w:rPr>
              <w:t>t/a，排放速率为</w:t>
            </w:r>
            <w:r>
              <w:rPr>
                <w:rFonts w:hint="eastAsia"/>
                <w:color w:val="auto"/>
                <w:sz w:val="24"/>
              </w:rPr>
              <w:t>0.04</w:t>
            </w:r>
            <w:r>
              <w:rPr>
                <w:color w:val="auto"/>
                <w:sz w:val="24"/>
              </w:rPr>
              <w:t>kg/h，浓度约为</w:t>
            </w:r>
            <w:r>
              <w:rPr>
                <w:rFonts w:hint="eastAsia"/>
                <w:color w:val="auto"/>
                <w:sz w:val="24"/>
              </w:rPr>
              <w:t>2.51</w:t>
            </w:r>
            <w:r>
              <w:rPr>
                <w:color w:val="auto"/>
                <w:sz w:val="24"/>
              </w:rPr>
              <w:t>mg/m</w:t>
            </w:r>
            <w:r>
              <w:rPr>
                <w:color w:val="auto"/>
                <w:sz w:val="24"/>
                <w:vertAlign w:val="superscript"/>
              </w:rPr>
              <w:t>3</w:t>
            </w:r>
            <w:r>
              <w:rPr>
                <w:color w:val="auto"/>
                <w:sz w:val="24"/>
              </w:rPr>
              <w:t>。</w:t>
            </w:r>
            <w:r>
              <w:rPr>
                <w:color w:val="auto"/>
                <w:kern w:val="18"/>
                <w:sz w:val="24"/>
              </w:rPr>
              <w:t>高温布袋除尘器收集粉尘量为</w:t>
            </w:r>
            <w:r>
              <w:rPr>
                <w:rFonts w:hint="eastAsia"/>
                <w:color w:val="auto"/>
                <w:kern w:val="18"/>
                <w:sz w:val="24"/>
              </w:rPr>
              <w:t>1.82</w:t>
            </w:r>
            <w:r>
              <w:rPr>
                <w:color w:val="auto"/>
                <w:kern w:val="18"/>
                <w:sz w:val="24"/>
              </w:rPr>
              <w:t>t/a</w:t>
            </w:r>
            <w:r>
              <w:rPr>
                <w:rFonts w:hint="eastAsia"/>
                <w:color w:val="auto"/>
                <w:kern w:val="18"/>
                <w:sz w:val="24"/>
              </w:rPr>
              <w:t>。</w:t>
            </w:r>
          </w:p>
          <w:p w14:paraId="4DE61C5A">
            <w:pPr>
              <w:pStyle w:val="12"/>
              <w:spacing w:before="0" w:after="0" w:line="360" w:lineRule="auto"/>
              <w:ind w:right="0" w:firstLine="420"/>
              <w:rPr>
                <w:color w:val="auto"/>
                <w:kern w:val="18"/>
                <w:sz w:val="24"/>
                <w:szCs w:val="24"/>
                <w:u w:val="single"/>
              </w:rPr>
            </w:pPr>
            <w:r>
              <w:rPr>
                <w:rFonts w:hint="eastAsia"/>
                <w:color w:val="auto"/>
                <w:kern w:val="18"/>
                <w:sz w:val="24"/>
                <w:szCs w:val="24"/>
                <w:u w:val="single"/>
              </w:rPr>
              <w:t>电炉</w:t>
            </w:r>
            <w:r>
              <w:rPr>
                <w:rFonts w:hint="eastAsia"/>
                <w:color w:val="auto"/>
                <w:sz w:val="24"/>
                <w:szCs w:val="24"/>
                <w:u w:val="single"/>
              </w:rPr>
              <w:t>集气罩至污染源距离约为0.3m，单个集气罩面积约为1.0*1.0=1.0m</w:t>
            </w:r>
            <w:r>
              <w:rPr>
                <w:rFonts w:hint="eastAsia"/>
                <w:color w:val="auto"/>
                <w:sz w:val="24"/>
                <w:szCs w:val="24"/>
                <w:u w:val="single"/>
                <w:vertAlign w:val="superscript"/>
              </w:rPr>
              <w:t>2</w:t>
            </w:r>
            <w:r>
              <w:rPr>
                <w:rFonts w:hint="eastAsia"/>
                <w:color w:val="auto"/>
                <w:sz w:val="24"/>
                <w:szCs w:val="24"/>
                <w:u w:val="single"/>
              </w:rPr>
              <w:t>，一般控制风速为0.5m/s，根据上述公式计算，单个集气罩需要风量为2610m</w:t>
            </w:r>
            <w:r>
              <w:rPr>
                <w:rFonts w:hint="eastAsia"/>
                <w:color w:val="auto"/>
                <w:sz w:val="24"/>
                <w:szCs w:val="24"/>
                <w:u w:val="single"/>
                <w:vertAlign w:val="superscript"/>
              </w:rPr>
              <w:t>3</w:t>
            </w:r>
            <w:r>
              <w:rPr>
                <w:rFonts w:hint="eastAsia"/>
                <w:color w:val="auto"/>
                <w:sz w:val="24"/>
                <w:szCs w:val="24"/>
                <w:u w:val="single"/>
              </w:rPr>
              <w:t>/h。根据建设单位提供资料，电炉熔炼过程最多同时启用三个，则对应开启三个集气罩，需要风量7830m</w:t>
            </w:r>
            <w:r>
              <w:rPr>
                <w:rFonts w:hint="eastAsia"/>
                <w:color w:val="auto"/>
                <w:sz w:val="24"/>
                <w:szCs w:val="24"/>
                <w:u w:val="single"/>
                <w:vertAlign w:val="superscript"/>
              </w:rPr>
              <w:t>3</w:t>
            </w:r>
            <w:r>
              <w:rPr>
                <w:rFonts w:hint="eastAsia"/>
                <w:color w:val="auto"/>
                <w:sz w:val="24"/>
                <w:szCs w:val="24"/>
                <w:u w:val="single"/>
              </w:rPr>
              <w:t>/h。</w:t>
            </w:r>
            <w:r>
              <w:rPr>
                <w:color w:val="auto"/>
                <w:sz w:val="24"/>
                <w:szCs w:val="24"/>
                <w:u w:val="single"/>
              </w:rPr>
              <w:t>风机风量为</w:t>
            </w:r>
            <w:r>
              <w:rPr>
                <w:rFonts w:hint="eastAsia"/>
                <w:color w:val="auto"/>
                <w:sz w:val="24"/>
                <w:szCs w:val="24"/>
                <w:u w:val="single"/>
              </w:rPr>
              <w:t>15917</w:t>
            </w:r>
            <w:r>
              <w:rPr>
                <w:color w:val="auto"/>
                <w:sz w:val="24"/>
                <w:szCs w:val="24"/>
                <w:u w:val="single"/>
              </w:rPr>
              <w:t>m</w:t>
            </w:r>
            <w:r>
              <w:rPr>
                <w:color w:val="auto"/>
                <w:sz w:val="24"/>
                <w:szCs w:val="24"/>
                <w:u w:val="single"/>
                <w:vertAlign w:val="superscript"/>
              </w:rPr>
              <w:t>3</w:t>
            </w:r>
            <w:r>
              <w:rPr>
                <w:color w:val="auto"/>
                <w:sz w:val="24"/>
                <w:szCs w:val="24"/>
                <w:u w:val="single"/>
              </w:rPr>
              <w:t>/h</w:t>
            </w:r>
            <w:r>
              <w:rPr>
                <w:rFonts w:hint="eastAsia"/>
                <w:color w:val="auto"/>
                <w:sz w:val="24"/>
                <w:szCs w:val="24"/>
                <w:u w:val="single"/>
              </w:rPr>
              <w:t>，满足要求。</w:t>
            </w:r>
          </w:p>
          <w:p w14:paraId="0FDA7DE4">
            <w:pPr>
              <w:pStyle w:val="12"/>
              <w:spacing w:before="0" w:after="0" w:line="360" w:lineRule="auto"/>
              <w:ind w:right="0" w:firstLine="420"/>
              <w:rPr>
                <w:color w:val="auto"/>
                <w:kern w:val="18"/>
                <w:sz w:val="24"/>
                <w:szCs w:val="24"/>
                <w:highlight w:val="yellow"/>
              </w:rPr>
            </w:pPr>
            <w:r>
              <w:rPr>
                <w:rFonts w:hint="eastAsia"/>
                <w:color w:val="auto"/>
                <w:kern w:val="18"/>
                <w:sz w:val="24"/>
                <w:szCs w:val="24"/>
              </w:rPr>
              <w:t>⑧造型/浇注废气</w:t>
            </w:r>
          </w:p>
          <w:p w14:paraId="4C1C5B76">
            <w:pPr>
              <w:pStyle w:val="12"/>
              <w:spacing w:before="0" w:after="0" w:line="360" w:lineRule="auto"/>
              <w:ind w:right="0" w:firstLine="420"/>
              <w:rPr>
                <w:color w:val="auto"/>
                <w:kern w:val="18"/>
                <w:sz w:val="24"/>
                <w:szCs w:val="24"/>
              </w:rPr>
            </w:pPr>
            <w:r>
              <w:rPr>
                <w:color w:val="auto"/>
                <w:kern w:val="18"/>
                <w:sz w:val="24"/>
                <w:szCs w:val="24"/>
              </w:rPr>
              <w:t>a、消失模</w:t>
            </w:r>
            <w:r>
              <w:rPr>
                <w:rFonts w:hint="eastAsia"/>
                <w:color w:val="auto"/>
                <w:kern w:val="18"/>
                <w:sz w:val="24"/>
                <w:szCs w:val="24"/>
              </w:rPr>
              <w:t>铸造工艺</w:t>
            </w:r>
          </w:p>
          <w:p w14:paraId="76ED8A37">
            <w:pPr>
              <w:pStyle w:val="12"/>
              <w:spacing w:before="0" w:after="0" w:line="360" w:lineRule="auto"/>
              <w:ind w:right="0" w:firstLine="420"/>
              <w:rPr>
                <w:color w:val="auto"/>
                <w:kern w:val="18"/>
                <w:sz w:val="24"/>
                <w:szCs w:val="24"/>
              </w:rPr>
            </w:pPr>
            <w:r>
              <w:rPr>
                <w:rFonts w:hint="eastAsia"/>
                <w:color w:val="auto"/>
                <w:sz w:val="24"/>
                <w:szCs w:val="24"/>
              </w:rPr>
              <w:t>本</w:t>
            </w:r>
            <w:r>
              <w:rPr>
                <w:color w:val="auto"/>
                <w:sz w:val="24"/>
                <w:szCs w:val="24"/>
              </w:rPr>
              <w:t>项目</w:t>
            </w:r>
            <w:r>
              <w:rPr>
                <w:rFonts w:hint="eastAsia"/>
                <w:color w:val="auto"/>
                <w:sz w:val="24"/>
                <w:szCs w:val="24"/>
              </w:rPr>
              <w:t>消失模铸造</w:t>
            </w:r>
            <w:r>
              <w:rPr>
                <w:color w:val="auto"/>
                <w:sz w:val="24"/>
                <w:szCs w:val="24"/>
              </w:rPr>
              <w:t>生产规模为</w:t>
            </w:r>
            <w:r>
              <w:rPr>
                <w:rFonts w:hint="eastAsia"/>
                <w:color w:val="auto"/>
                <w:sz w:val="24"/>
                <w:szCs w:val="24"/>
              </w:rPr>
              <w:t>4700t/a</w:t>
            </w:r>
            <w:r>
              <w:rPr>
                <w:color w:val="auto"/>
                <w:sz w:val="24"/>
                <w:szCs w:val="24"/>
              </w:rPr>
              <w:t>，工作300天，每天8小时</w:t>
            </w:r>
            <w:r>
              <w:rPr>
                <w:rFonts w:hint="eastAsia"/>
                <w:color w:val="auto"/>
                <w:sz w:val="24"/>
                <w:szCs w:val="24"/>
              </w:rPr>
              <w:t>。</w:t>
            </w:r>
            <w:r>
              <w:rPr>
                <w:color w:val="auto"/>
                <w:kern w:val="18"/>
                <w:sz w:val="24"/>
                <w:szCs w:val="24"/>
              </w:rPr>
              <w:t>消失模浇铸工序中，泡沫</w:t>
            </w:r>
            <w:r>
              <w:rPr>
                <w:rFonts w:hint="eastAsia"/>
                <w:color w:val="auto"/>
                <w:kern w:val="18"/>
                <w:sz w:val="24"/>
                <w:szCs w:val="24"/>
              </w:rPr>
              <w:t>模</w:t>
            </w:r>
            <w:r>
              <w:rPr>
                <w:color w:val="auto"/>
                <w:kern w:val="18"/>
                <w:sz w:val="24"/>
                <w:szCs w:val="24"/>
              </w:rPr>
              <w:t>会在铁水浇铸时气化并以挥发性有机物的形式全部外排</w:t>
            </w:r>
            <w:r>
              <w:rPr>
                <w:rFonts w:hint="eastAsia"/>
                <w:color w:val="auto"/>
                <w:kern w:val="18"/>
                <w:sz w:val="24"/>
                <w:szCs w:val="24"/>
              </w:rPr>
              <w:t>，</w:t>
            </w:r>
            <w:r>
              <w:rPr>
                <w:color w:val="auto"/>
                <w:kern w:val="18"/>
                <w:sz w:val="24"/>
                <w:szCs w:val="24"/>
              </w:rPr>
              <w:t>铁水在浇铸过程中与空气中的氧接触反应会产生金属氧化物粉尘。</w:t>
            </w:r>
          </w:p>
          <w:p w14:paraId="11DC63B5">
            <w:pPr>
              <w:pStyle w:val="12"/>
              <w:spacing w:before="0" w:after="0" w:line="360" w:lineRule="auto"/>
              <w:ind w:right="0" w:firstLine="420"/>
              <w:rPr>
                <w:color w:val="auto"/>
                <w:kern w:val="18"/>
                <w:sz w:val="24"/>
                <w:szCs w:val="24"/>
              </w:rPr>
            </w:pPr>
            <w:r>
              <w:rPr>
                <w:color w:val="auto"/>
                <w:kern w:val="18"/>
                <w:sz w:val="24"/>
                <w:szCs w:val="24"/>
                <w:u w:val="single"/>
              </w:rPr>
              <w:t>模型簇在砂箱内通过干砂振动充填坚实后，抽真空形成负压</w:t>
            </w:r>
            <w:r>
              <w:rPr>
                <w:rFonts w:hint="eastAsia"/>
                <w:color w:val="auto"/>
                <w:kern w:val="18"/>
                <w:sz w:val="24"/>
                <w:szCs w:val="24"/>
                <w:u w:val="single"/>
                <w:lang w:eastAsia="zh-CN"/>
              </w:rPr>
              <w:t>，</w:t>
            </w:r>
            <w:r>
              <w:rPr>
                <w:color w:val="auto"/>
                <w:kern w:val="18"/>
                <w:sz w:val="24"/>
                <w:szCs w:val="24"/>
                <w:u w:val="single"/>
              </w:rPr>
              <w:t>消失模铸造在浇注过程中，消失模全部发生热分解，EPS模型一般80℃左右软化，420～480℃时分解。在液体金属的热作用下，EPS模型发生热解气化，产生大量气体，大部分有机气体被高温金属液在冒口点燃焚烧</w:t>
            </w:r>
            <w:r>
              <w:rPr>
                <w:rFonts w:hint="eastAsia"/>
                <w:color w:val="auto"/>
                <w:kern w:val="18"/>
                <w:sz w:val="24"/>
                <w:szCs w:val="24"/>
                <w:u w:val="single"/>
                <w:lang w:eastAsia="zh-CN"/>
              </w:rPr>
              <w:t>。</w:t>
            </w:r>
            <w:r>
              <w:rPr>
                <w:rFonts w:hint="eastAsia"/>
                <w:color w:val="auto"/>
                <w:kern w:val="18"/>
                <w:sz w:val="24"/>
                <w:szCs w:val="24"/>
                <w:u w:val="single"/>
              </w:rPr>
              <w:t>消失模浇注时砂箱需保持为负压，小</w:t>
            </w:r>
            <w:r>
              <w:rPr>
                <w:color w:val="auto"/>
                <w:kern w:val="18"/>
                <w:sz w:val="24"/>
                <w:szCs w:val="24"/>
                <w:u w:val="single"/>
              </w:rPr>
              <w:t>部分有机气体经过</w:t>
            </w:r>
            <w:r>
              <w:rPr>
                <w:rFonts w:hint="eastAsia"/>
                <w:color w:val="auto"/>
                <w:kern w:val="18"/>
                <w:sz w:val="24"/>
                <w:szCs w:val="24"/>
                <w:u w:val="single"/>
              </w:rPr>
              <w:t>负压抽排收集至管道</w:t>
            </w:r>
            <w:r>
              <w:rPr>
                <w:color w:val="auto"/>
                <w:kern w:val="18"/>
                <w:sz w:val="24"/>
                <w:szCs w:val="24"/>
                <w:u w:val="single"/>
              </w:rPr>
              <w:t>。</w:t>
            </w:r>
            <w:r>
              <w:rPr>
                <w:color w:val="auto"/>
                <w:sz w:val="24"/>
                <w:szCs w:val="24"/>
                <w:u w:val="single"/>
              </w:rPr>
              <w:t>参照《排放源统计调查产排污核算方法和系数手册》（生态环境部2021.6.11）</w:t>
            </w:r>
            <w:r>
              <w:rPr>
                <w:rFonts w:ascii="宋体" w:hAnsi="宋体" w:cs="宋体"/>
                <w:color w:val="auto"/>
                <w:sz w:val="24"/>
                <w:szCs w:val="24"/>
                <w:u w:val="single"/>
              </w:rPr>
              <w:t>机械行业系数手册</w:t>
            </w:r>
            <w:r>
              <w:rPr>
                <w:color w:val="auto"/>
                <w:sz w:val="24"/>
                <w:szCs w:val="24"/>
                <w:u w:val="single"/>
              </w:rPr>
              <w:t>中“</w:t>
            </w:r>
            <w:r>
              <w:rPr>
                <w:rFonts w:hint="eastAsia"/>
                <w:color w:val="auto"/>
                <w:sz w:val="24"/>
                <w:szCs w:val="24"/>
                <w:u w:val="single"/>
              </w:rPr>
              <w:t>铸造</w:t>
            </w:r>
            <w:r>
              <w:rPr>
                <w:color w:val="auto"/>
                <w:sz w:val="24"/>
                <w:szCs w:val="24"/>
                <w:u w:val="single"/>
              </w:rPr>
              <w:t>”，产排污系数情况见表</w:t>
            </w:r>
            <w:r>
              <w:rPr>
                <w:rFonts w:hint="eastAsia"/>
                <w:color w:val="auto"/>
                <w:sz w:val="24"/>
                <w:szCs w:val="24"/>
                <w:u w:val="single"/>
              </w:rPr>
              <w:t>4-1</w:t>
            </w:r>
            <w:r>
              <w:rPr>
                <w:color w:val="auto"/>
                <w:sz w:val="24"/>
                <w:szCs w:val="24"/>
                <w:u w:val="single"/>
              </w:rPr>
              <w:t>。</w:t>
            </w:r>
            <w:r>
              <w:rPr>
                <w:color w:val="auto"/>
                <w:kern w:val="18"/>
                <w:sz w:val="24"/>
                <w:szCs w:val="24"/>
                <w:u w:val="single"/>
              </w:rPr>
              <w:t>根据《排放源统计调查产排污核算方法和系数手册》中的《33金属制品业》行业系数手册，消失模浇铸工序挥发性有机物产污系数为 0.453kg/t产品，故本项目挥发性有机物产生量为</w:t>
            </w:r>
            <w:r>
              <w:rPr>
                <w:rFonts w:hint="eastAsia"/>
                <w:color w:val="auto"/>
                <w:kern w:val="18"/>
                <w:sz w:val="24"/>
                <w:szCs w:val="24"/>
                <w:u w:val="single"/>
              </w:rPr>
              <w:t>2.129</w:t>
            </w:r>
            <w:r>
              <w:rPr>
                <w:color w:val="auto"/>
                <w:kern w:val="18"/>
                <w:sz w:val="24"/>
                <w:szCs w:val="24"/>
                <w:u w:val="single"/>
              </w:rPr>
              <w:t>t/a，产生速率为 0.</w:t>
            </w:r>
            <w:r>
              <w:rPr>
                <w:rFonts w:hint="eastAsia"/>
                <w:color w:val="auto"/>
                <w:kern w:val="18"/>
                <w:sz w:val="24"/>
                <w:szCs w:val="24"/>
                <w:u w:val="single"/>
              </w:rPr>
              <w:t>88</w:t>
            </w:r>
            <w:r>
              <w:rPr>
                <w:color w:val="auto"/>
                <w:kern w:val="18"/>
                <w:sz w:val="24"/>
                <w:szCs w:val="24"/>
                <w:u w:val="single"/>
              </w:rPr>
              <w:t>7kg/h，本项目浇铸废气经负压收集后由高温布袋除尘器</w:t>
            </w:r>
            <w:r>
              <w:rPr>
                <w:rFonts w:hint="eastAsia"/>
                <w:color w:val="auto"/>
                <w:sz w:val="24"/>
                <w:szCs w:val="24"/>
                <w:u w:val="single"/>
              </w:rPr>
              <w:t>（TA002）</w:t>
            </w:r>
            <w:r>
              <w:rPr>
                <w:color w:val="auto"/>
                <w:kern w:val="18"/>
                <w:sz w:val="24"/>
                <w:szCs w:val="24"/>
                <w:u w:val="single"/>
              </w:rPr>
              <w:t>+</w:t>
            </w:r>
            <w:r>
              <w:rPr>
                <w:rFonts w:hint="eastAsia"/>
                <w:color w:val="auto"/>
                <w:kern w:val="18"/>
                <w:sz w:val="24"/>
                <w:szCs w:val="24"/>
                <w:u w:val="single"/>
              </w:rPr>
              <w:t>二级</w:t>
            </w:r>
            <w:r>
              <w:rPr>
                <w:color w:val="auto"/>
                <w:kern w:val="18"/>
                <w:sz w:val="24"/>
                <w:szCs w:val="24"/>
                <w:u w:val="single"/>
              </w:rPr>
              <w:t>活性炭吸附</w:t>
            </w:r>
            <w:r>
              <w:rPr>
                <w:rFonts w:hint="eastAsia"/>
                <w:color w:val="auto"/>
                <w:sz w:val="24"/>
                <w:szCs w:val="24"/>
                <w:u w:val="single"/>
              </w:rPr>
              <w:t>（TA003）</w:t>
            </w:r>
            <w:r>
              <w:rPr>
                <w:color w:val="auto"/>
                <w:kern w:val="18"/>
                <w:sz w:val="24"/>
                <w:szCs w:val="24"/>
                <w:u w:val="single"/>
              </w:rPr>
              <w:t>处理后</w:t>
            </w:r>
            <w:r>
              <w:rPr>
                <w:rFonts w:hint="eastAsia"/>
                <w:color w:val="auto"/>
                <w:kern w:val="18"/>
                <w:sz w:val="24"/>
                <w:szCs w:val="24"/>
                <w:u w:val="single"/>
              </w:rPr>
              <w:t>经</w:t>
            </w:r>
            <w:r>
              <w:rPr>
                <w:color w:val="auto"/>
                <w:kern w:val="18"/>
                <w:sz w:val="24"/>
                <w:szCs w:val="24"/>
                <w:u w:val="single"/>
              </w:rPr>
              <w:t>15米高排气筒（DA00</w:t>
            </w:r>
            <w:r>
              <w:rPr>
                <w:rFonts w:hint="eastAsia"/>
                <w:color w:val="auto"/>
                <w:kern w:val="18"/>
                <w:sz w:val="24"/>
                <w:szCs w:val="24"/>
                <w:u w:val="single"/>
              </w:rPr>
              <w:t>3</w:t>
            </w:r>
            <w:r>
              <w:rPr>
                <w:color w:val="auto"/>
                <w:kern w:val="18"/>
                <w:sz w:val="24"/>
                <w:szCs w:val="24"/>
                <w:u w:val="single"/>
              </w:rPr>
              <w:t xml:space="preserve">）高空排放，风机风量为 </w:t>
            </w:r>
            <w:r>
              <w:rPr>
                <w:rFonts w:hint="eastAsia"/>
                <w:color w:val="auto"/>
                <w:kern w:val="18"/>
                <w:sz w:val="24"/>
                <w:szCs w:val="24"/>
                <w:u w:val="single"/>
              </w:rPr>
              <w:t>15917</w:t>
            </w:r>
            <w:r>
              <w:rPr>
                <w:color w:val="auto"/>
                <w:kern w:val="18"/>
                <w:sz w:val="24"/>
                <w:szCs w:val="24"/>
                <w:u w:val="single"/>
              </w:rPr>
              <w:t>m</w:t>
            </w:r>
            <w:r>
              <w:rPr>
                <w:color w:val="auto"/>
                <w:kern w:val="18"/>
                <w:sz w:val="24"/>
                <w:szCs w:val="24"/>
                <w:u w:val="single"/>
                <w:vertAlign w:val="superscript"/>
              </w:rPr>
              <w:t>3</w:t>
            </w:r>
            <w:r>
              <w:rPr>
                <w:color w:val="auto"/>
                <w:kern w:val="18"/>
                <w:sz w:val="24"/>
                <w:szCs w:val="24"/>
                <w:u w:val="single"/>
              </w:rPr>
              <w:t>/h，本次评价收集效率取</w:t>
            </w:r>
            <w:r>
              <w:rPr>
                <w:rFonts w:hint="eastAsia"/>
                <w:color w:val="auto"/>
                <w:kern w:val="18"/>
                <w:sz w:val="24"/>
                <w:szCs w:val="24"/>
                <w:u w:val="single"/>
              </w:rPr>
              <w:t>9</w:t>
            </w:r>
            <w:r>
              <w:rPr>
                <w:color w:val="auto"/>
                <w:kern w:val="18"/>
                <w:sz w:val="24"/>
                <w:szCs w:val="24"/>
                <w:u w:val="single"/>
              </w:rPr>
              <w:t>0%，处理效率取</w:t>
            </w:r>
            <w:r>
              <w:rPr>
                <w:rFonts w:hint="eastAsia"/>
                <w:color w:val="auto"/>
                <w:kern w:val="18"/>
                <w:sz w:val="24"/>
                <w:szCs w:val="24"/>
                <w:u w:val="single"/>
                <w:lang w:val="en-US" w:eastAsia="zh-CN"/>
              </w:rPr>
              <w:t>75</w:t>
            </w:r>
            <w:r>
              <w:rPr>
                <w:color w:val="auto"/>
                <w:kern w:val="18"/>
                <w:sz w:val="24"/>
                <w:szCs w:val="24"/>
                <w:u w:val="single"/>
              </w:rPr>
              <w:t>%，故负压浇铸废气中</w:t>
            </w:r>
            <w:r>
              <w:rPr>
                <w:rFonts w:hint="eastAsia"/>
                <w:color w:val="auto"/>
                <w:kern w:val="18"/>
                <w:sz w:val="24"/>
                <w:szCs w:val="24"/>
                <w:u w:val="single"/>
              </w:rPr>
              <w:t>VOC</w:t>
            </w:r>
            <w:r>
              <w:rPr>
                <w:rFonts w:hint="eastAsia"/>
                <w:color w:val="auto"/>
                <w:kern w:val="18"/>
                <w:sz w:val="24"/>
                <w:szCs w:val="24"/>
                <w:u w:val="single"/>
                <w:vertAlign w:val="subscript"/>
              </w:rPr>
              <w:t>S</w:t>
            </w:r>
            <w:r>
              <w:rPr>
                <w:color w:val="auto"/>
                <w:kern w:val="18"/>
                <w:sz w:val="24"/>
                <w:szCs w:val="24"/>
                <w:u w:val="single"/>
              </w:rPr>
              <w:t>无组织排放量为0.</w:t>
            </w:r>
            <w:r>
              <w:rPr>
                <w:rFonts w:hint="eastAsia"/>
                <w:color w:val="auto"/>
                <w:kern w:val="18"/>
                <w:sz w:val="24"/>
                <w:szCs w:val="24"/>
                <w:u w:val="single"/>
              </w:rPr>
              <w:t>213</w:t>
            </w:r>
            <w:r>
              <w:rPr>
                <w:color w:val="auto"/>
                <w:kern w:val="18"/>
                <w:sz w:val="24"/>
                <w:szCs w:val="24"/>
                <w:u w:val="single"/>
              </w:rPr>
              <w:t>t/a，有组织排放量为</w:t>
            </w:r>
            <w:r>
              <w:rPr>
                <w:rFonts w:hint="eastAsia"/>
                <w:color w:val="auto"/>
                <w:kern w:val="18"/>
                <w:sz w:val="24"/>
                <w:szCs w:val="24"/>
                <w:u w:val="single"/>
                <w:lang w:val="en-US" w:eastAsia="zh-CN"/>
              </w:rPr>
              <w:t>0.479</w:t>
            </w:r>
            <w:r>
              <w:rPr>
                <w:color w:val="auto"/>
                <w:kern w:val="18"/>
                <w:sz w:val="24"/>
                <w:szCs w:val="24"/>
                <w:u w:val="single"/>
              </w:rPr>
              <w:t>t/a，排放速率为0.</w:t>
            </w:r>
            <w:r>
              <w:rPr>
                <w:rFonts w:hint="eastAsia"/>
                <w:color w:val="auto"/>
                <w:kern w:val="18"/>
                <w:sz w:val="24"/>
                <w:szCs w:val="24"/>
                <w:u w:val="single"/>
                <w:lang w:val="en-US" w:eastAsia="zh-CN"/>
              </w:rPr>
              <w:t>200</w:t>
            </w:r>
            <w:r>
              <w:rPr>
                <w:color w:val="auto"/>
                <w:kern w:val="18"/>
                <w:sz w:val="24"/>
                <w:szCs w:val="24"/>
                <w:u w:val="single"/>
              </w:rPr>
              <w:t>kg/h，</w:t>
            </w:r>
            <w:r>
              <w:rPr>
                <w:rFonts w:hint="eastAsia"/>
                <w:color w:val="auto"/>
                <w:kern w:val="18"/>
                <w:sz w:val="24"/>
                <w:szCs w:val="24"/>
                <w:u w:val="single"/>
              </w:rPr>
              <w:t>活性炭吸附</w:t>
            </w:r>
            <w:r>
              <w:rPr>
                <w:color w:val="auto"/>
                <w:kern w:val="18"/>
                <w:sz w:val="24"/>
                <w:szCs w:val="24"/>
                <w:u w:val="single"/>
              </w:rPr>
              <w:t>量为</w:t>
            </w:r>
            <w:r>
              <w:rPr>
                <w:rFonts w:hint="eastAsia"/>
                <w:color w:val="auto"/>
                <w:kern w:val="18"/>
                <w:sz w:val="24"/>
                <w:szCs w:val="24"/>
                <w:u w:val="single"/>
                <w:lang w:val="en-US" w:eastAsia="zh-CN"/>
              </w:rPr>
              <w:t>1.437</w:t>
            </w:r>
            <w:r>
              <w:rPr>
                <w:color w:val="auto"/>
                <w:kern w:val="18"/>
                <w:sz w:val="24"/>
                <w:szCs w:val="24"/>
                <w:u w:val="single"/>
              </w:rPr>
              <w:t>t/a。</w:t>
            </w:r>
          </w:p>
          <w:p w14:paraId="4EE9D6D1">
            <w:pPr>
              <w:pStyle w:val="12"/>
              <w:spacing w:before="0" w:after="0" w:line="360" w:lineRule="auto"/>
              <w:ind w:right="0" w:firstLine="420"/>
              <w:rPr>
                <w:color w:val="auto"/>
                <w:kern w:val="18"/>
                <w:sz w:val="24"/>
                <w:szCs w:val="24"/>
                <w:u w:val="single"/>
              </w:rPr>
            </w:pPr>
            <w:r>
              <w:rPr>
                <w:color w:val="auto"/>
                <w:kern w:val="18"/>
                <w:sz w:val="24"/>
                <w:szCs w:val="24"/>
                <w:u w:val="single"/>
              </w:rPr>
              <w:t>根据《排放源统计调查产排污核算方法和系数手册》中的《33 金属制品业》行业系数手册，消失模浇铸工序颗粒物产污系数为0.967kg/t产品，故本项目颗粒物产生量为</w:t>
            </w:r>
            <w:r>
              <w:rPr>
                <w:rFonts w:hint="eastAsia"/>
                <w:color w:val="auto"/>
                <w:kern w:val="18"/>
                <w:sz w:val="24"/>
                <w:szCs w:val="24"/>
                <w:u w:val="single"/>
              </w:rPr>
              <w:t>4.545</w:t>
            </w:r>
            <w:r>
              <w:rPr>
                <w:color w:val="auto"/>
                <w:kern w:val="18"/>
                <w:sz w:val="24"/>
                <w:szCs w:val="24"/>
                <w:u w:val="single"/>
              </w:rPr>
              <w:t>t/a，产生速率为1.</w:t>
            </w:r>
            <w:r>
              <w:rPr>
                <w:rFonts w:hint="eastAsia"/>
                <w:color w:val="auto"/>
                <w:kern w:val="18"/>
                <w:sz w:val="24"/>
                <w:szCs w:val="24"/>
                <w:u w:val="single"/>
              </w:rPr>
              <w:t>894</w:t>
            </w:r>
            <w:r>
              <w:rPr>
                <w:color w:val="auto"/>
                <w:kern w:val="18"/>
                <w:sz w:val="24"/>
                <w:szCs w:val="24"/>
                <w:u w:val="single"/>
              </w:rPr>
              <w:t>kg/h。本项目浇铸废气经</w:t>
            </w:r>
            <w:r>
              <w:rPr>
                <w:rFonts w:hint="eastAsia"/>
                <w:color w:val="auto"/>
                <w:kern w:val="18"/>
                <w:sz w:val="24"/>
                <w:szCs w:val="24"/>
                <w:u w:val="single"/>
              </w:rPr>
              <w:t>负压</w:t>
            </w:r>
            <w:r>
              <w:rPr>
                <w:color w:val="auto"/>
                <w:kern w:val="18"/>
                <w:sz w:val="24"/>
                <w:szCs w:val="24"/>
                <w:u w:val="single"/>
              </w:rPr>
              <w:t>收集后由高温布袋除尘器</w:t>
            </w:r>
            <w:r>
              <w:rPr>
                <w:rFonts w:hint="eastAsia"/>
                <w:color w:val="auto"/>
                <w:sz w:val="24"/>
                <w:szCs w:val="24"/>
                <w:u w:val="single"/>
              </w:rPr>
              <w:t>（TA002）</w:t>
            </w:r>
            <w:r>
              <w:rPr>
                <w:color w:val="auto"/>
                <w:kern w:val="18"/>
                <w:sz w:val="24"/>
                <w:szCs w:val="24"/>
                <w:u w:val="single"/>
              </w:rPr>
              <w:t>+</w:t>
            </w:r>
            <w:r>
              <w:rPr>
                <w:rFonts w:hint="eastAsia"/>
                <w:color w:val="auto"/>
                <w:kern w:val="18"/>
                <w:sz w:val="24"/>
                <w:szCs w:val="24"/>
                <w:u w:val="single"/>
              </w:rPr>
              <w:t>二级</w:t>
            </w:r>
            <w:r>
              <w:rPr>
                <w:color w:val="auto"/>
                <w:kern w:val="18"/>
                <w:sz w:val="24"/>
                <w:szCs w:val="24"/>
                <w:u w:val="single"/>
              </w:rPr>
              <w:t>活性炭吸附</w:t>
            </w:r>
            <w:r>
              <w:rPr>
                <w:rFonts w:hint="eastAsia"/>
                <w:color w:val="auto"/>
                <w:sz w:val="24"/>
                <w:szCs w:val="24"/>
                <w:u w:val="single"/>
              </w:rPr>
              <w:t>（TA003）</w:t>
            </w:r>
            <w:r>
              <w:rPr>
                <w:color w:val="auto"/>
                <w:kern w:val="18"/>
                <w:sz w:val="24"/>
                <w:szCs w:val="24"/>
                <w:u w:val="single"/>
              </w:rPr>
              <w:t>处理后15米高排气筒（DA00</w:t>
            </w:r>
            <w:r>
              <w:rPr>
                <w:rFonts w:hint="eastAsia"/>
                <w:color w:val="auto"/>
                <w:kern w:val="18"/>
                <w:sz w:val="24"/>
                <w:szCs w:val="24"/>
                <w:u w:val="single"/>
              </w:rPr>
              <w:t>3</w:t>
            </w:r>
            <w:r>
              <w:rPr>
                <w:color w:val="auto"/>
                <w:kern w:val="18"/>
                <w:sz w:val="24"/>
                <w:szCs w:val="24"/>
                <w:u w:val="single"/>
              </w:rPr>
              <w:t>）高空排放，风机风量为</w:t>
            </w:r>
            <w:r>
              <w:rPr>
                <w:rFonts w:hint="eastAsia"/>
                <w:color w:val="auto"/>
                <w:kern w:val="18"/>
                <w:sz w:val="24"/>
                <w:szCs w:val="24"/>
                <w:u w:val="single"/>
              </w:rPr>
              <w:t>15917</w:t>
            </w:r>
            <w:r>
              <w:rPr>
                <w:color w:val="auto"/>
                <w:kern w:val="18"/>
                <w:sz w:val="24"/>
                <w:szCs w:val="24"/>
                <w:u w:val="single"/>
              </w:rPr>
              <w:t>m</w:t>
            </w:r>
            <w:r>
              <w:rPr>
                <w:color w:val="auto"/>
                <w:kern w:val="18"/>
                <w:sz w:val="24"/>
                <w:szCs w:val="24"/>
                <w:u w:val="single"/>
                <w:vertAlign w:val="superscript"/>
              </w:rPr>
              <w:t>3</w:t>
            </w:r>
            <w:r>
              <w:rPr>
                <w:color w:val="auto"/>
                <w:kern w:val="18"/>
                <w:sz w:val="24"/>
                <w:szCs w:val="24"/>
                <w:u w:val="single"/>
              </w:rPr>
              <w:t>/h，本次评价收集效率取</w:t>
            </w:r>
            <w:r>
              <w:rPr>
                <w:rFonts w:hint="eastAsia"/>
                <w:color w:val="auto"/>
                <w:kern w:val="18"/>
                <w:sz w:val="24"/>
                <w:szCs w:val="24"/>
                <w:u w:val="single"/>
              </w:rPr>
              <w:t>9</w:t>
            </w:r>
            <w:r>
              <w:rPr>
                <w:color w:val="auto"/>
                <w:kern w:val="18"/>
                <w:sz w:val="24"/>
                <w:szCs w:val="24"/>
                <w:u w:val="single"/>
              </w:rPr>
              <w:t>0%，处理效率取95%，故负压浇铸废气中颗粒物无组织排放量为0.</w:t>
            </w:r>
            <w:r>
              <w:rPr>
                <w:rFonts w:hint="eastAsia"/>
                <w:color w:val="auto"/>
                <w:kern w:val="18"/>
                <w:sz w:val="24"/>
                <w:szCs w:val="24"/>
                <w:u w:val="single"/>
              </w:rPr>
              <w:t>455</w:t>
            </w:r>
            <w:r>
              <w:rPr>
                <w:color w:val="auto"/>
                <w:kern w:val="18"/>
                <w:sz w:val="24"/>
                <w:szCs w:val="24"/>
                <w:u w:val="single"/>
              </w:rPr>
              <w:t>t/a，有组织排放量为 0.</w:t>
            </w:r>
            <w:r>
              <w:rPr>
                <w:rFonts w:hint="eastAsia"/>
                <w:color w:val="auto"/>
                <w:kern w:val="18"/>
                <w:sz w:val="24"/>
                <w:szCs w:val="24"/>
                <w:u w:val="single"/>
              </w:rPr>
              <w:t>205</w:t>
            </w:r>
            <w:r>
              <w:rPr>
                <w:color w:val="auto"/>
                <w:kern w:val="18"/>
                <w:sz w:val="24"/>
                <w:szCs w:val="24"/>
                <w:u w:val="single"/>
              </w:rPr>
              <w:t>t/a，排放速率为0.0</w:t>
            </w:r>
            <w:r>
              <w:rPr>
                <w:rFonts w:hint="eastAsia"/>
                <w:color w:val="auto"/>
                <w:kern w:val="18"/>
                <w:sz w:val="24"/>
                <w:szCs w:val="24"/>
                <w:u w:val="single"/>
              </w:rPr>
              <w:t>85</w:t>
            </w:r>
            <w:r>
              <w:rPr>
                <w:color w:val="auto"/>
                <w:kern w:val="18"/>
                <w:sz w:val="24"/>
                <w:szCs w:val="24"/>
                <w:u w:val="single"/>
              </w:rPr>
              <w:t>kg/h，高温布袋除尘器收集粉尘量为</w:t>
            </w:r>
            <w:r>
              <w:rPr>
                <w:rFonts w:hint="eastAsia"/>
                <w:color w:val="auto"/>
                <w:kern w:val="18"/>
                <w:sz w:val="24"/>
                <w:szCs w:val="24"/>
                <w:u w:val="single"/>
              </w:rPr>
              <w:t>3.886</w:t>
            </w:r>
            <w:r>
              <w:rPr>
                <w:color w:val="auto"/>
                <w:kern w:val="18"/>
                <w:sz w:val="24"/>
                <w:szCs w:val="24"/>
                <w:u w:val="single"/>
              </w:rPr>
              <w:t>t/a。</w:t>
            </w:r>
          </w:p>
          <w:p w14:paraId="7BE2F560">
            <w:pPr>
              <w:pStyle w:val="12"/>
              <w:spacing w:before="0" w:after="0" w:line="360" w:lineRule="auto"/>
              <w:ind w:right="0" w:firstLine="420"/>
              <w:rPr>
                <w:color w:val="auto"/>
                <w:kern w:val="18"/>
                <w:sz w:val="24"/>
                <w:szCs w:val="24"/>
              </w:rPr>
            </w:pPr>
            <w:r>
              <w:rPr>
                <w:rFonts w:hint="eastAsia"/>
                <w:color w:val="auto"/>
                <w:kern w:val="18"/>
                <w:sz w:val="24"/>
                <w:szCs w:val="24"/>
              </w:rPr>
              <w:t>b</w:t>
            </w:r>
            <w:r>
              <w:rPr>
                <w:color w:val="auto"/>
                <w:kern w:val="18"/>
                <w:sz w:val="24"/>
                <w:szCs w:val="24"/>
              </w:rPr>
              <w:t>、</w:t>
            </w:r>
            <w:r>
              <w:rPr>
                <w:rFonts w:hint="eastAsia"/>
                <w:color w:val="auto"/>
                <w:kern w:val="18"/>
                <w:sz w:val="24"/>
                <w:szCs w:val="24"/>
              </w:rPr>
              <w:t>水玻璃铸造工艺</w:t>
            </w:r>
            <w:r>
              <w:rPr>
                <w:color w:val="auto"/>
                <w:kern w:val="18"/>
                <w:sz w:val="24"/>
                <w:szCs w:val="24"/>
              </w:rPr>
              <w:t>：</w:t>
            </w:r>
          </w:p>
          <w:p w14:paraId="4CEC61D4">
            <w:pPr>
              <w:pStyle w:val="12"/>
              <w:spacing w:before="0" w:after="0" w:line="360" w:lineRule="auto"/>
              <w:ind w:right="0" w:firstLine="420"/>
              <w:rPr>
                <w:color w:val="auto"/>
                <w:kern w:val="18"/>
                <w:sz w:val="24"/>
                <w:szCs w:val="24"/>
              </w:rPr>
            </w:pPr>
            <w:r>
              <w:rPr>
                <w:color w:val="auto"/>
                <w:kern w:val="18"/>
                <w:sz w:val="24"/>
                <w:szCs w:val="24"/>
              </w:rPr>
              <w:t>根据《排放源统计调查产排污核算方法和系数手册》中的《33 金属制品业》行业系数手册，</w:t>
            </w:r>
            <w:r>
              <w:rPr>
                <w:rFonts w:hint="eastAsia"/>
                <w:color w:val="auto"/>
                <w:kern w:val="18"/>
                <w:sz w:val="24"/>
                <w:szCs w:val="24"/>
              </w:rPr>
              <w:t>水玻璃熔模</w:t>
            </w:r>
            <w:r>
              <w:rPr>
                <w:color w:val="auto"/>
                <w:kern w:val="18"/>
                <w:sz w:val="24"/>
                <w:szCs w:val="24"/>
              </w:rPr>
              <w:t>浇铸工序颗粒物产污系数为0.</w:t>
            </w:r>
            <w:r>
              <w:rPr>
                <w:rFonts w:hint="eastAsia"/>
                <w:color w:val="auto"/>
                <w:kern w:val="18"/>
                <w:sz w:val="24"/>
                <w:szCs w:val="24"/>
              </w:rPr>
              <w:t>560</w:t>
            </w:r>
            <w:r>
              <w:rPr>
                <w:color w:val="auto"/>
                <w:kern w:val="18"/>
                <w:sz w:val="24"/>
                <w:szCs w:val="24"/>
              </w:rPr>
              <w:t>kg/t产品，</w:t>
            </w:r>
            <w:r>
              <w:rPr>
                <w:rFonts w:hint="eastAsia"/>
                <w:color w:val="auto"/>
                <w:kern w:val="18"/>
                <w:sz w:val="24"/>
                <w:szCs w:val="24"/>
              </w:rPr>
              <w:t>水玻璃工艺铸造产品产量为300t/a，</w:t>
            </w:r>
            <w:r>
              <w:rPr>
                <w:color w:val="auto"/>
                <w:kern w:val="18"/>
                <w:sz w:val="24"/>
                <w:szCs w:val="24"/>
              </w:rPr>
              <w:t>故本</w:t>
            </w:r>
            <w:r>
              <w:rPr>
                <w:rFonts w:hint="eastAsia"/>
                <w:color w:val="auto"/>
                <w:kern w:val="18"/>
                <w:sz w:val="24"/>
                <w:szCs w:val="24"/>
              </w:rPr>
              <w:t>工序</w:t>
            </w:r>
            <w:r>
              <w:rPr>
                <w:color w:val="auto"/>
                <w:kern w:val="18"/>
                <w:sz w:val="24"/>
                <w:szCs w:val="24"/>
              </w:rPr>
              <w:t>颗粒物产生量为</w:t>
            </w:r>
            <w:r>
              <w:rPr>
                <w:rFonts w:hint="eastAsia"/>
                <w:color w:val="auto"/>
                <w:kern w:val="18"/>
                <w:sz w:val="24"/>
                <w:szCs w:val="24"/>
              </w:rPr>
              <w:t>0.168</w:t>
            </w:r>
            <w:r>
              <w:rPr>
                <w:color w:val="auto"/>
                <w:kern w:val="18"/>
                <w:sz w:val="24"/>
                <w:szCs w:val="24"/>
              </w:rPr>
              <w:t>t/a，产生速率为</w:t>
            </w:r>
            <w:r>
              <w:rPr>
                <w:rFonts w:hint="eastAsia"/>
                <w:color w:val="auto"/>
                <w:kern w:val="18"/>
                <w:sz w:val="24"/>
                <w:szCs w:val="24"/>
              </w:rPr>
              <w:t>0.07</w:t>
            </w:r>
            <w:r>
              <w:rPr>
                <w:color w:val="auto"/>
                <w:kern w:val="18"/>
                <w:sz w:val="24"/>
                <w:szCs w:val="24"/>
              </w:rPr>
              <w:t>kg/h，产生浓度为</w:t>
            </w:r>
            <w:r>
              <w:rPr>
                <w:rFonts w:hint="eastAsia"/>
                <w:color w:val="auto"/>
                <w:kern w:val="18"/>
                <w:sz w:val="24"/>
                <w:szCs w:val="24"/>
              </w:rPr>
              <w:t>4.40</w:t>
            </w:r>
            <w:r>
              <w:rPr>
                <w:color w:val="auto"/>
                <w:kern w:val="18"/>
                <w:sz w:val="24"/>
                <w:szCs w:val="24"/>
              </w:rPr>
              <w:t>mg/m</w:t>
            </w:r>
            <w:r>
              <w:rPr>
                <w:color w:val="auto"/>
                <w:kern w:val="18"/>
                <w:sz w:val="24"/>
                <w:szCs w:val="24"/>
                <w:vertAlign w:val="superscript"/>
              </w:rPr>
              <w:t>3</w:t>
            </w:r>
            <w:r>
              <w:rPr>
                <w:color w:val="auto"/>
                <w:kern w:val="18"/>
                <w:sz w:val="24"/>
                <w:szCs w:val="24"/>
              </w:rPr>
              <w:t>。本项目浇铸废气经集气罩收集后由高温布袋除尘器</w:t>
            </w:r>
            <w:r>
              <w:rPr>
                <w:rFonts w:hint="eastAsia"/>
                <w:color w:val="auto"/>
                <w:sz w:val="24"/>
                <w:szCs w:val="24"/>
              </w:rPr>
              <w:t>（TA002）</w:t>
            </w:r>
            <w:r>
              <w:rPr>
                <w:color w:val="auto"/>
                <w:kern w:val="18"/>
                <w:sz w:val="24"/>
                <w:szCs w:val="24"/>
              </w:rPr>
              <w:t>+</w:t>
            </w:r>
            <w:r>
              <w:rPr>
                <w:rFonts w:hint="eastAsia"/>
                <w:color w:val="auto"/>
                <w:kern w:val="18"/>
                <w:sz w:val="24"/>
                <w:szCs w:val="24"/>
              </w:rPr>
              <w:t>二级</w:t>
            </w:r>
            <w:r>
              <w:rPr>
                <w:color w:val="auto"/>
                <w:kern w:val="18"/>
                <w:sz w:val="24"/>
                <w:szCs w:val="24"/>
              </w:rPr>
              <w:t>活性炭吸附</w:t>
            </w:r>
            <w:r>
              <w:rPr>
                <w:rFonts w:hint="eastAsia"/>
                <w:color w:val="auto"/>
                <w:sz w:val="24"/>
                <w:szCs w:val="24"/>
              </w:rPr>
              <w:t>（TA003）</w:t>
            </w:r>
            <w:r>
              <w:rPr>
                <w:color w:val="auto"/>
                <w:kern w:val="18"/>
                <w:sz w:val="24"/>
                <w:szCs w:val="24"/>
              </w:rPr>
              <w:t>处理后15米高排气筒</w:t>
            </w:r>
            <w:r>
              <w:rPr>
                <w:color w:val="auto"/>
                <w:kern w:val="18"/>
                <w:sz w:val="24"/>
                <w:szCs w:val="24"/>
                <w:highlight w:val="none"/>
              </w:rPr>
              <w:t>（DA00</w:t>
            </w:r>
            <w:r>
              <w:rPr>
                <w:rFonts w:hint="eastAsia"/>
                <w:color w:val="auto"/>
                <w:kern w:val="18"/>
                <w:sz w:val="24"/>
                <w:szCs w:val="24"/>
                <w:highlight w:val="none"/>
                <w:lang w:val="en-US" w:eastAsia="zh-CN"/>
              </w:rPr>
              <w:t>3</w:t>
            </w:r>
            <w:r>
              <w:rPr>
                <w:color w:val="auto"/>
                <w:kern w:val="18"/>
                <w:sz w:val="24"/>
                <w:szCs w:val="24"/>
                <w:highlight w:val="none"/>
              </w:rPr>
              <w:t>）</w:t>
            </w:r>
            <w:r>
              <w:rPr>
                <w:color w:val="auto"/>
                <w:kern w:val="18"/>
                <w:sz w:val="24"/>
                <w:szCs w:val="24"/>
              </w:rPr>
              <w:t>高空排放，风机风量为</w:t>
            </w:r>
            <w:r>
              <w:rPr>
                <w:rFonts w:hint="eastAsia"/>
                <w:color w:val="auto"/>
                <w:kern w:val="18"/>
                <w:sz w:val="24"/>
                <w:szCs w:val="24"/>
              </w:rPr>
              <w:t>15917</w:t>
            </w:r>
            <w:r>
              <w:rPr>
                <w:color w:val="auto"/>
                <w:kern w:val="18"/>
                <w:sz w:val="24"/>
                <w:szCs w:val="24"/>
              </w:rPr>
              <w:t>m</w:t>
            </w:r>
            <w:r>
              <w:rPr>
                <w:color w:val="auto"/>
                <w:kern w:val="18"/>
                <w:sz w:val="24"/>
                <w:szCs w:val="24"/>
                <w:vertAlign w:val="superscript"/>
              </w:rPr>
              <w:t>3</w:t>
            </w:r>
            <w:r>
              <w:rPr>
                <w:color w:val="auto"/>
                <w:kern w:val="18"/>
                <w:sz w:val="24"/>
                <w:szCs w:val="24"/>
              </w:rPr>
              <w:t>/h，本次评价收集效率取80%，处理效率取95%，故浇铸废气中颗粒物无组织排放量为0.</w:t>
            </w:r>
            <w:r>
              <w:rPr>
                <w:rFonts w:hint="eastAsia"/>
                <w:color w:val="auto"/>
                <w:kern w:val="18"/>
                <w:sz w:val="24"/>
                <w:szCs w:val="24"/>
              </w:rPr>
              <w:t>034</w:t>
            </w:r>
            <w:r>
              <w:rPr>
                <w:color w:val="auto"/>
                <w:kern w:val="18"/>
                <w:sz w:val="24"/>
                <w:szCs w:val="24"/>
              </w:rPr>
              <w:t>t/a，有组织排放量为 0.</w:t>
            </w:r>
            <w:r>
              <w:rPr>
                <w:rFonts w:hint="eastAsia"/>
                <w:color w:val="auto"/>
                <w:kern w:val="18"/>
                <w:sz w:val="24"/>
                <w:szCs w:val="24"/>
              </w:rPr>
              <w:t>067</w:t>
            </w:r>
            <w:r>
              <w:rPr>
                <w:color w:val="auto"/>
                <w:kern w:val="18"/>
                <w:sz w:val="24"/>
                <w:szCs w:val="24"/>
              </w:rPr>
              <w:t>t/a，排放速率为0.0</w:t>
            </w:r>
            <w:r>
              <w:rPr>
                <w:rFonts w:hint="eastAsia"/>
                <w:color w:val="auto"/>
                <w:kern w:val="18"/>
                <w:sz w:val="24"/>
                <w:szCs w:val="24"/>
              </w:rPr>
              <w:t>28</w:t>
            </w:r>
            <w:r>
              <w:rPr>
                <w:color w:val="auto"/>
                <w:kern w:val="18"/>
                <w:sz w:val="24"/>
                <w:szCs w:val="24"/>
              </w:rPr>
              <w:t>kg/h，排放浓度为</w:t>
            </w:r>
            <w:r>
              <w:rPr>
                <w:rFonts w:hint="eastAsia"/>
                <w:color w:val="auto"/>
                <w:kern w:val="18"/>
                <w:sz w:val="24"/>
                <w:szCs w:val="24"/>
              </w:rPr>
              <w:t>1.76</w:t>
            </w:r>
            <w:r>
              <w:rPr>
                <w:color w:val="auto"/>
                <w:kern w:val="18"/>
                <w:sz w:val="24"/>
                <w:szCs w:val="24"/>
              </w:rPr>
              <w:t>mg/m</w:t>
            </w:r>
            <w:r>
              <w:rPr>
                <w:color w:val="auto"/>
                <w:kern w:val="18"/>
                <w:sz w:val="24"/>
                <w:szCs w:val="24"/>
                <w:vertAlign w:val="superscript"/>
              </w:rPr>
              <w:t>3</w:t>
            </w:r>
            <w:r>
              <w:rPr>
                <w:color w:val="auto"/>
                <w:kern w:val="18"/>
                <w:sz w:val="24"/>
                <w:szCs w:val="24"/>
              </w:rPr>
              <w:t>，高温布袋除尘器收集粉尘量为</w:t>
            </w:r>
            <w:r>
              <w:rPr>
                <w:rFonts w:hint="eastAsia"/>
                <w:color w:val="auto"/>
                <w:kern w:val="18"/>
                <w:sz w:val="24"/>
                <w:szCs w:val="24"/>
              </w:rPr>
              <w:t>0.067</w:t>
            </w:r>
            <w:r>
              <w:rPr>
                <w:color w:val="auto"/>
                <w:kern w:val="18"/>
                <w:sz w:val="24"/>
                <w:szCs w:val="24"/>
              </w:rPr>
              <w:t>t/a。</w:t>
            </w:r>
          </w:p>
          <w:p w14:paraId="2371E8E5">
            <w:pPr>
              <w:pStyle w:val="12"/>
              <w:spacing w:before="0" w:after="0" w:line="360" w:lineRule="auto"/>
              <w:ind w:right="0" w:firstLine="420"/>
              <w:rPr>
                <w:color w:val="auto"/>
                <w:kern w:val="18"/>
                <w:sz w:val="24"/>
                <w:szCs w:val="24"/>
              </w:rPr>
            </w:pPr>
            <w:r>
              <w:rPr>
                <w:rFonts w:hint="eastAsia"/>
                <w:color w:val="auto"/>
                <w:kern w:val="18"/>
                <w:sz w:val="24"/>
                <w:szCs w:val="24"/>
              </w:rPr>
              <w:t>⑨落砂粉尘</w:t>
            </w:r>
          </w:p>
          <w:p w14:paraId="64005BBA">
            <w:pPr>
              <w:pStyle w:val="12"/>
              <w:spacing w:before="0" w:after="0" w:line="360" w:lineRule="auto"/>
              <w:ind w:right="0" w:firstLine="420"/>
              <w:rPr>
                <w:color w:val="auto"/>
                <w:kern w:val="18"/>
                <w:sz w:val="24"/>
                <w:szCs w:val="24"/>
              </w:rPr>
            </w:pPr>
            <w:r>
              <w:rPr>
                <w:rFonts w:hint="eastAsia"/>
                <w:color w:val="auto"/>
                <w:kern w:val="18"/>
                <w:sz w:val="24"/>
                <w:szCs w:val="24"/>
              </w:rPr>
              <w:t>a</w:t>
            </w:r>
            <w:r>
              <w:rPr>
                <w:color w:val="auto"/>
                <w:kern w:val="18"/>
                <w:sz w:val="24"/>
                <w:szCs w:val="24"/>
              </w:rPr>
              <w:t>、消失模</w:t>
            </w:r>
            <w:r>
              <w:rPr>
                <w:rFonts w:hint="eastAsia"/>
                <w:color w:val="auto"/>
                <w:kern w:val="18"/>
                <w:sz w:val="24"/>
                <w:szCs w:val="24"/>
              </w:rPr>
              <w:t>铸造工艺</w:t>
            </w:r>
          </w:p>
          <w:p w14:paraId="7CCBD3CC">
            <w:pPr>
              <w:pStyle w:val="12"/>
              <w:spacing w:before="0" w:after="0" w:line="360" w:lineRule="auto"/>
              <w:ind w:right="0" w:firstLine="420"/>
              <w:rPr>
                <w:color w:val="auto"/>
                <w:kern w:val="18"/>
                <w:sz w:val="24"/>
                <w:szCs w:val="24"/>
              </w:rPr>
            </w:pPr>
            <w:r>
              <w:rPr>
                <w:rFonts w:hint="eastAsia"/>
                <w:color w:val="auto"/>
                <w:kern w:val="18"/>
                <w:sz w:val="24"/>
                <w:szCs w:val="24"/>
              </w:rPr>
              <w:t>砂型铸件冷却后，出箱清理铸件表面型砂，会产生落砂粉尘，类比同类型项目，参考《逸散性工业粉尘控制技术》中铸铁厂“铸件出砂”产污系数为0.6kg/t产品，</w:t>
            </w:r>
            <w:r>
              <w:rPr>
                <w:rFonts w:hint="eastAsia"/>
                <w:color w:val="auto"/>
                <w:sz w:val="24"/>
                <w:szCs w:val="24"/>
              </w:rPr>
              <w:t>消失模铸造产品产量</w:t>
            </w:r>
            <w:r>
              <w:rPr>
                <w:color w:val="auto"/>
                <w:sz w:val="24"/>
                <w:szCs w:val="24"/>
              </w:rPr>
              <w:t>为</w:t>
            </w:r>
            <w:r>
              <w:rPr>
                <w:rFonts w:hint="eastAsia"/>
                <w:color w:val="auto"/>
                <w:sz w:val="24"/>
                <w:szCs w:val="24"/>
              </w:rPr>
              <w:t>4700</w:t>
            </w:r>
            <w:r>
              <w:rPr>
                <w:rFonts w:hint="eastAsia"/>
                <w:color w:val="auto"/>
                <w:kern w:val="18"/>
                <w:sz w:val="24"/>
                <w:szCs w:val="24"/>
              </w:rPr>
              <w:t>t/a</w:t>
            </w:r>
            <w:r>
              <w:rPr>
                <w:color w:val="auto"/>
                <w:sz w:val="24"/>
                <w:szCs w:val="24"/>
              </w:rPr>
              <w:t>，</w:t>
            </w:r>
            <w:r>
              <w:rPr>
                <w:rFonts w:hint="eastAsia"/>
                <w:color w:val="auto"/>
                <w:kern w:val="18"/>
                <w:sz w:val="24"/>
                <w:szCs w:val="24"/>
              </w:rPr>
              <w:t>则落砂粉尘产生量约为2.82t/a。落砂过程上方设置集气罩，对产生的粉尘进行收集，收集量按80%计算，由风机引至</w:t>
            </w:r>
            <w:r>
              <w:rPr>
                <w:rFonts w:hint="eastAsia"/>
                <w:color w:val="auto"/>
                <w:kern w:val="18"/>
                <w:sz w:val="24"/>
                <w:szCs w:val="24"/>
                <w:lang w:val="en-US" w:eastAsia="zh-CN"/>
              </w:rPr>
              <w:t>布袋</w:t>
            </w:r>
            <w:r>
              <w:rPr>
                <w:rFonts w:hint="eastAsia"/>
                <w:color w:val="auto"/>
                <w:kern w:val="18"/>
                <w:sz w:val="24"/>
                <w:szCs w:val="24"/>
              </w:rPr>
              <w:t>除尘器</w:t>
            </w:r>
            <w:r>
              <w:rPr>
                <w:rFonts w:hint="eastAsia"/>
                <w:color w:val="auto"/>
                <w:sz w:val="24"/>
                <w:szCs w:val="24"/>
              </w:rPr>
              <w:t>（TA004）</w:t>
            </w:r>
            <w:r>
              <w:rPr>
                <w:rFonts w:hint="eastAsia"/>
                <w:color w:val="auto"/>
                <w:kern w:val="18"/>
                <w:sz w:val="24"/>
                <w:szCs w:val="24"/>
              </w:rPr>
              <w:t>处理后由15m排气筒（DA003）排放，风机风量约为</w:t>
            </w:r>
            <w:r>
              <w:rPr>
                <w:color w:val="auto"/>
                <w:kern w:val="18"/>
                <w:sz w:val="24"/>
                <w:szCs w:val="24"/>
              </w:rPr>
              <w:t>3</w:t>
            </w:r>
            <w:r>
              <w:rPr>
                <w:rFonts w:hint="eastAsia"/>
                <w:color w:val="auto"/>
                <w:kern w:val="18"/>
                <w:sz w:val="24"/>
                <w:szCs w:val="24"/>
              </w:rPr>
              <w:t>2</w:t>
            </w:r>
            <w:r>
              <w:rPr>
                <w:color w:val="auto"/>
                <w:kern w:val="18"/>
                <w:sz w:val="24"/>
                <w:szCs w:val="24"/>
              </w:rPr>
              <w:t>000m</w:t>
            </w:r>
            <w:r>
              <w:rPr>
                <w:color w:val="auto"/>
                <w:kern w:val="18"/>
                <w:sz w:val="24"/>
                <w:szCs w:val="24"/>
                <w:vertAlign w:val="superscript"/>
              </w:rPr>
              <w:t>3</w:t>
            </w:r>
            <w:r>
              <w:rPr>
                <w:color w:val="auto"/>
                <w:kern w:val="18"/>
                <w:sz w:val="24"/>
                <w:szCs w:val="24"/>
              </w:rPr>
              <w:t>/h</w:t>
            </w:r>
            <w:r>
              <w:rPr>
                <w:rFonts w:hint="eastAsia"/>
                <w:color w:val="auto"/>
                <w:kern w:val="18"/>
                <w:sz w:val="24"/>
                <w:szCs w:val="24"/>
              </w:rPr>
              <w:t>，</w:t>
            </w:r>
            <w:r>
              <w:rPr>
                <w:color w:val="auto"/>
                <w:kern w:val="18"/>
                <w:sz w:val="24"/>
                <w:szCs w:val="24"/>
              </w:rPr>
              <w:t>处理效率取95%，</w:t>
            </w:r>
            <w:r>
              <w:rPr>
                <w:rFonts w:hint="eastAsia"/>
                <w:color w:val="auto"/>
                <w:kern w:val="18"/>
                <w:sz w:val="24"/>
                <w:szCs w:val="24"/>
              </w:rPr>
              <w:t>落砂</w:t>
            </w:r>
            <w:r>
              <w:rPr>
                <w:color w:val="auto"/>
                <w:kern w:val="18"/>
                <w:sz w:val="24"/>
                <w:szCs w:val="24"/>
              </w:rPr>
              <w:t>废气中颗粒物无组织排放量为0.</w:t>
            </w:r>
            <w:r>
              <w:rPr>
                <w:rFonts w:hint="eastAsia"/>
                <w:color w:val="auto"/>
                <w:kern w:val="18"/>
                <w:sz w:val="24"/>
                <w:szCs w:val="24"/>
              </w:rPr>
              <w:t>564</w:t>
            </w:r>
            <w:r>
              <w:rPr>
                <w:color w:val="auto"/>
                <w:kern w:val="18"/>
                <w:sz w:val="24"/>
                <w:szCs w:val="24"/>
              </w:rPr>
              <w:t>t/a，有组织排放量为 0.1</w:t>
            </w:r>
            <w:r>
              <w:rPr>
                <w:rFonts w:hint="eastAsia"/>
                <w:color w:val="auto"/>
                <w:kern w:val="18"/>
                <w:sz w:val="24"/>
                <w:szCs w:val="24"/>
              </w:rPr>
              <w:t>13</w:t>
            </w:r>
            <w:r>
              <w:rPr>
                <w:color w:val="auto"/>
                <w:kern w:val="18"/>
                <w:sz w:val="24"/>
                <w:szCs w:val="24"/>
              </w:rPr>
              <w:t>t/a，排放速率为0.0</w:t>
            </w:r>
            <w:r>
              <w:rPr>
                <w:rFonts w:hint="eastAsia"/>
                <w:color w:val="auto"/>
                <w:kern w:val="18"/>
                <w:sz w:val="24"/>
                <w:szCs w:val="24"/>
              </w:rPr>
              <w:t>47</w:t>
            </w:r>
            <w:r>
              <w:rPr>
                <w:color w:val="auto"/>
                <w:kern w:val="18"/>
                <w:sz w:val="24"/>
                <w:szCs w:val="24"/>
              </w:rPr>
              <w:t>kg/h</w:t>
            </w:r>
            <w:r>
              <w:rPr>
                <w:rFonts w:hint="eastAsia"/>
                <w:color w:val="auto"/>
                <w:kern w:val="18"/>
                <w:sz w:val="24"/>
                <w:szCs w:val="24"/>
              </w:rPr>
              <w:t>，排放浓度为1.47</w:t>
            </w:r>
            <w:r>
              <w:rPr>
                <w:color w:val="auto"/>
                <w:kern w:val="18"/>
                <w:sz w:val="24"/>
                <w:szCs w:val="24"/>
              </w:rPr>
              <w:t>mg/m</w:t>
            </w:r>
            <w:r>
              <w:rPr>
                <w:color w:val="auto"/>
                <w:kern w:val="18"/>
                <w:sz w:val="24"/>
                <w:szCs w:val="24"/>
                <w:vertAlign w:val="superscript"/>
              </w:rPr>
              <w:t>3</w:t>
            </w:r>
            <w:r>
              <w:rPr>
                <w:rFonts w:hint="eastAsia"/>
                <w:color w:val="auto"/>
                <w:kern w:val="18"/>
                <w:sz w:val="24"/>
                <w:szCs w:val="24"/>
              </w:rPr>
              <w:t>。</w:t>
            </w:r>
            <w:r>
              <w:rPr>
                <w:color w:val="auto"/>
                <w:kern w:val="18"/>
                <w:sz w:val="24"/>
                <w:szCs w:val="24"/>
              </w:rPr>
              <w:t>布袋除尘器收集粉尘量为</w:t>
            </w:r>
            <w:r>
              <w:rPr>
                <w:rFonts w:hint="eastAsia"/>
                <w:color w:val="auto"/>
                <w:kern w:val="18"/>
                <w:sz w:val="24"/>
                <w:szCs w:val="24"/>
              </w:rPr>
              <w:t>2.143</w:t>
            </w:r>
            <w:r>
              <w:rPr>
                <w:color w:val="auto"/>
                <w:kern w:val="18"/>
                <w:sz w:val="24"/>
                <w:szCs w:val="24"/>
              </w:rPr>
              <w:t>t/a。</w:t>
            </w:r>
          </w:p>
          <w:p w14:paraId="32892229">
            <w:pPr>
              <w:pStyle w:val="12"/>
              <w:spacing w:before="0" w:after="0" w:line="360" w:lineRule="auto"/>
              <w:ind w:right="0" w:firstLine="420"/>
              <w:rPr>
                <w:color w:val="auto"/>
                <w:kern w:val="18"/>
                <w:sz w:val="24"/>
                <w:szCs w:val="24"/>
              </w:rPr>
            </w:pPr>
            <w:r>
              <w:rPr>
                <w:rFonts w:hint="eastAsia"/>
                <w:color w:val="auto"/>
                <w:kern w:val="18"/>
                <w:sz w:val="24"/>
                <w:szCs w:val="24"/>
              </w:rPr>
              <w:t>b</w:t>
            </w:r>
            <w:r>
              <w:rPr>
                <w:color w:val="auto"/>
                <w:kern w:val="18"/>
                <w:sz w:val="24"/>
                <w:szCs w:val="24"/>
              </w:rPr>
              <w:t>、</w:t>
            </w:r>
            <w:r>
              <w:rPr>
                <w:rFonts w:hint="eastAsia"/>
                <w:color w:val="auto"/>
                <w:kern w:val="18"/>
                <w:sz w:val="24"/>
                <w:szCs w:val="24"/>
              </w:rPr>
              <w:t>水玻璃铸造工艺</w:t>
            </w:r>
          </w:p>
          <w:p w14:paraId="51F04BD8">
            <w:pPr>
              <w:pStyle w:val="12"/>
              <w:spacing w:before="0" w:after="0" w:line="360" w:lineRule="auto"/>
              <w:ind w:right="0" w:firstLine="420"/>
              <w:rPr>
                <w:color w:val="auto"/>
                <w:kern w:val="18"/>
                <w:sz w:val="24"/>
                <w:szCs w:val="24"/>
              </w:rPr>
            </w:pPr>
            <w:r>
              <w:rPr>
                <w:rFonts w:hint="eastAsia"/>
                <w:color w:val="auto"/>
                <w:kern w:val="18"/>
                <w:sz w:val="24"/>
                <w:szCs w:val="24"/>
              </w:rPr>
              <w:t>砂型铸件冷却后，出箱清理铸件表面型砂，会产生落砂粉尘，类比同类型项目，参考《逸散性工业粉尘控制技术》中铸铁厂“铸件出砂”产污系数为0.6kg/t产品，水玻璃工艺铸造产品产量为300t/a，则落砂粉尘产生量约为0.18t/a。落砂过程上方设置集气罩，对产生的粉尘进行收集，收集量按80%计算，由风机引至</w:t>
            </w:r>
            <w:r>
              <w:rPr>
                <w:rFonts w:hint="eastAsia"/>
                <w:color w:val="auto"/>
                <w:kern w:val="18"/>
                <w:sz w:val="24"/>
                <w:szCs w:val="24"/>
                <w:lang w:val="en-US" w:eastAsia="zh-CN"/>
              </w:rPr>
              <w:t>布袋</w:t>
            </w:r>
            <w:r>
              <w:rPr>
                <w:rFonts w:hint="eastAsia"/>
                <w:color w:val="auto"/>
                <w:kern w:val="18"/>
                <w:sz w:val="24"/>
                <w:szCs w:val="24"/>
              </w:rPr>
              <w:t>除尘器</w:t>
            </w:r>
            <w:r>
              <w:rPr>
                <w:rFonts w:hint="eastAsia"/>
                <w:color w:val="auto"/>
                <w:sz w:val="24"/>
                <w:szCs w:val="24"/>
              </w:rPr>
              <w:t>（TA004）</w:t>
            </w:r>
            <w:r>
              <w:rPr>
                <w:rFonts w:hint="eastAsia"/>
                <w:color w:val="auto"/>
                <w:kern w:val="18"/>
                <w:sz w:val="24"/>
                <w:szCs w:val="24"/>
              </w:rPr>
              <w:t>处理后由15m排气筒（DA003）排放，风机风量约为</w:t>
            </w:r>
            <w:r>
              <w:rPr>
                <w:color w:val="auto"/>
                <w:kern w:val="18"/>
                <w:sz w:val="24"/>
                <w:szCs w:val="24"/>
              </w:rPr>
              <w:t>3</w:t>
            </w:r>
            <w:r>
              <w:rPr>
                <w:rFonts w:hint="eastAsia"/>
                <w:color w:val="auto"/>
                <w:kern w:val="18"/>
                <w:sz w:val="24"/>
                <w:szCs w:val="24"/>
              </w:rPr>
              <w:t>2</w:t>
            </w:r>
            <w:r>
              <w:rPr>
                <w:color w:val="auto"/>
                <w:kern w:val="18"/>
                <w:sz w:val="24"/>
                <w:szCs w:val="24"/>
              </w:rPr>
              <w:t>000m</w:t>
            </w:r>
            <w:r>
              <w:rPr>
                <w:color w:val="auto"/>
                <w:kern w:val="18"/>
                <w:sz w:val="24"/>
                <w:szCs w:val="24"/>
                <w:vertAlign w:val="superscript"/>
              </w:rPr>
              <w:t>3</w:t>
            </w:r>
            <w:r>
              <w:rPr>
                <w:color w:val="auto"/>
                <w:kern w:val="18"/>
                <w:sz w:val="24"/>
                <w:szCs w:val="24"/>
              </w:rPr>
              <w:t>/h</w:t>
            </w:r>
            <w:r>
              <w:rPr>
                <w:rFonts w:hint="eastAsia"/>
                <w:color w:val="auto"/>
                <w:kern w:val="18"/>
                <w:sz w:val="24"/>
                <w:szCs w:val="24"/>
              </w:rPr>
              <w:t>，</w:t>
            </w:r>
            <w:r>
              <w:rPr>
                <w:color w:val="auto"/>
                <w:kern w:val="18"/>
                <w:sz w:val="24"/>
                <w:szCs w:val="24"/>
              </w:rPr>
              <w:t>处理效率取95%，</w:t>
            </w:r>
            <w:r>
              <w:rPr>
                <w:rFonts w:hint="eastAsia"/>
                <w:color w:val="auto"/>
                <w:kern w:val="18"/>
                <w:sz w:val="24"/>
                <w:szCs w:val="24"/>
              </w:rPr>
              <w:t>落砂</w:t>
            </w:r>
            <w:r>
              <w:rPr>
                <w:color w:val="auto"/>
                <w:kern w:val="18"/>
                <w:sz w:val="24"/>
                <w:szCs w:val="24"/>
              </w:rPr>
              <w:t>废气中颗粒物无组织排放量为0.</w:t>
            </w:r>
            <w:r>
              <w:rPr>
                <w:rFonts w:hint="eastAsia"/>
                <w:color w:val="auto"/>
                <w:kern w:val="18"/>
                <w:sz w:val="24"/>
                <w:szCs w:val="24"/>
              </w:rPr>
              <w:t>036</w:t>
            </w:r>
            <w:r>
              <w:rPr>
                <w:color w:val="auto"/>
                <w:kern w:val="18"/>
                <w:sz w:val="24"/>
                <w:szCs w:val="24"/>
              </w:rPr>
              <w:t>t/a，有组织排放量为 0.</w:t>
            </w:r>
            <w:r>
              <w:rPr>
                <w:rFonts w:hint="eastAsia"/>
                <w:color w:val="auto"/>
                <w:kern w:val="18"/>
                <w:sz w:val="24"/>
                <w:szCs w:val="24"/>
              </w:rPr>
              <w:t>007</w:t>
            </w:r>
            <w:r>
              <w:rPr>
                <w:color w:val="auto"/>
                <w:kern w:val="18"/>
                <w:sz w:val="24"/>
                <w:szCs w:val="24"/>
              </w:rPr>
              <w:t>t/a，排放速率为0.0</w:t>
            </w:r>
            <w:r>
              <w:rPr>
                <w:rFonts w:hint="eastAsia"/>
                <w:color w:val="auto"/>
                <w:kern w:val="18"/>
                <w:sz w:val="24"/>
                <w:szCs w:val="24"/>
              </w:rPr>
              <w:t>03</w:t>
            </w:r>
            <w:r>
              <w:rPr>
                <w:color w:val="auto"/>
                <w:kern w:val="18"/>
                <w:sz w:val="24"/>
                <w:szCs w:val="24"/>
              </w:rPr>
              <w:t>kg/h</w:t>
            </w:r>
            <w:r>
              <w:rPr>
                <w:rFonts w:hint="eastAsia"/>
                <w:color w:val="auto"/>
                <w:kern w:val="18"/>
                <w:sz w:val="24"/>
                <w:szCs w:val="24"/>
              </w:rPr>
              <w:t>，排放浓度为0.09</w:t>
            </w:r>
            <w:r>
              <w:rPr>
                <w:color w:val="auto"/>
                <w:kern w:val="18"/>
                <w:sz w:val="24"/>
                <w:szCs w:val="24"/>
              </w:rPr>
              <w:t>mg/m</w:t>
            </w:r>
            <w:r>
              <w:rPr>
                <w:color w:val="auto"/>
                <w:kern w:val="18"/>
                <w:sz w:val="24"/>
                <w:szCs w:val="24"/>
                <w:vertAlign w:val="superscript"/>
              </w:rPr>
              <w:t>3</w:t>
            </w:r>
            <w:r>
              <w:rPr>
                <w:rFonts w:hint="eastAsia"/>
                <w:color w:val="auto"/>
                <w:kern w:val="18"/>
                <w:sz w:val="24"/>
                <w:szCs w:val="24"/>
              </w:rPr>
              <w:t>。</w:t>
            </w:r>
            <w:r>
              <w:rPr>
                <w:color w:val="auto"/>
                <w:kern w:val="18"/>
                <w:sz w:val="24"/>
                <w:szCs w:val="24"/>
              </w:rPr>
              <w:t>布袋除尘器收集粉尘量为</w:t>
            </w:r>
            <w:r>
              <w:rPr>
                <w:rFonts w:hint="eastAsia"/>
                <w:color w:val="auto"/>
                <w:kern w:val="18"/>
                <w:sz w:val="24"/>
                <w:szCs w:val="24"/>
              </w:rPr>
              <w:t>0.137</w:t>
            </w:r>
            <w:r>
              <w:rPr>
                <w:color w:val="auto"/>
                <w:kern w:val="18"/>
                <w:sz w:val="24"/>
                <w:szCs w:val="24"/>
              </w:rPr>
              <w:t>t/a。</w:t>
            </w:r>
          </w:p>
          <w:p w14:paraId="0A9A8C37">
            <w:pPr>
              <w:pStyle w:val="12"/>
              <w:spacing w:before="0" w:after="0" w:line="360" w:lineRule="auto"/>
              <w:ind w:right="0" w:firstLine="420"/>
              <w:rPr>
                <w:color w:val="auto"/>
                <w:kern w:val="18"/>
                <w:sz w:val="24"/>
                <w:szCs w:val="24"/>
                <w:u w:val="single"/>
              </w:rPr>
            </w:pPr>
            <w:r>
              <w:rPr>
                <w:rFonts w:hint="eastAsia"/>
                <w:color w:val="auto"/>
                <w:sz w:val="24"/>
                <w:szCs w:val="24"/>
                <w:u w:val="single"/>
              </w:rPr>
              <w:t>落砂工序集气罩至污染源距离约为0.3m，</w:t>
            </w:r>
            <w:r>
              <w:rPr>
                <w:color w:val="auto"/>
                <w:sz w:val="24"/>
                <w:szCs w:val="24"/>
                <w:u w:val="single"/>
              </w:rPr>
              <w:t>各产尘点集气罩尺寸合计</w:t>
            </w:r>
            <w:r>
              <w:rPr>
                <w:rFonts w:hint="eastAsia"/>
                <w:color w:val="auto"/>
                <w:sz w:val="24"/>
                <w:szCs w:val="24"/>
                <w:u w:val="single"/>
              </w:rPr>
              <w:t>约</w:t>
            </w:r>
            <w:r>
              <w:rPr>
                <w:color w:val="auto"/>
                <w:sz w:val="24"/>
                <w:szCs w:val="24"/>
                <w:u w:val="single"/>
              </w:rPr>
              <w:t>为</w:t>
            </w:r>
            <w:r>
              <w:rPr>
                <w:rFonts w:hint="eastAsia"/>
                <w:color w:val="auto"/>
                <w:sz w:val="24"/>
                <w:szCs w:val="24"/>
                <w:u w:val="single"/>
              </w:rPr>
              <w:t>9.6</w:t>
            </w:r>
            <w:r>
              <w:rPr>
                <w:color w:val="auto"/>
                <w:sz w:val="24"/>
                <w:szCs w:val="24"/>
                <w:u w:val="single"/>
              </w:rPr>
              <w:t>m</w:t>
            </w:r>
            <w:r>
              <w:rPr>
                <w:color w:val="auto"/>
                <w:sz w:val="24"/>
                <w:szCs w:val="24"/>
                <w:u w:val="single"/>
                <w:vertAlign w:val="superscript"/>
              </w:rPr>
              <w:t>2</w:t>
            </w:r>
            <w:r>
              <w:rPr>
                <w:rFonts w:hint="eastAsia"/>
                <w:color w:val="auto"/>
                <w:sz w:val="24"/>
                <w:szCs w:val="24"/>
                <w:u w:val="single"/>
              </w:rPr>
              <w:t>，一般控制风速为0.5m/s，根据公式计算，集气罩需要风量为18090m</w:t>
            </w:r>
            <w:r>
              <w:rPr>
                <w:rFonts w:hint="eastAsia"/>
                <w:color w:val="auto"/>
                <w:sz w:val="24"/>
                <w:szCs w:val="24"/>
                <w:u w:val="single"/>
                <w:vertAlign w:val="superscript"/>
              </w:rPr>
              <w:t>3</w:t>
            </w:r>
            <w:r>
              <w:rPr>
                <w:rFonts w:hint="eastAsia"/>
                <w:color w:val="auto"/>
                <w:sz w:val="24"/>
                <w:szCs w:val="24"/>
                <w:u w:val="single"/>
              </w:rPr>
              <w:t>/h。落砂工序</w:t>
            </w:r>
            <w:r>
              <w:rPr>
                <w:color w:val="auto"/>
                <w:sz w:val="24"/>
                <w:szCs w:val="24"/>
                <w:u w:val="single"/>
              </w:rPr>
              <w:t>风机风量为</w:t>
            </w:r>
            <w:r>
              <w:rPr>
                <w:rFonts w:hint="eastAsia"/>
                <w:color w:val="auto"/>
                <w:sz w:val="24"/>
                <w:szCs w:val="24"/>
                <w:u w:val="single"/>
              </w:rPr>
              <w:t>32000</w:t>
            </w:r>
            <w:r>
              <w:rPr>
                <w:color w:val="auto"/>
                <w:sz w:val="24"/>
                <w:szCs w:val="24"/>
                <w:u w:val="single"/>
              </w:rPr>
              <w:t>m</w:t>
            </w:r>
            <w:r>
              <w:rPr>
                <w:color w:val="auto"/>
                <w:sz w:val="24"/>
                <w:szCs w:val="24"/>
                <w:u w:val="single"/>
                <w:vertAlign w:val="superscript"/>
              </w:rPr>
              <w:t>3</w:t>
            </w:r>
            <w:r>
              <w:rPr>
                <w:color w:val="auto"/>
                <w:sz w:val="24"/>
                <w:szCs w:val="24"/>
                <w:u w:val="single"/>
              </w:rPr>
              <w:t>/h</w:t>
            </w:r>
            <w:r>
              <w:rPr>
                <w:rFonts w:hint="eastAsia"/>
                <w:color w:val="auto"/>
                <w:sz w:val="24"/>
                <w:szCs w:val="24"/>
                <w:u w:val="single"/>
              </w:rPr>
              <w:t>，可满足要求。</w:t>
            </w:r>
          </w:p>
          <w:p w14:paraId="6601DF4A">
            <w:pPr>
              <w:pStyle w:val="12"/>
              <w:spacing w:before="0" w:after="0" w:line="360" w:lineRule="auto"/>
              <w:ind w:right="0" w:firstLine="420"/>
              <w:rPr>
                <w:color w:val="auto"/>
                <w:kern w:val="18"/>
                <w:sz w:val="24"/>
                <w:szCs w:val="24"/>
              </w:rPr>
            </w:pPr>
            <w:r>
              <w:rPr>
                <w:rFonts w:hint="eastAsia" w:ascii="宋体" w:hAnsi="宋体" w:cs="宋体"/>
                <w:color w:val="auto"/>
                <w:kern w:val="18"/>
                <w:sz w:val="24"/>
                <w:szCs w:val="24"/>
              </w:rPr>
              <w:t>⑩</w:t>
            </w:r>
            <w:r>
              <w:rPr>
                <w:color w:val="auto"/>
                <w:kern w:val="18"/>
                <w:sz w:val="24"/>
                <w:szCs w:val="24"/>
              </w:rPr>
              <w:t>砂</w:t>
            </w:r>
            <w:r>
              <w:rPr>
                <w:rFonts w:hint="eastAsia"/>
                <w:color w:val="auto"/>
                <w:kern w:val="18"/>
                <w:sz w:val="24"/>
                <w:szCs w:val="24"/>
              </w:rPr>
              <w:t>处理</w:t>
            </w:r>
            <w:r>
              <w:rPr>
                <w:color w:val="auto"/>
                <w:kern w:val="18"/>
                <w:sz w:val="24"/>
                <w:szCs w:val="24"/>
              </w:rPr>
              <w:t>废气</w:t>
            </w:r>
          </w:p>
          <w:p w14:paraId="70DFF465">
            <w:pPr>
              <w:pStyle w:val="12"/>
              <w:spacing w:before="0" w:after="0" w:line="360" w:lineRule="auto"/>
              <w:ind w:right="0" w:firstLine="420"/>
              <w:rPr>
                <w:color w:val="auto"/>
                <w:kern w:val="18"/>
                <w:sz w:val="24"/>
                <w:szCs w:val="24"/>
              </w:rPr>
            </w:pPr>
            <w:r>
              <w:rPr>
                <w:rFonts w:hint="eastAsia"/>
                <w:color w:val="auto"/>
                <w:kern w:val="18"/>
                <w:sz w:val="24"/>
                <w:szCs w:val="24"/>
              </w:rPr>
              <w:t>a</w:t>
            </w:r>
            <w:r>
              <w:rPr>
                <w:color w:val="auto"/>
                <w:kern w:val="18"/>
                <w:sz w:val="24"/>
                <w:szCs w:val="24"/>
              </w:rPr>
              <w:t>、消失模</w:t>
            </w:r>
            <w:r>
              <w:rPr>
                <w:rFonts w:hint="eastAsia"/>
                <w:color w:val="auto"/>
                <w:kern w:val="18"/>
                <w:sz w:val="24"/>
                <w:szCs w:val="24"/>
              </w:rPr>
              <w:t>铸造工艺</w:t>
            </w:r>
          </w:p>
          <w:p w14:paraId="5AAFB0B7">
            <w:pPr>
              <w:pStyle w:val="12"/>
              <w:spacing w:before="0" w:after="0" w:line="360" w:lineRule="auto"/>
              <w:ind w:right="0" w:firstLine="420"/>
              <w:rPr>
                <w:color w:val="auto"/>
                <w:kern w:val="18"/>
                <w:sz w:val="24"/>
                <w:szCs w:val="24"/>
              </w:rPr>
            </w:pPr>
            <w:r>
              <w:rPr>
                <w:color w:val="auto"/>
                <w:kern w:val="18"/>
                <w:sz w:val="24"/>
                <w:szCs w:val="24"/>
              </w:rPr>
              <w:t>本项目</w:t>
            </w:r>
            <w:r>
              <w:rPr>
                <w:rFonts w:hint="eastAsia"/>
                <w:color w:val="auto"/>
                <w:kern w:val="18"/>
                <w:sz w:val="24"/>
                <w:szCs w:val="24"/>
              </w:rPr>
              <w:t>消失模工艺</w:t>
            </w:r>
            <w:r>
              <w:rPr>
                <w:color w:val="auto"/>
                <w:kern w:val="18"/>
                <w:sz w:val="24"/>
                <w:szCs w:val="24"/>
              </w:rPr>
              <w:t>砂</w:t>
            </w:r>
            <w:r>
              <w:rPr>
                <w:rFonts w:hint="eastAsia"/>
                <w:color w:val="auto"/>
                <w:kern w:val="18"/>
                <w:sz w:val="24"/>
                <w:szCs w:val="24"/>
              </w:rPr>
              <w:t>处理</w:t>
            </w:r>
            <w:r>
              <w:rPr>
                <w:color w:val="auto"/>
                <w:kern w:val="18"/>
                <w:sz w:val="24"/>
                <w:szCs w:val="24"/>
              </w:rPr>
              <w:t>会产生颗粒物，根据《排放源统计调查产排污核算方法和系数手册》中的《33 金属制品业》行业系数手册，消失模砂处理工序颗粒物产污系数为 7.9kg/t产品，</w:t>
            </w:r>
            <w:r>
              <w:rPr>
                <w:rFonts w:hint="eastAsia"/>
                <w:color w:val="auto"/>
                <w:sz w:val="24"/>
                <w:szCs w:val="24"/>
              </w:rPr>
              <w:t>消失模铸造产品产量</w:t>
            </w:r>
            <w:r>
              <w:rPr>
                <w:color w:val="auto"/>
                <w:sz w:val="24"/>
                <w:szCs w:val="24"/>
              </w:rPr>
              <w:t>为</w:t>
            </w:r>
            <w:r>
              <w:rPr>
                <w:rFonts w:hint="eastAsia"/>
                <w:color w:val="auto"/>
                <w:sz w:val="24"/>
                <w:szCs w:val="24"/>
              </w:rPr>
              <w:t>4700</w:t>
            </w:r>
            <w:r>
              <w:rPr>
                <w:rFonts w:hint="eastAsia"/>
                <w:color w:val="auto"/>
                <w:kern w:val="18"/>
                <w:sz w:val="24"/>
                <w:szCs w:val="24"/>
              </w:rPr>
              <w:t>t/a</w:t>
            </w:r>
            <w:r>
              <w:rPr>
                <w:color w:val="auto"/>
                <w:sz w:val="24"/>
                <w:szCs w:val="24"/>
              </w:rPr>
              <w:t>，</w:t>
            </w:r>
            <w:r>
              <w:rPr>
                <w:rFonts w:hint="eastAsia"/>
                <w:color w:val="auto"/>
                <w:kern w:val="18"/>
                <w:sz w:val="24"/>
                <w:szCs w:val="24"/>
              </w:rPr>
              <w:t>则</w:t>
            </w:r>
            <w:r>
              <w:rPr>
                <w:color w:val="auto"/>
                <w:kern w:val="18"/>
                <w:sz w:val="24"/>
                <w:szCs w:val="24"/>
              </w:rPr>
              <w:t>颗粒物产生量为</w:t>
            </w:r>
            <w:r>
              <w:rPr>
                <w:rFonts w:hint="eastAsia"/>
                <w:color w:val="auto"/>
                <w:kern w:val="18"/>
                <w:sz w:val="24"/>
                <w:szCs w:val="24"/>
              </w:rPr>
              <w:t>37.13</w:t>
            </w:r>
            <w:r>
              <w:rPr>
                <w:color w:val="auto"/>
                <w:kern w:val="18"/>
                <w:sz w:val="24"/>
                <w:szCs w:val="24"/>
              </w:rPr>
              <w:t>t/a，产生速率为1</w:t>
            </w:r>
            <w:r>
              <w:rPr>
                <w:rFonts w:hint="eastAsia"/>
                <w:color w:val="auto"/>
                <w:kern w:val="18"/>
                <w:sz w:val="24"/>
                <w:szCs w:val="24"/>
              </w:rPr>
              <w:t>5.471</w:t>
            </w:r>
            <w:r>
              <w:rPr>
                <w:color w:val="auto"/>
                <w:kern w:val="18"/>
                <w:sz w:val="24"/>
                <w:szCs w:val="24"/>
              </w:rPr>
              <w:t>kg/h，产生浓度为 393.33mg/m</w:t>
            </w:r>
            <w:r>
              <w:rPr>
                <w:color w:val="auto"/>
                <w:kern w:val="18"/>
                <w:sz w:val="24"/>
                <w:szCs w:val="24"/>
                <w:vertAlign w:val="superscript"/>
              </w:rPr>
              <w:t>3</w:t>
            </w:r>
            <w:r>
              <w:rPr>
                <w:color w:val="auto"/>
                <w:kern w:val="18"/>
                <w:sz w:val="24"/>
                <w:szCs w:val="24"/>
              </w:rPr>
              <w:t>。本项目砂</w:t>
            </w:r>
            <w:r>
              <w:rPr>
                <w:rFonts w:hint="eastAsia"/>
                <w:color w:val="auto"/>
                <w:kern w:val="18"/>
                <w:sz w:val="24"/>
                <w:szCs w:val="24"/>
              </w:rPr>
              <w:t>处理</w:t>
            </w:r>
            <w:r>
              <w:rPr>
                <w:rFonts w:hint="eastAsia"/>
                <w:color w:val="auto"/>
                <w:sz w:val="24"/>
                <w:szCs w:val="24"/>
              </w:rPr>
              <w:t>全封闭式，</w:t>
            </w:r>
            <w:r>
              <w:rPr>
                <w:color w:val="auto"/>
                <w:kern w:val="18"/>
                <w:sz w:val="24"/>
                <w:szCs w:val="24"/>
              </w:rPr>
              <w:t>废气经收集由布袋除尘器</w:t>
            </w:r>
            <w:r>
              <w:rPr>
                <w:rFonts w:hint="eastAsia"/>
                <w:color w:val="auto"/>
                <w:sz w:val="24"/>
                <w:szCs w:val="24"/>
              </w:rPr>
              <w:t>（TA005）</w:t>
            </w:r>
            <w:r>
              <w:rPr>
                <w:color w:val="auto"/>
                <w:kern w:val="18"/>
                <w:sz w:val="24"/>
                <w:szCs w:val="24"/>
              </w:rPr>
              <w:t>处理后</w:t>
            </w:r>
            <w:r>
              <w:rPr>
                <w:rFonts w:hint="eastAsia"/>
                <w:color w:val="auto"/>
                <w:kern w:val="18"/>
                <w:sz w:val="24"/>
                <w:szCs w:val="24"/>
              </w:rPr>
              <w:t>经</w:t>
            </w:r>
            <w:r>
              <w:rPr>
                <w:color w:val="auto"/>
                <w:kern w:val="18"/>
                <w:sz w:val="24"/>
                <w:szCs w:val="24"/>
              </w:rPr>
              <w:t>15米高排气筒（DA00</w:t>
            </w:r>
            <w:r>
              <w:rPr>
                <w:rFonts w:hint="eastAsia"/>
                <w:color w:val="auto"/>
                <w:kern w:val="18"/>
                <w:sz w:val="24"/>
                <w:szCs w:val="24"/>
              </w:rPr>
              <w:t>3</w:t>
            </w:r>
            <w:r>
              <w:rPr>
                <w:color w:val="auto"/>
                <w:kern w:val="18"/>
                <w:sz w:val="24"/>
                <w:szCs w:val="24"/>
              </w:rPr>
              <w:t>）高空排放，风机风量</w:t>
            </w:r>
            <w:r>
              <w:rPr>
                <w:rFonts w:hint="eastAsia"/>
                <w:color w:val="auto"/>
                <w:kern w:val="18"/>
                <w:sz w:val="24"/>
                <w:szCs w:val="24"/>
              </w:rPr>
              <w:t>约</w:t>
            </w:r>
            <w:r>
              <w:rPr>
                <w:color w:val="auto"/>
                <w:kern w:val="18"/>
                <w:sz w:val="24"/>
                <w:szCs w:val="24"/>
              </w:rPr>
              <w:t>为 3</w:t>
            </w:r>
            <w:r>
              <w:rPr>
                <w:rFonts w:hint="eastAsia"/>
                <w:color w:val="auto"/>
                <w:kern w:val="18"/>
                <w:sz w:val="24"/>
                <w:szCs w:val="24"/>
              </w:rPr>
              <w:t>2</w:t>
            </w:r>
            <w:r>
              <w:rPr>
                <w:color w:val="auto"/>
                <w:kern w:val="18"/>
                <w:sz w:val="24"/>
                <w:szCs w:val="24"/>
              </w:rPr>
              <w:t>000m</w:t>
            </w:r>
            <w:r>
              <w:rPr>
                <w:color w:val="auto"/>
                <w:kern w:val="18"/>
                <w:sz w:val="24"/>
                <w:szCs w:val="24"/>
                <w:vertAlign w:val="superscript"/>
              </w:rPr>
              <w:t>3</w:t>
            </w:r>
            <w:r>
              <w:rPr>
                <w:color w:val="auto"/>
                <w:kern w:val="18"/>
                <w:sz w:val="24"/>
                <w:szCs w:val="24"/>
              </w:rPr>
              <w:t>/h，处理效率取 95%，故砂</w:t>
            </w:r>
            <w:r>
              <w:rPr>
                <w:rFonts w:hint="eastAsia"/>
                <w:color w:val="auto"/>
                <w:kern w:val="18"/>
                <w:sz w:val="24"/>
                <w:szCs w:val="24"/>
              </w:rPr>
              <w:t>处理</w:t>
            </w:r>
            <w:r>
              <w:rPr>
                <w:color w:val="auto"/>
                <w:kern w:val="18"/>
                <w:sz w:val="24"/>
                <w:szCs w:val="24"/>
              </w:rPr>
              <w:t xml:space="preserve">废气中颗粒物有组织排放量为 </w:t>
            </w:r>
            <w:r>
              <w:rPr>
                <w:rFonts w:hint="eastAsia"/>
                <w:color w:val="auto"/>
                <w:kern w:val="18"/>
                <w:sz w:val="24"/>
                <w:szCs w:val="24"/>
              </w:rPr>
              <w:t>1.857</w:t>
            </w:r>
            <w:r>
              <w:rPr>
                <w:color w:val="auto"/>
                <w:kern w:val="18"/>
                <w:sz w:val="24"/>
                <w:szCs w:val="24"/>
              </w:rPr>
              <w:t>t/a，排放速率为 0.</w:t>
            </w:r>
            <w:r>
              <w:rPr>
                <w:rFonts w:hint="eastAsia"/>
                <w:color w:val="auto"/>
                <w:kern w:val="18"/>
                <w:sz w:val="24"/>
                <w:szCs w:val="24"/>
              </w:rPr>
              <w:t>774</w:t>
            </w:r>
            <w:r>
              <w:rPr>
                <w:color w:val="auto"/>
                <w:kern w:val="18"/>
                <w:sz w:val="24"/>
                <w:szCs w:val="24"/>
              </w:rPr>
              <w:t xml:space="preserve">kg/h，排放浓度为 </w:t>
            </w:r>
            <w:r>
              <w:rPr>
                <w:rFonts w:hint="eastAsia"/>
                <w:color w:val="auto"/>
                <w:kern w:val="18"/>
                <w:sz w:val="24"/>
                <w:szCs w:val="24"/>
              </w:rPr>
              <w:t>24.18</w:t>
            </w:r>
            <w:r>
              <w:rPr>
                <w:color w:val="auto"/>
                <w:kern w:val="18"/>
                <w:sz w:val="24"/>
                <w:szCs w:val="24"/>
              </w:rPr>
              <w:t>mg/m</w:t>
            </w:r>
            <w:r>
              <w:rPr>
                <w:color w:val="auto"/>
                <w:kern w:val="18"/>
                <w:sz w:val="24"/>
                <w:szCs w:val="24"/>
                <w:vertAlign w:val="superscript"/>
              </w:rPr>
              <w:t>3</w:t>
            </w:r>
            <w:r>
              <w:rPr>
                <w:color w:val="auto"/>
                <w:kern w:val="18"/>
                <w:sz w:val="24"/>
                <w:szCs w:val="24"/>
              </w:rPr>
              <w:t>，布袋除尘器收集粉尘量为 18.012t/a。</w:t>
            </w:r>
          </w:p>
          <w:p w14:paraId="211B3739">
            <w:pPr>
              <w:pStyle w:val="12"/>
              <w:spacing w:before="0" w:after="0" w:line="360" w:lineRule="auto"/>
              <w:ind w:right="0" w:firstLine="420"/>
              <w:rPr>
                <w:color w:val="auto"/>
                <w:kern w:val="18"/>
                <w:sz w:val="24"/>
                <w:szCs w:val="24"/>
              </w:rPr>
            </w:pPr>
            <w:r>
              <w:rPr>
                <w:rFonts w:hint="eastAsia"/>
                <w:color w:val="auto"/>
                <w:kern w:val="18"/>
                <w:sz w:val="24"/>
                <w:szCs w:val="24"/>
              </w:rPr>
              <w:t>b</w:t>
            </w:r>
            <w:r>
              <w:rPr>
                <w:color w:val="auto"/>
                <w:kern w:val="18"/>
                <w:sz w:val="24"/>
                <w:szCs w:val="24"/>
              </w:rPr>
              <w:t>、</w:t>
            </w:r>
            <w:r>
              <w:rPr>
                <w:rFonts w:hint="eastAsia"/>
                <w:color w:val="auto"/>
                <w:kern w:val="18"/>
                <w:sz w:val="24"/>
                <w:szCs w:val="24"/>
              </w:rPr>
              <w:t>水玻璃铸造工艺</w:t>
            </w:r>
          </w:p>
          <w:p w14:paraId="2C2237E9">
            <w:pPr>
              <w:pStyle w:val="12"/>
              <w:spacing w:before="0" w:after="0" w:line="360" w:lineRule="auto"/>
              <w:ind w:right="0" w:firstLine="420"/>
              <w:rPr>
                <w:color w:val="auto"/>
                <w:kern w:val="18"/>
                <w:sz w:val="24"/>
                <w:szCs w:val="24"/>
              </w:rPr>
            </w:pPr>
            <w:r>
              <w:rPr>
                <w:color w:val="auto"/>
                <w:kern w:val="18"/>
                <w:sz w:val="24"/>
                <w:szCs w:val="24"/>
              </w:rPr>
              <w:t>根据《排放源统计调查产排污核算方法和系数手册》中的《33 金属制品业》行业系数手册，</w:t>
            </w:r>
            <w:r>
              <w:rPr>
                <w:rFonts w:hint="eastAsia"/>
                <w:color w:val="auto"/>
                <w:kern w:val="18"/>
                <w:sz w:val="24"/>
                <w:szCs w:val="24"/>
              </w:rPr>
              <w:t>水玻璃工艺</w:t>
            </w:r>
            <w:r>
              <w:rPr>
                <w:color w:val="auto"/>
                <w:kern w:val="18"/>
                <w:sz w:val="24"/>
                <w:szCs w:val="24"/>
              </w:rPr>
              <w:t>砂处理工序颗粒物产污系数为</w:t>
            </w:r>
            <w:r>
              <w:rPr>
                <w:rFonts w:hint="eastAsia"/>
                <w:color w:val="auto"/>
                <w:kern w:val="18"/>
                <w:sz w:val="24"/>
                <w:szCs w:val="24"/>
              </w:rPr>
              <w:t>3.48</w:t>
            </w:r>
            <w:r>
              <w:rPr>
                <w:color w:val="auto"/>
                <w:kern w:val="18"/>
                <w:sz w:val="24"/>
                <w:szCs w:val="24"/>
              </w:rPr>
              <w:t>kg/t产品，</w:t>
            </w:r>
            <w:r>
              <w:rPr>
                <w:rFonts w:hint="eastAsia"/>
                <w:color w:val="auto"/>
                <w:kern w:val="18"/>
                <w:sz w:val="24"/>
                <w:szCs w:val="24"/>
              </w:rPr>
              <w:t>水玻璃工艺铸造产品产量为300t/a，则</w:t>
            </w:r>
            <w:r>
              <w:rPr>
                <w:color w:val="auto"/>
                <w:kern w:val="18"/>
                <w:sz w:val="24"/>
                <w:szCs w:val="24"/>
              </w:rPr>
              <w:t>颗粒物产生量为</w:t>
            </w:r>
            <w:r>
              <w:rPr>
                <w:rFonts w:hint="eastAsia"/>
                <w:color w:val="auto"/>
                <w:kern w:val="18"/>
                <w:sz w:val="24"/>
                <w:szCs w:val="24"/>
              </w:rPr>
              <w:t>1.044</w:t>
            </w:r>
            <w:r>
              <w:rPr>
                <w:color w:val="auto"/>
                <w:kern w:val="18"/>
                <w:sz w:val="24"/>
                <w:szCs w:val="24"/>
              </w:rPr>
              <w:t>t/a，产生速率为</w:t>
            </w:r>
            <w:r>
              <w:rPr>
                <w:rFonts w:hint="eastAsia"/>
                <w:color w:val="auto"/>
                <w:kern w:val="18"/>
                <w:sz w:val="24"/>
                <w:szCs w:val="24"/>
              </w:rPr>
              <w:t>0.435</w:t>
            </w:r>
            <w:r>
              <w:rPr>
                <w:color w:val="auto"/>
                <w:kern w:val="18"/>
                <w:sz w:val="24"/>
                <w:szCs w:val="24"/>
              </w:rPr>
              <w:t>kg/h。本项目砂</w:t>
            </w:r>
            <w:r>
              <w:rPr>
                <w:rFonts w:hint="eastAsia"/>
                <w:color w:val="auto"/>
                <w:kern w:val="18"/>
                <w:sz w:val="24"/>
                <w:szCs w:val="24"/>
              </w:rPr>
              <w:t>处理</w:t>
            </w:r>
            <w:r>
              <w:rPr>
                <w:rFonts w:hint="eastAsia"/>
                <w:color w:val="auto"/>
                <w:sz w:val="24"/>
                <w:szCs w:val="24"/>
              </w:rPr>
              <w:t>全封闭式，</w:t>
            </w:r>
            <w:r>
              <w:rPr>
                <w:color w:val="auto"/>
                <w:kern w:val="18"/>
                <w:sz w:val="24"/>
                <w:szCs w:val="24"/>
              </w:rPr>
              <w:t>废气经收集由布袋除尘器</w:t>
            </w:r>
            <w:r>
              <w:rPr>
                <w:rFonts w:hint="eastAsia"/>
                <w:color w:val="auto"/>
                <w:sz w:val="24"/>
                <w:szCs w:val="24"/>
              </w:rPr>
              <w:t>（TA005）</w:t>
            </w:r>
            <w:r>
              <w:rPr>
                <w:color w:val="auto"/>
                <w:kern w:val="18"/>
                <w:sz w:val="24"/>
                <w:szCs w:val="24"/>
              </w:rPr>
              <w:t>处理后</w:t>
            </w:r>
            <w:r>
              <w:rPr>
                <w:rFonts w:hint="eastAsia"/>
                <w:color w:val="auto"/>
                <w:kern w:val="18"/>
                <w:sz w:val="24"/>
                <w:szCs w:val="24"/>
              </w:rPr>
              <w:t>经</w:t>
            </w:r>
            <w:r>
              <w:rPr>
                <w:color w:val="auto"/>
                <w:kern w:val="18"/>
                <w:sz w:val="24"/>
                <w:szCs w:val="24"/>
              </w:rPr>
              <w:t>15米高排气筒（DA00</w:t>
            </w:r>
            <w:r>
              <w:rPr>
                <w:rFonts w:hint="eastAsia"/>
                <w:color w:val="auto"/>
                <w:kern w:val="18"/>
                <w:sz w:val="24"/>
                <w:szCs w:val="24"/>
              </w:rPr>
              <w:t>3</w:t>
            </w:r>
            <w:r>
              <w:rPr>
                <w:color w:val="auto"/>
                <w:kern w:val="18"/>
                <w:sz w:val="24"/>
                <w:szCs w:val="24"/>
              </w:rPr>
              <w:t>）高空排放，风机风量</w:t>
            </w:r>
            <w:r>
              <w:rPr>
                <w:rFonts w:hint="eastAsia"/>
                <w:color w:val="auto"/>
                <w:kern w:val="18"/>
                <w:sz w:val="24"/>
                <w:szCs w:val="24"/>
              </w:rPr>
              <w:t>约</w:t>
            </w:r>
            <w:r>
              <w:rPr>
                <w:color w:val="auto"/>
                <w:kern w:val="18"/>
                <w:sz w:val="24"/>
                <w:szCs w:val="24"/>
              </w:rPr>
              <w:t>为 3</w:t>
            </w:r>
            <w:r>
              <w:rPr>
                <w:rFonts w:hint="eastAsia"/>
                <w:color w:val="auto"/>
                <w:kern w:val="18"/>
                <w:sz w:val="24"/>
                <w:szCs w:val="24"/>
              </w:rPr>
              <w:t>2</w:t>
            </w:r>
            <w:r>
              <w:rPr>
                <w:color w:val="auto"/>
                <w:kern w:val="18"/>
                <w:sz w:val="24"/>
                <w:szCs w:val="24"/>
              </w:rPr>
              <w:t>000m</w:t>
            </w:r>
            <w:r>
              <w:rPr>
                <w:color w:val="auto"/>
                <w:kern w:val="18"/>
                <w:sz w:val="24"/>
                <w:szCs w:val="24"/>
                <w:vertAlign w:val="superscript"/>
              </w:rPr>
              <w:t>3</w:t>
            </w:r>
            <w:r>
              <w:rPr>
                <w:color w:val="auto"/>
                <w:kern w:val="18"/>
                <w:sz w:val="24"/>
                <w:szCs w:val="24"/>
              </w:rPr>
              <w:t>/h，处理效率取 95%，故砂</w:t>
            </w:r>
            <w:r>
              <w:rPr>
                <w:rFonts w:hint="eastAsia"/>
                <w:color w:val="auto"/>
                <w:kern w:val="18"/>
                <w:sz w:val="24"/>
                <w:szCs w:val="24"/>
              </w:rPr>
              <w:t>处理</w:t>
            </w:r>
            <w:r>
              <w:rPr>
                <w:color w:val="auto"/>
                <w:kern w:val="18"/>
                <w:sz w:val="24"/>
                <w:szCs w:val="24"/>
              </w:rPr>
              <w:t xml:space="preserve">废气中颗粒物有组织排放量为 </w:t>
            </w:r>
            <w:r>
              <w:rPr>
                <w:rFonts w:hint="eastAsia"/>
                <w:color w:val="auto"/>
                <w:kern w:val="18"/>
                <w:sz w:val="24"/>
                <w:szCs w:val="24"/>
              </w:rPr>
              <w:t>0.042</w:t>
            </w:r>
            <w:r>
              <w:rPr>
                <w:color w:val="auto"/>
                <w:kern w:val="18"/>
                <w:sz w:val="24"/>
                <w:szCs w:val="24"/>
              </w:rPr>
              <w:t>t/a，排放速率为 0.</w:t>
            </w:r>
            <w:r>
              <w:rPr>
                <w:rFonts w:hint="eastAsia"/>
                <w:color w:val="auto"/>
                <w:kern w:val="18"/>
                <w:sz w:val="24"/>
                <w:szCs w:val="24"/>
              </w:rPr>
              <w:t>018</w:t>
            </w:r>
            <w:r>
              <w:rPr>
                <w:color w:val="auto"/>
                <w:kern w:val="18"/>
                <w:sz w:val="24"/>
                <w:szCs w:val="24"/>
              </w:rPr>
              <w:t xml:space="preserve">kg/h，排放浓度为 </w:t>
            </w:r>
            <w:r>
              <w:rPr>
                <w:rFonts w:hint="eastAsia"/>
                <w:color w:val="auto"/>
                <w:kern w:val="18"/>
                <w:sz w:val="24"/>
                <w:szCs w:val="24"/>
              </w:rPr>
              <w:t>0.56</w:t>
            </w:r>
            <w:r>
              <w:rPr>
                <w:color w:val="auto"/>
                <w:kern w:val="18"/>
                <w:sz w:val="24"/>
                <w:szCs w:val="24"/>
              </w:rPr>
              <w:t>mg/m</w:t>
            </w:r>
            <w:r>
              <w:rPr>
                <w:color w:val="auto"/>
                <w:kern w:val="18"/>
                <w:sz w:val="24"/>
                <w:szCs w:val="24"/>
                <w:vertAlign w:val="superscript"/>
              </w:rPr>
              <w:t>3</w:t>
            </w:r>
            <w:r>
              <w:rPr>
                <w:color w:val="auto"/>
                <w:kern w:val="18"/>
                <w:sz w:val="24"/>
                <w:szCs w:val="24"/>
              </w:rPr>
              <w:t xml:space="preserve">，布袋除尘器收集粉尘量为 </w:t>
            </w:r>
            <w:r>
              <w:rPr>
                <w:rFonts w:hint="eastAsia"/>
                <w:color w:val="auto"/>
                <w:kern w:val="18"/>
                <w:sz w:val="24"/>
                <w:szCs w:val="24"/>
              </w:rPr>
              <w:t>1.002</w:t>
            </w:r>
            <w:r>
              <w:rPr>
                <w:color w:val="auto"/>
                <w:kern w:val="18"/>
                <w:sz w:val="24"/>
                <w:szCs w:val="24"/>
              </w:rPr>
              <w:t>t/a。</w:t>
            </w:r>
          </w:p>
          <w:p w14:paraId="37C7B3F2">
            <w:pPr>
              <w:pStyle w:val="12"/>
              <w:spacing w:before="0" w:after="0" w:line="360" w:lineRule="auto"/>
              <w:ind w:right="0" w:firstLine="420"/>
              <w:rPr>
                <w:color w:val="auto"/>
                <w:kern w:val="18"/>
                <w:sz w:val="24"/>
                <w:szCs w:val="24"/>
              </w:rPr>
            </w:pPr>
            <w:r>
              <w:rPr>
                <w:rFonts w:hint="eastAsia" w:cs="宋体"/>
                <w:color w:val="auto"/>
                <w:spacing w:val="8"/>
                <w:sz w:val="24"/>
                <w:szCs w:val="24"/>
              </w:rPr>
              <w:fldChar w:fldCharType="begin"/>
            </w:r>
            <w:r>
              <w:rPr>
                <w:rFonts w:hint="eastAsia" w:cs="宋体"/>
                <w:color w:val="auto"/>
                <w:spacing w:val="8"/>
                <w:sz w:val="24"/>
                <w:szCs w:val="24"/>
              </w:rPr>
              <w:instrText xml:space="preserve"> EQ \o\ac(</w:instrText>
            </w:r>
            <w:r>
              <w:rPr>
                <w:rFonts w:hint="eastAsia" w:cs="宋体"/>
                <w:color w:val="auto"/>
                <w:spacing w:val="8"/>
                <w:kern w:val="2"/>
                <w:sz w:val="24"/>
                <w:szCs w:val="24"/>
              </w:rPr>
              <w:instrText xml:space="preserve">○</w:instrText>
            </w:r>
            <w:r>
              <w:rPr>
                <w:rFonts w:hint="eastAsia" w:cs="宋体"/>
                <w:color w:val="auto"/>
                <w:spacing w:val="8"/>
                <w:sz w:val="24"/>
                <w:szCs w:val="24"/>
              </w:rPr>
              <w:instrText xml:space="preserve">,</w:instrText>
            </w:r>
            <w:r>
              <w:rPr>
                <w:rFonts w:hint="eastAsia" w:cs="宋体"/>
                <w:color w:val="auto"/>
                <w:spacing w:val="8"/>
                <w:kern w:val="2"/>
                <w:position w:val="3"/>
                <w:sz w:val="16"/>
                <w:szCs w:val="24"/>
              </w:rPr>
              <w:instrText xml:space="preserve">11</w:instrText>
            </w:r>
            <w:r>
              <w:rPr>
                <w:rFonts w:hint="eastAsia" w:cs="宋体"/>
                <w:color w:val="auto"/>
                <w:spacing w:val="8"/>
                <w:sz w:val="24"/>
                <w:szCs w:val="24"/>
              </w:rPr>
              <w:instrText xml:space="preserve">)</w:instrText>
            </w:r>
            <w:r>
              <w:rPr>
                <w:rFonts w:hint="eastAsia" w:cs="宋体"/>
                <w:color w:val="auto"/>
                <w:spacing w:val="8"/>
                <w:sz w:val="24"/>
                <w:szCs w:val="24"/>
              </w:rPr>
              <w:fldChar w:fldCharType="end"/>
            </w:r>
            <w:r>
              <w:rPr>
                <w:rFonts w:hint="eastAsia"/>
                <w:color w:val="auto"/>
                <w:kern w:val="18"/>
                <w:sz w:val="24"/>
                <w:szCs w:val="24"/>
              </w:rPr>
              <w:t>去冒口废气</w:t>
            </w:r>
          </w:p>
          <w:p w14:paraId="034F1DA4">
            <w:pPr>
              <w:pStyle w:val="12"/>
              <w:spacing w:before="0" w:after="0" w:line="360" w:lineRule="auto"/>
              <w:ind w:right="0" w:firstLine="420"/>
              <w:rPr>
                <w:color w:val="auto"/>
                <w:kern w:val="18"/>
                <w:sz w:val="24"/>
                <w:szCs w:val="24"/>
              </w:rPr>
            </w:pPr>
            <w:r>
              <w:rPr>
                <w:color w:val="auto"/>
                <w:kern w:val="18"/>
                <w:sz w:val="24"/>
                <w:szCs w:val="24"/>
              </w:rPr>
              <w:t>铸件经去壳后，需将冒口切割下来，本项目采用氧-</w:t>
            </w:r>
            <w:r>
              <w:rPr>
                <w:rFonts w:hint="eastAsia"/>
                <w:color w:val="auto"/>
                <w:kern w:val="18"/>
                <w:sz w:val="24"/>
                <w:szCs w:val="24"/>
              </w:rPr>
              <w:t>丙烷</w:t>
            </w:r>
            <w:r>
              <w:rPr>
                <w:color w:val="auto"/>
                <w:kern w:val="18"/>
                <w:sz w:val="24"/>
                <w:szCs w:val="24"/>
              </w:rPr>
              <w:t>切割作业，根据《排放源统计调查产排污核算方法和系数手册》（机械行业系数手册）中“氧/可燃气切割”颗粒物产量为1.5千克/吨-原料，本项目产品中需要切割浇口和冒口的量占产品总量的</w:t>
            </w:r>
            <w:r>
              <w:rPr>
                <w:rFonts w:hint="eastAsia"/>
                <w:color w:val="auto"/>
                <w:kern w:val="18"/>
                <w:sz w:val="24"/>
                <w:szCs w:val="24"/>
              </w:rPr>
              <w:t>2</w:t>
            </w:r>
            <w:r>
              <w:rPr>
                <w:color w:val="auto"/>
                <w:kern w:val="18"/>
                <w:sz w:val="24"/>
                <w:szCs w:val="24"/>
              </w:rPr>
              <w:t>0%</w:t>
            </w:r>
            <w:r>
              <w:rPr>
                <w:rFonts w:hint="eastAsia"/>
                <w:color w:val="auto"/>
                <w:kern w:val="18"/>
                <w:sz w:val="24"/>
                <w:szCs w:val="24"/>
              </w:rPr>
              <w:t>，</w:t>
            </w:r>
            <w:r>
              <w:rPr>
                <w:rFonts w:hint="eastAsia" w:cs="宋体"/>
                <w:color w:val="auto"/>
                <w:spacing w:val="8"/>
                <w:sz w:val="24"/>
                <w:szCs w:val="24"/>
              </w:rPr>
              <w:t>即1000t/a，粉尘产生量为1.5t/a</w:t>
            </w:r>
            <w:r>
              <w:rPr>
                <w:color w:val="auto"/>
                <w:kern w:val="18"/>
                <w:sz w:val="24"/>
                <w:szCs w:val="24"/>
              </w:rPr>
              <w:t>。</w:t>
            </w:r>
            <w:r>
              <w:rPr>
                <w:rFonts w:hint="eastAsia"/>
                <w:color w:val="auto"/>
                <w:kern w:val="18"/>
                <w:sz w:val="24"/>
                <w:szCs w:val="24"/>
              </w:rPr>
              <w:t>切割冒口</w:t>
            </w:r>
            <w:r>
              <w:rPr>
                <w:rFonts w:hint="eastAsia" w:cs="宋体"/>
                <w:color w:val="auto"/>
                <w:spacing w:val="8"/>
                <w:sz w:val="24"/>
                <w:szCs w:val="24"/>
              </w:rPr>
              <w:t>粉尘采用移动</w:t>
            </w:r>
            <w:r>
              <w:rPr>
                <w:color w:val="auto"/>
                <w:kern w:val="18"/>
                <w:sz w:val="24"/>
                <w:szCs w:val="24"/>
              </w:rPr>
              <w:t>式</w:t>
            </w:r>
            <w:r>
              <w:rPr>
                <w:rFonts w:hint="eastAsia"/>
                <w:color w:val="auto"/>
                <w:kern w:val="18"/>
                <w:sz w:val="24"/>
                <w:szCs w:val="24"/>
              </w:rPr>
              <w:t>除尘器</w:t>
            </w:r>
            <w:r>
              <w:rPr>
                <w:rFonts w:hint="eastAsia"/>
                <w:color w:val="auto"/>
                <w:sz w:val="24"/>
                <w:szCs w:val="24"/>
              </w:rPr>
              <w:t>（TA006）</w:t>
            </w:r>
            <w:r>
              <w:rPr>
                <w:rFonts w:hint="eastAsia"/>
                <w:color w:val="auto"/>
                <w:kern w:val="18"/>
                <w:sz w:val="24"/>
                <w:szCs w:val="24"/>
              </w:rPr>
              <w:t>收集处理，</w:t>
            </w:r>
            <w:r>
              <w:rPr>
                <w:color w:val="auto"/>
                <w:kern w:val="18"/>
                <w:sz w:val="24"/>
                <w:szCs w:val="24"/>
              </w:rPr>
              <w:t>移动式</w:t>
            </w:r>
            <w:r>
              <w:rPr>
                <w:rFonts w:hint="eastAsia"/>
                <w:color w:val="auto"/>
                <w:kern w:val="18"/>
                <w:sz w:val="24"/>
                <w:szCs w:val="24"/>
              </w:rPr>
              <w:t>除尘器</w:t>
            </w:r>
            <w:r>
              <w:rPr>
                <w:color w:val="auto"/>
                <w:kern w:val="18"/>
                <w:sz w:val="24"/>
                <w:szCs w:val="24"/>
              </w:rPr>
              <w:t>收集效率</w:t>
            </w:r>
            <w:r>
              <w:rPr>
                <w:rFonts w:hint="eastAsia"/>
                <w:color w:val="auto"/>
                <w:kern w:val="18"/>
                <w:sz w:val="24"/>
                <w:szCs w:val="24"/>
              </w:rPr>
              <w:t>6</w:t>
            </w:r>
            <w:r>
              <w:rPr>
                <w:color w:val="auto"/>
                <w:kern w:val="18"/>
                <w:sz w:val="24"/>
                <w:szCs w:val="24"/>
              </w:rPr>
              <w:t>0%，除尘效率 95%，则无组织颗粒物排放量为 0.</w:t>
            </w:r>
            <w:r>
              <w:rPr>
                <w:rFonts w:hint="eastAsia"/>
                <w:color w:val="auto"/>
                <w:kern w:val="18"/>
                <w:sz w:val="24"/>
                <w:szCs w:val="24"/>
              </w:rPr>
              <w:t>645</w:t>
            </w:r>
            <w:r>
              <w:rPr>
                <w:color w:val="auto"/>
                <w:kern w:val="18"/>
                <w:sz w:val="24"/>
                <w:szCs w:val="24"/>
              </w:rPr>
              <w:t>t/a。粉尘捕集量 0.</w:t>
            </w:r>
            <w:r>
              <w:rPr>
                <w:rFonts w:hint="eastAsia"/>
                <w:color w:val="auto"/>
                <w:kern w:val="18"/>
                <w:sz w:val="24"/>
                <w:szCs w:val="24"/>
              </w:rPr>
              <w:t>85</w:t>
            </w:r>
            <w:r>
              <w:rPr>
                <w:color w:val="auto"/>
                <w:kern w:val="18"/>
                <w:sz w:val="24"/>
                <w:szCs w:val="24"/>
              </w:rPr>
              <w:t>5t/a。</w:t>
            </w:r>
          </w:p>
          <w:p w14:paraId="0D30BE13">
            <w:pPr>
              <w:pStyle w:val="12"/>
              <w:spacing w:before="0" w:after="0" w:line="360" w:lineRule="auto"/>
              <w:ind w:right="0" w:firstLine="420"/>
              <w:rPr>
                <w:color w:val="auto"/>
                <w:kern w:val="18"/>
                <w:sz w:val="24"/>
                <w:szCs w:val="24"/>
              </w:rPr>
            </w:pPr>
            <w:r>
              <w:rPr>
                <w:rFonts w:hint="eastAsia"/>
                <w:color w:val="auto"/>
                <w:sz w:val="24"/>
              </w:rPr>
              <w:fldChar w:fldCharType="begin"/>
            </w:r>
            <w:r>
              <w:rPr>
                <w:rFonts w:hint="eastAsia"/>
                <w:color w:val="auto"/>
                <w:sz w:val="24"/>
              </w:rPr>
              <w:instrText xml:space="preserve"> EQ \o\ac(</w:instrText>
            </w:r>
            <w:r>
              <w:rPr>
                <w:rFonts w:hint="eastAsia"/>
                <w:color w:val="auto"/>
                <w:kern w:val="2"/>
                <w:sz w:val="24"/>
                <w:szCs w:val="24"/>
              </w:rPr>
              <w:instrText xml:space="preserve">○</w:instrText>
            </w:r>
            <w:r>
              <w:rPr>
                <w:rFonts w:hint="eastAsia"/>
                <w:color w:val="auto"/>
                <w:sz w:val="24"/>
              </w:rPr>
              <w:instrText xml:space="preserve">,</w:instrText>
            </w:r>
            <w:r>
              <w:rPr>
                <w:rFonts w:hint="eastAsia"/>
                <w:color w:val="auto"/>
                <w:kern w:val="2"/>
                <w:position w:val="3"/>
                <w:sz w:val="16"/>
                <w:szCs w:val="24"/>
              </w:rPr>
              <w:instrText xml:space="preserve">12</w:instrText>
            </w:r>
            <w:r>
              <w:rPr>
                <w:rFonts w:hint="eastAsia"/>
                <w:color w:val="auto"/>
                <w:sz w:val="24"/>
              </w:rPr>
              <w:instrText xml:space="preserve">)</w:instrText>
            </w:r>
            <w:r>
              <w:rPr>
                <w:rFonts w:hint="eastAsia"/>
                <w:color w:val="auto"/>
                <w:sz w:val="24"/>
              </w:rPr>
              <w:fldChar w:fldCharType="end"/>
            </w:r>
            <w:r>
              <w:rPr>
                <w:color w:val="auto"/>
                <w:kern w:val="18"/>
                <w:sz w:val="24"/>
                <w:szCs w:val="24"/>
              </w:rPr>
              <w:t>打磨废气</w:t>
            </w:r>
          </w:p>
          <w:p w14:paraId="21F899CD">
            <w:pPr>
              <w:pStyle w:val="12"/>
              <w:spacing w:before="0" w:after="0" w:line="360" w:lineRule="auto"/>
              <w:ind w:right="0" w:firstLine="420"/>
              <w:rPr>
                <w:color w:val="auto"/>
                <w:kern w:val="18"/>
                <w:sz w:val="24"/>
                <w:szCs w:val="24"/>
              </w:rPr>
            </w:pPr>
            <w:r>
              <w:rPr>
                <w:color w:val="auto"/>
                <w:kern w:val="18"/>
                <w:sz w:val="24"/>
                <w:szCs w:val="24"/>
              </w:rPr>
              <w:t>浇铸成品可能存在极小瑕疵，</w:t>
            </w:r>
            <w:r>
              <w:rPr>
                <w:rFonts w:hint="eastAsia"/>
                <w:color w:val="auto"/>
                <w:kern w:val="18"/>
                <w:sz w:val="24"/>
                <w:szCs w:val="24"/>
              </w:rPr>
              <w:t>通过砂轮机</w:t>
            </w:r>
            <w:r>
              <w:rPr>
                <w:color w:val="auto"/>
                <w:kern w:val="18"/>
                <w:sz w:val="24"/>
                <w:szCs w:val="24"/>
              </w:rPr>
              <w:t>稍稍进行打磨即可，其主要污染物为粉尘。</w:t>
            </w:r>
            <w:r>
              <w:rPr>
                <w:rFonts w:hint="eastAsia" w:cs="宋体"/>
                <w:color w:val="auto"/>
                <w:spacing w:val="8"/>
                <w:sz w:val="24"/>
                <w:szCs w:val="24"/>
              </w:rPr>
              <w:t>根据表4-2中相关数据，原料使用钢材（含板材、构件等）、铁材、其它金属，工艺使用抛丸、喷砂、打磨、滚筒时，颗粒物产污系数为2.19千克/吨-原料。根据业主提供资料，本项目打磨产品约占总产品的20%，即1000t/a，粉尘产生量为2.19t/a。打磨粉尘采用移动</w:t>
            </w:r>
            <w:r>
              <w:rPr>
                <w:color w:val="auto"/>
                <w:kern w:val="18"/>
                <w:sz w:val="24"/>
                <w:szCs w:val="24"/>
              </w:rPr>
              <w:t>式</w:t>
            </w:r>
            <w:r>
              <w:rPr>
                <w:rFonts w:hint="eastAsia"/>
                <w:color w:val="auto"/>
                <w:kern w:val="18"/>
                <w:sz w:val="24"/>
                <w:szCs w:val="24"/>
              </w:rPr>
              <w:t>除尘器</w:t>
            </w:r>
            <w:r>
              <w:rPr>
                <w:rFonts w:hint="eastAsia"/>
                <w:color w:val="auto"/>
                <w:sz w:val="24"/>
                <w:szCs w:val="24"/>
              </w:rPr>
              <w:t>（TA007）</w:t>
            </w:r>
            <w:r>
              <w:rPr>
                <w:rFonts w:hint="eastAsia"/>
                <w:color w:val="auto"/>
                <w:kern w:val="18"/>
                <w:sz w:val="24"/>
                <w:szCs w:val="24"/>
              </w:rPr>
              <w:t>收集处理，</w:t>
            </w:r>
            <w:r>
              <w:rPr>
                <w:color w:val="auto"/>
                <w:kern w:val="18"/>
                <w:sz w:val="24"/>
                <w:szCs w:val="24"/>
              </w:rPr>
              <w:t>移动式</w:t>
            </w:r>
            <w:r>
              <w:rPr>
                <w:rFonts w:hint="eastAsia"/>
                <w:color w:val="auto"/>
                <w:kern w:val="18"/>
                <w:sz w:val="24"/>
                <w:szCs w:val="24"/>
              </w:rPr>
              <w:t>除尘器</w:t>
            </w:r>
            <w:r>
              <w:rPr>
                <w:color w:val="auto"/>
                <w:kern w:val="18"/>
                <w:sz w:val="24"/>
                <w:szCs w:val="24"/>
              </w:rPr>
              <w:t>收集效率</w:t>
            </w:r>
            <w:r>
              <w:rPr>
                <w:rFonts w:hint="eastAsia"/>
                <w:color w:val="auto"/>
                <w:kern w:val="18"/>
                <w:sz w:val="24"/>
                <w:szCs w:val="24"/>
              </w:rPr>
              <w:t>6</w:t>
            </w:r>
            <w:r>
              <w:rPr>
                <w:color w:val="auto"/>
                <w:kern w:val="18"/>
                <w:sz w:val="24"/>
                <w:szCs w:val="24"/>
              </w:rPr>
              <w:t xml:space="preserve">0%，除尘效率 95%，则无组织颗粒物排放量为 </w:t>
            </w:r>
            <w:r>
              <w:rPr>
                <w:rFonts w:hint="eastAsia"/>
                <w:color w:val="auto"/>
                <w:kern w:val="18"/>
                <w:sz w:val="24"/>
                <w:szCs w:val="24"/>
              </w:rPr>
              <w:t>0.942</w:t>
            </w:r>
            <w:r>
              <w:rPr>
                <w:color w:val="auto"/>
                <w:kern w:val="18"/>
                <w:sz w:val="24"/>
                <w:szCs w:val="24"/>
              </w:rPr>
              <w:t xml:space="preserve">t/a。粉尘捕集量 </w:t>
            </w:r>
            <w:r>
              <w:rPr>
                <w:rFonts w:hint="eastAsia"/>
                <w:color w:val="auto"/>
                <w:kern w:val="18"/>
                <w:sz w:val="24"/>
                <w:szCs w:val="24"/>
              </w:rPr>
              <w:t>1.248</w:t>
            </w:r>
            <w:r>
              <w:rPr>
                <w:color w:val="auto"/>
                <w:kern w:val="18"/>
                <w:sz w:val="24"/>
                <w:szCs w:val="24"/>
              </w:rPr>
              <w:t>t/a。</w:t>
            </w:r>
          </w:p>
          <w:p w14:paraId="59310F19">
            <w:pPr>
              <w:pStyle w:val="12"/>
              <w:spacing w:before="0" w:after="0" w:line="360" w:lineRule="auto"/>
              <w:ind w:right="0" w:firstLine="420"/>
              <w:rPr>
                <w:color w:val="auto"/>
                <w:kern w:val="18"/>
                <w:sz w:val="24"/>
                <w:szCs w:val="24"/>
              </w:rPr>
            </w:pPr>
            <w:r>
              <w:rPr>
                <w:color w:val="auto"/>
                <w:kern w:val="18"/>
                <w:sz w:val="24"/>
                <w:szCs w:val="24"/>
              </w:rPr>
              <w:t>本项目</w:t>
            </w:r>
            <w:r>
              <w:rPr>
                <w:rFonts w:hint="eastAsia"/>
                <w:color w:val="auto"/>
                <w:kern w:val="18"/>
                <w:sz w:val="24"/>
                <w:szCs w:val="24"/>
              </w:rPr>
              <w:t>打磨、</w:t>
            </w:r>
            <w:r>
              <w:rPr>
                <w:color w:val="auto"/>
                <w:kern w:val="18"/>
                <w:sz w:val="24"/>
                <w:szCs w:val="24"/>
              </w:rPr>
              <w:t>切割</w:t>
            </w:r>
            <w:r>
              <w:rPr>
                <w:rFonts w:hint="eastAsia"/>
                <w:color w:val="auto"/>
                <w:kern w:val="18"/>
                <w:sz w:val="24"/>
                <w:szCs w:val="24"/>
              </w:rPr>
              <w:t>冒口</w:t>
            </w:r>
            <w:r>
              <w:rPr>
                <w:color w:val="auto"/>
                <w:kern w:val="18"/>
                <w:sz w:val="24"/>
                <w:szCs w:val="24"/>
              </w:rPr>
              <w:t>工序未收集到的废气</w:t>
            </w:r>
            <w:r>
              <w:rPr>
                <w:rFonts w:hint="eastAsia"/>
                <w:color w:val="auto"/>
                <w:kern w:val="18"/>
                <w:sz w:val="24"/>
                <w:szCs w:val="24"/>
              </w:rPr>
              <w:t>，</w:t>
            </w:r>
            <w:r>
              <w:rPr>
                <w:color w:val="auto"/>
                <w:kern w:val="18"/>
                <w:sz w:val="24"/>
                <w:szCs w:val="24"/>
              </w:rPr>
              <w:t>颗粒物主要为金属粉尘，密度较大，在车间自然沉降后，无组织排放。</w:t>
            </w:r>
          </w:p>
          <w:p w14:paraId="4A1D2788">
            <w:pPr>
              <w:spacing w:line="360" w:lineRule="auto"/>
              <w:ind w:firstLine="480" w:firstLineChars="200"/>
              <w:rPr>
                <w:rFonts w:cs="宋体"/>
                <w:color w:val="auto"/>
                <w:spacing w:val="8"/>
                <w:sz w:val="24"/>
              </w:rPr>
            </w:pPr>
            <w:r>
              <w:rPr>
                <w:rFonts w:hint="eastAsia"/>
                <w:color w:val="auto"/>
                <w:sz w:val="24"/>
              </w:rPr>
              <w:fldChar w:fldCharType="begin"/>
            </w:r>
            <w:r>
              <w:rPr>
                <w:rFonts w:hint="eastAsia"/>
                <w:color w:val="auto"/>
                <w:sz w:val="24"/>
              </w:rPr>
              <w:instrText xml:space="preserve"> EQ \o\ac(○,</w:instrText>
            </w:r>
            <w:r>
              <w:rPr>
                <w:rFonts w:hint="eastAsia"/>
                <w:color w:val="auto"/>
                <w:position w:val="3"/>
                <w:sz w:val="16"/>
              </w:rPr>
              <w:instrText xml:space="preserve">13</w:instrText>
            </w:r>
            <w:r>
              <w:rPr>
                <w:rFonts w:hint="eastAsia"/>
                <w:color w:val="auto"/>
                <w:sz w:val="24"/>
              </w:rPr>
              <w:instrText xml:space="preserve">)</w:instrText>
            </w:r>
            <w:r>
              <w:rPr>
                <w:rFonts w:hint="eastAsia"/>
                <w:color w:val="auto"/>
                <w:sz w:val="24"/>
              </w:rPr>
              <w:fldChar w:fldCharType="end"/>
            </w:r>
            <w:r>
              <w:rPr>
                <w:rFonts w:hint="eastAsia" w:cs="宋体"/>
                <w:color w:val="auto"/>
                <w:spacing w:val="8"/>
                <w:sz w:val="24"/>
              </w:rPr>
              <w:t>抛丸废气</w:t>
            </w:r>
          </w:p>
          <w:p w14:paraId="5B826EB6">
            <w:pPr>
              <w:spacing w:line="360" w:lineRule="auto"/>
              <w:ind w:firstLine="512" w:firstLineChars="200"/>
              <w:rPr>
                <w:rFonts w:cs="宋体"/>
                <w:color w:val="auto"/>
                <w:spacing w:val="8"/>
                <w:sz w:val="24"/>
                <w:highlight w:val="yellow"/>
              </w:rPr>
            </w:pPr>
            <w:r>
              <w:rPr>
                <w:rFonts w:hint="eastAsia" w:cs="宋体"/>
                <w:color w:val="auto"/>
                <w:spacing w:val="8"/>
                <w:sz w:val="24"/>
              </w:rPr>
              <w:t>项目设置抛丸机，通过在抛丸机内密闭操作将工件进行表面清理，提高产品性能。抛丸过程会产生一定的粉尘，抛丸机配套设置1套</w:t>
            </w:r>
            <w:r>
              <w:rPr>
                <w:rFonts w:hint="eastAsia" w:cs="宋体"/>
                <w:color w:val="auto"/>
                <w:spacing w:val="8"/>
                <w:sz w:val="24"/>
                <w:lang w:val="en-US" w:eastAsia="zh-CN"/>
              </w:rPr>
              <w:t>布袋</w:t>
            </w:r>
            <w:r>
              <w:rPr>
                <w:rFonts w:hint="eastAsia" w:cs="宋体"/>
                <w:color w:val="auto"/>
                <w:spacing w:val="8"/>
                <w:sz w:val="24"/>
              </w:rPr>
              <w:t>除尘器</w:t>
            </w:r>
            <w:r>
              <w:rPr>
                <w:rFonts w:hint="eastAsia"/>
                <w:color w:val="auto"/>
                <w:sz w:val="24"/>
              </w:rPr>
              <w:t>（TA008）</w:t>
            </w:r>
            <w:r>
              <w:rPr>
                <w:rFonts w:hint="eastAsia" w:cs="宋体"/>
                <w:color w:val="auto"/>
                <w:spacing w:val="8"/>
                <w:sz w:val="24"/>
              </w:rPr>
              <w:t>收集处理抛丸过程产生的粉尘，处理后的粉尘经1根15m高排气筒</w:t>
            </w:r>
            <w:r>
              <w:rPr>
                <w:color w:val="auto"/>
                <w:kern w:val="18"/>
                <w:sz w:val="24"/>
              </w:rPr>
              <w:t>（DA00</w:t>
            </w:r>
            <w:r>
              <w:rPr>
                <w:rFonts w:hint="eastAsia"/>
                <w:color w:val="auto"/>
                <w:kern w:val="18"/>
                <w:sz w:val="24"/>
              </w:rPr>
              <w:t>3</w:t>
            </w:r>
            <w:r>
              <w:rPr>
                <w:color w:val="auto"/>
                <w:kern w:val="18"/>
                <w:sz w:val="24"/>
              </w:rPr>
              <w:t>）</w:t>
            </w:r>
            <w:r>
              <w:rPr>
                <w:rFonts w:hint="eastAsia" w:cs="宋体"/>
                <w:color w:val="auto"/>
                <w:spacing w:val="8"/>
                <w:sz w:val="24"/>
              </w:rPr>
              <w:t>排放。根据表4-2中相关数据，原料使用钢材（含板材、构件等）、铁材、其它金属，工艺使用抛丸、喷砂、打磨、滚筒时，颗粒物产污系数为2.19千克/吨-原料。根据业主提供资料，本项目钢材等主要原料约5500吨，粉尘产生量为12.045t/a。项目抛丸工序每天工作8h，则抛丸粉尘产生速率为5.019kg/h。</w:t>
            </w:r>
            <w:r>
              <w:rPr>
                <w:rFonts w:hint="eastAsia"/>
                <w:color w:val="auto"/>
                <w:sz w:val="24"/>
                <w:lang w:val="en-US" w:eastAsia="zh-CN"/>
              </w:rPr>
              <w:t>布袋</w:t>
            </w:r>
            <w:r>
              <w:rPr>
                <w:rFonts w:hint="eastAsia"/>
                <w:color w:val="auto"/>
                <w:sz w:val="24"/>
              </w:rPr>
              <w:t>除尘器处理效率为95%，风机风量设为10000m</w:t>
            </w:r>
            <w:r>
              <w:rPr>
                <w:rFonts w:hint="eastAsia"/>
                <w:color w:val="auto"/>
                <w:sz w:val="24"/>
                <w:vertAlign w:val="superscript"/>
              </w:rPr>
              <w:t>3</w:t>
            </w:r>
            <w:r>
              <w:rPr>
                <w:rFonts w:hint="eastAsia"/>
                <w:color w:val="auto"/>
                <w:sz w:val="24"/>
              </w:rPr>
              <w:t>/h，则抛丸粉尘排放量为0.602t/a，排放速率为0.251kg/h，排放浓度为25.1mg/m</w:t>
            </w:r>
            <w:r>
              <w:rPr>
                <w:rFonts w:hint="eastAsia"/>
                <w:color w:val="auto"/>
                <w:sz w:val="24"/>
                <w:vertAlign w:val="superscript"/>
              </w:rPr>
              <w:t>3</w:t>
            </w:r>
            <w:r>
              <w:rPr>
                <w:rFonts w:hint="eastAsia"/>
                <w:color w:val="auto"/>
                <w:sz w:val="24"/>
              </w:rPr>
              <w:t>，经处理后的废气由1根15m高排气筒外排，满足《铸造工业大气污染物排放标准》（GB39726-2020）表1排放限值。</w:t>
            </w:r>
          </w:p>
          <w:p w14:paraId="35DE21F2">
            <w:pPr>
              <w:adjustRightInd w:val="0"/>
              <w:snapToGrid w:val="0"/>
              <w:spacing w:line="360" w:lineRule="auto"/>
              <w:ind w:firstLine="480" w:firstLineChars="200"/>
              <w:jc w:val="left"/>
              <w:rPr>
                <w:color w:val="auto"/>
                <w:sz w:val="24"/>
              </w:rPr>
            </w:pPr>
            <w:r>
              <w:rPr>
                <w:rFonts w:hint="eastAsia"/>
                <w:color w:val="auto"/>
                <w:sz w:val="24"/>
              </w:rPr>
              <w:fldChar w:fldCharType="begin"/>
            </w:r>
            <w:r>
              <w:rPr>
                <w:rFonts w:hint="eastAsia"/>
                <w:color w:val="auto"/>
                <w:sz w:val="24"/>
              </w:rPr>
              <w:instrText xml:space="preserve"> EQ \o\ac(○,</w:instrText>
            </w:r>
            <w:r>
              <w:rPr>
                <w:rFonts w:hint="eastAsia"/>
                <w:color w:val="auto"/>
                <w:position w:val="3"/>
                <w:sz w:val="16"/>
              </w:rPr>
              <w:instrText xml:space="preserve">14</w:instrText>
            </w:r>
            <w:r>
              <w:rPr>
                <w:rFonts w:hint="eastAsia"/>
                <w:color w:val="auto"/>
                <w:sz w:val="24"/>
              </w:rPr>
              <w:instrText xml:space="preserve">)</w:instrText>
            </w:r>
            <w:r>
              <w:rPr>
                <w:rFonts w:hint="eastAsia"/>
                <w:color w:val="auto"/>
                <w:sz w:val="24"/>
              </w:rPr>
              <w:fldChar w:fldCharType="end"/>
            </w:r>
            <w:r>
              <w:rPr>
                <w:rFonts w:hint="eastAsia"/>
                <w:color w:val="auto"/>
                <w:sz w:val="24"/>
              </w:rPr>
              <w:t>焊接废气</w:t>
            </w:r>
          </w:p>
          <w:p w14:paraId="25C914FC">
            <w:pPr>
              <w:adjustRightInd w:val="0"/>
              <w:snapToGrid w:val="0"/>
              <w:spacing w:line="360" w:lineRule="auto"/>
              <w:ind w:firstLine="480" w:firstLineChars="200"/>
              <w:rPr>
                <w:color w:val="auto"/>
                <w:sz w:val="24"/>
              </w:rPr>
            </w:pPr>
            <w:r>
              <w:rPr>
                <w:rFonts w:hint="eastAsia"/>
                <w:color w:val="auto"/>
                <w:sz w:val="24"/>
              </w:rPr>
              <w:t>本工程水泵需要焊接底座，焊接方式为气体保护焊，年用焊条0.5t，根据《排放源统计调查产排污核算方法和系数手册》33-37/431-434 机械行业系数手册，09焊接，二氧化碳保护焊颗粒物产生源强为9.19kg/t▪原料，则本项目焊接烟尘的产生量为0.005t/a。本工程焊机2台，</w:t>
            </w:r>
            <w:r>
              <w:rPr>
                <w:rFonts w:hint="eastAsia" w:cs="宋体"/>
                <w:color w:val="auto"/>
                <w:spacing w:val="8"/>
                <w:sz w:val="24"/>
              </w:rPr>
              <w:t>采用移动</w:t>
            </w:r>
            <w:r>
              <w:rPr>
                <w:color w:val="auto"/>
                <w:kern w:val="18"/>
                <w:sz w:val="24"/>
              </w:rPr>
              <w:t>式</w:t>
            </w:r>
            <w:r>
              <w:rPr>
                <w:rFonts w:hint="eastAsia"/>
                <w:color w:val="auto"/>
                <w:kern w:val="18"/>
                <w:sz w:val="24"/>
              </w:rPr>
              <w:t>除尘器</w:t>
            </w:r>
            <w:r>
              <w:rPr>
                <w:color w:val="auto"/>
                <w:kern w:val="18"/>
                <w:sz w:val="24"/>
              </w:rPr>
              <w:t>（</w:t>
            </w:r>
            <w:r>
              <w:rPr>
                <w:rFonts w:hint="eastAsia"/>
                <w:color w:val="auto"/>
                <w:kern w:val="18"/>
                <w:sz w:val="24"/>
              </w:rPr>
              <w:t>T</w:t>
            </w:r>
            <w:r>
              <w:rPr>
                <w:color w:val="auto"/>
                <w:kern w:val="18"/>
                <w:sz w:val="24"/>
              </w:rPr>
              <w:t>A00</w:t>
            </w:r>
            <w:r>
              <w:rPr>
                <w:rFonts w:hint="eastAsia"/>
                <w:color w:val="auto"/>
                <w:kern w:val="18"/>
                <w:sz w:val="24"/>
              </w:rPr>
              <w:t>9</w:t>
            </w:r>
            <w:r>
              <w:rPr>
                <w:color w:val="auto"/>
                <w:kern w:val="18"/>
                <w:sz w:val="24"/>
              </w:rPr>
              <w:t>）</w:t>
            </w:r>
            <w:r>
              <w:rPr>
                <w:rFonts w:hint="eastAsia"/>
                <w:color w:val="auto"/>
                <w:kern w:val="18"/>
                <w:sz w:val="24"/>
              </w:rPr>
              <w:t>收集处理，</w:t>
            </w:r>
            <w:r>
              <w:rPr>
                <w:color w:val="auto"/>
                <w:kern w:val="18"/>
                <w:sz w:val="24"/>
              </w:rPr>
              <w:t>移动式</w:t>
            </w:r>
            <w:r>
              <w:rPr>
                <w:rFonts w:hint="eastAsia"/>
                <w:color w:val="auto"/>
                <w:kern w:val="18"/>
                <w:sz w:val="24"/>
              </w:rPr>
              <w:t>除尘器</w:t>
            </w:r>
            <w:r>
              <w:rPr>
                <w:color w:val="auto"/>
                <w:kern w:val="18"/>
                <w:sz w:val="24"/>
              </w:rPr>
              <w:t>收集效率</w:t>
            </w:r>
            <w:r>
              <w:rPr>
                <w:rFonts w:hint="eastAsia"/>
                <w:color w:val="auto"/>
                <w:kern w:val="18"/>
                <w:sz w:val="24"/>
              </w:rPr>
              <w:t>6</w:t>
            </w:r>
            <w:r>
              <w:rPr>
                <w:color w:val="auto"/>
                <w:kern w:val="18"/>
                <w:sz w:val="24"/>
              </w:rPr>
              <w:t xml:space="preserve">0%，除尘效率 95%，则无组织颗粒物排放量为 </w:t>
            </w:r>
            <w:r>
              <w:rPr>
                <w:rFonts w:hint="eastAsia"/>
                <w:color w:val="auto"/>
                <w:kern w:val="18"/>
                <w:sz w:val="24"/>
              </w:rPr>
              <w:t>0.002</w:t>
            </w:r>
            <w:r>
              <w:rPr>
                <w:color w:val="auto"/>
                <w:kern w:val="18"/>
                <w:sz w:val="24"/>
              </w:rPr>
              <w:t xml:space="preserve">t/a。粉尘捕集量 </w:t>
            </w:r>
            <w:r>
              <w:rPr>
                <w:rFonts w:hint="eastAsia"/>
                <w:color w:val="auto"/>
                <w:kern w:val="18"/>
                <w:sz w:val="24"/>
              </w:rPr>
              <w:t>0.003</w:t>
            </w:r>
            <w:r>
              <w:rPr>
                <w:color w:val="auto"/>
                <w:kern w:val="18"/>
                <w:sz w:val="24"/>
              </w:rPr>
              <w:t>t/a。</w:t>
            </w:r>
          </w:p>
          <w:p w14:paraId="2E36D9BF">
            <w:pPr>
              <w:adjustRightInd w:val="0"/>
              <w:snapToGrid w:val="0"/>
              <w:spacing w:line="360" w:lineRule="auto"/>
              <w:ind w:firstLine="480" w:firstLineChars="200"/>
              <w:jc w:val="left"/>
              <w:rPr>
                <w:color w:val="auto"/>
                <w:sz w:val="24"/>
              </w:rPr>
            </w:pPr>
            <w:r>
              <w:rPr>
                <w:rFonts w:hint="eastAsia"/>
                <w:color w:val="auto"/>
                <w:sz w:val="24"/>
              </w:rPr>
              <w:fldChar w:fldCharType="begin"/>
            </w:r>
            <w:r>
              <w:rPr>
                <w:rFonts w:hint="eastAsia"/>
                <w:color w:val="auto"/>
                <w:sz w:val="24"/>
              </w:rPr>
              <w:instrText xml:space="preserve"> EQ \o\ac(○,</w:instrText>
            </w:r>
            <w:r>
              <w:rPr>
                <w:rFonts w:hint="eastAsia"/>
                <w:color w:val="auto"/>
                <w:position w:val="3"/>
                <w:sz w:val="16"/>
              </w:rPr>
              <w:instrText xml:space="preserve">15</w:instrText>
            </w:r>
            <w:r>
              <w:rPr>
                <w:rFonts w:hint="eastAsia"/>
                <w:color w:val="auto"/>
                <w:sz w:val="24"/>
              </w:rPr>
              <w:instrText xml:space="preserve">)</w:instrText>
            </w:r>
            <w:r>
              <w:rPr>
                <w:rFonts w:hint="eastAsia"/>
                <w:color w:val="auto"/>
                <w:sz w:val="24"/>
              </w:rPr>
              <w:fldChar w:fldCharType="end"/>
            </w:r>
            <w:r>
              <w:rPr>
                <w:rFonts w:hint="eastAsia"/>
                <w:color w:val="auto"/>
                <w:sz w:val="24"/>
              </w:rPr>
              <w:t>喷涂废气</w:t>
            </w:r>
          </w:p>
          <w:p w14:paraId="094C31D5">
            <w:pPr>
              <w:adjustRightInd w:val="0"/>
              <w:snapToGrid w:val="0"/>
              <w:spacing w:line="360" w:lineRule="auto"/>
              <w:ind w:firstLine="480" w:firstLineChars="200"/>
              <w:rPr>
                <w:color w:val="auto"/>
                <w:sz w:val="24"/>
              </w:rPr>
            </w:pPr>
            <w:r>
              <w:rPr>
                <w:rFonts w:hint="eastAsia"/>
                <w:color w:val="auto"/>
                <w:sz w:val="24"/>
              </w:rPr>
              <w:t>根据项目使用涂料成分情况，主要挥发性有机物含量情况见下表。</w:t>
            </w:r>
          </w:p>
          <w:p w14:paraId="4B2069C2">
            <w:pPr>
              <w:adjustRightInd w:val="0"/>
              <w:snapToGrid w:val="0"/>
              <w:spacing w:line="300" w:lineRule="exact"/>
              <w:jc w:val="center"/>
              <w:rPr>
                <w:rFonts w:hAnsi="宋体"/>
                <w:b/>
                <w:color w:val="auto"/>
                <w:szCs w:val="21"/>
              </w:rPr>
            </w:pPr>
            <w:r>
              <w:rPr>
                <w:rFonts w:hint="eastAsia" w:hAnsi="宋体"/>
                <w:b/>
                <w:color w:val="auto"/>
                <w:szCs w:val="21"/>
              </w:rPr>
              <w:t>表4-3 涂料主要挥发性有机物含量</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4"/>
              <w:gridCol w:w="1813"/>
              <w:gridCol w:w="1470"/>
              <w:gridCol w:w="1447"/>
              <w:gridCol w:w="1464"/>
              <w:gridCol w:w="1607"/>
            </w:tblGrid>
            <w:tr w14:paraId="3DF11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565" w:type="pct"/>
                  <w:vAlign w:val="center"/>
                </w:tcPr>
                <w:p w14:paraId="358605DA">
                  <w:pPr>
                    <w:jc w:val="center"/>
                    <w:rPr>
                      <w:bCs/>
                      <w:color w:val="auto"/>
                      <w:szCs w:val="21"/>
                    </w:rPr>
                  </w:pPr>
                  <w:r>
                    <w:rPr>
                      <w:bCs/>
                      <w:color w:val="auto"/>
                      <w:szCs w:val="21"/>
                    </w:rPr>
                    <w:t>污染源</w:t>
                  </w:r>
                </w:p>
              </w:tc>
              <w:tc>
                <w:tcPr>
                  <w:tcW w:w="1030" w:type="pct"/>
                  <w:vAlign w:val="center"/>
                </w:tcPr>
                <w:p w14:paraId="719B55E2">
                  <w:pPr>
                    <w:jc w:val="center"/>
                    <w:rPr>
                      <w:bCs/>
                      <w:color w:val="auto"/>
                      <w:szCs w:val="21"/>
                    </w:rPr>
                  </w:pPr>
                  <w:r>
                    <w:rPr>
                      <w:bCs/>
                      <w:color w:val="auto"/>
                      <w:szCs w:val="21"/>
                    </w:rPr>
                    <w:t>项目</w:t>
                  </w:r>
                </w:p>
              </w:tc>
              <w:tc>
                <w:tcPr>
                  <w:tcW w:w="835" w:type="pct"/>
                  <w:vAlign w:val="center"/>
                </w:tcPr>
                <w:p w14:paraId="6F3AA933">
                  <w:pPr>
                    <w:jc w:val="center"/>
                    <w:rPr>
                      <w:bCs/>
                      <w:color w:val="auto"/>
                      <w:szCs w:val="21"/>
                    </w:rPr>
                  </w:pPr>
                  <w:r>
                    <w:rPr>
                      <w:bCs/>
                      <w:color w:val="auto"/>
                      <w:szCs w:val="21"/>
                    </w:rPr>
                    <w:t>使用量（t/a）</w:t>
                  </w:r>
                </w:p>
              </w:tc>
              <w:tc>
                <w:tcPr>
                  <w:tcW w:w="822" w:type="pct"/>
                  <w:vAlign w:val="center"/>
                </w:tcPr>
                <w:p w14:paraId="3879EB29">
                  <w:pPr>
                    <w:jc w:val="center"/>
                    <w:rPr>
                      <w:bCs/>
                      <w:color w:val="auto"/>
                      <w:szCs w:val="21"/>
                    </w:rPr>
                  </w:pPr>
                  <w:r>
                    <w:rPr>
                      <w:bCs/>
                      <w:color w:val="auto"/>
                      <w:szCs w:val="21"/>
                    </w:rPr>
                    <w:t>挥发成分</w:t>
                  </w:r>
                </w:p>
              </w:tc>
              <w:tc>
                <w:tcPr>
                  <w:tcW w:w="832" w:type="pct"/>
                  <w:vAlign w:val="center"/>
                </w:tcPr>
                <w:p w14:paraId="383F5172">
                  <w:pPr>
                    <w:jc w:val="center"/>
                    <w:rPr>
                      <w:bCs/>
                      <w:color w:val="auto"/>
                      <w:szCs w:val="21"/>
                    </w:rPr>
                  </w:pPr>
                  <w:r>
                    <w:rPr>
                      <w:rFonts w:hint="eastAsia"/>
                      <w:bCs/>
                      <w:color w:val="auto"/>
                      <w:szCs w:val="21"/>
                    </w:rPr>
                    <w:t>含量</w:t>
                  </w:r>
                  <w:r>
                    <w:rPr>
                      <w:bCs/>
                      <w:color w:val="auto"/>
                      <w:szCs w:val="21"/>
                    </w:rPr>
                    <w:t>（%）</w:t>
                  </w:r>
                </w:p>
              </w:tc>
              <w:tc>
                <w:tcPr>
                  <w:tcW w:w="913" w:type="pct"/>
                  <w:vAlign w:val="center"/>
                </w:tcPr>
                <w:p w14:paraId="70245C2D">
                  <w:pPr>
                    <w:jc w:val="center"/>
                    <w:rPr>
                      <w:bCs/>
                      <w:color w:val="auto"/>
                      <w:szCs w:val="21"/>
                    </w:rPr>
                  </w:pPr>
                  <w:r>
                    <w:rPr>
                      <w:bCs/>
                      <w:color w:val="auto"/>
                      <w:szCs w:val="21"/>
                    </w:rPr>
                    <w:t>挥发量（t/a）</w:t>
                  </w:r>
                </w:p>
              </w:tc>
            </w:tr>
            <w:tr w14:paraId="4D6C2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565" w:type="pct"/>
                  <w:vMerge w:val="restart"/>
                  <w:vAlign w:val="center"/>
                </w:tcPr>
                <w:p w14:paraId="65B58F17">
                  <w:pPr>
                    <w:jc w:val="center"/>
                    <w:rPr>
                      <w:bCs/>
                      <w:color w:val="auto"/>
                      <w:szCs w:val="21"/>
                    </w:rPr>
                  </w:pPr>
                  <w:r>
                    <w:rPr>
                      <w:bCs/>
                      <w:color w:val="auto"/>
                      <w:szCs w:val="21"/>
                    </w:rPr>
                    <w:t>油</w:t>
                  </w:r>
                  <w:r>
                    <w:rPr>
                      <w:rFonts w:hint="eastAsia"/>
                      <w:bCs/>
                      <w:color w:val="auto"/>
                      <w:szCs w:val="21"/>
                    </w:rPr>
                    <w:t>性</w:t>
                  </w:r>
                  <w:r>
                    <w:rPr>
                      <w:bCs/>
                      <w:color w:val="auto"/>
                      <w:szCs w:val="21"/>
                    </w:rPr>
                    <w:t>漆</w:t>
                  </w:r>
                </w:p>
              </w:tc>
              <w:tc>
                <w:tcPr>
                  <w:tcW w:w="1030" w:type="pct"/>
                  <w:vMerge w:val="restart"/>
                  <w:vAlign w:val="center"/>
                </w:tcPr>
                <w:p w14:paraId="013F608B">
                  <w:pPr>
                    <w:jc w:val="center"/>
                    <w:rPr>
                      <w:bCs/>
                      <w:color w:val="auto"/>
                      <w:szCs w:val="21"/>
                    </w:rPr>
                  </w:pPr>
                  <w:r>
                    <w:rPr>
                      <w:bCs/>
                      <w:color w:val="auto"/>
                      <w:szCs w:val="21"/>
                    </w:rPr>
                    <w:t>面漆</w:t>
                  </w:r>
                </w:p>
              </w:tc>
              <w:tc>
                <w:tcPr>
                  <w:tcW w:w="835" w:type="pct"/>
                  <w:vMerge w:val="restart"/>
                  <w:vAlign w:val="center"/>
                </w:tcPr>
                <w:p w14:paraId="77675948">
                  <w:pPr>
                    <w:jc w:val="center"/>
                    <w:rPr>
                      <w:bCs/>
                      <w:color w:val="auto"/>
                      <w:szCs w:val="21"/>
                    </w:rPr>
                  </w:pPr>
                  <w:r>
                    <w:rPr>
                      <w:rFonts w:hint="eastAsia"/>
                      <w:bCs/>
                      <w:color w:val="auto"/>
                      <w:szCs w:val="21"/>
                    </w:rPr>
                    <w:t>0.2</w:t>
                  </w:r>
                </w:p>
              </w:tc>
              <w:tc>
                <w:tcPr>
                  <w:tcW w:w="822" w:type="pct"/>
                  <w:vAlign w:val="center"/>
                </w:tcPr>
                <w:p w14:paraId="52D9267A">
                  <w:pPr>
                    <w:jc w:val="center"/>
                    <w:rPr>
                      <w:bCs/>
                      <w:color w:val="auto"/>
                      <w:szCs w:val="21"/>
                    </w:rPr>
                  </w:pPr>
                  <w:r>
                    <w:rPr>
                      <w:bCs/>
                      <w:color w:val="auto"/>
                      <w:szCs w:val="21"/>
                    </w:rPr>
                    <w:t>二甲苯</w:t>
                  </w:r>
                </w:p>
              </w:tc>
              <w:tc>
                <w:tcPr>
                  <w:tcW w:w="832" w:type="pct"/>
                  <w:vAlign w:val="center"/>
                </w:tcPr>
                <w:p w14:paraId="6FA5FD58">
                  <w:pPr>
                    <w:jc w:val="center"/>
                    <w:rPr>
                      <w:bCs/>
                      <w:color w:val="auto"/>
                      <w:szCs w:val="21"/>
                    </w:rPr>
                  </w:pPr>
                  <w:r>
                    <w:rPr>
                      <w:rFonts w:hint="eastAsia"/>
                      <w:bCs/>
                      <w:color w:val="auto"/>
                      <w:szCs w:val="21"/>
                    </w:rPr>
                    <w:t>10</w:t>
                  </w:r>
                </w:p>
              </w:tc>
              <w:tc>
                <w:tcPr>
                  <w:tcW w:w="913" w:type="pct"/>
                  <w:vAlign w:val="center"/>
                </w:tcPr>
                <w:p w14:paraId="4DF50FCE">
                  <w:pPr>
                    <w:jc w:val="center"/>
                    <w:rPr>
                      <w:bCs/>
                      <w:color w:val="auto"/>
                      <w:szCs w:val="21"/>
                    </w:rPr>
                  </w:pPr>
                  <w:r>
                    <w:rPr>
                      <w:rFonts w:hint="eastAsia"/>
                      <w:bCs/>
                      <w:color w:val="auto"/>
                      <w:szCs w:val="21"/>
                    </w:rPr>
                    <w:t>0.02</w:t>
                  </w:r>
                </w:p>
              </w:tc>
            </w:tr>
            <w:tr w14:paraId="077BF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565" w:type="pct"/>
                  <w:vMerge w:val="continue"/>
                  <w:vAlign w:val="center"/>
                </w:tcPr>
                <w:p w14:paraId="4A52D7D4">
                  <w:pPr>
                    <w:jc w:val="center"/>
                    <w:rPr>
                      <w:bCs/>
                      <w:color w:val="auto"/>
                      <w:szCs w:val="21"/>
                    </w:rPr>
                  </w:pPr>
                </w:p>
              </w:tc>
              <w:tc>
                <w:tcPr>
                  <w:tcW w:w="1030" w:type="pct"/>
                  <w:vMerge w:val="continue"/>
                  <w:vAlign w:val="center"/>
                </w:tcPr>
                <w:p w14:paraId="672EC3E5">
                  <w:pPr>
                    <w:jc w:val="center"/>
                    <w:rPr>
                      <w:bCs/>
                      <w:color w:val="auto"/>
                      <w:szCs w:val="21"/>
                    </w:rPr>
                  </w:pPr>
                </w:p>
              </w:tc>
              <w:tc>
                <w:tcPr>
                  <w:tcW w:w="835" w:type="pct"/>
                  <w:vMerge w:val="continue"/>
                  <w:vAlign w:val="center"/>
                </w:tcPr>
                <w:p w14:paraId="081E06E8">
                  <w:pPr>
                    <w:jc w:val="center"/>
                    <w:rPr>
                      <w:bCs/>
                      <w:color w:val="auto"/>
                      <w:szCs w:val="21"/>
                    </w:rPr>
                  </w:pPr>
                </w:p>
              </w:tc>
              <w:tc>
                <w:tcPr>
                  <w:tcW w:w="822" w:type="pct"/>
                  <w:vAlign w:val="center"/>
                </w:tcPr>
                <w:p w14:paraId="02FB962D">
                  <w:pPr>
                    <w:jc w:val="center"/>
                    <w:rPr>
                      <w:bCs/>
                      <w:color w:val="auto"/>
                      <w:szCs w:val="21"/>
                    </w:rPr>
                  </w:pPr>
                  <w:r>
                    <w:rPr>
                      <w:bCs/>
                      <w:color w:val="auto"/>
                      <w:szCs w:val="21"/>
                    </w:rPr>
                    <w:t>VOCs</w:t>
                  </w:r>
                </w:p>
              </w:tc>
              <w:tc>
                <w:tcPr>
                  <w:tcW w:w="832" w:type="pct"/>
                  <w:vAlign w:val="center"/>
                </w:tcPr>
                <w:p w14:paraId="08BCF00D">
                  <w:pPr>
                    <w:jc w:val="center"/>
                    <w:rPr>
                      <w:bCs/>
                      <w:color w:val="auto"/>
                      <w:szCs w:val="21"/>
                    </w:rPr>
                  </w:pPr>
                  <w:r>
                    <w:rPr>
                      <w:rFonts w:hint="eastAsia"/>
                      <w:bCs/>
                      <w:color w:val="auto"/>
                      <w:szCs w:val="21"/>
                    </w:rPr>
                    <w:t>20</w:t>
                  </w:r>
                </w:p>
              </w:tc>
              <w:tc>
                <w:tcPr>
                  <w:tcW w:w="913" w:type="pct"/>
                  <w:vAlign w:val="center"/>
                </w:tcPr>
                <w:p w14:paraId="5351E2F0">
                  <w:pPr>
                    <w:jc w:val="center"/>
                    <w:rPr>
                      <w:bCs/>
                      <w:color w:val="auto"/>
                      <w:szCs w:val="21"/>
                    </w:rPr>
                  </w:pPr>
                  <w:r>
                    <w:rPr>
                      <w:rFonts w:hint="eastAsia"/>
                      <w:bCs/>
                      <w:color w:val="auto"/>
                      <w:szCs w:val="21"/>
                    </w:rPr>
                    <w:t>0.04</w:t>
                  </w:r>
                </w:p>
              </w:tc>
            </w:tr>
            <w:tr w14:paraId="4FEBB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565" w:type="pct"/>
                  <w:vMerge w:val="continue"/>
                  <w:vAlign w:val="center"/>
                </w:tcPr>
                <w:p w14:paraId="397ACF9E">
                  <w:pPr>
                    <w:jc w:val="center"/>
                    <w:rPr>
                      <w:bCs/>
                      <w:color w:val="auto"/>
                      <w:szCs w:val="21"/>
                    </w:rPr>
                  </w:pPr>
                </w:p>
              </w:tc>
              <w:tc>
                <w:tcPr>
                  <w:tcW w:w="1030" w:type="pct"/>
                  <w:vMerge w:val="restart"/>
                  <w:vAlign w:val="center"/>
                </w:tcPr>
                <w:p w14:paraId="377BA050">
                  <w:pPr>
                    <w:jc w:val="center"/>
                    <w:rPr>
                      <w:bCs/>
                      <w:color w:val="auto"/>
                      <w:szCs w:val="21"/>
                    </w:rPr>
                  </w:pPr>
                  <w:r>
                    <w:rPr>
                      <w:rFonts w:hint="eastAsia"/>
                      <w:bCs/>
                      <w:color w:val="auto"/>
                      <w:szCs w:val="21"/>
                    </w:rPr>
                    <w:t>面漆固化剂</w:t>
                  </w:r>
                </w:p>
              </w:tc>
              <w:tc>
                <w:tcPr>
                  <w:tcW w:w="835" w:type="pct"/>
                  <w:vMerge w:val="restart"/>
                  <w:vAlign w:val="center"/>
                </w:tcPr>
                <w:p w14:paraId="1CC1F495">
                  <w:pPr>
                    <w:jc w:val="center"/>
                    <w:rPr>
                      <w:bCs/>
                      <w:color w:val="auto"/>
                      <w:szCs w:val="21"/>
                    </w:rPr>
                  </w:pPr>
                  <w:r>
                    <w:rPr>
                      <w:rFonts w:hint="eastAsia"/>
                      <w:bCs/>
                      <w:color w:val="auto"/>
                      <w:szCs w:val="21"/>
                    </w:rPr>
                    <w:t>0.1</w:t>
                  </w:r>
                </w:p>
              </w:tc>
              <w:tc>
                <w:tcPr>
                  <w:tcW w:w="822" w:type="pct"/>
                  <w:vAlign w:val="center"/>
                </w:tcPr>
                <w:p w14:paraId="57D0B199">
                  <w:pPr>
                    <w:jc w:val="center"/>
                    <w:rPr>
                      <w:bCs/>
                      <w:color w:val="auto"/>
                      <w:szCs w:val="21"/>
                    </w:rPr>
                  </w:pPr>
                  <w:r>
                    <w:rPr>
                      <w:bCs/>
                      <w:color w:val="auto"/>
                      <w:szCs w:val="21"/>
                    </w:rPr>
                    <w:t>二甲苯</w:t>
                  </w:r>
                </w:p>
              </w:tc>
              <w:tc>
                <w:tcPr>
                  <w:tcW w:w="832" w:type="pct"/>
                  <w:vAlign w:val="center"/>
                </w:tcPr>
                <w:p w14:paraId="7C3A20A2">
                  <w:pPr>
                    <w:jc w:val="center"/>
                    <w:rPr>
                      <w:bCs/>
                      <w:color w:val="auto"/>
                      <w:szCs w:val="21"/>
                    </w:rPr>
                  </w:pPr>
                  <w:r>
                    <w:rPr>
                      <w:rFonts w:hint="eastAsia"/>
                      <w:bCs/>
                      <w:color w:val="auto"/>
                      <w:szCs w:val="21"/>
                    </w:rPr>
                    <w:t>0</w:t>
                  </w:r>
                </w:p>
              </w:tc>
              <w:tc>
                <w:tcPr>
                  <w:tcW w:w="913" w:type="pct"/>
                  <w:vAlign w:val="center"/>
                </w:tcPr>
                <w:p w14:paraId="5D02CFD3">
                  <w:pPr>
                    <w:jc w:val="center"/>
                    <w:rPr>
                      <w:bCs/>
                      <w:color w:val="auto"/>
                      <w:szCs w:val="21"/>
                    </w:rPr>
                  </w:pPr>
                  <w:r>
                    <w:rPr>
                      <w:rFonts w:hint="eastAsia"/>
                      <w:bCs/>
                      <w:color w:val="auto"/>
                      <w:szCs w:val="21"/>
                    </w:rPr>
                    <w:t>0</w:t>
                  </w:r>
                </w:p>
              </w:tc>
            </w:tr>
            <w:tr w14:paraId="25205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565" w:type="pct"/>
                  <w:vMerge w:val="continue"/>
                  <w:vAlign w:val="center"/>
                </w:tcPr>
                <w:p w14:paraId="21E1F2A2">
                  <w:pPr>
                    <w:jc w:val="center"/>
                    <w:rPr>
                      <w:bCs/>
                      <w:color w:val="auto"/>
                      <w:szCs w:val="21"/>
                    </w:rPr>
                  </w:pPr>
                </w:p>
              </w:tc>
              <w:tc>
                <w:tcPr>
                  <w:tcW w:w="1030" w:type="pct"/>
                  <w:vMerge w:val="continue"/>
                  <w:vAlign w:val="center"/>
                </w:tcPr>
                <w:p w14:paraId="7425F9E7">
                  <w:pPr>
                    <w:jc w:val="center"/>
                    <w:rPr>
                      <w:bCs/>
                      <w:color w:val="auto"/>
                      <w:szCs w:val="21"/>
                    </w:rPr>
                  </w:pPr>
                </w:p>
              </w:tc>
              <w:tc>
                <w:tcPr>
                  <w:tcW w:w="835" w:type="pct"/>
                  <w:vMerge w:val="continue"/>
                  <w:vAlign w:val="center"/>
                </w:tcPr>
                <w:p w14:paraId="6FF116F0">
                  <w:pPr>
                    <w:jc w:val="center"/>
                    <w:rPr>
                      <w:bCs/>
                      <w:color w:val="auto"/>
                      <w:szCs w:val="21"/>
                    </w:rPr>
                  </w:pPr>
                </w:p>
              </w:tc>
              <w:tc>
                <w:tcPr>
                  <w:tcW w:w="822" w:type="pct"/>
                  <w:vAlign w:val="center"/>
                </w:tcPr>
                <w:p w14:paraId="0F09F77E">
                  <w:pPr>
                    <w:jc w:val="center"/>
                    <w:rPr>
                      <w:bCs/>
                      <w:color w:val="auto"/>
                      <w:szCs w:val="21"/>
                    </w:rPr>
                  </w:pPr>
                  <w:r>
                    <w:rPr>
                      <w:bCs/>
                      <w:color w:val="auto"/>
                      <w:szCs w:val="21"/>
                    </w:rPr>
                    <w:t>VOCs</w:t>
                  </w:r>
                </w:p>
              </w:tc>
              <w:tc>
                <w:tcPr>
                  <w:tcW w:w="832" w:type="pct"/>
                  <w:vAlign w:val="center"/>
                </w:tcPr>
                <w:p w14:paraId="0C684B75">
                  <w:pPr>
                    <w:jc w:val="center"/>
                    <w:rPr>
                      <w:bCs/>
                      <w:color w:val="auto"/>
                      <w:szCs w:val="21"/>
                    </w:rPr>
                  </w:pPr>
                  <w:r>
                    <w:rPr>
                      <w:rFonts w:hint="eastAsia"/>
                      <w:bCs/>
                      <w:color w:val="auto"/>
                      <w:szCs w:val="21"/>
                    </w:rPr>
                    <w:t>20</w:t>
                  </w:r>
                </w:p>
              </w:tc>
              <w:tc>
                <w:tcPr>
                  <w:tcW w:w="913" w:type="pct"/>
                  <w:vAlign w:val="center"/>
                </w:tcPr>
                <w:p w14:paraId="18238134">
                  <w:pPr>
                    <w:jc w:val="center"/>
                    <w:rPr>
                      <w:bCs/>
                      <w:color w:val="auto"/>
                      <w:szCs w:val="21"/>
                    </w:rPr>
                  </w:pPr>
                  <w:r>
                    <w:rPr>
                      <w:rFonts w:hint="eastAsia"/>
                      <w:bCs/>
                      <w:color w:val="auto"/>
                      <w:szCs w:val="21"/>
                    </w:rPr>
                    <w:t>0.02</w:t>
                  </w:r>
                </w:p>
              </w:tc>
            </w:tr>
            <w:tr w14:paraId="18806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565" w:type="pct"/>
                  <w:vMerge w:val="continue"/>
                  <w:vAlign w:val="center"/>
                </w:tcPr>
                <w:p w14:paraId="6494BFDF">
                  <w:pPr>
                    <w:jc w:val="center"/>
                    <w:rPr>
                      <w:bCs/>
                      <w:color w:val="auto"/>
                      <w:szCs w:val="21"/>
                    </w:rPr>
                  </w:pPr>
                </w:p>
              </w:tc>
              <w:tc>
                <w:tcPr>
                  <w:tcW w:w="1030" w:type="pct"/>
                  <w:vMerge w:val="restart"/>
                  <w:vAlign w:val="center"/>
                </w:tcPr>
                <w:p w14:paraId="3991BB55">
                  <w:pPr>
                    <w:jc w:val="center"/>
                    <w:rPr>
                      <w:bCs/>
                      <w:color w:val="auto"/>
                      <w:szCs w:val="21"/>
                    </w:rPr>
                  </w:pPr>
                  <w:r>
                    <w:rPr>
                      <w:rFonts w:hint="eastAsia"/>
                      <w:bCs/>
                      <w:color w:val="auto"/>
                      <w:szCs w:val="21"/>
                    </w:rPr>
                    <w:t>面漆稀释剂</w:t>
                  </w:r>
                </w:p>
              </w:tc>
              <w:tc>
                <w:tcPr>
                  <w:tcW w:w="835" w:type="pct"/>
                  <w:vMerge w:val="restart"/>
                  <w:vAlign w:val="center"/>
                </w:tcPr>
                <w:p w14:paraId="26CC863F">
                  <w:pPr>
                    <w:jc w:val="center"/>
                    <w:rPr>
                      <w:bCs/>
                      <w:color w:val="auto"/>
                      <w:szCs w:val="21"/>
                    </w:rPr>
                  </w:pPr>
                  <w:r>
                    <w:rPr>
                      <w:rFonts w:hint="eastAsia"/>
                      <w:bCs/>
                      <w:color w:val="auto"/>
                      <w:szCs w:val="21"/>
                    </w:rPr>
                    <w:t>0.1</w:t>
                  </w:r>
                </w:p>
              </w:tc>
              <w:tc>
                <w:tcPr>
                  <w:tcW w:w="822" w:type="pct"/>
                  <w:vAlign w:val="center"/>
                </w:tcPr>
                <w:p w14:paraId="0F46D49D">
                  <w:pPr>
                    <w:jc w:val="center"/>
                    <w:rPr>
                      <w:bCs/>
                      <w:color w:val="auto"/>
                      <w:szCs w:val="21"/>
                    </w:rPr>
                  </w:pPr>
                  <w:r>
                    <w:rPr>
                      <w:bCs/>
                      <w:color w:val="auto"/>
                      <w:szCs w:val="21"/>
                    </w:rPr>
                    <w:t>二甲苯</w:t>
                  </w:r>
                </w:p>
              </w:tc>
              <w:tc>
                <w:tcPr>
                  <w:tcW w:w="832" w:type="pct"/>
                  <w:vAlign w:val="center"/>
                </w:tcPr>
                <w:p w14:paraId="2B574794">
                  <w:pPr>
                    <w:jc w:val="center"/>
                    <w:rPr>
                      <w:bCs/>
                      <w:color w:val="auto"/>
                      <w:szCs w:val="21"/>
                    </w:rPr>
                  </w:pPr>
                  <w:r>
                    <w:rPr>
                      <w:rFonts w:hint="eastAsia"/>
                      <w:bCs/>
                      <w:color w:val="auto"/>
                      <w:szCs w:val="21"/>
                    </w:rPr>
                    <w:t>20</w:t>
                  </w:r>
                </w:p>
              </w:tc>
              <w:tc>
                <w:tcPr>
                  <w:tcW w:w="913" w:type="pct"/>
                  <w:vAlign w:val="center"/>
                </w:tcPr>
                <w:p w14:paraId="4E61C99D">
                  <w:pPr>
                    <w:jc w:val="center"/>
                    <w:rPr>
                      <w:bCs/>
                      <w:color w:val="auto"/>
                      <w:szCs w:val="21"/>
                    </w:rPr>
                  </w:pPr>
                  <w:r>
                    <w:rPr>
                      <w:rFonts w:hint="eastAsia"/>
                      <w:bCs/>
                      <w:color w:val="auto"/>
                      <w:szCs w:val="21"/>
                    </w:rPr>
                    <w:t>0.02</w:t>
                  </w:r>
                </w:p>
              </w:tc>
            </w:tr>
            <w:tr w14:paraId="549A4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565" w:type="pct"/>
                  <w:vMerge w:val="continue"/>
                  <w:vAlign w:val="center"/>
                </w:tcPr>
                <w:p w14:paraId="10C2B4B2">
                  <w:pPr>
                    <w:jc w:val="center"/>
                    <w:rPr>
                      <w:bCs/>
                      <w:color w:val="auto"/>
                      <w:szCs w:val="21"/>
                    </w:rPr>
                  </w:pPr>
                </w:p>
              </w:tc>
              <w:tc>
                <w:tcPr>
                  <w:tcW w:w="1030" w:type="pct"/>
                  <w:vMerge w:val="continue"/>
                  <w:vAlign w:val="center"/>
                </w:tcPr>
                <w:p w14:paraId="189AD84C">
                  <w:pPr>
                    <w:jc w:val="center"/>
                    <w:rPr>
                      <w:bCs/>
                      <w:color w:val="auto"/>
                      <w:szCs w:val="21"/>
                    </w:rPr>
                  </w:pPr>
                </w:p>
              </w:tc>
              <w:tc>
                <w:tcPr>
                  <w:tcW w:w="835" w:type="pct"/>
                  <w:vMerge w:val="continue"/>
                  <w:vAlign w:val="center"/>
                </w:tcPr>
                <w:p w14:paraId="0768A7F7">
                  <w:pPr>
                    <w:jc w:val="center"/>
                    <w:rPr>
                      <w:bCs/>
                      <w:color w:val="auto"/>
                      <w:szCs w:val="21"/>
                    </w:rPr>
                  </w:pPr>
                </w:p>
              </w:tc>
              <w:tc>
                <w:tcPr>
                  <w:tcW w:w="822" w:type="pct"/>
                  <w:vAlign w:val="center"/>
                </w:tcPr>
                <w:p w14:paraId="550065BA">
                  <w:pPr>
                    <w:jc w:val="center"/>
                    <w:rPr>
                      <w:bCs/>
                      <w:color w:val="auto"/>
                      <w:szCs w:val="21"/>
                    </w:rPr>
                  </w:pPr>
                  <w:r>
                    <w:rPr>
                      <w:bCs/>
                      <w:color w:val="auto"/>
                      <w:szCs w:val="21"/>
                    </w:rPr>
                    <w:t>VOCs</w:t>
                  </w:r>
                </w:p>
              </w:tc>
              <w:tc>
                <w:tcPr>
                  <w:tcW w:w="832" w:type="pct"/>
                  <w:vAlign w:val="center"/>
                </w:tcPr>
                <w:p w14:paraId="0B4B76DA">
                  <w:pPr>
                    <w:jc w:val="center"/>
                    <w:rPr>
                      <w:bCs/>
                      <w:color w:val="auto"/>
                      <w:szCs w:val="21"/>
                    </w:rPr>
                  </w:pPr>
                  <w:r>
                    <w:rPr>
                      <w:rFonts w:hint="eastAsia"/>
                      <w:bCs/>
                      <w:color w:val="auto"/>
                      <w:szCs w:val="21"/>
                    </w:rPr>
                    <w:t>100</w:t>
                  </w:r>
                </w:p>
              </w:tc>
              <w:tc>
                <w:tcPr>
                  <w:tcW w:w="913" w:type="pct"/>
                  <w:vAlign w:val="center"/>
                </w:tcPr>
                <w:p w14:paraId="691B3A59">
                  <w:pPr>
                    <w:jc w:val="center"/>
                    <w:rPr>
                      <w:bCs/>
                      <w:color w:val="auto"/>
                      <w:szCs w:val="21"/>
                    </w:rPr>
                  </w:pPr>
                  <w:r>
                    <w:rPr>
                      <w:rFonts w:hint="eastAsia"/>
                      <w:bCs/>
                      <w:color w:val="auto"/>
                      <w:szCs w:val="21"/>
                    </w:rPr>
                    <w:t>0.1</w:t>
                  </w:r>
                </w:p>
              </w:tc>
            </w:tr>
            <w:tr w14:paraId="7BE93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65" w:type="pct"/>
                  <w:vMerge w:val="continue"/>
                  <w:vAlign w:val="center"/>
                </w:tcPr>
                <w:p w14:paraId="3DCF5950">
                  <w:pPr>
                    <w:jc w:val="center"/>
                    <w:rPr>
                      <w:bCs/>
                      <w:color w:val="auto"/>
                      <w:szCs w:val="21"/>
                    </w:rPr>
                  </w:pPr>
                </w:p>
              </w:tc>
              <w:tc>
                <w:tcPr>
                  <w:tcW w:w="1030" w:type="pct"/>
                  <w:vMerge w:val="restart"/>
                  <w:vAlign w:val="center"/>
                </w:tcPr>
                <w:p w14:paraId="56A214AC">
                  <w:pPr>
                    <w:jc w:val="center"/>
                    <w:rPr>
                      <w:bCs/>
                      <w:color w:val="auto"/>
                      <w:szCs w:val="21"/>
                    </w:rPr>
                  </w:pPr>
                  <w:r>
                    <w:rPr>
                      <w:rFonts w:hint="eastAsia"/>
                      <w:bCs/>
                      <w:color w:val="auto"/>
                      <w:szCs w:val="21"/>
                    </w:rPr>
                    <w:t>底漆</w:t>
                  </w:r>
                </w:p>
              </w:tc>
              <w:tc>
                <w:tcPr>
                  <w:tcW w:w="835" w:type="pct"/>
                  <w:vMerge w:val="restart"/>
                  <w:vAlign w:val="center"/>
                </w:tcPr>
                <w:p w14:paraId="22FFF6AF">
                  <w:pPr>
                    <w:jc w:val="center"/>
                    <w:rPr>
                      <w:bCs/>
                      <w:color w:val="auto"/>
                      <w:szCs w:val="21"/>
                    </w:rPr>
                  </w:pPr>
                  <w:r>
                    <w:rPr>
                      <w:rFonts w:hint="eastAsia"/>
                      <w:bCs/>
                      <w:color w:val="auto"/>
                      <w:szCs w:val="21"/>
                    </w:rPr>
                    <w:t>1</w:t>
                  </w:r>
                </w:p>
              </w:tc>
              <w:tc>
                <w:tcPr>
                  <w:tcW w:w="822" w:type="pct"/>
                  <w:vAlign w:val="center"/>
                </w:tcPr>
                <w:p w14:paraId="50A75623">
                  <w:pPr>
                    <w:jc w:val="center"/>
                    <w:rPr>
                      <w:bCs/>
                      <w:color w:val="auto"/>
                      <w:szCs w:val="21"/>
                    </w:rPr>
                  </w:pPr>
                  <w:r>
                    <w:rPr>
                      <w:bCs/>
                      <w:color w:val="auto"/>
                      <w:szCs w:val="21"/>
                    </w:rPr>
                    <w:t>二甲苯</w:t>
                  </w:r>
                </w:p>
              </w:tc>
              <w:tc>
                <w:tcPr>
                  <w:tcW w:w="832" w:type="pct"/>
                  <w:vAlign w:val="center"/>
                </w:tcPr>
                <w:p w14:paraId="3EA07041">
                  <w:pPr>
                    <w:jc w:val="center"/>
                    <w:rPr>
                      <w:bCs/>
                      <w:color w:val="auto"/>
                      <w:szCs w:val="21"/>
                    </w:rPr>
                  </w:pPr>
                  <w:r>
                    <w:rPr>
                      <w:rFonts w:hint="eastAsia"/>
                      <w:bCs/>
                      <w:color w:val="auto"/>
                      <w:szCs w:val="21"/>
                    </w:rPr>
                    <w:t>4</w:t>
                  </w:r>
                </w:p>
              </w:tc>
              <w:tc>
                <w:tcPr>
                  <w:tcW w:w="913" w:type="pct"/>
                  <w:vAlign w:val="center"/>
                </w:tcPr>
                <w:p w14:paraId="2BFF4AE7">
                  <w:pPr>
                    <w:jc w:val="center"/>
                    <w:rPr>
                      <w:bCs/>
                      <w:color w:val="auto"/>
                      <w:szCs w:val="21"/>
                    </w:rPr>
                  </w:pPr>
                  <w:r>
                    <w:rPr>
                      <w:rFonts w:hint="eastAsia"/>
                      <w:bCs/>
                      <w:color w:val="auto"/>
                      <w:szCs w:val="21"/>
                    </w:rPr>
                    <w:t>0.04</w:t>
                  </w:r>
                </w:p>
              </w:tc>
            </w:tr>
            <w:tr w14:paraId="78928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65" w:type="pct"/>
                  <w:vMerge w:val="continue"/>
                  <w:vAlign w:val="center"/>
                </w:tcPr>
                <w:p w14:paraId="3D3751EC">
                  <w:pPr>
                    <w:jc w:val="center"/>
                    <w:rPr>
                      <w:bCs/>
                      <w:color w:val="auto"/>
                      <w:szCs w:val="21"/>
                    </w:rPr>
                  </w:pPr>
                </w:p>
              </w:tc>
              <w:tc>
                <w:tcPr>
                  <w:tcW w:w="1030" w:type="pct"/>
                  <w:vMerge w:val="continue"/>
                  <w:vAlign w:val="center"/>
                </w:tcPr>
                <w:p w14:paraId="0E4EAA45">
                  <w:pPr>
                    <w:jc w:val="center"/>
                    <w:rPr>
                      <w:bCs/>
                      <w:color w:val="auto"/>
                      <w:szCs w:val="21"/>
                    </w:rPr>
                  </w:pPr>
                </w:p>
              </w:tc>
              <w:tc>
                <w:tcPr>
                  <w:tcW w:w="835" w:type="pct"/>
                  <w:vMerge w:val="continue"/>
                  <w:vAlign w:val="center"/>
                </w:tcPr>
                <w:p w14:paraId="7AE6E33E">
                  <w:pPr>
                    <w:jc w:val="center"/>
                    <w:rPr>
                      <w:bCs/>
                      <w:color w:val="auto"/>
                      <w:szCs w:val="21"/>
                    </w:rPr>
                  </w:pPr>
                </w:p>
              </w:tc>
              <w:tc>
                <w:tcPr>
                  <w:tcW w:w="822" w:type="pct"/>
                  <w:vAlign w:val="center"/>
                </w:tcPr>
                <w:p w14:paraId="06A8BAFC">
                  <w:pPr>
                    <w:jc w:val="center"/>
                    <w:rPr>
                      <w:bCs/>
                      <w:color w:val="auto"/>
                      <w:szCs w:val="21"/>
                    </w:rPr>
                  </w:pPr>
                  <w:r>
                    <w:rPr>
                      <w:bCs/>
                      <w:color w:val="auto"/>
                      <w:szCs w:val="21"/>
                    </w:rPr>
                    <w:t>VOCs</w:t>
                  </w:r>
                </w:p>
              </w:tc>
              <w:tc>
                <w:tcPr>
                  <w:tcW w:w="832" w:type="pct"/>
                  <w:vAlign w:val="center"/>
                </w:tcPr>
                <w:p w14:paraId="121A19F6">
                  <w:pPr>
                    <w:jc w:val="center"/>
                    <w:rPr>
                      <w:bCs/>
                      <w:color w:val="auto"/>
                      <w:szCs w:val="21"/>
                    </w:rPr>
                  </w:pPr>
                  <w:r>
                    <w:rPr>
                      <w:rFonts w:hint="eastAsia"/>
                      <w:bCs/>
                      <w:color w:val="auto"/>
                      <w:szCs w:val="21"/>
                    </w:rPr>
                    <w:t>4</w:t>
                  </w:r>
                </w:p>
              </w:tc>
              <w:tc>
                <w:tcPr>
                  <w:tcW w:w="913" w:type="pct"/>
                  <w:vAlign w:val="center"/>
                </w:tcPr>
                <w:p w14:paraId="0E629FA1">
                  <w:pPr>
                    <w:jc w:val="center"/>
                    <w:rPr>
                      <w:bCs/>
                      <w:color w:val="auto"/>
                      <w:szCs w:val="21"/>
                    </w:rPr>
                  </w:pPr>
                  <w:r>
                    <w:rPr>
                      <w:rFonts w:hint="eastAsia"/>
                      <w:bCs/>
                      <w:color w:val="auto"/>
                      <w:szCs w:val="21"/>
                    </w:rPr>
                    <w:t>0.04</w:t>
                  </w:r>
                </w:p>
              </w:tc>
            </w:tr>
            <w:tr w14:paraId="3761F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565" w:type="pct"/>
                  <w:vMerge w:val="continue"/>
                  <w:vAlign w:val="center"/>
                </w:tcPr>
                <w:p w14:paraId="290CE68B">
                  <w:pPr>
                    <w:rPr>
                      <w:bCs/>
                      <w:color w:val="auto"/>
                      <w:szCs w:val="21"/>
                    </w:rPr>
                  </w:pPr>
                </w:p>
              </w:tc>
              <w:tc>
                <w:tcPr>
                  <w:tcW w:w="1030" w:type="pct"/>
                  <w:vMerge w:val="restart"/>
                  <w:vAlign w:val="center"/>
                </w:tcPr>
                <w:p w14:paraId="6EF53823">
                  <w:pPr>
                    <w:jc w:val="center"/>
                    <w:rPr>
                      <w:bCs/>
                      <w:color w:val="auto"/>
                      <w:szCs w:val="21"/>
                    </w:rPr>
                  </w:pPr>
                  <w:r>
                    <w:rPr>
                      <w:rFonts w:hint="eastAsia"/>
                      <w:bCs/>
                      <w:color w:val="auto"/>
                      <w:szCs w:val="21"/>
                    </w:rPr>
                    <w:t>底漆</w:t>
                  </w:r>
                  <w:r>
                    <w:rPr>
                      <w:bCs/>
                      <w:color w:val="auto"/>
                      <w:szCs w:val="21"/>
                    </w:rPr>
                    <w:t>稀释剂</w:t>
                  </w:r>
                </w:p>
              </w:tc>
              <w:tc>
                <w:tcPr>
                  <w:tcW w:w="835" w:type="pct"/>
                  <w:vMerge w:val="restart"/>
                  <w:vAlign w:val="center"/>
                </w:tcPr>
                <w:p w14:paraId="50778828">
                  <w:pPr>
                    <w:jc w:val="center"/>
                    <w:rPr>
                      <w:bCs/>
                      <w:color w:val="auto"/>
                      <w:szCs w:val="21"/>
                    </w:rPr>
                  </w:pPr>
                  <w:r>
                    <w:rPr>
                      <w:rFonts w:hint="eastAsia"/>
                      <w:bCs/>
                      <w:color w:val="auto"/>
                      <w:szCs w:val="21"/>
                    </w:rPr>
                    <w:t>0.5</w:t>
                  </w:r>
                </w:p>
              </w:tc>
              <w:tc>
                <w:tcPr>
                  <w:tcW w:w="822" w:type="pct"/>
                  <w:vAlign w:val="center"/>
                </w:tcPr>
                <w:p w14:paraId="14AF40AC">
                  <w:pPr>
                    <w:jc w:val="center"/>
                    <w:rPr>
                      <w:bCs/>
                      <w:color w:val="auto"/>
                      <w:szCs w:val="21"/>
                    </w:rPr>
                  </w:pPr>
                  <w:r>
                    <w:rPr>
                      <w:bCs/>
                      <w:color w:val="auto"/>
                      <w:szCs w:val="21"/>
                    </w:rPr>
                    <w:t>二甲苯</w:t>
                  </w:r>
                </w:p>
              </w:tc>
              <w:tc>
                <w:tcPr>
                  <w:tcW w:w="832" w:type="pct"/>
                  <w:vAlign w:val="center"/>
                </w:tcPr>
                <w:p w14:paraId="2250CDAB">
                  <w:pPr>
                    <w:jc w:val="center"/>
                    <w:rPr>
                      <w:bCs/>
                      <w:color w:val="auto"/>
                      <w:szCs w:val="21"/>
                    </w:rPr>
                  </w:pPr>
                  <w:r>
                    <w:rPr>
                      <w:rFonts w:hint="eastAsia"/>
                      <w:bCs/>
                      <w:color w:val="auto"/>
                      <w:szCs w:val="21"/>
                    </w:rPr>
                    <w:t>20</w:t>
                  </w:r>
                </w:p>
              </w:tc>
              <w:tc>
                <w:tcPr>
                  <w:tcW w:w="913" w:type="pct"/>
                  <w:vAlign w:val="center"/>
                </w:tcPr>
                <w:p w14:paraId="10EEE208">
                  <w:pPr>
                    <w:jc w:val="center"/>
                    <w:rPr>
                      <w:bCs/>
                      <w:color w:val="auto"/>
                      <w:szCs w:val="21"/>
                    </w:rPr>
                  </w:pPr>
                  <w:r>
                    <w:rPr>
                      <w:rFonts w:hint="eastAsia"/>
                      <w:bCs/>
                      <w:color w:val="auto"/>
                      <w:szCs w:val="21"/>
                    </w:rPr>
                    <w:t>0.1</w:t>
                  </w:r>
                </w:p>
              </w:tc>
            </w:tr>
            <w:tr w14:paraId="70D44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565" w:type="pct"/>
                  <w:vMerge w:val="continue"/>
                  <w:vAlign w:val="center"/>
                </w:tcPr>
                <w:p w14:paraId="443172BC">
                  <w:pPr>
                    <w:jc w:val="center"/>
                    <w:rPr>
                      <w:bCs/>
                      <w:color w:val="auto"/>
                      <w:szCs w:val="21"/>
                    </w:rPr>
                  </w:pPr>
                </w:p>
              </w:tc>
              <w:tc>
                <w:tcPr>
                  <w:tcW w:w="1030" w:type="pct"/>
                  <w:vMerge w:val="continue"/>
                  <w:vAlign w:val="center"/>
                </w:tcPr>
                <w:p w14:paraId="380B5C95">
                  <w:pPr>
                    <w:jc w:val="center"/>
                    <w:rPr>
                      <w:bCs/>
                      <w:color w:val="auto"/>
                      <w:szCs w:val="21"/>
                    </w:rPr>
                  </w:pPr>
                </w:p>
              </w:tc>
              <w:tc>
                <w:tcPr>
                  <w:tcW w:w="835" w:type="pct"/>
                  <w:vMerge w:val="continue"/>
                  <w:vAlign w:val="center"/>
                </w:tcPr>
                <w:p w14:paraId="26EB8225">
                  <w:pPr>
                    <w:jc w:val="center"/>
                    <w:rPr>
                      <w:bCs/>
                      <w:color w:val="auto"/>
                      <w:szCs w:val="21"/>
                    </w:rPr>
                  </w:pPr>
                </w:p>
              </w:tc>
              <w:tc>
                <w:tcPr>
                  <w:tcW w:w="822" w:type="pct"/>
                  <w:vAlign w:val="center"/>
                </w:tcPr>
                <w:p w14:paraId="33EC79E4">
                  <w:pPr>
                    <w:jc w:val="center"/>
                    <w:rPr>
                      <w:bCs/>
                      <w:color w:val="auto"/>
                      <w:szCs w:val="21"/>
                    </w:rPr>
                  </w:pPr>
                  <w:r>
                    <w:rPr>
                      <w:bCs/>
                      <w:color w:val="auto"/>
                      <w:szCs w:val="21"/>
                    </w:rPr>
                    <w:t>VOCs</w:t>
                  </w:r>
                </w:p>
              </w:tc>
              <w:tc>
                <w:tcPr>
                  <w:tcW w:w="832" w:type="pct"/>
                  <w:vAlign w:val="center"/>
                </w:tcPr>
                <w:p w14:paraId="120CFF5D">
                  <w:pPr>
                    <w:jc w:val="center"/>
                    <w:rPr>
                      <w:bCs/>
                      <w:color w:val="auto"/>
                      <w:szCs w:val="21"/>
                    </w:rPr>
                  </w:pPr>
                  <w:r>
                    <w:rPr>
                      <w:bCs/>
                      <w:color w:val="auto"/>
                      <w:szCs w:val="21"/>
                    </w:rPr>
                    <w:t>100</w:t>
                  </w:r>
                </w:p>
              </w:tc>
              <w:tc>
                <w:tcPr>
                  <w:tcW w:w="913" w:type="pct"/>
                  <w:vAlign w:val="center"/>
                </w:tcPr>
                <w:p w14:paraId="17AD5CF8">
                  <w:pPr>
                    <w:jc w:val="center"/>
                    <w:rPr>
                      <w:bCs/>
                      <w:color w:val="auto"/>
                      <w:szCs w:val="21"/>
                    </w:rPr>
                  </w:pPr>
                  <w:r>
                    <w:rPr>
                      <w:rFonts w:hint="eastAsia"/>
                      <w:bCs/>
                      <w:color w:val="auto"/>
                      <w:szCs w:val="21"/>
                    </w:rPr>
                    <w:t>0.5</w:t>
                  </w:r>
                </w:p>
              </w:tc>
            </w:tr>
            <w:tr w14:paraId="658B7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565" w:type="pct"/>
                  <w:vMerge w:val="continue"/>
                  <w:vAlign w:val="center"/>
                </w:tcPr>
                <w:p w14:paraId="1A14835A">
                  <w:pPr>
                    <w:jc w:val="center"/>
                    <w:rPr>
                      <w:bCs/>
                      <w:color w:val="auto"/>
                      <w:szCs w:val="21"/>
                    </w:rPr>
                  </w:pPr>
                </w:p>
              </w:tc>
              <w:tc>
                <w:tcPr>
                  <w:tcW w:w="1030" w:type="pct"/>
                  <w:vMerge w:val="restart"/>
                  <w:vAlign w:val="center"/>
                </w:tcPr>
                <w:p w14:paraId="1FFFE059">
                  <w:pPr>
                    <w:jc w:val="center"/>
                    <w:rPr>
                      <w:bCs/>
                      <w:color w:val="auto"/>
                      <w:szCs w:val="21"/>
                    </w:rPr>
                  </w:pPr>
                  <w:r>
                    <w:rPr>
                      <w:rFonts w:hint="eastAsia"/>
                      <w:bCs/>
                      <w:color w:val="auto"/>
                      <w:szCs w:val="21"/>
                    </w:rPr>
                    <w:t>小计</w:t>
                  </w:r>
                </w:p>
              </w:tc>
              <w:tc>
                <w:tcPr>
                  <w:tcW w:w="835" w:type="pct"/>
                  <w:vMerge w:val="restart"/>
                  <w:vAlign w:val="center"/>
                </w:tcPr>
                <w:p w14:paraId="364E8934">
                  <w:pPr>
                    <w:jc w:val="center"/>
                    <w:rPr>
                      <w:bCs/>
                      <w:color w:val="auto"/>
                      <w:szCs w:val="21"/>
                    </w:rPr>
                  </w:pPr>
                  <w:r>
                    <w:rPr>
                      <w:rFonts w:hint="eastAsia"/>
                      <w:bCs/>
                      <w:color w:val="auto"/>
                      <w:szCs w:val="21"/>
                    </w:rPr>
                    <w:t>1.9</w:t>
                  </w:r>
                </w:p>
              </w:tc>
              <w:tc>
                <w:tcPr>
                  <w:tcW w:w="822" w:type="pct"/>
                  <w:vAlign w:val="center"/>
                </w:tcPr>
                <w:p w14:paraId="7DF265AE">
                  <w:pPr>
                    <w:jc w:val="center"/>
                    <w:rPr>
                      <w:bCs/>
                      <w:color w:val="auto"/>
                      <w:szCs w:val="21"/>
                    </w:rPr>
                  </w:pPr>
                  <w:r>
                    <w:rPr>
                      <w:bCs/>
                      <w:color w:val="auto"/>
                      <w:szCs w:val="21"/>
                    </w:rPr>
                    <w:t>二甲苯</w:t>
                  </w:r>
                </w:p>
              </w:tc>
              <w:tc>
                <w:tcPr>
                  <w:tcW w:w="832" w:type="pct"/>
                  <w:vAlign w:val="center"/>
                </w:tcPr>
                <w:p w14:paraId="5733C397">
                  <w:pPr>
                    <w:jc w:val="center"/>
                    <w:rPr>
                      <w:bCs/>
                      <w:color w:val="auto"/>
                      <w:szCs w:val="21"/>
                    </w:rPr>
                  </w:pPr>
                  <w:r>
                    <w:rPr>
                      <w:rFonts w:hint="eastAsia"/>
                      <w:bCs/>
                      <w:color w:val="auto"/>
                      <w:szCs w:val="21"/>
                    </w:rPr>
                    <w:t>-</w:t>
                  </w:r>
                </w:p>
              </w:tc>
              <w:tc>
                <w:tcPr>
                  <w:tcW w:w="913" w:type="pct"/>
                  <w:vAlign w:val="center"/>
                </w:tcPr>
                <w:p w14:paraId="77E34999">
                  <w:pPr>
                    <w:jc w:val="center"/>
                    <w:rPr>
                      <w:bCs/>
                      <w:color w:val="auto"/>
                      <w:szCs w:val="21"/>
                    </w:rPr>
                  </w:pPr>
                  <w:r>
                    <w:rPr>
                      <w:rFonts w:hint="eastAsia"/>
                      <w:bCs/>
                      <w:color w:val="auto"/>
                      <w:szCs w:val="21"/>
                    </w:rPr>
                    <w:t>0.18</w:t>
                  </w:r>
                </w:p>
              </w:tc>
            </w:tr>
            <w:tr w14:paraId="44CCC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565" w:type="pct"/>
                  <w:vMerge w:val="continue"/>
                  <w:vAlign w:val="center"/>
                </w:tcPr>
                <w:p w14:paraId="32B96F97">
                  <w:pPr>
                    <w:jc w:val="center"/>
                    <w:rPr>
                      <w:bCs/>
                      <w:color w:val="auto"/>
                      <w:szCs w:val="21"/>
                    </w:rPr>
                  </w:pPr>
                </w:p>
              </w:tc>
              <w:tc>
                <w:tcPr>
                  <w:tcW w:w="1030" w:type="pct"/>
                  <w:vMerge w:val="continue"/>
                  <w:vAlign w:val="center"/>
                </w:tcPr>
                <w:p w14:paraId="0EFACDEC">
                  <w:pPr>
                    <w:jc w:val="center"/>
                    <w:rPr>
                      <w:bCs/>
                      <w:color w:val="auto"/>
                      <w:szCs w:val="21"/>
                    </w:rPr>
                  </w:pPr>
                </w:p>
              </w:tc>
              <w:tc>
                <w:tcPr>
                  <w:tcW w:w="835" w:type="pct"/>
                  <w:vMerge w:val="continue"/>
                  <w:vAlign w:val="center"/>
                </w:tcPr>
                <w:p w14:paraId="46BA96F3">
                  <w:pPr>
                    <w:jc w:val="center"/>
                    <w:rPr>
                      <w:bCs/>
                      <w:color w:val="auto"/>
                      <w:szCs w:val="21"/>
                    </w:rPr>
                  </w:pPr>
                </w:p>
              </w:tc>
              <w:tc>
                <w:tcPr>
                  <w:tcW w:w="822" w:type="pct"/>
                  <w:vAlign w:val="center"/>
                </w:tcPr>
                <w:p w14:paraId="7F3DB54D">
                  <w:pPr>
                    <w:jc w:val="center"/>
                    <w:rPr>
                      <w:bCs/>
                      <w:color w:val="auto"/>
                      <w:szCs w:val="21"/>
                    </w:rPr>
                  </w:pPr>
                  <w:r>
                    <w:rPr>
                      <w:bCs/>
                      <w:color w:val="auto"/>
                      <w:szCs w:val="21"/>
                    </w:rPr>
                    <w:t>VOCs</w:t>
                  </w:r>
                </w:p>
              </w:tc>
              <w:tc>
                <w:tcPr>
                  <w:tcW w:w="832" w:type="pct"/>
                  <w:vAlign w:val="center"/>
                </w:tcPr>
                <w:p w14:paraId="7D6140AE">
                  <w:pPr>
                    <w:jc w:val="center"/>
                    <w:rPr>
                      <w:bCs/>
                      <w:color w:val="auto"/>
                      <w:szCs w:val="21"/>
                    </w:rPr>
                  </w:pPr>
                  <w:r>
                    <w:rPr>
                      <w:rFonts w:hint="eastAsia"/>
                      <w:bCs/>
                      <w:color w:val="auto"/>
                      <w:szCs w:val="21"/>
                    </w:rPr>
                    <w:t>-</w:t>
                  </w:r>
                </w:p>
              </w:tc>
              <w:tc>
                <w:tcPr>
                  <w:tcW w:w="913" w:type="pct"/>
                  <w:vAlign w:val="center"/>
                </w:tcPr>
                <w:p w14:paraId="16FB6134">
                  <w:pPr>
                    <w:jc w:val="center"/>
                    <w:rPr>
                      <w:bCs/>
                      <w:color w:val="auto"/>
                      <w:szCs w:val="21"/>
                    </w:rPr>
                  </w:pPr>
                  <w:r>
                    <w:rPr>
                      <w:rFonts w:hint="eastAsia"/>
                      <w:bCs/>
                      <w:color w:val="auto"/>
                      <w:szCs w:val="21"/>
                    </w:rPr>
                    <w:t>0.7</w:t>
                  </w:r>
                </w:p>
              </w:tc>
            </w:tr>
            <w:tr w14:paraId="1ACB5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565" w:type="pct"/>
                  <w:vMerge w:val="restart"/>
                  <w:vAlign w:val="center"/>
                </w:tcPr>
                <w:p w14:paraId="7E7348D9">
                  <w:pPr>
                    <w:jc w:val="center"/>
                    <w:rPr>
                      <w:bCs/>
                      <w:color w:val="auto"/>
                      <w:szCs w:val="21"/>
                    </w:rPr>
                  </w:pPr>
                  <w:r>
                    <w:rPr>
                      <w:rFonts w:hint="eastAsia"/>
                      <w:bCs/>
                      <w:color w:val="auto"/>
                      <w:szCs w:val="21"/>
                    </w:rPr>
                    <w:t>水性漆</w:t>
                  </w:r>
                </w:p>
              </w:tc>
              <w:tc>
                <w:tcPr>
                  <w:tcW w:w="1030" w:type="pct"/>
                  <w:vAlign w:val="center"/>
                </w:tcPr>
                <w:p w14:paraId="27BEBBDF">
                  <w:pPr>
                    <w:jc w:val="center"/>
                    <w:rPr>
                      <w:bCs/>
                      <w:color w:val="auto"/>
                      <w:szCs w:val="21"/>
                    </w:rPr>
                  </w:pPr>
                  <w:r>
                    <w:rPr>
                      <w:bCs/>
                      <w:color w:val="auto"/>
                      <w:szCs w:val="21"/>
                    </w:rPr>
                    <w:t>水性丙烯酸面漆</w:t>
                  </w:r>
                </w:p>
              </w:tc>
              <w:tc>
                <w:tcPr>
                  <w:tcW w:w="835" w:type="pct"/>
                  <w:vAlign w:val="center"/>
                </w:tcPr>
                <w:p w14:paraId="5B3A2A69">
                  <w:pPr>
                    <w:jc w:val="center"/>
                    <w:rPr>
                      <w:bCs/>
                      <w:color w:val="auto"/>
                      <w:szCs w:val="21"/>
                    </w:rPr>
                  </w:pPr>
                  <w:r>
                    <w:rPr>
                      <w:rFonts w:hint="eastAsia"/>
                      <w:bCs/>
                      <w:color w:val="auto"/>
                      <w:szCs w:val="21"/>
                    </w:rPr>
                    <w:t>2</w:t>
                  </w:r>
                </w:p>
              </w:tc>
              <w:tc>
                <w:tcPr>
                  <w:tcW w:w="822" w:type="pct"/>
                  <w:vAlign w:val="center"/>
                </w:tcPr>
                <w:p w14:paraId="6179D429">
                  <w:pPr>
                    <w:jc w:val="center"/>
                    <w:rPr>
                      <w:bCs/>
                      <w:color w:val="auto"/>
                      <w:szCs w:val="21"/>
                    </w:rPr>
                  </w:pPr>
                  <w:r>
                    <w:rPr>
                      <w:bCs/>
                      <w:color w:val="auto"/>
                      <w:szCs w:val="21"/>
                    </w:rPr>
                    <w:t>VOCs</w:t>
                  </w:r>
                </w:p>
              </w:tc>
              <w:tc>
                <w:tcPr>
                  <w:tcW w:w="832" w:type="pct"/>
                  <w:vAlign w:val="center"/>
                </w:tcPr>
                <w:p w14:paraId="19CD16D1">
                  <w:pPr>
                    <w:jc w:val="center"/>
                    <w:rPr>
                      <w:bCs/>
                      <w:color w:val="auto"/>
                      <w:szCs w:val="21"/>
                    </w:rPr>
                  </w:pPr>
                  <w:r>
                    <w:rPr>
                      <w:rFonts w:hint="eastAsia"/>
                      <w:bCs/>
                      <w:color w:val="auto"/>
                      <w:szCs w:val="21"/>
                    </w:rPr>
                    <w:t>53g/L</w:t>
                  </w:r>
                </w:p>
              </w:tc>
              <w:tc>
                <w:tcPr>
                  <w:tcW w:w="913" w:type="pct"/>
                  <w:vAlign w:val="center"/>
                </w:tcPr>
                <w:p w14:paraId="6BF1154F">
                  <w:pPr>
                    <w:jc w:val="center"/>
                    <w:rPr>
                      <w:bCs/>
                      <w:color w:val="auto"/>
                      <w:szCs w:val="21"/>
                    </w:rPr>
                  </w:pPr>
                  <w:r>
                    <w:rPr>
                      <w:bCs/>
                      <w:color w:val="auto"/>
                      <w:szCs w:val="21"/>
                    </w:rPr>
                    <w:t>0.</w:t>
                  </w:r>
                  <w:r>
                    <w:rPr>
                      <w:rFonts w:hint="eastAsia"/>
                      <w:bCs/>
                      <w:color w:val="auto"/>
                      <w:szCs w:val="21"/>
                    </w:rPr>
                    <w:t>088*</w:t>
                  </w:r>
                </w:p>
              </w:tc>
            </w:tr>
            <w:tr w14:paraId="10676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565" w:type="pct"/>
                  <w:vMerge w:val="continue"/>
                  <w:vAlign w:val="center"/>
                </w:tcPr>
                <w:p w14:paraId="06291FB1">
                  <w:pPr>
                    <w:jc w:val="center"/>
                    <w:rPr>
                      <w:bCs/>
                      <w:color w:val="auto"/>
                      <w:szCs w:val="21"/>
                    </w:rPr>
                  </w:pPr>
                </w:p>
              </w:tc>
              <w:tc>
                <w:tcPr>
                  <w:tcW w:w="1030" w:type="pct"/>
                  <w:vAlign w:val="center"/>
                </w:tcPr>
                <w:p w14:paraId="72B184F1">
                  <w:pPr>
                    <w:jc w:val="center"/>
                    <w:rPr>
                      <w:bCs/>
                      <w:color w:val="auto"/>
                      <w:szCs w:val="21"/>
                    </w:rPr>
                  </w:pPr>
                  <w:r>
                    <w:rPr>
                      <w:rFonts w:hint="eastAsia"/>
                      <w:bCs/>
                      <w:color w:val="auto"/>
                      <w:szCs w:val="21"/>
                    </w:rPr>
                    <w:t>小计</w:t>
                  </w:r>
                </w:p>
              </w:tc>
              <w:tc>
                <w:tcPr>
                  <w:tcW w:w="835" w:type="pct"/>
                  <w:vAlign w:val="center"/>
                </w:tcPr>
                <w:p w14:paraId="1F4601DF">
                  <w:pPr>
                    <w:jc w:val="center"/>
                    <w:rPr>
                      <w:bCs/>
                      <w:color w:val="auto"/>
                      <w:szCs w:val="21"/>
                    </w:rPr>
                  </w:pPr>
                  <w:r>
                    <w:rPr>
                      <w:rFonts w:hint="eastAsia"/>
                      <w:bCs/>
                      <w:color w:val="auto"/>
                      <w:szCs w:val="21"/>
                    </w:rPr>
                    <w:t>2</w:t>
                  </w:r>
                </w:p>
              </w:tc>
              <w:tc>
                <w:tcPr>
                  <w:tcW w:w="822" w:type="pct"/>
                  <w:vAlign w:val="center"/>
                </w:tcPr>
                <w:p w14:paraId="5BC28647">
                  <w:pPr>
                    <w:jc w:val="center"/>
                    <w:rPr>
                      <w:bCs/>
                      <w:color w:val="auto"/>
                      <w:szCs w:val="21"/>
                    </w:rPr>
                  </w:pPr>
                  <w:r>
                    <w:rPr>
                      <w:bCs/>
                      <w:color w:val="auto"/>
                      <w:szCs w:val="21"/>
                    </w:rPr>
                    <w:t>VOCs</w:t>
                  </w:r>
                </w:p>
              </w:tc>
              <w:tc>
                <w:tcPr>
                  <w:tcW w:w="832" w:type="pct"/>
                  <w:vAlign w:val="center"/>
                </w:tcPr>
                <w:p w14:paraId="50A62975">
                  <w:pPr>
                    <w:jc w:val="center"/>
                    <w:rPr>
                      <w:bCs/>
                      <w:color w:val="auto"/>
                      <w:szCs w:val="21"/>
                    </w:rPr>
                  </w:pPr>
                  <w:r>
                    <w:rPr>
                      <w:rFonts w:hint="eastAsia"/>
                      <w:bCs/>
                      <w:color w:val="auto"/>
                      <w:szCs w:val="21"/>
                    </w:rPr>
                    <w:t>-</w:t>
                  </w:r>
                </w:p>
              </w:tc>
              <w:tc>
                <w:tcPr>
                  <w:tcW w:w="913" w:type="pct"/>
                  <w:vAlign w:val="center"/>
                </w:tcPr>
                <w:p w14:paraId="11915B47">
                  <w:pPr>
                    <w:jc w:val="center"/>
                    <w:rPr>
                      <w:bCs/>
                      <w:color w:val="auto"/>
                      <w:szCs w:val="21"/>
                    </w:rPr>
                  </w:pPr>
                  <w:r>
                    <w:rPr>
                      <w:bCs/>
                      <w:color w:val="auto"/>
                      <w:szCs w:val="21"/>
                    </w:rPr>
                    <w:t>0.</w:t>
                  </w:r>
                  <w:r>
                    <w:rPr>
                      <w:rFonts w:hint="eastAsia"/>
                      <w:bCs/>
                      <w:color w:val="auto"/>
                      <w:szCs w:val="21"/>
                    </w:rPr>
                    <w:t>088</w:t>
                  </w:r>
                </w:p>
              </w:tc>
            </w:tr>
          </w:tbl>
          <w:p w14:paraId="6A638FE2">
            <w:pPr>
              <w:adjustRightInd w:val="0"/>
              <w:snapToGrid w:val="0"/>
              <w:spacing w:line="360" w:lineRule="auto"/>
              <w:ind w:firstLine="420" w:firstLineChars="200"/>
              <w:rPr>
                <w:color w:val="auto"/>
                <w:szCs w:val="21"/>
              </w:rPr>
            </w:pPr>
            <w:r>
              <w:rPr>
                <w:rFonts w:hint="eastAsia"/>
                <w:color w:val="auto"/>
                <w:szCs w:val="21"/>
              </w:rPr>
              <w:t>*根据水性丙烯酸面漆密度1.15-1.25kg/dm</w:t>
            </w:r>
            <w:r>
              <w:rPr>
                <w:rFonts w:hint="eastAsia"/>
                <w:color w:val="auto"/>
                <w:szCs w:val="21"/>
                <w:vertAlign w:val="superscript"/>
              </w:rPr>
              <w:t>3</w:t>
            </w:r>
            <w:r>
              <w:rPr>
                <w:rFonts w:hint="eastAsia"/>
                <w:color w:val="auto"/>
                <w:szCs w:val="21"/>
              </w:rPr>
              <w:t>（取1.2）及VOC</w:t>
            </w:r>
            <w:r>
              <w:rPr>
                <w:rFonts w:hint="eastAsia"/>
                <w:color w:val="auto"/>
                <w:szCs w:val="21"/>
                <w:vertAlign w:val="subscript"/>
              </w:rPr>
              <w:t>S</w:t>
            </w:r>
            <w:r>
              <w:rPr>
                <w:rFonts w:hint="eastAsia"/>
                <w:color w:val="auto"/>
                <w:szCs w:val="21"/>
              </w:rPr>
              <w:t>含量检验报告计算得到。</w:t>
            </w:r>
          </w:p>
          <w:p w14:paraId="0893B642">
            <w:pPr>
              <w:adjustRightInd w:val="0"/>
              <w:snapToGrid w:val="0"/>
              <w:spacing w:line="360" w:lineRule="auto"/>
              <w:ind w:firstLine="480" w:firstLineChars="200"/>
              <w:rPr>
                <w:color w:val="auto"/>
                <w:sz w:val="24"/>
              </w:rPr>
            </w:pPr>
            <w:r>
              <w:rPr>
                <w:color w:val="auto"/>
                <w:sz w:val="24"/>
              </w:rPr>
              <w:t>根据《涂装工艺与设备》</w:t>
            </w:r>
            <w:r>
              <w:rPr>
                <w:rFonts w:hint="eastAsia"/>
                <w:color w:val="auto"/>
                <w:sz w:val="24"/>
              </w:rPr>
              <w:t>（</w:t>
            </w:r>
            <w:r>
              <w:rPr>
                <w:color w:val="auto"/>
                <w:sz w:val="24"/>
              </w:rPr>
              <w:t>化学工业出版社</w:t>
            </w:r>
            <w:r>
              <w:rPr>
                <w:rFonts w:hint="eastAsia"/>
                <w:color w:val="auto"/>
                <w:sz w:val="24"/>
              </w:rPr>
              <w:t>）</w:t>
            </w:r>
            <w:r>
              <w:rPr>
                <w:color w:val="auto"/>
                <w:sz w:val="24"/>
              </w:rPr>
              <w:t>，</w:t>
            </w:r>
            <w:r>
              <w:rPr>
                <w:rFonts w:hint="eastAsia"/>
                <w:color w:val="auto"/>
                <w:sz w:val="24"/>
              </w:rPr>
              <w:t>附</w:t>
            </w:r>
            <w:r>
              <w:rPr>
                <w:color w:val="auto"/>
                <w:sz w:val="24"/>
              </w:rPr>
              <w:t>着效率约为78%~82%，本次评价</w:t>
            </w:r>
            <w:r>
              <w:rPr>
                <w:rFonts w:hint="eastAsia" w:hAnsi="宋体"/>
                <w:color w:val="auto"/>
                <w:sz w:val="24"/>
              </w:rPr>
              <w:t>喷涂</w:t>
            </w:r>
            <w:r>
              <w:rPr>
                <w:rFonts w:hAnsi="宋体"/>
                <w:color w:val="auto"/>
                <w:sz w:val="24"/>
              </w:rPr>
              <w:t>固体份附着率</w:t>
            </w:r>
            <w:r>
              <w:rPr>
                <w:rFonts w:hint="eastAsia" w:hAnsi="宋体"/>
                <w:color w:val="auto"/>
                <w:sz w:val="24"/>
              </w:rPr>
              <w:t>按</w:t>
            </w:r>
            <w:r>
              <w:rPr>
                <w:rFonts w:hint="eastAsia"/>
                <w:color w:val="auto"/>
                <w:sz w:val="24"/>
              </w:rPr>
              <w:t>80</w:t>
            </w:r>
            <w:r>
              <w:rPr>
                <w:color w:val="auto"/>
                <w:sz w:val="24"/>
              </w:rPr>
              <w:t>%</w:t>
            </w:r>
            <w:r>
              <w:rPr>
                <w:rFonts w:hAnsi="宋体"/>
                <w:color w:val="auto"/>
                <w:sz w:val="24"/>
              </w:rPr>
              <w:t>计算。</w:t>
            </w:r>
          </w:p>
          <w:p w14:paraId="25C3BDB2">
            <w:pPr>
              <w:adjustRightInd w:val="0"/>
              <w:snapToGrid w:val="0"/>
              <w:spacing w:line="300" w:lineRule="exact"/>
              <w:jc w:val="center"/>
              <w:rPr>
                <w:rFonts w:hAnsi="宋体"/>
                <w:b/>
                <w:color w:val="auto"/>
                <w:szCs w:val="21"/>
              </w:rPr>
            </w:pPr>
            <w:r>
              <w:rPr>
                <w:rFonts w:hint="eastAsia" w:hAnsi="宋体"/>
                <w:b/>
                <w:color w:val="auto"/>
                <w:szCs w:val="21"/>
              </w:rPr>
              <w:t>表4-4  涂料物料平衡分析表</w:t>
            </w:r>
          </w:p>
          <w:tbl>
            <w:tblPr>
              <w:tblStyle w:val="3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8"/>
              <w:gridCol w:w="1069"/>
              <w:gridCol w:w="818"/>
              <w:gridCol w:w="1134"/>
              <w:gridCol w:w="1178"/>
              <w:gridCol w:w="1127"/>
              <w:gridCol w:w="1215"/>
              <w:gridCol w:w="1215"/>
            </w:tblGrid>
            <w:tr w14:paraId="67FC4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blHeader/>
                <w:jc w:val="center"/>
              </w:trPr>
              <w:tc>
                <w:tcPr>
                  <w:tcW w:w="590" w:type="pct"/>
                  <w:vAlign w:val="center"/>
                </w:tcPr>
                <w:p w14:paraId="61512696">
                  <w:pPr>
                    <w:pStyle w:val="99"/>
                    <w:snapToGrid w:val="0"/>
                    <w:rPr>
                      <w:rFonts w:ascii="Times New Roman" w:hAnsi="Times New Roman"/>
                      <w:b w:val="0"/>
                      <w:bCs/>
                      <w:color w:val="auto"/>
                      <w:sz w:val="21"/>
                    </w:rPr>
                  </w:pPr>
                  <w:r>
                    <w:rPr>
                      <w:rFonts w:ascii="Times New Roman" w:hAnsi="Times New Roman"/>
                      <w:b w:val="0"/>
                      <w:bCs/>
                      <w:color w:val="auto"/>
                      <w:sz w:val="21"/>
                    </w:rPr>
                    <w:t>物料名称</w:t>
                  </w:r>
                </w:p>
              </w:tc>
              <w:tc>
                <w:tcPr>
                  <w:tcW w:w="608" w:type="pct"/>
                  <w:vAlign w:val="center"/>
                </w:tcPr>
                <w:p w14:paraId="014228EE">
                  <w:pPr>
                    <w:pStyle w:val="99"/>
                    <w:snapToGrid w:val="0"/>
                    <w:rPr>
                      <w:rFonts w:ascii="Times New Roman" w:hAnsi="Times New Roman"/>
                      <w:b w:val="0"/>
                      <w:bCs/>
                      <w:color w:val="auto"/>
                      <w:sz w:val="21"/>
                    </w:rPr>
                  </w:pPr>
                  <w:r>
                    <w:rPr>
                      <w:rFonts w:ascii="Times New Roman" w:hAnsi="Times New Roman"/>
                      <w:b w:val="0"/>
                      <w:bCs/>
                      <w:color w:val="auto"/>
                      <w:sz w:val="21"/>
                    </w:rPr>
                    <w:t>用量（t/a）</w:t>
                  </w:r>
                </w:p>
              </w:tc>
              <w:tc>
                <w:tcPr>
                  <w:tcW w:w="465" w:type="pct"/>
                  <w:vAlign w:val="center"/>
                </w:tcPr>
                <w:p w14:paraId="6228DD2B">
                  <w:pPr>
                    <w:pStyle w:val="99"/>
                    <w:snapToGrid w:val="0"/>
                    <w:rPr>
                      <w:rFonts w:ascii="Times New Roman" w:hAnsi="Times New Roman"/>
                      <w:b w:val="0"/>
                      <w:bCs/>
                      <w:color w:val="auto"/>
                      <w:sz w:val="21"/>
                    </w:rPr>
                  </w:pPr>
                  <w:r>
                    <w:rPr>
                      <w:rFonts w:hint="eastAsia" w:ascii="Times New Roman" w:hAnsi="Times New Roman"/>
                      <w:b w:val="0"/>
                      <w:bCs/>
                      <w:color w:val="auto"/>
                      <w:sz w:val="21"/>
                    </w:rPr>
                    <w:t>固体份</w:t>
                  </w:r>
                </w:p>
              </w:tc>
              <w:tc>
                <w:tcPr>
                  <w:tcW w:w="644" w:type="pct"/>
                  <w:vAlign w:val="center"/>
                </w:tcPr>
                <w:p w14:paraId="54B9A8FE">
                  <w:pPr>
                    <w:pStyle w:val="99"/>
                    <w:snapToGrid w:val="0"/>
                    <w:rPr>
                      <w:rFonts w:ascii="Times New Roman" w:hAnsi="Times New Roman"/>
                      <w:b w:val="0"/>
                      <w:bCs/>
                      <w:color w:val="auto"/>
                      <w:sz w:val="21"/>
                    </w:rPr>
                  </w:pPr>
                  <w:r>
                    <w:rPr>
                      <w:rFonts w:ascii="Times New Roman" w:hAnsi="Times New Roman"/>
                      <w:b w:val="0"/>
                      <w:bCs/>
                      <w:color w:val="auto"/>
                      <w:sz w:val="21"/>
                    </w:rPr>
                    <w:t>固体附着量（t/a）</w:t>
                  </w:r>
                </w:p>
              </w:tc>
              <w:tc>
                <w:tcPr>
                  <w:tcW w:w="669" w:type="pct"/>
                  <w:vAlign w:val="center"/>
                </w:tcPr>
                <w:p w14:paraId="7194EC91">
                  <w:pPr>
                    <w:pStyle w:val="99"/>
                    <w:snapToGrid w:val="0"/>
                    <w:spacing w:line="240" w:lineRule="exact"/>
                    <w:rPr>
                      <w:rFonts w:ascii="Times New Roman" w:hAnsi="Times New Roman"/>
                      <w:b w:val="0"/>
                      <w:bCs/>
                      <w:color w:val="auto"/>
                      <w:sz w:val="21"/>
                    </w:rPr>
                  </w:pPr>
                  <w:r>
                    <w:rPr>
                      <w:rFonts w:ascii="Times New Roman" w:hAnsi="Times New Roman"/>
                      <w:b w:val="0"/>
                      <w:bCs/>
                      <w:color w:val="auto"/>
                      <w:sz w:val="21"/>
                    </w:rPr>
                    <w:t>漆雾产生量（t/a）</w:t>
                  </w:r>
                </w:p>
              </w:tc>
              <w:tc>
                <w:tcPr>
                  <w:tcW w:w="640" w:type="pct"/>
                  <w:vAlign w:val="center"/>
                </w:tcPr>
                <w:p w14:paraId="79445DC6">
                  <w:pPr>
                    <w:pStyle w:val="99"/>
                    <w:snapToGrid w:val="0"/>
                    <w:spacing w:line="240" w:lineRule="exact"/>
                    <w:rPr>
                      <w:rFonts w:ascii="Times New Roman" w:hAnsi="Times New Roman"/>
                      <w:b w:val="0"/>
                      <w:bCs/>
                      <w:color w:val="auto"/>
                      <w:kern w:val="2"/>
                      <w:sz w:val="21"/>
                    </w:rPr>
                  </w:pPr>
                  <w:r>
                    <w:rPr>
                      <w:rFonts w:ascii="Times New Roman" w:hAnsi="Times New Roman"/>
                      <w:b w:val="0"/>
                      <w:bCs/>
                      <w:color w:val="auto"/>
                      <w:sz w:val="21"/>
                    </w:rPr>
                    <w:t>VOCs挥发量（t/a）</w:t>
                  </w:r>
                </w:p>
              </w:tc>
              <w:tc>
                <w:tcPr>
                  <w:tcW w:w="690" w:type="pct"/>
                  <w:vAlign w:val="center"/>
                </w:tcPr>
                <w:p w14:paraId="4ECE72BC">
                  <w:pPr>
                    <w:pStyle w:val="99"/>
                    <w:snapToGrid w:val="0"/>
                    <w:rPr>
                      <w:rFonts w:ascii="Times New Roman" w:hAnsi="Times New Roman"/>
                      <w:b w:val="0"/>
                      <w:bCs/>
                      <w:color w:val="auto"/>
                      <w:kern w:val="2"/>
                      <w:sz w:val="21"/>
                    </w:rPr>
                  </w:pPr>
                  <w:r>
                    <w:rPr>
                      <w:rFonts w:ascii="Times New Roman" w:hAnsi="Times New Roman"/>
                      <w:b w:val="0"/>
                      <w:bCs/>
                      <w:color w:val="auto"/>
                      <w:sz w:val="21"/>
                    </w:rPr>
                    <w:t>其中二甲苯挥发量（t/a）</w:t>
                  </w:r>
                </w:p>
              </w:tc>
              <w:tc>
                <w:tcPr>
                  <w:tcW w:w="690" w:type="pct"/>
                  <w:vAlign w:val="center"/>
                </w:tcPr>
                <w:p w14:paraId="61146F3C">
                  <w:pPr>
                    <w:pStyle w:val="99"/>
                    <w:snapToGrid w:val="0"/>
                    <w:rPr>
                      <w:rFonts w:ascii="Times New Roman" w:hAnsi="Times New Roman"/>
                      <w:b w:val="0"/>
                      <w:bCs/>
                      <w:color w:val="auto"/>
                      <w:sz w:val="21"/>
                    </w:rPr>
                  </w:pPr>
                  <w:r>
                    <w:rPr>
                      <w:rFonts w:hint="eastAsia" w:ascii="Times New Roman" w:hAnsi="Times New Roman"/>
                      <w:b w:val="0"/>
                      <w:bCs/>
                      <w:color w:val="auto"/>
                      <w:sz w:val="21"/>
                    </w:rPr>
                    <w:t>水</w:t>
                  </w:r>
                </w:p>
              </w:tc>
            </w:tr>
            <w:tr w14:paraId="5B22A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590" w:type="pct"/>
                  <w:vAlign w:val="center"/>
                </w:tcPr>
                <w:p w14:paraId="537A78AA">
                  <w:pPr>
                    <w:jc w:val="center"/>
                    <w:rPr>
                      <w:bCs/>
                      <w:color w:val="auto"/>
                      <w:szCs w:val="21"/>
                    </w:rPr>
                  </w:pPr>
                  <w:r>
                    <w:rPr>
                      <w:rFonts w:hint="eastAsia"/>
                      <w:bCs/>
                      <w:color w:val="auto"/>
                      <w:szCs w:val="21"/>
                    </w:rPr>
                    <w:t>油性漆</w:t>
                  </w:r>
                </w:p>
              </w:tc>
              <w:tc>
                <w:tcPr>
                  <w:tcW w:w="608" w:type="pct"/>
                  <w:vAlign w:val="center"/>
                </w:tcPr>
                <w:p w14:paraId="1C7401DA">
                  <w:pPr>
                    <w:widowControl/>
                    <w:jc w:val="center"/>
                    <w:textAlignment w:val="center"/>
                    <w:rPr>
                      <w:bCs/>
                      <w:color w:val="auto"/>
                      <w:szCs w:val="21"/>
                    </w:rPr>
                  </w:pPr>
                  <w:r>
                    <w:rPr>
                      <w:rFonts w:hint="eastAsia"/>
                      <w:color w:val="auto"/>
                      <w:kern w:val="0"/>
                      <w:szCs w:val="21"/>
                      <w:lang w:bidi="ar"/>
                    </w:rPr>
                    <w:t>1.2</w:t>
                  </w:r>
                </w:p>
              </w:tc>
              <w:tc>
                <w:tcPr>
                  <w:tcW w:w="465" w:type="pct"/>
                  <w:vAlign w:val="center"/>
                </w:tcPr>
                <w:p w14:paraId="2977D7D9">
                  <w:pPr>
                    <w:widowControl/>
                    <w:jc w:val="center"/>
                    <w:textAlignment w:val="center"/>
                    <w:rPr>
                      <w:bCs/>
                      <w:color w:val="auto"/>
                      <w:szCs w:val="21"/>
                    </w:rPr>
                  </w:pPr>
                  <w:r>
                    <w:rPr>
                      <w:rFonts w:hint="eastAsia"/>
                      <w:bCs/>
                      <w:color w:val="auto"/>
                      <w:szCs w:val="21"/>
                    </w:rPr>
                    <w:t>1.12</w:t>
                  </w:r>
                </w:p>
              </w:tc>
              <w:tc>
                <w:tcPr>
                  <w:tcW w:w="644" w:type="pct"/>
                  <w:vAlign w:val="center"/>
                </w:tcPr>
                <w:p w14:paraId="75A05687">
                  <w:pPr>
                    <w:widowControl/>
                    <w:jc w:val="center"/>
                    <w:textAlignment w:val="center"/>
                    <w:rPr>
                      <w:bCs/>
                      <w:color w:val="auto"/>
                      <w:szCs w:val="21"/>
                    </w:rPr>
                  </w:pPr>
                  <w:r>
                    <w:rPr>
                      <w:rFonts w:hint="eastAsia"/>
                      <w:bCs/>
                      <w:color w:val="auto"/>
                      <w:szCs w:val="21"/>
                    </w:rPr>
                    <w:t>0.896</w:t>
                  </w:r>
                </w:p>
              </w:tc>
              <w:tc>
                <w:tcPr>
                  <w:tcW w:w="669" w:type="pct"/>
                  <w:vAlign w:val="center"/>
                </w:tcPr>
                <w:p w14:paraId="232469D0">
                  <w:pPr>
                    <w:widowControl/>
                    <w:jc w:val="center"/>
                    <w:textAlignment w:val="center"/>
                    <w:rPr>
                      <w:bCs/>
                      <w:color w:val="auto"/>
                      <w:szCs w:val="21"/>
                    </w:rPr>
                  </w:pPr>
                  <w:r>
                    <w:rPr>
                      <w:rFonts w:hint="eastAsia"/>
                      <w:bCs/>
                      <w:color w:val="auto"/>
                      <w:kern w:val="0"/>
                      <w:szCs w:val="21"/>
                      <w:lang w:bidi="ar"/>
                    </w:rPr>
                    <w:t>0.224</w:t>
                  </w:r>
                </w:p>
              </w:tc>
              <w:tc>
                <w:tcPr>
                  <w:tcW w:w="640" w:type="pct"/>
                  <w:vAlign w:val="center"/>
                </w:tcPr>
                <w:p w14:paraId="46FC1246">
                  <w:pPr>
                    <w:widowControl/>
                    <w:jc w:val="center"/>
                    <w:textAlignment w:val="center"/>
                    <w:rPr>
                      <w:bCs/>
                      <w:color w:val="auto"/>
                      <w:szCs w:val="21"/>
                    </w:rPr>
                  </w:pPr>
                  <w:r>
                    <w:rPr>
                      <w:rFonts w:hint="eastAsia"/>
                      <w:bCs/>
                      <w:color w:val="auto"/>
                      <w:kern w:val="0"/>
                      <w:szCs w:val="21"/>
                      <w:lang w:bidi="ar"/>
                    </w:rPr>
                    <w:t>0.08</w:t>
                  </w:r>
                </w:p>
              </w:tc>
              <w:tc>
                <w:tcPr>
                  <w:tcW w:w="690" w:type="pct"/>
                  <w:vAlign w:val="center"/>
                </w:tcPr>
                <w:p w14:paraId="4F55ECBB">
                  <w:pPr>
                    <w:widowControl/>
                    <w:jc w:val="center"/>
                    <w:textAlignment w:val="center"/>
                    <w:rPr>
                      <w:bCs/>
                      <w:color w:val="auto"/>
                      <w:szCs w:val="21"/>
                    </w:rPr>
                  </w:pPr>
                  <w:r>
                    <w:rPr>
                      <w:rFonts w:hint="eastAsia"/>
                      <w:bCs/>
                      <w:color w:val="auto"/>
                      <w:kern w:val="0"/>
                      <w:szCs w:val="21"/>
                      <w:lang w:bidi="ar"/>
                    </w:rPr>
                    <w:t>0.06</w:t>
                  </w:r>
                </w:p>
              </w:tc>
              <w:tc>
                <w:tcPr>
                  <w:tcW w:w="690" w:type="pct"/>
                  <w:vAlign w:val="center"/>
                </w:tcPr>
                <w:p w14:paraId="2E67B1F4">
                  <w:pPr>
                    <w:widowControl/>
                    <w:jc w:val="center"/>
                    <w:textAlignment w:val="center"/>
                    <w:rPr>
                      <w:bCs/>
                      <w:color w:val="auto"/>
                      <w:kern w:val="0"/>
                      <w:szCs w:val="21"/>
                      <w:lang w:bidi="ar"/>
                    </w:rPr>
                  </w:pPr>
                  <w:r>
                    <w:rPr>
                      <w:rFonts w:hint="eastAsia"/>
                      <w:bCs/>
                      <w:color w:val="auto"/>
                      <w:kern w:val="0"/>
                      <w:szCs w:val="21"/>
                      <w:lang w:bidi="ar"/>
                    </w:rPr>
                    <w:t>/</w:t>
                  </w:r>
                </w:p>
              </w:tc>
            </w:tr>
            <w:tr w14:paraId="18EE0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590" w:type="pct"/>
                  <w:vAlign w:val="center"/>
                </w:tcPr>
                <w:p w14:paraId="5B5378F8">
                  <w:pPr>
                    <w:jc w:val="center"/>
                    <w:rPr>
                      <w:bCs/>
                      <w:color w:val="auto"/>
                      <w:szCs w:val="21"/>
                    </w:rPr>
                  </w:pPr>
                  <w:r>
                    <w:rPr>
                      <w:rFonts w:hint="eastAsia"/>
                      <w:bCs/>
                      <w:color w:val="auto"/>
                      <w:szCs w:val="21"/>
                    </w:rPr>
                    <w:t>固化剂</w:t>
                  </w:r>
                </w:p>
              </w:tc>
              <w:tc>
                <w:tcPr>
                  <w:tcW w:w="608" w:type="pct"/>
                  <w:vAlign w:val="center"/>
                </w:tcPr>
                <w:p w14:paraId="2C54B27D">
                  <w:pPr>
                    <w:widowControl/>
                    <w:jc w:val="center"/>
                    <w:textAlignment w:val="center"/>
                    <w:rPr>
                      <w:color w:val="auto"/>
                      <w:kern w:val="0"/>
                      <w:szCs w:val="21"/>
                      <w:lang w:bidi="ar"/>
                    </w:rPr>
                  </w:pPr>
                  <w:r>
                    <w:rPr>
                      <w:rFonts w:hint="eastAsia"/>
                      <w:color w:val="auto"/>
                      <w:kern w:val="0"/>
                      <w:szCs w:val="21"/>
                      <w:lang w:bidi="ar"/>
                    </w:rPr>
                    <w:t>0.1</w:t>
                  </w:r>
                </w:p>
              </w:tc>
              <w:tc>
                <w:tcPr>
                  <w:tcW w:w="465" w:type="pct"/>
                  <w:vAlign w:val="center"/>
                </w:tcPr>
                <w:p w14:paraId="48502A92">
                  <w:pPr>
                    <w:widowControl/>
                    <w:jc w:val="center"/>
                    <w:textAlignment w:val="center"/>
                    <w:rPr>
                      <w:bCs/>
                      <w:color w:val="auto"/>
                      <w:kern w:val="0"/>
                      <w:szCs w:val="21"/>
                      <w:lang w:bidi="ar"/>
                    </w:rPr>
                  </w:pPr>
                  <w:r>
                    <w:rPr>
                      <w:rFonts w:hint="eastAsia"/>
                      <w:bCs/>
                      <w:color w:val="auto"/>
                      <w:kern w:val="0"/>
                      <w:szCs w:val="21"/>
                      <w:lang w:bidi="ar"/>
                    </w:rPr>
                    <w:t>0.08</w:t>
                  </w:r>
                </w:p>
              </w:tc>
              <w:tc>
                <w:tcPr>
                  <w:tcW w:w="644" w:type="pct"/>
                  <w:vAlign w:val="center"/>
                </w:tcPr>
                <w:p w14:paraId="467DEF9E">
                  <w:pPr>
                    <w:widowControl/>
                    <w:jc w:val="center"/>
                    <w:textAlignment w:val="center"/>
                    <w:rPr>
                      <w:bCs/>
                      <w:color w:val="auto"/>
                      <w:kern w:val="0"/>
                      <w:szCs w:val="21"/>
                      <w:lang w:bidi="ar"/>
                    </w:rPr>
                  </w:pPr>
                  <w:r>
                    <w:rPr>
                      <w:rFonts w:hint="eastAsia"/>
                      <w:bCs/>
                      <w:color w:val="auto"/>
                      <w:kern w:val="0"/>
                      <w:szCs w:val="21"/>
                      <w:lang w:bidi="ar"/>
                    </w:rPr>
                    <w:t>0.064</w:t>
                  </w:r>
                </w:p>
              </w:tc>
              <w:tc>
                <w:tcPr>
                  <w:tcW w:w="669" w:type="pct"/>
                  <w:vAlign w:val="center"/>
                </w:tcPr>
                <w:p w14:paraId="685E4C4C">
                  <w:pPr>
                    <w:widowControl/>
                    <w:jc w:val="center"/>
                    <w:textAlignment w:val="center"/>
                    <w:rPr>
                      <w:bCs/>
                      <w:color w:val="auto"/>
                      <w:kern w:val="0"/>
                      <w:szCs w:val="21"/>
                      <w:lang w:bidi="ar"/>
                    </w:rPr>
                  </w:pPr>
                  <w:r>
                    <w:rPr>
                      <w:rFonts w:hint="eastAsia"/>
                      <w:bCs/>
                      <w:color w:val="auto"/>
                      <w:kern w:val="0"/>
                      <w:szCs w:val="21"/>
                      <w:lang w:bidi="ar"/>
                    </w:rPr>
                    <w:t>0.016</w:t>
                  </w:r>
                </w:p>
              </w:tc>
              <w:tc>
                <w:tcPr>
                  <w:tcW w:w="640" w:type="pct"/>
                  <w:vAlign w:val="center"/>
                </w:tcPr>
                <w:p w14:paraId="04A1FFE4">
                  <w:pPr>
                    <w:widowControl/>
                    <w:jc w:val="center"/>
                    <w:textAlignment w:val="center"/>
                    <w:rPr>
                      <w:bCs/>
                      <w:color w:val="auto"/>
                      <w:kern w:val="0"/>
                      <w:szCs w:val="21"/>
                      <w:lang w:bidi="ar"/>
                    </w:rPr>
                  </w:pPr>
                  <w:r>
                    <w:rPr>
                      <w:rFonts w:hint="eastAsia"/>
                      <w:bCs/>
                      <w:color w:val="auto"/>
                      <w:kern w:val="0"/>
                      <w:szCs w:val="21"/>
                      <w:lang w:bidi="ar"/>
                    </w:rPr>
                    <w:t>0.02</w:t>
                  </w:r>
                </w:p>
              </w:tc>
              <w:tc>
                <w:tcPr>
                  <w:tcW w:w="690" w:type="pct"/>
                  <w:vAlign w:val="center"/>
                </w:tcPr>
                <w:p w14:paraId="55E2801B">
                  <w:pPr>
                    <w:widowControl/>
                    <w:jc w:val="center"/>
                    <w:textAlignment w:val="center"/>
                    <w:rPr>
                      <w:bCs/>
                      <w:color w:val="auto"/>
                      <w:kern w:val="0"/>
                      <w:szCs w:val="21"/>
                      <w:lang w:bidi="ar"/>
                    </w:rPr>
                  </w:pPr>
                  <w:r>
                    <w:rPr>
                      <w:rFonts w:hint="eastAsia"/>
                      <w:bCs/>
                      <w:color w:val="auto"/>
                      <w:kern w:val="0"/>
                      <w:szCs w:val="21"/>
                      <w:lang w:bidi="ar"/>
                    </w:rPr>
                    <w:t>0</w:t>
                  </w:r>
                </w:p>
              </w:tc>
              <w:tc>
                <w:tcPr>
                  <w:tcW w:w="690" w:type="pct"/>
                  <w:vAlign w:val="center"/>
                </w:tcPr>
                <w:p w14:paraId="6D596113">
                  <w:pPr>
                    <w:widowControl/>
                    <w:jc w:val="center"/>
                    <w:textAlignment w:val="center"/>
                    <w:rPr>
                      <w:bCs/>
                      <w:color w:val="auto"/>
                      <w:kern w:val="0"/>
                      <w:szCs w:val="21"/>
                      <w:lang w:bidi="ar"/>
                    </w:rPr>
                  </w:pPr>
                  <w:r>
                    <w:rPr>
                      <w:rFonts w:hint="eastAsia"/>
                      <w:bCs/>
                      <w:color w:val="auto"/>
                      <w:kern w:val="0"/>
                      <w:szCs w:val="21"/>
                      <w:lang w:bidi="ar"/>
                    </w:rPr>
                    <w:t>/</w:t>
                  </w:r>
                </w:p>
              </w:tc>
            </w:tr>
            <w:tr w14:paraId="577B3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590" w:type="pct"/>
                  <w:vAlign w:val="center"/>
                </w:tcPr>
                <w:p w14:paraId="7F23AEF3">
                  <w:pPr>
                    <w:jc w:val="center"/>
                    <w:rPr>
                      <w:bCs/>
                      <w:color w:val="auto"/>
                      <w:szCs w:val="21"/>
                    </w:rPr>
                  </w:pPr>
                  <w:r>
                    <w:rPr>
                      <w:bCs/>
                      <w:color w:val="auto"/>
                      <w:szCs w:val="21"/>
                    </w:rPr>
                    <w:t>稀释剂</w:t>
                  </w:r>
                </w:p>
              </w:tc>
              <w:tc>
                <w:tcPr>
                  <w:tcW w:w="608" w:type="pct"/>
                  <w:vAlign w:val="center"/>
                </w:tcPr>
                <w:p w14:paraId="16FBAB59">
                  <w:pPr>
                    <w:widowControl/>
                    <w:jc w:val="center"/>
                    <w:textAlignment w:val="center"/>
                    <w:rPr>
                      <w:bCs/>
                      <w:color w:val="auto"/>
                      <w:szCs w:val="21"/>
                    </w:rPr>
                  </w:pPr>
                  <w:r>
                    <w:rPr>
                      <w:rFonts w:hint="eastAsia"/>
                      <w:color w:val="auto"/>
                      <w:kern w:val="0"/>
                      <w:szCs w:val="21"/>
                      <w:lang w:bidi="ar"/>
                    </w:rPr>
                    <w:t>0.6</w:t>
                  </w:r>
                </w:p>
              </w:tc>
              <w:tc>
                <w:tcPr>
                  <w:tcW w:w="465" w:type="pct"/>
                  <w:vAlign w:val="center"/>
                </w:tcPr>
                <w:p w14:paraId="4FE92D9A">
                  <w:pPr>
                    <w:widowControl/>
                    <w:jc w:val="center"/>
                    <w:textAlignment w:val="center"/>
                    <w:rPr>
                      <w:bCs/>
                      <w:color w:val="auto"/>
                      <w:kern w:val="0"/>
                      <w:szCs w:val="21"/>
                      <w:lang w:bidi="ar"/>
                    </w:rPr>
                  </w:pPr>
                  <w:r>
                    <w:rPr>
                      <w:rFonts w:hint="eastAsia"/>
                      <w:bCs/>
                      <w:color w:val="auto"/>
                      <w:kern w:val="0"/>
                      <w:szCs w:val="21"/>
                      <w:lang w:bidi="ar"/>
                    </w:rPr>
                    <w:t>0</w:t>
                  </w:r>
                </w:p>
              </w:tc>
              <w:tc>
                <w:tcPr>
                  <w:tcW w:w="644" w:type="pct"/>
                  <w:vAlign w:val="center"/>
                </w:tcPr>
                <w:p w14:paraId="3F875698">
                  <w:pPr>
                    <w:widowControl/>
                    <w:jc w:val="center"/>
                    <w:textAlignment w:val="center"/>
                    <w:rPr>
                      <w:bCs/>
                      <w:color w:val="auto"/>
                      <w:szCs w:val="21"/>
                    </w:rPr>
                  </w:pPr>
                  <w:r>
                    <w:rPr>
                      <w:rFonts w:hint="eastAsia"/>
                      <w:bCs/>
                      <w:color w:val="auto"/>
                      <w:kern w:val="0"/>
                      <w:szCs w:val="21"/>
                      <w:lang w:bidi="ar"/>
                    </w:rPr>
                    <w:t>0</w:t>
                  </w:r>
                </w:p>
              </w:tc>
              <w:tc>
                <w:tcPr>
                  <w:tcW w:w="669" w:type="pct"/>
                  <w:vAlign w:val="center"/>
                </w:tcPr>
                <w:p w14:paraId="4611E367">
                  <w:pPr>
                    <w:widowControl/>
                    <w:jc w:val="center"/>
                    <w:textAlignment w:val="center"/>
                    <w:rPr>
                      <w:bCs/>
                      <w:color w:val="auto"/>
                      <w:szCs w:val="21"/>
                    </w:rPr>
                  </w:pPr>
                  <w:r>
                    <w:rPr>
                      <w:rFonts w:hint="eastAsia"/>
                      <w:bCs/>
                      <w:color w:val="auto"/>
                      <w:kern w:val="0"/>
                      <w:szCs w:val="21"/>
                      <w:lang w:bidi="ar"/>
                    </w:rPr>
                    <w:t>0</w:t>
                  </w:r>
                </w:p>
              </w:tc>
              <w:tc>
                <w:tcPr>
                  <w:tcW w:w="640" w:type="pct"/>
                  <w:vAlign w:val="center"/>
                </w:tcPr>
                <w:p w14:paraId="374DCC9F">
                  <w:pPr>
                    <w:widowControl/>
                    <w:jc w:val="center"/>
                    <w:textAlignment w:val="center"/>
                    <w:rPr>
                      <w:bCs/>
                      <w:color w:val="auto"/>
                      <w:szCs w:val="21"/>
                    </w:rPr>
                  </w:pPr>
                  <w:r>
                    <w:rPr>
                      <w:rFonts w:hint="eastAsia"/>
                      <w:bCs/>
                      <w:color w:val="auto"/>
                      <w:kern w:val="0"/>
                      <w:szCs w:val="21"/>
                      <w:lang w:bidi="ar"/>
                    </w:rPr>
                    <w:t>0.6</w:t>
                  </w:r>
                </w:p>
              </w:tc>
              <w:tc>
                <w:tcPr>
                  <w:tcW w:w="690" w:type="pct"/>
                  <w:vAlign w:val="center"/>
                </w:tcPr>
                <w:p w14:paraId="3EAFC04F">
                  <w:pPr>
                    <w:widowControl/>
                    <w:jc w:val="center"/>
                    <w:textAlignment w:val="center"/>
                    <w:rPr>
                      <w:bCs/>
                      <w:color w:val="auto"/>
                      <w:szCs w:val="21"/>
                    </w:rPr>
                  </w:pPr>
                  <w:r>
                    <w:rPr>
                      <w:rFonts w:hint="eastAsia"/>
                      <w:bCs/>
                      <w:color w:val="auto"/>
                      <w:kern w:val="0"/>
                      <w:szCs w:val="21"/>
                      <w:lang w:bidi="ar"/>
                    </w:rPr>
                    <w:t>0.12</w:t>
                  </w:r>
                </w:p>
              </w:tc>
              <w:tc>
                <w:tcPr>
                  <w:tcW w:w="690" w:type="pct"/>
                  <w:vAlign w:val="center"/>
                </w:tcPr>
                <w:p w14:paraId="77717AA7">
                  <w:pPr>
                    <w:widowControl/>
                    <w:jc w:val="center"/>
                    <w:textAlignment w:val="center"/>
                    <w:rPr>
                      <w:bCs/>
                      <w:color w:val="auto"/>
                      <w:kern w:val="0"/>
                      <w:szCs w:val="21"/>
                      <w:lang w:bidi="ar"/>
                    </w:rPr>
                  </w:pPr>
                  <w:r>
                    <w:rPr>
                      <w:rFonts w:hint="eastAsia"/>
                      <w:bCs/>
                      <w:color w:val="auto"/>
                      <w:kern w:val="0"/>
                      <w:szCs w:val="21"/>
                      <w:lang w:bidi="ar"/>
                    </w:rPr>
                    <w:t>/</w:t>
                  </w:r>
                </w:p>
              </w:tc>
            </w:tr>
            <w:tr w14:paraId="54EC4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590" w:type="pct"/>
                  <w:vAlign w:val="center"/>
                </w:tcPr>
                <w:p w14:paraId="2E13A28B">
                  <w:pPr>
                    <w:jc w:val="center"/>
                    <w:rPr>
                      <w:bCs/>
                      <w:color w:val="auto"/>
                      <w:szCs w:val="21"/>
                    </w:rPr>
                  </w:pPr>
                  <w:r>
                    <w:rPr>
                      <w:rFonts w:hint="eastAsia"/>
                      <w:bCs/>
                      <w:color w:val="auto"/>
                      <w:szCs w:val="21"/>
                    </w:rPr>
                    <w:t>水性漆</w:t>
                  </w:r>
                </w:p>
              </w:tc>
              <w:tc>
                <w:tcPr>
                  <w:tcW w:w="608" w:type="pct"/>
                  <w:vAlign w:val="center"/>
                </w:tcPr>
                <w:p w14:paraId="424F698A">
                  <w:pPr>
                    <w:widowControl/>
                    <w:jc w:val="center"/>
                    <w:textAlignment w:val="center"/>
                    <w:rPr>
                      <w:color w:val="auto"/>
                      <w:kern w:val="0"/>
                      <w:szCs w:val="21"/>
                      <w:lang w:bidi="ar"/>
                    </w:rPr>
                  </w:pPr>
                  <w:r>
                    <w:rPr>
                      <w:rFonts w:hint="eastAsia"/>
                      <w:color w:val="auto"/>
                      <w:kern w:val="0"/>
                      <w:szCs w:val="21"/>
                      <w:lang w:bidi="ar"/>
                    </w:rPr>
                    <w:t>2</w:t>
                  </w:r>
                </w:p>
              </w:tc>
              <w:tc>
                <w:tcPr>
                  <w:tcW w:w="465" w:type="pct"/>
                  <w:vAlign w:val="center"/>
                </w:tcPr>
                <w:p w14:paraId="7B90B210">
                  <w:pPr>
                    <w:widowControl/>
                    <w:jc w:val="center"/>
                    <w:textAlignment w:val="center"/>
                    <w:rPr>
                      <w:bCs/>
                      <w:color w:val="auto"/>
                      <w:kern w:val="0"/>
                      <w:szCs w:val="21"/>
                      <w:lang w:bidi="ar"/>
                    </w:rPr>
                  </w:pPr>
                  <w:r>
                    <w:rPr>
                      <w:rFonts w:hint="eastAsia"/>
                      <w:bCs/>
                      <w:color w:val="auto"/>
                      <w:kern w:val="0"/>
                      <w:szCs w:val="21"/>
                      <w:lang w:bidi="ar"/>
                    </w:rPr>
                    <w:t>1.672</w:t>
                  </w:r>
                </w:p>
              </w:tc>
              <w:tc>
                <w:tcPr>
                  <w:tcW w:w="644" w:type="pct"/>
                  <w:vAlign w:val="center"/>
                </w:tcPr>
                <w:p w14:paraId="790C1555">
                  <w:pPr>
                    <w:widowControl/>
                    <w:jc w:val="center"/>
                    <w:textAlignment w:val="center"/>
                    <w:rPr>
                      <w:bCs/>
                      <w:color w:val="auto"/>
                      <w:kern w:val="0"/>
                      <w:szCs w:val="21"/>
                      <w:lang w:bidi="ar"/>
                    </w:rPr>
                  </w:pPr>
                  <w:r>
                    <w:rPr>
                      <w:rFonts w:hint="eastAsia"/>
                      <w:bCs/>
                      <w:color w:val="auto"/>
                      <w:kern w:val="0"/>
                      <w:szCs w:val="21"/>
                      <w:lang w:bidi="ar"/>
                    </w:rPr>
                    <w:t>1.338</w:t>
                  </w:r>
                </w:p>
              </w:tc>
              <w:tc>
                <w:tcPr>
                  <w:tcW w:w="669" w:type="pct"/>
                  <w:vAlign w:val="center"/>
                </w:tcPr>
                <w:p w14:paraId="5F9B5217">
                  <w:pPr>
                    <w:widowControl/>
                    <w:jc w:val="center"/>
                    <w:textAlignment w:val="center"/>
                    <w:rPr>
                      <w:bCs/>
                      <w:color w:val="auto"/>
                      <w:kern w:val="0"/>
                      <w:szCs w:val="21"/>
                      <w:lang w:bidi="ar"/>
                    </w:rPr>
                  </w:pPr>
                  <w:r>
                    <w:rPr>
                      <w:rFonts w:hint="eastAsia"/>
                      <w:bCs/>
                      <w:color w:val="auto"/>
                      <w:kern w:val="0"/>
                      <w:szCs w:val="21"/>
                      <w:lang w:bidi="ar"/>
                    </w:rPr>
                    <w:t>0.334</w:t>
                  </w:r>
                </w:p>
              </w:tc>
              <w:tc>
                <w:tcPr>
                  <w:tcW w:w="640" w:type="pct"/>
                  <w:vAlign w:val="center"/>
                </w:tcPr>
                <w:p w14:paraId="64A93211">
                  <w:pPr>
                    <w:widowControl/>
                    <w:jc w:val="center"/>
                    <w:textAlignment w:val="center"/>
                    <w:rPr>
                      <w:bCs/>
                      <w:color w:val="auto"/>
                      <w:kern w:val="0"/>
                      <w:szCs w:val="21"/>
                      <w:lang w:bidi="ar"/>
                    </w:rPr>
                  </w:pPr>
                  <w:r>
                    <w:rPr>
                      <w:rFonts w:hint="eastAsia"/>
                      <w:bCs/>
                      <w:color w:val="auto"/>
                      <w:kern w:val="0"/>
                      <w:szCs w:val="21"/>
                      <w:lang w:bidi="ar"/>
                    </w:rPr>
                    <w:t>0.088</w:t>
                  </w:r>
                </w:p>
              </w:tc>
              <w:tc>
                <w:tcPr>
                  <w:tcW w:w="690" w:type="pct"/>
                  <w:vAlign w:val="center"/>
                </w:tcPr>
                <w:p w14:paraId="49F29DBA">
                  <w:pPr>
                    <w:widowControl/>
                    <w:jc w:val="center"/>
                    <w:textAlignment w:val="center"/>
                    <w:rPr>
                      <w:bCs/>
                      <w:color w:val="auto"/>
                      <w:kern w:val="0"/>
                      <w:szCs w:val="21"/>
                      <w:lang w:bidi="ar"/>
                    </w:rPr>
                  </w:pPr>
                  <w:r>
                    <w:rPr>
                      <w:rFonts w:hint="eastAsia"/>
                      <w:bCs/>
                      <w:color w:val="auto"/>
                      <w:kern w:val="0"/>
                      <w:szCs w:val="21"/>
                      <w:lang w:bidi="ar"/>
                    </w:rPr>
                    <w:t>0</w:t>
                  </w:r>
                </w:p>
              </w:tc>
              <w:tc>
                <w:tcPr>
                  <w:tcW w:w="690" w:type="pct"/>
                  <w:vAlign w:val="center"/>
                </w:tcPr>
                <w:p w14:paraId="7B99C374">
                  <w:pPr>
                    <w:widowControl/>
                    <w:jc w:val="center"/>
                    <w:textAlignment w:val="center"/>
                    <w:rPr>
                      <w:bCs/>
                      <w:color w:val="auto"/>
                      <w:kern w:val="0"/>
                      <w:szCs w:val="21"/>
                      <w:lang w:bidi="ar"/>
                    </w:rPr>
                  </w:pPr>
                  <w:r>
                    <w:rPr>
                      <w:rFonts w:hint="eastAsia"/>
                      <w:bCs/>
                      <w:color w:val="auto"/>
                      <w:kern w:val="0"/>
                      <w:szCs w:val="21"/>
                      <w:lang w:bidi="ar"/>
                    </w:rPr>
                    <w:t>0.24</w:t>
                  </w:r>
                </w:p>
              </w:tc>
            </w:tr>
            <w:tr w14:paraId="27B0E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590" w:type="pct"/>
                  <w:vAlign w:val="center"/>
                </w:tcPr>
                <w:p w14:paraId="074680CA">
                  <w:pPr>
                    <w:widowControl/>
                    <w:spacing w:line="240" w:lineRule="exact"/>
                    <w:jc w:val="center"/>
                    <w:textAlignment w:val="center"/>
                    <w:rPr>
                      <w:bCs/>
                      <w:color w:val="auto"/>
                      <w:kern w:val="0"/>
                      <w:szCs w:val="21"/>
                    </w:rPr>
                  </w:pPr>
                  <w:r>
                    <w:rPr>
                      <w:b/>
                      <w:color w:val="auto"/>
                      <w:kern w:val="0"/>
                      <w:szCs w:val="21"/>
                    </w:rPr>
                    <w:t>合计</w:t>
                  </w:r>
                </w:p>
              </w:tc>
              <w:tc>
                <w:tcPr>
                  <w:tcW w:w="608" w:type="pct"/>
                  <w:vAlign w:val="center"/>
                </w:tcPr>
                <w:p w14:paraId="36C7727E">
                  <w:pPr>
                    <w:widowControl/>
                    <w:jc w:val="center"/>
                    <w:textAlignment w:val="center"/>
                    <w:rPr>
                      <w:bCs/>
                      <w:color w:val="auto"/>
                      <w:szCs w:val="21"/>
                    </w:rPr>
                  </w:pPr>
                  <w:r>
                    <w:rPr>
                      <w:rFonts w:hint="eastAsia"/>
                      <w:bCs/>
                      <w:color w:val="auto"/>
                      <w:kern w:val="0"/>
                      <w:szCs w:val="21"/>
                      <w:lang w:bidi="ar"/>
                    </w:rPr>
                    <w:t>3.9</w:t>
                  </w:r>
                </w:p>
              </w:tc>
              <w:tc>
                <w:tcPr>
                  <w:tcW w:w="465" w:type="pct"/>
                  <w:vAlign w:val="center"/>
                </w:tcPr>
                <w:p w14:paraId="1C800C97">
                  <w:pPr>
                    <w:widowControl/>
                    <w:jc w:val="center"/>
                    <w:textAlignment w:val="center"/>
                    <w:rPr>
                      <w:bCs/>
                      <w:color w:val="auto"/>
                      <w:kern w:val="0"/>
                      <w:szCs w:val="21"/>
                      <w:lang w:bidi="ar"/>
                    </w:rPr>
                  </w:pPr>
                  <w:r>
                    <w:rPr>
                      <w:rFonts w:hint="eastAsia"/>
                      <w:bCs/>
                      <w:color w:val="auto"/>
                      <w:kern w:val="0"/>
                      <w:szCs w:val="21"/>
                      <w:lang w:bidi="ar"/>
                    </w:rPr>
                    <w:t>2.872</w:t>
                  </w:r>
                </w:p>
              </w:tc>
              <w:tc>
                <w:tcPr>
                  <w:tcW w:w="644" w:type="pct"/>
                  <w:vAlign w:val="center"/>
                </w:tcPr>
                <w:p w14:paraId="776FB4E6">
                  <w:pPr>
                    <w:widowControl/>
                    <w:jc w:val="center"/>
                    <w:textAlignment w:val="center"/>
                    <w:rPr>
                      <w:bCs/>
                      <w:color w:val="auto"/>
                      <w:kern w:val="0"/>
                      <w:szCs w:val="21"/>
                      <w:highlight w:val="yellow"/>
                    </w:rPr>
                  </w:pPr>
                  <w:r>
                    <w:rPr>
                      <w:rFonts w:hint="eastAsia"/>
                      <w:bCs/>
                      <w:color w:val="auto"/>
                      <w:kern w:val="0"/>
                      <w:szCs w:val="21"/>
                    </w:rPr>
                    <w:t>2.298</w:t>
                  </w:r>
                </w:p>
              </w:tc>
              <w:tc>
                <w:tcPr>
                  <w:tcW w:w="669" w:type="pct"/>
                  <w:vAlign w:val="center"/>
                </w:tcPr>
                <w:p w14:paraId="137BD6AA">
                  <w:pPr>
                    <w:widowControl/>
                    <w:jc w:val="center"/>
                    <w:textAlignment w:val="center"/>
                    <w:rPr>
                      <w:bCs/>
                      <w:color w:val="auto"/>
                      <w:kern w:val="0"/>
                      <w:szCs w:val="21"/>
                      <w:highlight w:val="yellow"/>
                    </w:rPr>
                  </w:pPr>
                  <w:r>
                    <w:rPr>
                      <w:rFonts w:hint="eastAsia"/>
                      <w:bCs/>
                      <w:color w:val="auto"/>
                      <w:kern w:val="0"/>
                      <w:szCs w:val="21"/>
                      <w:lang w:bidi="ar"/>
                    </w:rPr>
                    <w:t>0.574</w:t>
                  </w:r>
                </w:p>
              </w:tc>
              <w:tc>
                <w:tcPr>
                  <w:tcW w:w="640" w:type="pct"/>
                  <w:vAlign w:val="center"/>
                </w:tcPr>
                <w:p w14:paraId="10E6FC05">
                  <w:pPr>
                    <w:widowControl/>
                    <w:jc w:val="center"/>
                    <w:textAlignment w:val="center"/>
                    <w:rPr>
                      <w:bCs/>
                      <w:color w:val="auto"/>
                      <w:kern w:val="0"/>
                      <w:szCs w:val="21"/>
                    </w:rPr>
                  </w:pPr>
                  <w:r>
                    <w:rPr>
                      <w:rFonts w:hint="eastAsia"/>
                      <w:bCs/>
                      <w:color w:val="auto"/>
                      <w:kern w:val="0"/>
                      <w:szCs w:val="21"/>
                      <w:lang w:bidi="ar"/>
                    </w:rPr>
                    <w:t>0.788</w:t>
                  </w:r>
                </w:p>
              </w:tc>
              <w:tc>
                <w:tcPr>
                  <w:tcW w:w="690" w:type="pct"/>
                  <w:vAlign w:val="center"/>
                </w:tcPr>
                <w:p w14:paraId="085F1181">
                  <w:pPr>
                    <w:widowControl/>
                    <w:jc w:val="center"/>
                    <w:textAlignment w:val="center"/>
                    <w:rPr>
                      <w:bCs/>
                      <w:color w:val="auto"/>
                      <w:kern w:val="0"/>
                      <w:szCs w:val="21"/>
                    </w:rPr>
                  </w:pPr>
                  <w:r>
                    <w:rPr>
                      <w:rFonts w:hint="eastAsia"/>
                      <w:bCs/>
                      <w:color w:val="auto"/>
                      <w:kern w:val="0"/>
                      <w:szCs w:val="21"/>
                      <w:lang w:bidi="ar"/>
                    </w:rPr>
                    <w:t>0.18</w:t>
                  </w:r>
                </w:p>
              </w:tc>
              <w:tc>
                <w:tcPr>
                  <w:tcW w:w="690" w:type="pct"/>
                  <w:vAlign w:val="center"/>
                </w:tcPr>
                <w:p w14:paraId="422F327E">
                  <w:pPr>
                    <w:widowControl/>
                    <w:jc w:val="center"/>
                    <w:textAlignment w:val="center"/>
                    <w:rPr>
                      <w:bCs/>
                      <w:color w:val="auto"/>
                      <w:kern w:val="0"/>
                      <w:szCs w:val="21"/>
                      <w:lang w:bidi="ar"/>
                    </w:rPr>
                  </w:pPr>
                  <w:r>
                    <w:rPr>
                      <w:rFonts w:hint="eastAsia"/>
                      <w:bCs/>
                      <w:color w:val="auto"/>
                      <w:kern w:val="0"/>
                      <w:szCs w:val="21"/>
                      <w:lang w:bidi="ar"/>
                    </w:rPr>
                    <w:t>0.24</w:t>
                  </w:r>
                </w:p>
              </w:tc>
            </w:tr>
          </w:tbl>
          <w:p w14:paraId="47BBF156">
            <w:pPr>
              <w:adjustRightInd w:val="0"/>
              <w:snapToGrid w:val="0"/>
              <w:spacing w:line="360" w:lineRule="auto"/>
              <w:ind w:firstLine="480" w:firstLineChars="200"/>
              <w:rPr>
                <w:color w:val="auto"/>
                <w:sz w:val="24"/>
              </w:rPr>
            </w:pPr>
            <w:r>
              <w:rPr>
                <w:rFonts w:hint="eastAsia"/>
                <w:color w:val="auto"/>
                <w:sz w:val="24"/>
              </w:rPr>
              <w:t>项目调漆、喷漆、晾干共需总操作时间为2400h/a，风机于油漆调配开始时开启，直至油漆完全晾干后关闭。</w:t>
            </w:r>
          </w:p>
          <w:p w14:paraId="29D4E3B4">
            <w:pPr>
              <w:snapToGrid w:val="0"/>
              <w:spacing w:line="360" w:lineRule="auto"/>
              <w:ind w:firstLine="480" w:firstLineChars="200"/>
              <w:rPr>
                <w:rFonts w:hint="default" w:eastAsia="宋体"/>
                <w:b/>
                <w:bCs/>
                <w:color w:val="auto"/>
                <w:szCs w:val="21"/>
                <w:lang w:val="en-US" w:eastAsia="zh-CN"/>
              </w:rPr>
            </w:pPr>
            <w:r>
              <w:rPr>
                <w:rFonts w:hint="eastAsia"/>
                <w:color w:val="auto"/>
                <w:sz w:val="24"/>
              </w:rPr>
              <w:t>根据《洁净厂房设计规范》（</w:t>
            </w:r>
            <w:r>
              <w:rPr>
                <w:color w:val="auto"/>
                <w:sz w:val="24"/>
              </w:rPr>
              <w:t>GB50073-2013</w:t>
            </w:r>
            <w:r>
              <w:rPr>
                <w:rFonts w:hint="eastAsia"/>
                <w:color w:val="auto"/>
                <w:sz w:val="24"/>
              </w:rPr>
              <w:t>）、《采暖通风与空调调节设计规范》、《通风工程》（第二版）（王汉青 主编）要求，喷漆房换气次数取60次</w:t>
            </w:r>
            <w:r>
              <w:rPr>
                <w:color w:val="auto"/>
                <w:sz w:val="24"/>
              </w:rPr>
              <w:t>/h</w:t>
            </w:r>
            <w:r>
              <w:rPr>
                <w:rFonts w:hint="eastAsia"/>
                <w:color w:val="auto"/>
                <w:sz w:val="24"/>
              </w:rPr>
              <w:t>。本项目喷漆房体积218m</w:t>
            </w:r>
            <w:r>
              <w:rPr>
                <w:rFonts w:hint="eastAsia"/>
                <w:color w:val="auto"/>
                <w:sz w:val="24"/>
                <w:vertAlign w:val="superscript"/>
              </w:rPr>
              <w:t>3</w:t>
            </w:r>
            <w:r>
              <w:rPr>
                <w:rFonts w:hint="eastAsia"/>
                <w:color w:val="auto"/>
                <w:sz w:val="24"/>
              </w:rPr>
              <w:t>，喷漆房风量为20000</w:t>
            </w:r>
            <w:r>
              <w:rPr>
                <w:color w:val="auto"/>
                <w:sz w:val="24"/>
              </w:rPr>
              <w:t>m</w:t>
            </w:r>
            <w:r>
              <w:rPr>
                <w:color w:val="auto"/>
                <w:sz w:val="24"/>
                <w:vertAlign w:val="superscript"/>
              </w:rPr>
              <w:t>3</w:t>
            </w:r>
            <w:r>
              <w:rPr>
                <w:color w:val="auto"/>
                <w:sz w:val="24"/>
              </w:rPr>
              <w:t>/h</w:t>
            </w:r>
            <w:r>
              <w:rPr>
                <w:rFonts w:hint="eastAsia"/>
                <w:color w:val="auto"/>
                <w:sz w:val="24"/>
              </w:rPr>
              <w:t>，可满足换气次数大于60次/h。</w:t>
            </w:r>
            <w:r>
              <w:rPr>
                <w:color w:val="auto"/>
                <w:sz w:val="24"/>
              </w:rPr>
              <w:t>喷漆房为密闭车间，采用顶部送风，底部抽风的方式负压收集喷漆废气，</w:t>
            </w:r>
            <w:r>
              <w:rPr>
                <w:rFonts w:hint="eastAsia"/>
                <w:color w:val="auto"/>
                <w:sz w:val="24"/>
              </w:rPr>
              <w:t>根据</w:t>
            </w:r>
            <w:r>
              <w:rPr>
                <w:color w:val="auto"/>
                <w:kern w:val="0"/>
                <w:sz w:val="24"/>
                <w:lang w:bidi="ar"/>
              </w:rPr>
              <w:t>《主要污染物总量减排核算技术指南</w:t>
            </w:r>
            <w:r>
              <w:rPr>
                <w:rFonts w:hint="eastAsia"/>
                <w:color w:val="auto"/>
                <w:kern w:val="0"/>
                <w:sz w:val="24"/>
                <w:lang w:bidi="ar"/>
              </w:rPr>
              <w:t>（2022年修订）</w:t>
            </w:r>
            <w:r>
              <w:rPr>
                <w:color w:val="auto"/>
                <w:kern w:val="0"/>
                <w:sz w:val="24"/>
                <w:lang w:bidi="ar"/>
              </w:rPr>
              <w:t>》</w:t>
            </w:r>
            <w:r>
              <w:rPr>
                <w:rFonts w:hint="eastAsia"/>
                <w:color w:val="auto"/>
                <w:kern w:val="0"/>
                <w:sz w:val="24"/>
                <w:lang w:bidi="ar"/>
              </w:rPr>
              <w:t>，</w:t>
            </w:r>
            <w:r>
              <w:rPr>
                <w:color w:val="auto"/>
                <w:sz w:val="24"/>
              </w:rPr>
              <w:t>密闭</w:t>
            </w:r>
            <w:r>
              <w:rPr>
                <w:rFonts w:hint="eastAsia"/>
                <w:color w:val="auto"/>
                <w:sz w:val="24"/>
              </w:rPr>
              <w:t>空间负压收集效率为</w:t>
            </w:r>
            <w:r>
              <w:rPr>
                <w:color w:val="auto"/>
                <w:sz w:val="24"/>
              </w:rPr>
              <w:t>9</w:t>
            </w:r>
            <w:r>
              <w:rPr>
                <w:rFonts w:hint="eastAsia"/>
                <w:color w:val="auto"/>
                <w:sz w:val="24"/>
              </w:rPr>
              <w:t>0</w:t>
            </w:r>
            <w:r>
              <w:rPr>
                <w:color w:val="auto"/>
                <w:sz w:val="24"/>
              </w:rPr>
              <w:t>%</w:t>
            </w:r>
            <w:r>
              <w:rPr>
                <w:rFonts w:hint="eastAsia"/>
                <w:color w:val="auto"/>
                <w:sz w:val="24"/>
              </w:rPr>
              <w:t>。废气经收集后</w:t>
            </w:r>
            <w:r>
              <w:rPr>
                <w:color w:val="auto"/>
                <w:sz w:val="24"/>
              </w:rPr>
              <w:t>引至1套“</w:t>
            </w:r>
            <w:r>
              <w:rPr>
                <w:rFonts w:hint="eastAsia"/>
                <w:color w:val="auto"/>
                <w:sz w:val="24"/>
              </w:rPr>
              <w:t>过滤棉</w:t>
            </w:r>
            <w:r>
              <w:rPr>
                <w:color w:val="auto"/>
                <w:sz w:val="24"/>
              </w:rPr>
              <w:t>+</w:t>
            </w:r>
            <w:r>
              <w:rPr>
                <w:rFonts w:hint="eastAsia"/>
                <w:color w:val="auto"/>
                <w:sz w:val="24"/>
              </w:rPr>
              <w:t>二级</w:t>
            </w:r>
            <w:r>
              <w:rPr>
                <w:color w:val="auto"/>
                <w:sz w:val="24"/>
              </w:rPr>
              <w:t>活性炭吸附”废气治理装置</w:t>
            </w:r>
            <w:r>
              <w:rPr>
                <w:color w:val="auto"/>
                <w:kern w:val="18"/>
                <w:sz w:val="24"/>
              </w:rPr>
              <w:t>（</w:t>
            </w:r>
            <w:r>
              <w:rPr>
                <w:rFonts w:hint="eastAsia"/>
                <w:color w:val="auto"/>
                <w:kern w:val="18"/>
                <w:sz w:val="24"/>
              </w:rPr>
              <w:t>T</w:t>
            </w:r>
            <w:r>
              <w:rPr>
                <w:color w:val="auto"/>
                <w:kern w:val="18"/>
                <w:sz w:val="24"/>
              </w:rPr>
              <w:t>A0</w:t>
            </w:r>
            <w:r>
              <w:rPr>
                <w:rFonts w:hint="eastAsia"/>
                <w:color w:val="auto"/>
                <w:kern w:val="18"/>
                <w:sz w:val="24"/>
              </w:rPr>
              <w:t>10</w:t>
            </w:r>
            <w:r>
              <w:rPr>
                <w:color w:val="auto"/>
                <w:kern w:val="18"/>
                <w:sz w:val="24"/>
              </w:rPr>
              <w:t>）</w:t>
            </w:r>
            <w:r>
              <w:rPr>
                <w:color w:val="auto"/>
                <w:sz w:val="24"/>
              </w:rPr>
              <w:t>处理达标后引至</w:t>
            </w:r>
            <w:r>
              <w:rPr>
                <w:rFonts w:hint="eastAsia"/>
                <w:color w:val="auto"/>
                <w:sz w:val="24"/>
              </w:rPr>
              <w:t>15</w:t>
            </w:r>
            <w:r>
              <w:rPr>
                <w:color w:val="auto"/>
                <w:sz w:val="24"/>
              </w:rPr>
              <w:t>m高排气筒</w:t>
            </w:r>
            <w:r>
              <w:rPr>
                <w:rFonts w:hint="eastAsia"/>
                <w:color w:val="auto"/>
                <w:sz w:val="24"/>
              </w:rPr>
              <w:t>（DA004）</w:t>
            </w:r>
            <w:r>
              <w:rPr>
                <w:color w:val="auto"/>
                <w:sz w:val="24"/>
              </w:rPr>
              <w:t>排放</w:t>
            </w:r>
            <w:r>
              <w:rPr>
                <w:rFonts w:hint="eastAsia"/>
                <w:color w:val="auto"/>
                <w:sz w:val="24"/>
              </w:rPr>
              <w:t>。</w:t>
            </w:r>
            <w:r>
              <w:rPr>
                <w:color w:val="auto"/>
                <w:sz w:val="24"/>
              </w:rPr>
              <w:t>根据</w:t>
            </w:r>
            <w:r>
              <w:rPr>
                <w:bCs/>
                <w:color w:val="auto"/>
                <w:sz w:val="24"/>
              </w:rPr>
              <w:t>《喷漆废气中颗粒物处理及有机废气净化》（作者陈泽枝，文章来源：福建环境期刊）等资料文献</w:t>
            </w:r>
            <w:r>
              <w:rPr>
                <w:color w:val="auto"/>
                <w:sz w:val="24"/>
              </w:rPr>
              <w:t>，多层过滤棉对颗粒物的过滤效率可达</w:t>
            </w:r>
            <w:r>
              <w:rPr>
                <w:bCs/>
                <w:color w:val="auto"/>
                <w:sz w:val="24"/>
              </w:rPr>
              <w:t>90%~95%</w:t>
            </w:r>
            <w:r>
              <w:rPr>
                <w:color w:val="auto"/>
                <w:sz w:val="24"/>
              </w:rPr>
              <w:t>，本</w:t>
            </w:r>
            <w:r>
              <w:rPr>
                <w:rFonts w:hint="eastAsia"/>
                <w:color w:val="auto"/>
                <w:sz w:val="24"/>
              </w:rPr>
              <w:t>评价</w:t>
            </w:r>
            <w:r>
              <w:rPr>
                <w:color w:val="auto"/>
                <w:sz w:val="24"/>
              </w:rPr>
              <w:t>取90%</w:t>
            </w:r>
            <w:r>
              <w:rPr>
                <w:rFonts w:hint="eastAsia"/>
                <w:color w:val="auto"/>
                <w:sz w:val="24"/>
              </w:rPr>
              <w:t>；本项目使用二级活性炭吸附，</w:t>
            </w:r>
            <w:r>
              <w:rPr>
                <w:rFonts w:hint="eastAsia"/>
                <w:color w:val="auto"/>
                <w:sz w:val="24"/>
                <w:lang w:val="en-US" w:eastAsia="zh-CN"/>
              </w:rPr>
              <w:t>类比同类项目湖南省鲁旭水处理设备有限公司年生产48套水处理设备建设项目竣工环境保护验收监测报告中监测数据，调漆、喷漆、晾干有机废气采用</w:t>
            </w:r>
            <w:r>
              <w:rPr>
                <w:color w:val="auto"/>
                <w:sz w:val="24"/>
              </w:rPr>
              <w:t>“</w:t>
            </w:r>
            <w:r>
              <w:rPr>
                <w:rFonts w:hint="eastAsia"/>
                <w:color w:val="auto"/>
                <w:sz w:val="24"/>
              </w:rPr>
              <w:t>过滤棉</w:t>
            </w:r>
            <w:r>
              <w:rPr>
                <w:color w:val="auto"/>
                <w:sz w:val="24"/>
              </w:rPr>
              <w:t>+</w:t>
            </w:r>
            <w:r>
              <w:rPr>
                <w:rFonts w:hint="eastAsia"/>
                <w:color w:val="auto"/>
                <w:sz w:val="24"/>
              </w:rPr>
              <w:t>二级</w:t>
            </w:r>
            <w:r>
              <w:rPr>
                <w:color w:val="auto"/>
                <w:sz w:val="24"/>
              </w:rPr>
              <w:t>活性炭吸附”</w:t>
            </w:r>
            <w:r>
              <w:rPr>
                <w:rFonts w:hint="eastAsia"/>
                <w:color w:val="auto"/>
                <w:sz w:val="24"/>
                <w:lang w:val="en-US" w:eastAsia="zh-CN"/>
              </w:rPr>
              <w:t>装置处理，挥发性有机物</w:t>
            </w:r>
            <w:r>
              <w:rPr>
                <w:rFonts w:hint="eastAsia"/>
                <w:color w:val="auto"/>
                <w:sz w:val="24"/>
              </w:rPr>
              <w:t>处理效率</w:t>
            </w:r>
            <w:r>
              <w:rPr>
                <w:rFonts w:hint="eastAsia"/>
                <w:color w:val="auto"/>
                <w:sz w:val="24"/>
                <w:lang w:val="en-US" w:eastAsia="zh-CN"/>
              </w:rPr>
              <w:t>约为84.4%，本项目保守取值为75</w:t>
            </w:r>
            <w:r>
              <w:rPr>
                <w:rFonts w:hint="eastAsia"/>
                <w:color w:val="auto"/>
                <w:sz w:val="24"/>
              </w:rPr>
              <w:t>%</w:t>
            </w:r>
            <w:r>
              <w:rPr>
                <w:color w:val="auto"/>
                <w:sz w:val="24"/>
              </w:rPr>
              <w:t>。</w:t>
            </w:r>
          </w:p>
          <w:p w14:paraId="67304C1A">
            <w:pPr>
              <w:adjustRightInd w:val="0"/>
              <w:snapToGrid w:val="0"/>
              <w:jc w:val="center"/>
              <w:rPr>
                <w:b/>
                <w:bCs/>
                <w:color w:val="auto"/>
                <w:szCs w:val="21"/>
              </w:rPr>
            </w:pPr>
            <w:r>
              <w:rPr>
                <w:rFonts w:hint="eastAsia"/>
                <w:b/>
                <w:bCs/>
                <w:color w:val="auto"/>
                <w:szCs w:val="21"/>
              </w:rPr>
              <w:t>表4-5  项目</w:t>
            </w:r>
            <w:r>
              <w:rPr>
                <w:rFonts w:hint="eastAsia" w:ascii="宋体" w:hAnsi="宋体" w:cs="宋体"/>
                <w:b/>
                <w:bCs/>
                <w:color w:val="auto"/>
                <w:kern w:val="0"/>
                <w:szCs w:val="21"/>
                <w:lang w:bidi="ar"/>
              </w:rPr>
              <w:t>喷漆</w:t>
            </w:r>
            <w:r>
              <w:rPr>
                <w:rFonts w:hint="eastAsia"/>
                <w:b/>
                <w:bCs/>
                <w:color w:val="auto"/>
                <w:szCs w:val="21"/>
              </w:rPr>
              <w:t>废气污染物排放情况</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7"/>
              <w:gridCol w:w="1410"/>
              <w:gridCol w:w="1072"/>
              <w:gridCol w:w="1257"/>
              <w:gridCol w:w="1317"/>
              <w:gridCol w:w="1264"/>
              <w:gridCol w:w="1322"/>
            </w:tblGrid>
            <w:tr w14:paraId="5CAA8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pct"/>
                  <w:vMerge w:val="restart"/>
                  <w:vAlign w:val="center"/>
                </w:tcPr>
                <w:p w14:paraId="42E467DF">
                  <w:pPr>
                    <w:pStyle w:val="16"/>
                    <w:adjustRightInd w:val="0"/>
                    <w:snapToGrid w:val="0"/>
                    <w:jc w:val="center"/>
                    <w:rPr>
                      <w:rFonts w:ascii="Times New Roman" w:hAnsi="Times New Roman"/>
                      <w:b/>
                      <w:bCs/>
                      <w:color w:val="auto"/>
                      <w:sz w:val="21"/>
                    </w:rPr>
                  </w:pPr>
                  <w:r>
                    <w:rPr>
                      <w:rFonts w:hint="eastAsia" w:ascii="Times New Roman" w:hAnsi="Times New Roman"/>
                      <w:b/>
                      <w:bCs/>
                      <w:color w:val="auto"/>
                      <w:sz w:val="21"/>
                    </w:rPr>
                    <w:t>工序</w:t>
                  </w:r>
                </w:p>
              </w:tc>
              <w:tc>
                <w:tcPr>
                  <w:tcW w:w="801" w:type="pct"/>
                  <w:vMerge w:val="restart"/>
                  <w:vAlign w:val="center"/>
                </w:tcPr>
                <w:p w14:paraId="4F71BB77">
                  <w:pPr>
                    <w:pStyle w:val="16"/>
                    <w:adjustRightInd w:val="0"/>
                    <w:snapToGrid w:val="0"/>
                    <w:jc w:val="center"/>
                    <w:rPr>
                      <w:rFonts w:ascii="Times New Roman" w:hAnsi="Times New Roman"/>
                      <w:b/>
                      <w:bCs/>
                      <w:color w:val="auto"/>
                      <w:sz w:val="21"/>
                    </w:rPr>
                  </w:pPr>
                  <w:r>
                    <w:rPr>
                      <w:rFonts w:hint="eastAsia" w:ascii="Times New Roman" w:hAnsi="Times New Roman"/>
                      <w:b/>
                      <w:bCs/>
                      <w:color w:val="auto"/>
                      <w:sz w:val="21"/>
                    </w:rPr>
                    <w:t>污染物</w:t>
                  </w:r>
                </w:p>
              </w:tc>
              <w:tc>
                <w:tcPr>
                  <w:tcW w:w="2071" w:type="pct"/>
                  <w:gridSpan w:val="3"/>
                  <w:vAlign w:val="center"/>
                </w:tcPr>
                <w:p w14:paraId="59319BD2">
                  <w:pPr>
                    <w:pStyle w:val="16"/>
                    <w:adjustRightInd w:val="0"/>
                    <w:snapToGrid w:val="0"/>
                    <w:jc w:val="center"/>
                    <w:rPr>
                      <w:rFonts w:ascii="Times New Roman" w:hAnsi="Times New Roman"/>
                      <w:b/>
                      <w:bCs/>
                      <w:color w:val="auto"/>
                      <w:sz w:val="21"/>
                    </w:rPr>
                  </w:pPr>
                  <w:r>
                    <w:rPr>
                      <w:rFonts w:hint="eastAsia" w:ascii="Times New Roman" w:hAnsi="Times New Roman"/>
                      <w:b/>
                      <w:bCs/>
                      <w:color w:val="auto"/>
                      <w:sz w:val="21"/>
                    </w:rPr>
                    <w:t>有组织排放量</w:t>
                  </w:r>
                </w:p>
              </w:tc>
              <w:tc>
                <w:tcPr>
                  <w:tcW w:w="1469" w:type="pct"/>
                  <w:gridSpan w:val="2"/>
                  <w:vAlign w:val="center"/>
                </w:tcPr>
                <w:p w14:paraId="5F33AE17">
                  <w:pPr>
                    <w:pStyle w:val="16"/>
                    <w:adjustRightInd w:val="0"/>
                    <w:snapToGrid w:val="0"/>
                    <w:jc w:val="center"/>
                    <w:rPr>
                      <w:rFonts w:ascii="Times New Roman" w:hAnsi="Times New Roman"/>
                      <w:b/>
                      <w:bCs/>
                      <w:color w:val="auto"/>
                      <w:sz w:val="21"/>
                    </w:rPr>
                  </w:pPr>
                  <w:r>
                    <w:rPr>
                      <w:rFonts w:hint="eastAsia" w:ascii="Times New Roman" w:hAnsi="Times New Roman"/>
                      <w:b/>
                      <w:bCs/>
                      <w:color w:val="auto"/>
                      <w:sz w:val="21"/>
                    </w:rPr>
                    <w:t>无组织排放</w:t>
                  </w:r>
                </w:p>
              </w:tc>
            </w:tr>
            <w:tr w14:paraId="2B0DD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pct"/>
                  <w:vMerge w:val="continue"/>
                  <w:vAlign w:val="center"/>
                </w:tcPr>
                <w:p w14:paraId="1587FBDF">
                  <w:pPr>
                    <w:pStyle w:val="16"/>
                    <w:adjustRightInd w:val="0"/>
                    <w:snapToGrid w:val="0"/>
                    <w:jc w:val="center"/>
                    <w:rPr>
                      <w:rFonts w:ascii="Times New Roman" w:hAnsi="Times New Roman"/>
                      <w:b/>
                      <w:bCs/>
                      <w:color w:val="auto"/>
                      <w:sz w:val="21"/>
                    </w:rPr>
                  </w:pPr>
                </w:p>
              </w:tc>
              <w:tc>
                <w:tcPr>
                  <w:tcW w:w="801" w:type="pct"/>
                  <w:vMerge w:val="continue"/>
                  <w:vAlign w:val="center"/>
                </w:tcPr>
                <w:p w14:paraId="1CD65C53">
                  <w:pPr>
                    <w:pStyle w:val="16"/>
                    <w:adjustRightInd w:val="0"/>
                    <w:snapToGrid w:val="0"/>
                    <w:jc w:val="center"/>
                    <w:rPr>
                      <w:rFonts w:ascii="Times New Roman" w:hAnsi="Times New Roman"/>
                      <w:b/>
                      <w:bCs/>
                      <w:color w:val="auto"/>
                      <w:sz w:val="21"/>
                    </w:rPr>
                  </w:pPr>
                </w:p>
              </w:tc>
              <w:tc>
                <w:tcPr>
                  <w:tcW w:w="609" w:type="pct"/>
                  <w:vAlign w:val="center"/>
                </w:tcPr>
                <w:p w14:paraId="66A0AC79">
                  <w:pPr>
                    <w:pStyle w:val="16"/>
                    <w:adjustRightInd w:val="0"/>
                    <w:snapToGrid w:val="0"/>
                    <w:jc w:val="center"/>
                    <w:rPr>
                      <w:rFonts w:ascii="Times New Roman" w:hAnsi="Times New Roman"/>
                      <w:b/>
                      <w:bCs/>
                      <w:color w:val="auto"/>
                      <w:sz w:val="21"/>
                    </w:rPr>
                  </w:pPr>
                  <w:r>
                    <w:rPr>
                      <w:rFonts w:hint="eastAsia" w:ascii="Times New Roman" w:hAnsi="Times New Roman"/>
                      <w:b/>
                      <w:bCs/>
                      <w:color w:val="auto"/>
                      <w:sz w:val="21"/>
                    </w:rPr>
                    <w:t>排放量 (</w:t>
                  </w:r>
                  <w:r>
                    <w:rPr>
                      <w:rFonts w:ascii="Times New Roman" w:hAnsi="Times New Roman"/>
                      <w:b/>
                      <w:bCs/>
                      <w:color w:val="auto"/>
                      <w:sz w:val="21"/>
                    </w:rPr>
                    <w:t>t/a</w:t>
                  </w:r>
                  <w:r>
                    <w:rPr>
                      <w:rFonts w:hint="eastAsia" w:ascii="Times New Roman" w:hAnsi="Times New Roman"/>
                      <w:b/>
                      <w:bCs/>
                      <w:color w:val="auto"/>
                      <w:sz w:val="21"/>
                    </w:rPr>
                    <w:t>)</w:t>
                  </w:r>
                </w:p>
              </w:tc>
              <w:tc>
                <w:tcPr>
                  <w:tcW w:w="714" w:type="pct"/>
                  <w:vAlign w:val="center"/>
                </w:tcPr>
                <w:p w14:paraId="3D05935F">
                  <w:pPr>
                    <w:pStyle w:val="16"/>
                    <w:adjustRightInd w:val="0"/>
                    <w:snapToGrid w:val="0"/>
                    <w:jc w:val="center"/>
                    <w:rPr>
                      <w:rFonts w:ascii="Times New Roman" w:hAnsi="Times New Roman"/>
                      <w:b/>
                      <w:bCs/>
                      <w:color w:val="auto"/>
                      <w:sz w:val="21"/>
                    </w:rPr>
                  </w:pPr>
                  <w:r>
                    <w:rPr>
                      <w:rFonts w:hint="eastAsia" w:ascii="Times New Roman" w:hAnsi="Times New Roman"/>
                      <w:b/>
                      <w:bCs/>
                      <w:color w:val="auto"/>
                      <w:sz w:val="21"/>
                    </w:rPr>
                    <w:t>排放速率 (</w:t>
                  </w:r>
                  <w:r>
                    <w:rPr>
                      <w:rFonts w:ascii="Times New Roman" w:hAnsi="Times New Roman"/>
                      <w:b/>
                      <w:bCs/>
                      <w:color w:val="auto"/>
                      <w:sz w:val="21"/>
                    </w:rPr>
                    <w:t>kg/h</w:t>
                  </w:r>
                  <w:r>
                    <w:rPr>
                      <w:rFonts w:hint="eastAsia" w:ascii="Times New Roman" w:hAnsi="Times New Roman"/>
                      <w:b/>
                      <w:bCs/>
                      <w:color w:val="auto"/>
                      <w:sz w:val="21"/>
                    </w:rPr>
                    <w:t>)</w:t>
                  </w:r>
                </w:p>
              </w:tc>
              <w:tc>
                <w:tcPr>
                  <w:tcW w:w="747" w:type="pct"/>
                  <w:vAlign w:val="center"/>
                </w:tcPr>
                <w:p w14:paraId="19F36F31">
                  <w:pPr>
                    <w:pStyle w:val="16"/>
                    <w:adjustRightInd w:val="0"/>
                    <w:snapToGrid w:val="0"/>
                    <w:jc w:val="center"/>
                    <w:rPr>
                      <w:rFonts w:ascii="Times New Roman" w:hAnsi="Times New Roman"/>
                      <w:b/>
                      <w:bCs/>
                      <w:color w:val="auto"/>
                      <w:sz w:val="21"/>
                    </w:rPr>
                  </w:pPr>
                  <w:r>
                    <w:rPr>
                      <w:rFonts w:hint="eastAsia" w:ascii="Times New Roman" w:hAnsi="Times New Roman"/>
                      <w:b/>
                      <w:bCs/>
                      <w:color w:val="auto"/>
                      <w:sz w:val="21"/>
                    </w:rPr>
                    <w:t>排放浓度</w:t>
                  </w:r>
                </w:p>
                <w:p w14:paraId="2AFD6FD0">
                  <w:pPr>
                    <w:pStyle w:val="16"/>
                    <w:adjustRightInd w:val="0"/>
                    <w:snapToGrid w:val="0"/>
                    <w:jc w:val="center"/>
                    <w:rPr>
                      <w:rFonts w:ascii="Times New Roman" w:hAnsi="Times New Roman"/>
                      <w:b/>
                      <w:bCs/>
                      <w:color w:val="auto"/>
                      <w:sz w:val="21"/>
                    </w:rPr>
                  </w:pPr>
                  <w:r>
                    <w:rPr>
                      <w:rFonts w:hint="eastAsia" w:ascii="Times New Roman" w:hAnsi="Times New Roman"/>
                      <w:b/>
                      <w:bCs/>
                      <w:color w:val="auto"/>
                      <w:sz w:val="21"/>
                    </w:rPr>
                    <w:t>(</w:t>
                  </w:r>
                  <w:r>
                    <w:rPr>
                      <w:rFonts w:ascii="Times New Roman" w:hAnsi="Times New Roman"/>
                      <w:b/>
                      <w:bCs/>
                      <w:color w:val="auto"/>
                      <w:sz w:val="21"/>
                    </w:rPr>
                    <w:t>mg/m</w:t>
                  </w:r>
                  <w:r>
                    <w:rPr>
                      <w:rFonts w:ascii="Times New Roman" w:hAnsi="Times New Roman"/>
                      <w:b/>
                      <w:bCs/>
                      <w:color w:val="auto"/>
                      <w:sz w:val="21"/>
                      <w:vertAlign w:val="superscript"/>
                    </w:rPr>
                    <w:t>3</w:t>
                  </w:r>
                  <w:r>
                    <w:rPr>
                      <w:rFonts w:ascii="Times New Roman" w:hAnsi="Times New Roman"/>
                      <w:b/>
                      <w:bCs/>
                      <w:color w:val="auto"/>
                      <w:sz w:val="21"/>
                    </w:rPr>
                    <w:t xml:space="preserve"> </w:t>
                  </w:r>
                  <w:r>
                    <w:rPr>
                      <w:rFonts w:hint="eastAsia" w:ascii="Times New Roman" w:hAnsi="Times New Roman"/>
                      <w:b/>
                      <w:bCs/>
                      <w:color w:val="auto"/>
                      <w:sz w:val="21"/>
                    </w:rPr>
                    <w:t>)</w:t>
                  </w:r>
                </w:p>
              </w:tc>
              <w:tc>
                <w:tcPr>
                  <w:tcW w:w="718" w:type="pct"/>
                  <w:vAlign w:val="center"/>
                </w:tcPr>
                <w:p w14:paraId="57B73D34">
                  <w:pPr>
                    <w:pStyle w:val="16"/>
                    <w:adjustRightInd w:val="0"/>
                    <w:snapToGrid w:val="0"/>
                    <w:jc w:val="center"/>
                    <w:rPr>
                      <w:rFonts w:ascii="Times New Roman" w:hAnsi="Times New Roman"/>
                      <w:b/>
                      <w:bCs/>
                      <w:color w:val="auto"/>
                      <w:sz w:val="21"/>
                    </w:rPr>
                  </w:pPr>
                  <w:r>
                    <w:rPr>
                      <w:rFonts w:hint="eastAsia" w:ascii="Times New Roman" w:hAnsi="Times New Roman"/>
                      <w:b/>
                      <w:bCs/>
                      <w:color w:val="auto"/>
                      <w:sz w:val="21"/>
                    </w:rPr>
                    <w:t>排放量 (</w:t>
                  </w:r>
                  <w:r>
                    <w:rPr>
                      <w:rFonts w:ascii="Times New Roman" w:hAnsi="Times New Roman"/>
                      <w:b/>
                      <w:bCs/>
                      <w:color w:val="auto"/>
                      <w:sz w:val="21"/>
                    </w:rPr>
                    <w:t>t/a</w:t>
                  </w:r>
                  <w:r>
                    <w:rPr>
                      <w:rFonts w:hint="eastAsia" w:ascii="Times New Roman" w:hAnsi="Times New Roman"/>
                      <w:b/>
                      <w:bCs/>
                      <w:color w:val="auto"/>
                      <w:sz w:val="21"/>
                    </w:rPr>
                    <w:t>)</w:t>
                  </w:r>
                </w:p>
              </w:tc>
              <w:tc>
                <w:tcPr>
                  <w:tcW w:w="751" w:type="pct"/>
                  <w:vAlign w:val="center"/>
                </w:tcPr>
                <w:p w14:paraId="2BB3C809">
                  <w:pPr>
                    <w:pStyle w:val="16"/>
                    <w:adjustRightInd w:val="0"/>
                    <w:snapToGrid w:val="0"/>
                    <w:jc w:val="center"/>
                    <w:rPr>
                      <w:rFonts w:ascii="Times New Roman" w:hAnsi="Times New Roman"/>
                      <w:b/>
                      <w:bCs/>
                      <w:color w:val="auto"/>
                      <w:sz w:val="21"/>
                    </w:rPr>
                  </w:pPr>
                  <w:r>
                    <w:rPr>
                      <w:rFonts w:hint="eastAsia" w:ascii="Times New Roman" w:hAnsi="Times New Roman"/>
                      <w:b/>
                      <w:bCs/>
                      <w:color w:val="auto"/>
                      <w:sz w:val="21"/>
                    </w:rPr>
                    <w:t>排放速率 (</w:t>
                  </w:r>
                  <w:r>
                    <w:rPr>
                      <w:rFonts w:ascii="Times New Roman" w:hAnsi="Times New Roman"/>
                      <w:b/>
                      <w:bCs/>
                      <w:color w:val="auto"/>
                      <w:sz w:val="21"/>
                    </w:rPr>
                    <w:t>kg/h</w:t>
                  </w:r>
                  <w:r>
                    <w:rPr>
                      <w:rFonts w:hint="eastAsia" w:ascii="Times New Roman" w:hAnsi="Times New Roman"/>
                      <w:b/>
                      <w:bCs/>
                      <w:color w:val="auto"/>
                      <w:sz w:val="21"/>
                    </w:rPr>
                    <w:t>)</w:t>
                  </w:r>
                </w:p>
              </w:tc>
            </w:tr>
            <w:tr w14:paraId="68191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pct"/>
                  <w:vMerge w:val="restart"/>
                  <w:vAlign w:val="center"/>
                </w:tcPr>
                <w:p w14:paraId="4D81B402">
                  <w:pPr>
                    <w:pStyle w:val="16"/>
                    <w:adjustRightInd w:val="0"/>
                    <w:snapToGrid w:val="0"/>
                    <w:jc w:val="center"/>
                    <w:rPr>
                      <w:rFonts w:ascii="Times New Roman" w:hAnsi="Times New Roman"/>
                      <w:color w:val="auto"/>
                      <w:sz w:val="21"/>
                    </w:rPr>
                  </w:pPr>
                  <w:r>
                    <w:rPr>
                      <w:rFonts w:hint="eastAsia" w:hAnsi="宋体" w:cs="宋体"/>
                      <w:color w:val="auto"/>
                      <w:sz w:val="21"/>
                      <w:lang w:bidi="ar"/>
                    </w:rPr>
                    <w:t>喷漆</w:t>
                  </w:r>
                </w:p>
              </w:tc>
              <w:tc>
                <w:tcPr>
                  <w:tcW w:w="801" w:type="pct"/>
                  <w:vAlign w:val="center"/>
                </w:tcPr>
                <w:p w14:paraId="03E388D9">
                  <w:pPr>
                    <w:pStyle w:val="16"/>
                    <w:adjustRightInd w:val="0"/>
                    <w:snapToGrid w:val="0"/>
                    <w:jc w:val="center"/>
                    <w:rPr>
                      <w:rFonts w:ascii="Times New Roman" w:hAnsi="Times New Roman"/>
                      <w:color w:val="auto"/>
                      <w:sz w:val="21"/>
                    </w:rPr>
                  </w:pPr>
                  <w:r>
                    <w:rPr>
                      <w:rFonts w:hint="eastAsia" w:ascii="Times New Roman" w:hAnsi="Times New Roman"/>
                      <w:color w:val="auto"/>
                      <w:sz w:val="21"/>
                    </w:rPr>
                    <w:t>漆雾</w:t>
                  </w:r>
                </w:p>
              </w:tc>
              <w:tc>
                <w:tcPr>
                  <w:tcW w:w="609" w:type="pct"/>
                  <w:vAlign w:val="center"/>
                </w:tcPr>
                <w:p w14:paraId="4B059152">
                  <w:pPr>
                    <w:pStyle w:val="16"/>
                    <w:adjustRightInd w:val="0"/>
                    <w:snapToGrid w:val="0"/>
                    <w:jc w:val="center"/>
                    <w:rPr>
                      <w:rFonts w:ascii="Times New Roman" w:hAnsi="Times New Roman"/>
                      <w:color w:val="auto"/>
                      <w:sz w:val="21"/>
                    </w:rPr>
                  </w:pPr>
                  <w:r>
                    <w:rPr>
                      <w:rFonts w:ascii="Times New Roman" w:hAnsi="Times New Roman"/>
                      <w:color w:val="auto"/>
                      <w:sz w:val="21"/>
                    </w:rPr>
                    <w:t>0.</w:t>
                  </w:r>
                  <w:r>
                    <w:rPr>
                      <w:rFonts w:hint="eastAsia" w:ascii="Times New Roman" w:hAnsi="Times New Roman"/>
                      <w:color w:val="auto"/>
                      <w:sz w:val="21"/>
                    </w:rPr>
                    <w:t>052</w:t>
                  </w:r>
                </w:p>
              </w:tc>
              <w:tc>
                <w:tcPr>
                  <w:tcW w:w="714" w:type="pct"/>
                  <w:vAlign w:val="center"/>
                </w:tcPr>
                <w:p w14:paraId="2FA4E23D">
                  <w:pPr>
                    <w:pStyle w:val="16"/>
                    <w:adjustRightInd w:val="0"/>
                    <w:snapToGrid w:val="0"/>
                    <w:jc w:val="center"/>
                    <w:rPr>
                      <w:rFonts w:ascii="Times New Roman" w:hAnsi="Times New Roman"/>
                      <w:color w:val="auto"/>
                      <w:sz w:val="21"/>
                    </w:rPr>
                  </w:pPr>
                  <w:r>
                    <w:rPr>
                      <w:rFonts w:ascii="Times New Roman" w:hAnsi="Times New Roman"/>
                      <w:color w:val="auto"/>
                      <w:sz w:val="21"/>
                    </w:rPr>
                    <w:t>0.0</w:t>
                  </w:r>
                  <w:r>
                    <w:rPr>
                      <w:rFonts w:hint="eastAsia" w:ascii="Times New Roman" w:hAnsi="Times New Roman"/>
                      <w:color w:val="auto"/>
                      <w:sz w:val="21"/>
                    </w:rPr>
                    <w:t>22</w:t>
                  </w:r>
                </w:p>
              </w:tc>
              <w:tc>
                <w:tcPr>
                  <w:tcW w:w="747" w:type="pct"/>
                  <w:vAlign w:val="center"/>
                </w:tcPr>
                <w:p w14:paraId="638803C4">
                  <w:pPr>
                    <w:pStyle w:val="16"/>
                    <w:adjustRightInd w:val="0"/>
                    <w:snapToGrid w:val="0"/>
                    <w:jc w:val="center"/>
                    <w:rPr>
                      <w:rFonts w:ascii="Times New Roman" w:hAnsi="Times New Roman"/>
                      <w:color w:val="auto"/>
                      <w:sz w:val="21"/>
                    </w:rPr>
                  </w:pPr>
                  <w:r>
                    <w:rPr>
                      <w:rFonts w:hint="eastAsia" w:ascii="Times New Roman" w:hAnsi="Times New Roman"/>
                      <w:color w:val="auto"/>
                      <w:sz w:val="21"/>
                    </w:rPr>
                    <w:t>1.1</w:t>
                  </w:r>
                </w:p>
              </w:tc>
              <w:tc>
                <w:tcPr>
                  <w:tcW w:w="718" w:type="pct"/>
                  <w:vAlign w:val="center"/>
                </w:tcPr>
                <w:p w14:paraId="74056C96">
                  <w:pPr>
                    <w:pStyle w:val="16"/>
                    <w:adjustRightInd w:val="0"/>
                    <w:snapToGrid w:val="0"/>
                    <w:jc w:val="center"/>
                    <w:rPr>
                      <w:rFonts w:ascii="Times New Roman" w:hAnsi="Times New Roman"/>
                      <w:color w:val="auto"/>
                      <w:sz w:val="21"/>
                    </w:rPr>
                  </w:pPr>
                  <w:r>
                    <w:rPr>
                      <w:rFonts w:ascii="Times New Roman" w:hAnsi="Times New Roman"/>
                      <w:color w:val="auto"/>
                      <w:sz w:val="21"/>
                    </w:rPr>
                    <w:t>0.</w:t>
                  </w:r>
                  <w:r>
                    <w:rPr>
                      <w:rFonts w:hint="eastAsia" w:ascii="Times New Roman" w:hAnsi="Times New Roman"/>
                      <w:color w:val="auto"/>
                      <w:sz w:val="21"/>
                    </w:rPr>
                    <w:t>057</w:t>
                  </w:r>
                </w:p>
              </w:tc>
              <w:tc>
                <w:tcPr>
                  <w:tcW w:w="751" w:type="pct"/>
                  <w:vAlign w:val="center"/>
                </w:tcPr>
                <w:p w14:paraId="0F23B666">
                  <w:pPr>
                    <w:pStyle w:val="16"/>
                    <w:adjustRightInd w:val="0"/>
                    <w:snapToGrid w:val="0"/>
                    <w:jc w:val="center"/>
                    <w:rPr>
                      <w:rFonts w:ascii="Times New Roman" w:hAnsi="Times New Roman"/>
                      <w:color w:val="auto"/>
                      <w:sz w:val="21"/>
                    </w:rPr>
                  </w:pPr>
                  <w:r>
                    <w:rPr>
                      <w:rFonts w:hint="eastAsia" w:ascii="Times New Roman" w:hAnsi="Times New Roman"/>
                      <w:color w:val="auto"/>
                      <w:sz w:val="21"/>
                    </w:rPr>
                    <w:t>0.024</w:t>
                  </w:r>
                </w:p>
              </w:tc>
            </w:tr>
            <w:tr w14:paraId="511BE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pct"/>
                  <w:vMerge w:val="continue"/>
                  <w:vAlign w:val="center"/>
                </w:tcPr>
                <w:p w14:paraId="2677A0F1">
                  <w:pPr>
                    <w:pStyle w:val="16"/>
                    <w:adjustRightInd w:val="0"/>
                    <w:snapToGrid w:val="0"/>
                    <w:jc w:val="center"/>
                    <w:rPr>
                      <w:rFonts w:ascii="Times New Roman" w:hAnsi="Times New Roman"/>
                      <w:color w:val="auto"/>
                      <w:sz w:val="21"/>
                    </w:rPr>
                  </w:pPr>
                </w:p>
              </w:tc>
              <w:tc>
                <w:tcPr>
                  <w:tcW w:w="801" w:type="pct"/>
                  <w:vAlign w:val="center"/>
                </w:tcPr>
                <w:p w14:paraId="56660628">
                  <w:pPr>
                    <w:pStyle w:val="16"/>
                    <w:adjustRightInd w:val="0"/>
                    <w:snapToGrid w:val="0"/>
                    <w:jc w:val="center"/>
                    <w:rPr>
                      <w:rFonts w:ascii="Times New Roman" w:hAnsi="Times New Roman"/>
                      <w:color w:val="auto"/>
                      <w:sz w:val="21"/>
                    </w:rPr>
                  </w:pPr>
                  <w:r>
                    <w:rPr>
                      <w:rFonts w:hint="eastAsia" w:ascii="Times New Roman" w:hAnsi="Times New Roman"/>
                      <w:color w:val="auto"/>
                      <w:sz w:val="21"/>
                    </w:rPr>
                    <w:t>VOC</w:t>
                  </w:r>
                  <w:r>
                    <w:rPr>
                      <w:rFonts w:hint="eastAsia" w:ascii="Times New Roman" w:hAnsi="Times New Roman"/>
                      <w:color w:val="auto"/>
                      <w:sz w:val="21"/>
                      <w:vertAlign w:val="subscript"/>
                    </w:rPr>
                    <w:t>S</w:t>
                  </w:r>
                </w:p>
              </w:tc>
              <w:tc>
                <w:tcPr>
                  <w:tcW w:w="609" w:type="pct"/>
                  <w:vAlign w:val="center"/>
                </w:tcPr>
                <w:p w14:paraId="230706BF">
                  <w:pPr>
                    <w:pStyle w:val="16"/>
                    <w:adjustRightInd w:val="0"/>
                    <w:snapToGrid w:val="0"/>
                    <w:jc w:val="center"/>
                    <w:rPr>
                      <w:rFonts w:hint="default" w:ascii="Times New Roman" w:hAnsi="Times New Roman" w:eastAsia="宋体"/>
                      <w:color w:val="auto"/>
                      <w:sz w:val="21"/>
                      <w:lang w:val="en-US" w:eastAsia="zh-CN"/>
                    </w:rPr>
                  </w:pPr>
                  <w:r>
                    <w:rPr>
                      <w:rFonts w:ascii="Times New Roman" w:hAnsi="Times New Roman"/>
                      <w:color w:val="auto"/>
                      <w:sz w:val="21"/>
                    </w:rPr>
                    <w:t>0.</w:t>
                  </w:r>
                  <w:r>
                    <w:rPr>
                      <w:rFonts w:hint="eastAsia" w:ascii="Times New Roman" w:hAnsi="Times New Roman"/>
                      <w:color w:val="auto"/>
                      <w:sz w:val="21"/>
                      <w:lang w:val="en-US" w:eastAsia="zh-CN"/>
                    </w:rPr>
                    <w:t>177</w:t>
                  </w:r>
                </w:p>
              </w:tc>
              <w:tc>
                <w:tcPr>
                  <w:tcW w:w="714" w:type="pct"/>
                  <w:vAlign w:val="center"/>
                </w:tcPr>
                <w:p w14:paraId="5F9A9B89">
                  <w:pPr>
                    <w:pStyle w:val="16"/>
                    <w:adjustRightInd w:val="0"/>
                    <w:snapToGrid w:val="0"/>
                    <w:jc w:val="center"/>
                    <w:rPr>
                      <w:rFonts w:hint="default" w:ascii="Times New Roman" w:hAnsi="Times New Roman" w:eastAsia="宋体"/>
                      <w:color w:val="auto"/>
                      <w:sz w:val="21"/>
                      <w:lang w:val="en-US" w:eastAsia="zh-CN"/>
                    </w:rPr>
                  </w:pPr>
                  <w:r>
                    <w:rPr>
                      <w:rFonts w:ascii="Times New Roman" w:hAnsi="Times New Roman"/>
                      <w:color w:val="auto"/>
                      <w:sz w:val="21"/>
                    </w:rPr>
                    <w:t>0.</w:t>
                  </w:r>
                  <w:r>
                    <w:rPr>
                      <w:rFonts w:hint="eastAsia" w:ascii="Times New Roman" w:hAnsi="Times New Roman"/>
                      <w:color w:val="auto"/>
                      <w:sz w:val="21"/>
                      <w:lang w:val="en-US" w:eastAsia="zh-CN"/>
                    </w:rPr>
                    <w:t>074</w:t>
                  </w:r>
                </w:p>
              </w:tc>
              <w:tc>
                <w:tcPr>
                  <w:tcW w:w="747" w:type="pct"/>
                  <w:vAlign w:val="center"/>
                </w:tcPr>
                <w:p w14:paraId="494DC1EB">
                  <w:pPr>
                    <w:pStyle w:val="16"/>
                    <w:adjustRightInd w:val="0"/>
                    <w:snapToGrid w:val="0"/>
                    <w:jc w:val="center"/>
                    <w:rPr>
                      <w:rFonts w:hint="default" w:ascii="Times New Roman" w:hAnsi="Times New Roman" w:eastAsia="宋体"/>
                      <w:color w:val="auto"/>
                      <w:sz w:val="21"/>
                      <w:lang w:val="en-US" w:eastAsia="zh-CN"/>
                    </w:rPr>
                  </w:pPr>
                  <w:r>
                    <w:rPr>
                      <w:rFonts w:hint="eastAsia" w:ascii="Times New Roman" w:hAnsi="Times New Roman"/>
                      <w:color w:val="auto"/>
                      <w:sz w:val="21"/>
                      <w:lang w:val="en-US" w:eastAsia="zh-CN"/>
                    </w:rPr>
                    <w:t>3.7</w:t>
                  </w:r>
                </w:p>
              </w:tc>
              <w:tc>
                <w:tcPr>
                  <w:tcW w:w="718" w:type="pct"/>
                  <w:vAlign w:val="center"/>
                </w:tcPr>
                <w:p w14:paraId="47152478">
                  <w:pPr>
                    <w:pStyle w:val="16"/>
                    <w:adjustRightInd w:val="0"/>
                    <w:snapToGrid w:val="0"/>
                    <w:jc w:val="center"/>
                    <w:rPr>
                      <w:rFonts w:ascii="Times New Roman" w:hAnsi="Times New Roman"/>
                      <w:color w:val="auto"/>
                      <w:sz w:val="21"/>
                    </w:rPr>
                  </w:pPr>
                  <w:r>
                    <w:rPr>
                      <w:rFonts w:ascii="Times New Roman" w:hAnsi="Times New Roman"/>
                      <w:color w:val="auto"/>
                      <w:sz w:val="21"/>
                    </w:rPr>
                    <w:t>0.</w:t>
                  </w:r>
                  <w:r>
                    <w:rPr>
                      <w:rFonts w:hint="eastAsia" w:ascii="Times New Roman" w:hAnsi="Times New Roman"/>
                      <w:color w:val="auto"/>
                      <w:sz w:val="21"/>
                    </w:rPr>
                    <w:t>079</w:t>
                  </w:r>
                </w:p>
              </w:tc>
              <w:tc>
                <w:tcPr>
                  <w:tcW w:w="751" w:type="pct"/>
                  <w:vAlign w:val="center"/>
                </w:tcPr>
                <w:p w14:paraId="1124F01B">
                  <w:pPr>
                    <w:pStyle w:val="16"/>
                    <w:adjustRightInd w:val="0"/>
                    <w:snapToGrid w:val="0"/>
                    <w:jc w:val="center"/>
                    <w:rPr>
                      <w:rFonts w:ascii="Times New Roman" w:hAnsi="Times New Roman"/>
                      <w:color w:val="auto"/>
                      <w:sz w:val="21"/>
                    </w:rPr>
                  </w:pPr>
                  <w:r>
                    <w:rPr>
                      <w:rFonts w:hint="eastAsia" w:ascii="Times New Roman" w:hAnsi="Times New Roman"/>
                      <w:color w:val="auto"/>
                      <w:sz w:val="21"/>
                    </w:rPr>
                    <w:t>0.033</w:t>
                  </w:r>
                </w:p>
              </w:tc>
            </w:tr>
            <w:tr w14:paraId="412D4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pct"/>
                  <w:vMerge w:val="continue"/>
                  <w:vAlign w:val="center"/>
                </w:tcPr>
                <w:p w14:paraId="3772984C">
                  <w:pPr>
                    <w:pStyle w:val="16"/>
                    <w:adjustRightInd w:val="0"/>
                    <w:snapToGrid w:val="0"/>
                    <w:jc w:val="center"/>
                    <w:rPr>
                      <w:rFonts w:ascii="Times New Roman" w:hAnsi="Times New Roman"/>
                      <w:color w:val="auto"/>
                      <w:sz w:val="21"/>
                    </w:rPr>
                  </w:pPr>
                </w:p>
              </w:tc>
              <w:tc>
                <w:tcPr>
                  <w:tcW w:w="801" w:type="pct"/>
                  <w:vAlign w:val="center"/>
                </w:tcPr>
                <w:p w14:paraId="424964D1">
                  <w:pPr>
                    <w:pStyle w:val="16"/>
                    <w:adjustRightInd w:val="0"/>
                    <w:snapToGrid w:val="0"/>
                    <w:jc w:val="center"/>
                    <w:rPr>
                      <w:rFonts w:ascii="Times New Roman" w:hAnsi="Times New Roman"/>
                      <w:color w:val="auto"/>
                      <w:sz w:val="21"/>
                    </w:rPr>
                  </w:pPr>
                  <w:r>
                    <w:rPr>
                      <w:rFonts w:hint="eastAsia" w:ascii="Times New Roman" w:hAnsi="Times New Roman"/>
                      <w:color w:val="auto"/>
                      <w:sz w:val="21"/>
                    </w:rPr>
                    <w:t>其中二甲苯</w:t>
                  </w:r>
                </w:p>
              </w:tc>
              <w:tc>
                <w:tcPr>
                  <w:tcW w:w="609" w:type="pct"/>
                  <w:vAlign w:val="center"/>
                </w:tcPr>
                <w:p w14:paraId="14AD6B2A">
                  <w:pPr>
                    <w:pStyle w:val="16"/>
                    <w:adjustRightInd w:val="0"/>
                    <w:snapToGrid w:val="0"/>
                    <w:jc w:val="center"/>
                    <w:rPr>
                      <w:rFonts w:hint="default" w:ascii="Times New Roman" w:hAnsi="Times New Roman" w:eastAsia="宋体"/>
                      <w:color w:val="auto"/>
                      <w:sz w:val="21"/>
                      <w:lang w:val="en-US" w:eastAsia="zh-CN"/>
                    </w:rPr>
                  </w:pPr>
                  <w:r>
                    <w:rPr>
                      <w:rFonts w:hint="eastAsia" w:ascii="Times New Roman" w:hAnsi="Times New Roman"/>
                      <w:color w:val="auto"/>
                      <w:sz w:val="21"/>
                    </w:rPr>
                    <w:t>0.</w:t>
                  </w:r>
                  <w:r>
                    <w:rPr>
                      <w:rFonts w:hint="eastAsia" w:ascii="Times New Roman" w:hAnsi="Times New Roman"/>
                      <w:color w:val="auto"/>
                      <w:sz w:val="21"/>
                      <w:lang w:val="en-US" w:eastAsia="zh-CN"/>
                    </w:rPr>
                    <w:t>041</w:t>
                  </w:r>
                </w:p>
              </w:tc>
              <w:tc>
                <w:tcPr>
                  <w:tcW w:w="714" w:type="pct"/>
                  <w:vAlign w:val="center"/>
                </w:tcPr>
                <w:p w14:paraId="5BF4D770">
                  <w:pPr>
                    <w:pStyle w:val="16"/>
                    <w:adjustRightInd w:val="0"/>
                    <w:snapToGrid w:val="0"/>
                    <w:jc w:val="center"/>
                    <w:rPr>
                      <w:rFonts w:hint="default" w:ascii="Times New Roman" w:hAnsi="Times New Roman" w:eastAsia="宋体"/>
                      <w:color w:val="auto"/>
                      <w:sz w:val="21"/>
                      <w:lang w:val="en-US" w:eastAsia="zh-CN"/>
                    </w:rPr>
                  </w:pPr>
                  <w:r>
                    <w:rPr>
                      <w:rFonts w:hint="eastAsia" w:ascii="Times New Roman" w:hAnsi="Times New Roman"/>
                      <w:color w:val="auto"/>
                      <w:sz w:val="21"/>
                    </w:rPr>
                    <w:t>0.0</w:t>
                  </w:r>
                  <w:r>
                    <w:rPr>
                      <w:rFonts w:hint="eastAsia" w:ascii="Times New Roman" w:hAnsi="Times New Roman"/>
                      <w:color w:val="auto"/>
                      <w:sz w:val="21"/>
                      <w:lang w:val="en-US" w:eastAsia="zh-CN"/>
                    </w:rPr>
                    <w:t>17</w:t>
                  </w:r>
                </w:p>
              </w:tc>
              <w:tc>
                <w:tcPr>
                  <w:tcW w:w="747" w:type="pct"/>
                  <w:vAlign w:val="center"/>
                </w:tcPr>
                <w:p w14:paraId="5AF9D1D5">
                  <w:pPr>
                    <w:pStyle w:val="16"/>
                    <w:adjustRightInd w:val="0"/>
                    <w:snapToGrid w:val="0"/>
                    <w:jc w:val="center"/>
                    <w:rPr>
                      <w:rFonts w:hint="default" w:ascii="Times New Roman" w:hAnsi="Times New Roman" w:eastAsia="宋体"/>
                      <w:color w:val="auto"/>
                      <w:sz w:val="21"/>
                      <w:lang w:val="en-US" w:eastAsia="zh-CN"/>
                    </w:rPr>
                  </w:pPr>
                  <w:r>
                    <w:rPr>
                      <w:rFonts w:hint="eastAsia" w:ascii="Times New Roman" w:hAnsi="Times New Roman"/>
                      <w:color w:val="auto"/>
                      <w:sz w:val="21"/>
                      <w:lang w:val="en-US" w:eastAsia="zh-CN"/>
                    </w:rPr>
                    <w:t>0.85</w:t>
                  </w:r>
                </w:p>
              </w:tc>
              <w:tc>
                <w:tcPr>
                  <w:tcW w:w="718" w:type="pct"/>
                  <w:vAlign w:val="center"/>
                </w:tcPr>
                <w:p w14:paraId="3CF3B2AB">
                  <w:pPr>
                    <w:pStyle w:val="16"/>
                    <w:adjustRightInd w:val="0"/>
                    <w:snapToGrid w:val="0"/>
                    <w:jc w:val="center"/>
                    <w:rPr>
                      <w:rFonts w:ascii="Times New Roman" w:hAnsi="Times New Roman"/>
                      <w:color w:val="auto"/>
                      <w:sz w:val="21"/>
                    </w:rPr>
                  </w:pPr>
                  <w:r>
                    <w:rPr>
                      <w:rFonts w:hint="eastAsia" w:ascii="Times New Roman" w:hAnsi="Times New Roman"/>
                      <w:color w:val="auto"/>
                      <w:sz w:val="21"/>
                    </w:rPr>
                    <w:t>0.018</w:t>
                  </w:r>
                </w:p>
              </w:tc>
              <w:tc>
                <w:tcPr>
                  <w:tcW w:w="751" w:type="pct"/>
                  <w:vAlign w:val="center"/>
                </w:tcPr>
                <w:p w14:paraId="6C1A1F3D">
                  <w:pPr>
                    <w:pStyle w:val="16"/>
                    <w:adjustRightInd w:val="0"/>
                    <w:snapToGrid w:val="0"/>
                    <w:jc w:val="center"/>
                    <w:rPr>
                      <w:rFonts w:ascii="Times New Roman" w:hAnsi="Times New Roman"/>
                      <w:color w:val="auto"/>
                      <w:sz w:val="21"/>
                    </w:rPr>
                  </w:pPr>
                  <w:r>
                    <w:rPr>
                      <w:rFonts w:hint="eastAsia" w:ascii="Times New Roman" w:hAnsi="Times New Roman"/>
                      <w:color w:val="auto"/>
                      <w:sz w:val="21"/>
                    </w:rPr>
                    <w:t>0.008</w:t>
                  </w:r>
                </w:p>
              </w:tc>
            </w:tr>
          </w:tbl>
          <w:p w14:paraId="021D57FD">
            <w:pPr>
              <w:pStyle w:val="38"/>
              <w:spacing w:line="360" w:lineRule="auto"/>
              <w:ind w:firstLine="512" w:firstLineChars="200"/>
              <w:rPr>
                <w:rFonts w:ascii="Times New Roman" w:hAnsi="Times New Roman"/>
                <w:color w:val="auto"/>
                <w:spacing w:val="8"/>
              </w:rPr>
            </w:pPr>
            <w:r>
              <w:rPr>
                <w:rFonts w:hint="eastAsia" w:ascii="Times New Roman" w:hAnsi="Times New Roman"/>
                <w:color w:val="auto"/>
                <w:spacing w:val="8"/>
              </w:rPr>
              <w:t>本项目油漆废气中VOCs产生量为</w:t>
            </w:r>
            <w:r>
              <w:rPr>
                <w:rFonts w:hint="eastAsia" w:ascii="Times New Roman"/>
                <w:color w:val="auto"/>
                <w:spacing w:val="8"/>
              </w:rPr>
              <w:t>0.788</w:t>
            </w:r>
            <w:r>
              <w:rPr>
                <w:rFonts w:hint="eastAsia" w:ascii="Times New Roman" w:hAnsi="Times New Roman"/>
                <w:color w:val="auto"/>
                <w:spacing w:val="8"/>
              </w:rPr>
              <w:t>t/a（其中二甲苯</w:t>
            </w:r>
            <w:r>
              <w:rPr>
                <w:rFonts w:hint="eastAsia" w:ascii="Times New Roman"/>
                <w:color w:val="auto"/>
                <w:spacing w:val="8"/>
              </w:rPr>
              <w:t>0.18</w:t>
            </w:r>
            <w:r>
              <w:rPr>
                <w:rFonts w:hint="eastAsia" w:ascii="Times New Roman" w:hAnsi="Times New Roman"/>
                <w:color w:val="auto"/>
                <w:spacing w:val="8"/>
              </w:rPr>
              <w:t>t/a），经处理后，VOCs有组织排放量为</w:t>
            </w:r>
            <w:r>
              <w:rPr>
                <w:rFonts w:hint="eastAsia" w:ascii="Times New Roman"/>
                <w:color w:val="auto"/>
                <w:spacing w:val="8"/>
              </w:rPr>
              <w:t>0.</w:t>
            </w:r>
            <w:r>
              <w:rPr>
                <w:rFonts w:hint="eastAsia" w:ascii="Times New Roman"/>
                <w:color w:val="auto"/>
                <w:spacing w:val="8"/>
                <w:lang w:val="en-US" w:eastAsia="zh-CN"/>
              </w:rPr>
              <w:t>177</w:t>
            </w:r>
            <w:r>
              <w:rPr>
                <w:rFonts w:hint="eastAsia" w:ascii="Times New Roman" w:hAnsi="Times New Roman"/>
                <w:color w:val="auto"/>
                <w:spacing w:val="8"/>
              </w:rPr>
              <w:t>t/a（其中二甲苯</w:t>
            </w:r>
            <w:r>
              <w:rPr>
                <w:rFonts w:hint="eastAsia" w:ascii="Times New Roman"/>
                <w:color w:val="auto"/>
                <w:spacing w:val="8"/>
              </w:rPr>
              <w:t>0.</w:t>
            </w:r>
            <w:r>
              <w:rPr>
                <w:rFonts w:hint="eastAsia" w:ascii="Times New Roman"/>
                <w:color w:val="auto"/>
                <w:spacing w:val="8"/>
                <w:lang w:val="en-US" w:eastAsia="zh-CN"/>
              </w:rPr>
              <w:t>041</w:t>
            </w:r>
            <w:r>
              <w:rPr>
                <w:rFonts w:hint="eastAsia" w:ascii="Times New Roman" w:hAnsi="Times New Roman"/>
                <w:color w:val="auto"/>
                <w:spacing w:val="8"/>
              </w:rPr>
              <w:t>t/a），有组织排放速率为0.</w:t>
            </w:r>
            <w:r>
              <w:rPr>
                <w:rFonts w:hint="eastAsia" w:ascii="Times New Roman"/>
                <w:color w:val="auto"/>
                <w:spacing w:val="8"/>
                <w:lang w:val="en-US" w:eastAsia="zh-CN"/>
              </w:rPr>
              <w:t>074</w:t>
            </w:r>
            <w:r>
              <w:rPr>
                <w:rFonts w:hint="eastAsia" w:ascii="Times New Roman" w:hAnsi="Times New Roman"/>
                <w:color w:val="auto"/>
                <w:spacing w:val="8"/>
              </w:rPr>
              <w:t>kg/h，排放浓度为</w:t>
            </w:r>
            <w:r>
              <w:rPr>
                <w:rFonts w:hint="eastAsia" w:ascii="Times New Roman"/>
                <w:color w:val="auto"/>
                <w:spacing w:val="8"/>
                <w:lang w:val="en-US" w:eastAsia="zh-CN"/>
              </w:rPr>
              <w:t>3.7</w:t>
            </w:r>
            <w:r>
              <w:rPr>
                <w:rFonts w:hint="eastAsia" w:ascii="Times New Roman" w:hAnsi="Times New Roman"/>
                <w:color w:val="auto"/>
                <w:spacing w:val="8"/>
              </w:rPr>
              <w:t>mg/m</w:t>
            </w:r>
            <w:r>
              <w:rPr>
                <w:rFonts w:hint="eastAsia" w:ascii="Times New Roman" w:hAnsi="Times New Roman"/>
                <w:color w:val="auto"/>
                <w:spacing w:val="8"/>
                <w:vertAlign w:val="superscript"/>
              </w:rPr>
              <w:t>3</w:t>
            </w:r>
            <w:r>
              <w:rPr>
                <w:rFonts w:hint="eastAsia" w:ascii="Times New Roman" w:hAnsi="Times New Roman"/>
                <w:color w:val="auto"/>
                <w:spacing w:val="8"/>
              </w:rPr>
              <w:t>（其中二甲苯有组织排放速率为0.</w:t>
            </w:r>
            <w:r>
              <w:rPr>
                <w:rFonts w:hint="eastAsia" w:ascii="Times New Roman"/>
                <w:color w:val="auto"/>
                <w:spacing w:val="8"/>
              </w:rPr>
              <w:t>0</w:t>
            </w:r>
            <w:r>
              <w:rPr>
                <w:rFonts w:hint="eastAsia" w:ascii="Times New Roman"/>
                <w:color w:val="auto"/>
                <w:spacing w:val="8"/>
                <w:lang w:val="en-US" w:eastAsia="zh-CN"/>
              </w:rPr>
              <w:t>17</w:t>
            </w:r>
            <w:r>
              <w:rPr>
                <w:rFonts w:hint="eastAsia" w:ascii="Times New Roman" w:hAnsi="Times New Roman"/>
                <w:color w:val="auto"/>
                <w:spacing w:val="8"/>
              </w:rPr>
              <w:t>kg/h，排放浓度为</w:t>
            </w:r>
            <w:r>
              <w:rPr>
                <w:rFonts w:hint="eastAsia" w:ascii="Times New Roman"/>
                <w:color w:val="auto"/>
                <w:spacing w:val="8"/>
                <w:lang w:val="en-US" w:eastAsia="zh-CN"/>
              </w:rPr>
              <w:t>0.85</w:t>
            </w:r>
            <w:r>
              <w:rPr>
                <w:rFonts w:hint="eastAsia" w:ascii="Times New Roman" w:hAnsi="Times New Roman"/>
                <w:color w:val="auto"/>
                <w:spacing w:val="8"/>
              </w:rPr>
              <w:t>mg/m</w:t>
            </w:r>
            <w:r>
              <w:rPr>
                <w:rFonts w:hint="eastAsia" w:ascii="Times New Roman" w:hAnsi="Times New Roman"/>
                <w:color w:val="auto"/>
                <w:spacing w:val="8"/>
                <w:vertAlign w:val="superscript"/>
              </w:rPr>
              <w:t>3</w:t>
            </w:r>
            <w:r>
              <w:rPr>
                <w:rFonts w:hint="eastAsia" w:ascii="Times New Roman" w:hAnsi="Times New Roman"/>
                <w:color w:val="auto"/>
                <w:spacing w:val="8"/>
              </w:rPr>
              <w:t>）；漆雾无组织产生量为0.0</w:t>
            </w:r>
            <w:r>
              <w:rPr>
                <w:rFonts w:hint="eastAsia" w:ascii="Times New Roman"/>
                <w:color w:val="auto"/>
                <w:spacing w:val="8"/>
              </w:rPr>
              <w:t>57</w:t>
            </w:r>
            <w:r>
              <w:rPr>
                <w:rFonts w:hint="eastAsia" w:ascii="Times New Roman" w:hAnsi="Times New Roman"/>
                <w:color w:val="auto"/>
                <w:spacing w:val="8"/>
              </w:rPr>
              <w:t>t/a，漆雾有组织排放量为0.</w:t>
            </w:r>
            <w:r>
              <w:rPr>
                <w:rFonts w:hint="eastAsia" w:ascii="Times New Roman"/>
                <w:color w:val="auto"/>
                <w:spacing w:val="8"/>
              </w:rPr>
              <w:t>052</w:t>
            </w:r>
            <w:r>
              <w:rPr>
                <w:rFonts w:hint="eastAsia" w:ascii="Times New Roman" w:hAnsi="Times New Roman"/>
                <w:color w:val="auto"/>
                <w:spacing w:val="8"/>
              </w:rPr>
              <w:t>t/a，有组织排放速率为0.0</w:t>
            </w:r>
            <w:r>
              <w:rPr>
                <w:rFonts w:hint="eastAsia" w:ascii="Times New Roman"/>
                <w:color w:val="auto"/>
                <w:spacing w:val="8"/>
              </w:rPr>
              <w:t>22</w:t>
            </w:r>
            <w:r>
              <w:rPr>
                <w:rFonts w:hint="eastAsia" w:ascii="Times New Roman" w:hAnsi="Times New Roman"/>
                <w:color w:val="auto"/>
                <w:spacing w:val="8"/>
              </w:rPr>
              <w:t>kg/h，排放浓度为1.</w:t>
            </w:r>
            <w:r>
              <w:rPr>
                <w:rFonts w:hint="eastAsia" w:ascii="Times New Roman"/>
                <w:color w:val="auto"/>
                <w:spacing w:val="8"/>
              </w:rPr>
              <w:t>1</w:t>
            </w:r>
            <w:r>
              <w:rPr>
                <w:rFonts w:hint="eastAsia" w:ascii="Times New Roman" w:hAnsi="Times New Roman"/>
                <w:color w:val="auto"/>
                <w:spacing w:val="8"/>
              </w:rPr>
              <w:t>mg/m</w:t>
            </w:r>
            <w:r>
              <w:rPr>
                <w:rFonts w:hint="eastAsia" w:ascii="Times New Roman" w:hAnsi="Times New Roman"/>
                <w:color w:val="auto"/>
                <w:spacing w:val="8"/>
                <w:vertAlign w:val="superscript"/>
              </w:rPr>
              <w:t>3</w:t>
            </w:r>
            <w:r>
              <w:rPr>
                <w:rFonts w:hint="eastAsia" w:ascii="Times New Roman" w:hAnsi="Times New Roman"/>
                <w:color w:val="auto"/>
                <w:spacing w:val="8"/>
              </w:rPr>
              <w:t>。</w:t>
            </w:r>
            <w:r>
              <w:rPr>
                <w:rFonts w:hint="eastAsia" w:ascii="Times New Roman" w:hAnsi="Times New Roman" w:cs="Times New Roman"/>
                <w:color w:val="auto"/>
                <w:kern w:val="0"/>
              </w:rPr>
              <w:t>项目喷漆废气中颗粒物</w:t>
            </w:r>
            <w:r>
              <w:rPr>
                <w:rFonts w:hint="eastAsia" w:cs="Times New Roman"/>
                <w:color w:val="auto"/>
                <w:kern w:val="0"/>
              </w:rPr>
              <w:t>（漆雾）</w:t>
            </w:r>
            <w:r>
              <w:rPr>
                <w:rFonts w:hint="eastAsia" w:ascii="Times New Roman" w:hAnsi="Times New Roman" w:cs="Times New Roman"/>
                <w:color w:val="auto"/>
                <w:kern w:val="0"/>
              </w:rPr>
              <w:t>、非甲烷总烃、二甲苯排</w:t>
            </w:r>
            <w:r>
              <w:rPr>
                <w:rFonts w:hint="eastAsia"/>
                <w:color w:val="auto"/>
              </w:rPr>
              <w:t>放浓度均能满足</w:t>
            </w:r>
            <w:r>
              <w:rPr>
                <w:rFonts w:ascii="Times New Roman" w:hAnsi="Times New Roman" w:cs="Times New Roman"/>
                <w:color w:val="auto"/>
                <w:kern w:val="0"/>
              </w:rPr>
              <w:t>《铸造工业大气污染物排放标准》（GB39726-2020）表1排放标准</w:t>
            </w:r>
            <w:r>
              <w:rPr>
                <w:rFonts w:hint="eastAsia"/>
                <w:color w:val="auto"/>
              </w:rPr>
              <w:t>。</w:t>
            </w:r>
          </w:p>
          <w:p w14:paraId="3AC54280">
            <w:pPr>
              <w:pStyle w:val="38"/>
              <w:spacing w:line="360" w:lineRule="auto"/>
              <w:ind w:firstLine="512" w:firstLineChars="200"/>
              <w:rPr>
                <w:rFonts w:ascii="Times New Roman" w:hAnsi="Times New Roman"/>
                <w:color w:val="auto"/>
                <w:spacing w:val="8"/>
              </w:rPr>
            </w:pPr>
            <w:r>
              <w:rPr>
                <w:rFonts w:hint="eastAsia" w:ascii="Times New Roman" w:hAnsi="Times New Roman"/>
                <w:color w:val="auto"/>
                <w:spacing w:val="8"/>
              </w:rPr>
              <w:t>综上所述，项目废气产</w:t>
            </w:r>
            <w:r>
              <w:rPr>
                <w:rFonts w:hint="eastAsia" w:ascii="Times New Roman"/>
                <w:color w:val="auto"/>
                <w:spacing w:val="8"/>
              </w:rPr>
              <w:t>排</w:t>
            </w:r>
            <w:r>
              <w:rPr>
                <w:rFonts w:hint="eastAsia" w:ascii="Times New Roman" w:hAnsi="Times New Roman"/>
                <w:color w:val="auto"/>
                <w:spacing w:val="8"/>
              </w:rPr>
              <w:t>情况如下表。</w:t>
            </w:r>
          </w:p>
          <w:p w14:paraId="3C950E2E">
            <w:pPr>
              <w:tabs>
                <w:tab w:val="left" w:pos="2985"/>
              </w:tabs>
              <w:spacing w:line="440" w:lineRule="exact"/>
              <w:ind w:firstLine="480" w:firstLineChars="200"/>
              <w:rPr>
                <w:rFonts w:cs="宋体"/>
                <w:color w:val="auto"/>
                <w:sz w:val="24"/>
              </w:rPr>
            </w:pPr>
          </w:p>
        </w:tc>
      </w:tr>
    </w:tbl>
    <w:p w14:paraId="719CA880">
      <w:pPr>
        <w:sectPr>
          <w:pgSz w:w="11907" w:h="16840"/>
          <w:pgMar w:top="1701" w:right="1361" w:bottom="1899" w:left="1361" w:header="851" w:footer="851" w:gutter="0"/>
          <w:cols w:space="720" w:num="1"/>
          <w:docGrid w:linePitch="312" w:charSpace="0"/>
        </w:sectPr>
      </w:pPr>
    </w:p>
    <w:p w14:paraId="3829BBC5">
      <w:pPr>
        <w:spacing w:line="260" w:lineRule="exact"/>
        <w:jc w:val="center"/>
        <w:rPr>
          <w:u w:val="single"/>
        </w:rPr>
      </w:pPr>
      <w:r>
        <w:rPr>
          <w:b/>
          <w:bCs/>
          <w:szCs w:val="21"/>
          <w:u w:val="single"/>
        </w:rPr>
        <w:t>表4-</w:t>
      </w:r>
      <w:r>
        <w:rPr>
          <w:rFonts w:hint="eastAsia"/>
          <w:b/>
          <w:bCs/>
          <w:szCs w:val="21"/>
          <w:u w:val="single"/>
        </w:rPr>
        <w:t>6</w:t>
      </w:r>
      <w:r>
        <w:rPr>
          <w:b/>
          <w:bCs/>
          <w:szCs w:val="21"/>
          <w:u w:val="single"/>
        </w:rPr>
        <w:t xml:space="preserve">   本项目废气污染物产排情况一览表</w:t>
      </w:r>
    </w:p>
    <w:tbl>
      <w:tblPr>
        <w:tblStyle w:val="30"/>
        <w:tblW w:w="504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73"/>
        <w:gridCol w:w="966"/>
        <w:gridCol w:w="921"/>
        <w:gridCol w:w="891"/>
        <w:gridCol w:w="833"/>
        <w:gridCol w:w="717"/>
        <w:gridCol w:w="1049"/>
        <w:gridCol w:w="717"/>
        <w:gridCol w:w="784"/>
        <w:gridCol w:w="1090"/>
        <w:gridCol w:w="1060"/>
        <w:gridCol w:w="1205"/>
        <w:gridCol w:w="1510"/>
        <w:gridCol w:w="764"/>
      </w:tblGrid>
      <w:tr w14:paraId="58F5C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blHeader/>
        </w:trPr>
        <w:tc>
          <w:tcPr>
            <w:tcW w:w="326" w:type="pct"/>
            <w:vMerge w:val="restart"/>
            <w:vAlign w:val="center"/>
          </w:tcPr>
          <w:p w14:paraId="3415535A">
            <w:pPr>
              <w:spacing w:line="300" w:lineRule="exact"/>
              <w:jc w:val="center"/>
              <w:rPr>
                <w:spacing w:val="-11"/>
                <w:szCs w:val="21"/>
                <w:u w:val="single"/>
              </w:rPr>
            </w:pPr>
            <w:r>
              <w:rPr>
                <w:spacing w:val="-11"/>
                <w:szCs w:val="21"/>
                <w:u w:val="single"/>
              </w:rPr>
              <w:t>产污环节</w:t>
            </w:r>
          </w:p>
        </w:tc>
        <w:tc>
          <w:tcPr>
            <w:tcW w:w="361" w:type="pct"/>
            <w:vMerge w:val="restart"/>
            <w:vAlign w:val="center"/>
          </w:tcPr>
          <w:p w14:paraId="312B74EB">
            <w:pPr>
              <w:spacing w:line="300" w:lineRule="exact"/>
              <w:jc w:val="center"/>
              <w:rPr>
                <w:spacing w:val="-11"/>
                <w:kern w:val="0"/>
                <w:szCs w:val="21"/>
                <w:u w:val="single"/>
              </w:rPr>
            </w:pPr>
            <w:r>
              <w:rPr>
                <w:spacing w:val="-11"/>
                <w:kern w:val="0"/>
                <w:szCs w:val="21"/>
                <w:u w:val="single"/>
              </w:rPr>
              <w:t>污染物</w:t>
            </w:r>
          </w:p>
          <w:p w14:paraId="6B313150">
            <w:pPr>
              <w:spacing w:line="300" w:lineRule="exact"/>
              <w:jc w:val="center"/>
              <w:rPr>
                <w:spacing w:val="-11"/>
                <w:kern w:val="0"/>
                <w:szCs w:val="21"/>
                <w:u w:val="single"/>
              </w:rPr>
            </w:pPr>
            <w:r>
              <w:rPr>
                <w:spacing w:val="-11"/>
                <w:kern w:val="0"/>
                <w:szCs w:val="21"/>
                <w:u w:val="single"/>
              </w:rPr>
              <w:t>种类</w:t>
            </w:r>
          </w:p>
        </w:tc>
        <w:tc>
          <w:tcPr>
            <w:tcW w:w="677" w:type="pct"/>
            <w:gridSpan w:val="2"/>
            <w:vAlign w:val="center"/>
          </w:tcPr>
          <w:p w14:paraId="593DB103">
            <w:pPr>
              <w:spacing w:line="300" w:lineRule="exact"/>
              <w:jc w:val="center"/>
              <w:rPr>
                <w:spacing w:val="-11"/>
                <w:kern w:val="0"/>
                <w:szCs w:val="21"/>
                <w:u w:val="single"/>
              </w:rPr>
            </w:pPr>
            <w:r>
              <w:rPr>
                <w:spacing w:val="-11"/>
                <w:kern w:val="0"/>
                <w:szCs w:val="21"/>
                <w:u w:val="single"/>
              </w:rPr>
              <w:t>产生情况</w:t>
            </w:r>
          </w:p>
        </w:tc>
        <w:tc>
          <w:tcPr>
            <w:tcW w:w="311" w:type="pct"/>
            <w:vMerge w:val="restart"/>
            <w:vAlign w:val="center"/>
          </w:tcPr>
          <w:p w14:paraId="2EBCB01C">
            <w:pPr>
              <w:spacing w:line="300" w:lineRule="exact"/>
              <w:jc w:val="center"/>
              <w:rPr>
                <w:spacing w:val="-11"/>
                <w:kern w:val="0"/>
                <w:szCs w:val="21"/>
                <w:u w:val="single"/>
              </w:rPr>
            </w:pPr>
            <w:r>
              <w:rPr>
                <w:spacing w:val="-11"/>
                <w:kern w:val="0"/>
                <w:szCs w:val="21"/>
                <w:u w:val="single"/>
              </w:rPr>
              <w:t>排放形式</w:t>
            </w:r>
          </w:p>
        </w:tc>
        <w:tc>
          <w:tcPr>
            <w:tcW w:w="1221" w:type="pct"/>
            <w:gridSpan w:val="4"/>
            <w:vAlign w:val="center"/>
          </w:tcPr>
          <w:p w14:paraId="17BCEADB">
            <w:pPr>
              <w:spacing w:line="300" w:lineRule="exact"/>
              <w:jc w:val="center"/>
              <w:rPr>
                <w:spacing w:val="-11"/>
                <w:kern w:val="0"/>
                <w:szCs w:val="21"/>
                <w:u w:val="single"/>
              </w:rPr>
            </w:pPr>
            <w:r>
              <w:rPr>
                <w:spacing w:val="-11"/>
                <w:kern w:val="0"/>
                <w:szCs w:val="21"/>
                <w:u w:val="single"/>
              </w:rPr>
              <w:t>治理设施</w:t>
            </w:r>
          </w:p>
        </w:tc>
        <w:tc>
          <w:tcPr>
            <w:tcW w:w="1817" w:type="pct"/>
            <w:gridSpan w:val="4"/>
            <w:vAlign w:val="center"/>
          </w:tcPr>
          <w:p w14:paraId="458A8E61">
            <w:pPr>
              <w:spacing w:line="300" w:lineRule="exact"/>
              <w:jc w:val="center"/>
              <w:rPr>
                <w:spacing w:val="-11"/>
                <w:kern w:val="0"/>
                <w:szCs w:val="21"/>
                <w:u w:val="single"/>
              </w:rPr>
            </w:pPr>
            <w:r>
              <w:rPr>
                <w:spacing w:val="-11"/>
                <w:kern w:val="0"/>
                <w:szCs w:val="21"/>
                <w:u w:val="single"/>
              </w:rPr>
              <w:t>排放情况</w:t>
            </w:r>
          </w:p>
        </w:tc>
        <w:tc>
          <w:tcPr>
            <w:tcW w:w="285" w:type="pct"/>
            <w:vMerge w:val="restart"/>
            <w:vAlign w:val="center"/>
          </w:tcPr>
          <w:p w14:paraId="6F84E944">
            <w:pPr>
              <w:spacing w:line="300" w:lineRule="exact"/>
              <w:jc w:val="center"/>
              <w:rPr>
                <w:spacing w:val="-11"/>
                <w:kern w:val="0"/>
                <w:szCs w:val="21"/>
                <w:u w:val="single"/>
              </w:rPr>
            </w:pPr>
            <w:r>
              <w:rPr>
                <w:rFonts w:hint="eastAsia"/>
                <w:spacing w:val="-11"/>
                <w:kern w:val="0"/>
                <w:szCs w:val="21"/>
                <w:u w:val="single"/>
              </w:rPr>
              <w:t>有组织</w:t>
            </w:r>
            <w:r>
              <w:rPr>
                <w:spacing w:val="-11"/>
                <w:kern w:val="0"/>
                <w:szCs w:val="21"/>
                <w:u w:val="single"/>
              </w:rPr>
              <w:t>排放口</w:t>
            </w:r>
          </w:p>
        </w:tc>
      </w:tr>
      <w:tr w14:paraId="030E8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blHeader/>
        </w:trPr>
        <w:tc>
          <w:tcPr>
            <w:tcW w:w="326" w:type="pct"/>
            <w:vMerge w:val="continue"/>
            <w:vAlign w:val="center"/>
          </w:tcPr>
          <w:p w14:paraId="67029AB8">
            <w:pPr>
              <w:spacing w:line="300" w:lineRule="exact"/>
              <w:jc w:val="center"/>
              <w:rPr>
                <w:spacing w:val="-11"/>
                <w:szCs w:val="21"/>
                <w:u w:val="single"/>
              </w:rPr>
            </w:pPr>
          </w:p>
        </w:tc>
        <w:tc>
          <w:tcPr>
            <w:tcW w:w="361" w:type="pct"/>
            <w:vMerge w:val="continue"/>
            <w:vAlign w:val="center"/>
          </w:tcPr>
          <w:p w14:paraId="69F67E13">
            <w:pPr>
              <w:spacing w:line="300" w:lineRule="exact"/>
              <w:jc w:val="center"/>
              <w:rPr>
                <w:spacing w:val="-11"/>
                <w:kern w:val="0"/>
                <w:szCs w:val="21"/>
                <w:u w:val="single"/>
              </w:rPr>
            </w:pPr>
          </w:p>
        </w:tc>
        <w:tc>
          <w:tcPr>
            <w:tcW w:w="344" w:type="pct"/>
            <w:vAlign w:val="center"/>
          </w:tcPr>
          <w:p w14:paraId="304F9B0F">
            <w:pPr>
              <w:spacing w:line="300" w:lineRule="exact"/>
              <w:jc w:val="center"/>
              <w:rPr>
                <w:spacing w:val="-11"/>
                <w:kern w:val="0"/>
                <w:szCs w:val="21"/>
                <w:u w:val="single"/>
              </w:rPr>
            </w:pPr>
            <w:r>
              <w:rPr>
                <w:spacing w:val="-11"/>
                <w:kern w:val="0"/>
                <w:szCs w:val="21"/>
                <w:u w:val="single"/>
              </w:rPr>
              <w:t>产生量（t/a）</w:t>
            </w:r>
          </w:p>
        </w:tc>
        <w:tc>
          <w:tcPr>
            <w:tcW w:w="333" w:type="pct"/>
            <w:vAlign w:val="center"/>
          </w:tcPr>
          <w:p w14:paraId="78FC6776">
            <w:pPr>
              <w:spacing w:line="300" w:lineRule="exact"/>
              <w:jc w:val="center"/>
              <w:rPr>
                <w:spacing w:val="-11"/>
                <w:kern w:val="0"/>
                <w:szCs w:val="21"/>
                <w:u w:val="single"/>
              </w:rPr>
            </w:pPr>
            <w:r>
              <w:rPr>
                <w:spacing w:val="-11"/>
                <w:kern w:val="0"/>
                <w:szCs w:val="21"/>
                <w:u w:val="single"/>
              </w:rPr>
              <w:t>产生速率（kg/h）</w:t>
            </w:r>
          </w:p>
        </w:tc>
        <w:tc>
          <w:tcPr>
            <w:tcW w:w="311" w:type="pct"/>
            <w:vMerge w:val="continue"/>
            <w:vAlign w:val="center"/>
          </w:tcPr>
          <w:p w14:paraId="061A11FB">
            <w:pPr>
              <w:spacing w:line="300" w:lineRule="exact"/>
              <w:jc w:val="center"/>
              <w:rPr>
                <w:spacing w:val="-11"/>
                <w:kern w:val="0"/>
                <w:szCs w:val="21"/>
                <w:u w:val="single"/>
              </w:rPr>
            </w:pPr>
          </w:p>
        </w:tc>
        <w:tc>
          <w:tcPr>
            <w:tcW w:w="268" w:type="pct"/>
            <w:vAlign w:val="center"/>
          </w:tcPr>
          <w:p w14:paraId="31308441">
            <w:pPr>
              <w:spacing w:line="300" w:lineRule="exact"/>
              <w:jc w:val="center"/>
              <w:rPr>
                <w:spacing w:val="-11"/>
                <w:kern w:val="0"/>
                <w:szCs w:val="21"/>
                <w:u w:val="single"/>
              </w:rPr>
            </w:pPr>
            <w:r>
              <w:rPr>
                <w:spacing w:val="-11"/>
                <w:kern w:val="0"/>
                <w:szCs w:val="21"/>
                <w:u w:val="single"/>
              </w:rPr>
              <w:t>收集效率（%）</w:t>
            </w:r>
          </w:p>
        </w:tc>
        <w:tc>
          <w:tcPr>
            <w:tcW w:w="392" w:type="pct"/>
            <w:vAlign w:val="center"/>
          </w:tcPr>
          <w:p w14:paraId="2D4E82B0">
            <w:pPr>
              <w:spacing w:line="300" w:lineRule="exact"/>
              <w:jc w:val="center"/>
              <w:rPr>
                <w:spacing w:val="-11"/>
                <w:kern w:val="0"/>
                <w:szCs w:val="21"/>
                <w:u w:val="single"/>
              </w:rPr>
            </w:pPr>
            <w:r>
              <w:rPr>
                <w:spacing w:val="-11"/>
                <w:kern w:val="0"/>
                <w:szCs w:val="21"/>
                <w:u w:val="single"/>
              </w:rPr>
              <w:t>治理</w:t>
            </w:r>
          </w:p>
          <w:p w14:paraId="37F861F2">
            <w:pPr>
              <w:spacing w:line="300" w:lineRule="exact"/>
              <w:jc w:val="center"/>
              <w:rPr>
                <w:spacing w:val="-11"/>
                <w:kern w:val="0"/>
                <w:szCs w:val="21"/>
                <w:u w:val="single"/>
              </w:rPr>
            </w:pPr>
            <w:r>
              <w:rPr>
                <w:spacing w:val="-11"/>
                <w:kern w:val="0"/>
                <w:szCs w:val="21"/>
                <w:u w:val="single"/>
              </w:rPr>
              <w:t>工艺</w:t>
            </w:r>
          </w:p>
        </w:tc>
        <w:tc>
          <w:tcPr>
            <w:tcW w:w="268" w:type="pct"/>
            <w:vAlign w:val="center"/>
          </w:tcPr>
          <w:p w14:paraId="4ED249BE">
            <w:pPr>
              <w:spacing w:line="300" w:lineRule="exact"/>
              <w:jc w:val="center"/>
              <w:rPr>
                <w:spacing w:val="-11"/>
                <w:kern w:val="0"/>
                <w:szCs w:val="21"/>
                <w:u w:val="single"/>
              </w:rPr>
            </w:pPr>
            <w:r>
              <w:rPr>
                <w:spacing w:val="-11"/>
                <w:kern w:val="0"/>
                <w:szCs w:val="21"/>
                <w:u w:val="single"/>
              </w:rPr>
              <w:t>去除效率（%）</w:t>
            </w:r>
          </w:p>
        </w:tc>
        <w:tc>
          <w:tcPr>
            <w:tcW w:w="292" w:type="pct"/>
            <w:vAlign w:val="center"/>
          </w:tcPr>
          <w:p w14:paraId="7463ED24">
            <w:pPr>
              <w:spacing w:line="300" w:lineRule="exact"/>
              <w:jc w:val="center"/>
              <w:rPr>
                <w:spacing w:val="-11"/>
                <w:kern w:val="0"/>
                <w:szCs w:val="21"/>
                <w:u w:val="single"/>
              </w:rPr>
            </w:pPr>
            <w:r>
              <w:rPr>
                <w:spacing w:val="-11"/>
                <w:kern w:val="0"/>
                <w:szCs w:val="21"/>
                <w:u w:val="single"/>
              </w:rPr>
              <w:t>是否为可行技术</w:t>
            </w:r>
          </w:p>
        </w:tc>
        <w:tc>
          <w:tcPr>
            <w:tcW w:w="407" w:type="pct"/>
            <w:vAlign w:val="center"/>
          </w:tcPr>
          <w:p w14:paraId="388D663B">
            <w:pPr>
              <w:spacing w:line="300" w:lineRule="exact"/>
              <w:jc w:val="center"/>
              <w:rPr>
                <w:spacing w:val="-11"/>
                <w:kern w:val="0"/>
                <w:szCs w:val="21"/>
                <w:u w:val="single"/>
              </w:rPr>
            </w:pPr>
            <w:r>
              <w:rPr>
                <w:spacing w:val="-11"/>
                <w:kern w:val="0"/>
                <w:szCs w:val="21"/>
                <w:u w:val="single"/>
              </w:rPr>
              <w:t>有组织排放量（t/a）</w:t>
            </w:r>
          </w:p>
        </w:tc>
        <w:tc>
          <w:tcPr>
            <w:tcW w:w="396" w:type="pct"/>
            <w:vAlign w:val="center"/>
          </w:tcPr>
          <w:p w14:paraId="2397AB7E">
            <w:pPr>
              <w:spacing w:line="300" w:lineRule="exact"/>
              <w:jc w:val="center"/>
              <w:rPr>
                <w:spacing w:val="-11"/>
                <w:kern w:val="0"/>
                <w:szCs w:val="21"/>
                <w:u w:val="single"/>
              </w:rPr>
            </w:pPr>
            <w:r>
              <w:rPr>
                <w:spacing w:val="-11"/>
                <w:kern w:val="0"/>
                <w:szCs w:val="21"/>
                <w:u w:val="single"/>
              </w:rPr>
              <w:t>排放速率（kg/h）</w:t>
            </w:r>
          </w:p>
        </w:tc>
        <w:tc>
          <w:tcPr>
            <w:tcW w:w="450" w:type="pct"/>
            <w:vAlign w:val="center"/>
          </w:tcPr>
          <w:p w14:paraId="0C9AD43F">
            <w:pPr>
              <w:spacing w:line="300" w:lineRule="exact"/>
              <w:jc w:val="center"/>
              <w:rPr>
                <w:spacing w:val="-11"/>
                <w:kern w:val="0"/>
                <w:szCs w:val="21"/>
                <w:u w:val="single"/>
              </w:rPr>
            </w:pPr>
            <w:r>
              <w:rPr>
                <w:spacing w:val="-11"/>
                <w:kern w:val="0"/>
                <w:szCs w:val="21"/>
                <w:u w:val="single"/>
              </w:rPr>
              <w:t>无组织排放量（t/a）</w:t>
            </w:r>
          </w:p>
        </w:tc>
        <w:tc>
          <w:tcPr>
            <w:tcW w:w="563" w:type="pct"/>
            <w:vAlign w:val="center"/>
          </w:tcPr>
          <w:p w14:paraId="2ACD35B4">
            <w:pPr>
              <w:spacing w:line="300" w:lineRule="exact"/>
              <w:jc w:val="center"/>
              <w:rPr>
                <w:spacing w:val="-11"/>
                <w:kern w:val="0"/>
                <w:szCs w:val="21"/>
                <w:u w:val="single"/>
              </w:rPr>
            </w:pPr>
            <w:r>
              <w:rPr>
                <w:spacing w:val="-11"/>
                <w:kern w:val="0"/>
                <w:szCs w:val="21"/>
                <w:u w:val="single"/>
              </w:rPr>
              <w:t>无组织排放速率（kg/h）</w:t>
            </w:r>
          </w:p>
        </w:tc>
        <w:tc>
          <w:tcPr>
            <w:tcW w:w="285" w:type="pct"/>
            <w:vMerge w:val="continue"/>
            <w:vAlign w:val="center"/>
          </w:tcPr>
          <w:p w14:paraId="1D91F270">
            <w:pPr>
              <w:spacing w:line="300" w:lineRule="exact"/>
              <w:jc w:val="center"/>
              <w:rPr>
                <w:spacing w:val="-11"/>
                <w:kern w:val="0"/>
                <w:szCs w:val="21"/>
                <w:u w:val="single"/>
              </w:rPr>
            </w:pPr>
          </w:p>
        </w:tc>
      </w:tr>
      <w:tr w14:paraId="38AA4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blHeader/>
        </w:trPr>
        <w:tc>
          <w:tcPr>
            <w:tcW w:w="326" w:type="pct"/>
            <w:vMerge w:val="restart"/>
            <w:vAlign w:val="center"/>
          </w:tcPr>
          <w:p w14:paraId="5F6E7182">
            <w:pPr>
              <w:spacing w:line="300" w:lineRule="exact"/>
              <w:jc w:val="center"/>
              <w:rPr>
                <w:spacing w:val="-11"/>
                <w:szCs w:val="21"/>
                <w:u w:val="single"/>
              </w:rPr>
            </w:pPr>
            <w:r>
              <w:rPr>
                <w:rFonts w:hint="eastAsia"/>
                <w:spacing w:val="-11"/>
                <w:szCs w:val="21"/>
                <w:u w:val="single"/>
              </w:rPr>
              <w:t>锅炉</w:t>
            </w:r>
          </w:p>
        </w:tc>
        <w:tc>
          <w:tcPr>
            <w:tcW w:w="361" w:type="pct"/>
            <w:vAlign w:val="center"/>
          </w:tcPr>
          <w:p w14:paraId="2B056D4F">
            <w:pPr>
              <w:pStyle w:val="87"/>
              <w:rPr>
                <w:spacing w:val="-11"/>
                <w:szCs w:val="21"/>
                <w:u w:val="single"/>
              </w:rPr>
            </w:pPr>
            <w:r>
              <w:rPr>
                <w:u w:val="single"/>
              </w:rPr>
              <w:t>SO</w:t>
            </w:r>
            <w:r>
              <w:rPr>
                <w:u w:val="single"/>
                <w:vertAlign w:val="subscript"/>
              </w:rPr>
              <w:t>2</w:t>
            </w:r>
          </w:p>
        </w:tc>
        <w:tc>
          <w:tcPr>
            <w:tcW w:w="344" w:type="pct"/>
            <w:vAlign w:val="center"/>
          </w:tcPr>
          <w:p w14:paraId="0A3F3B75">
            <w:pPr>
              <w:pStyle w:val="87"/>
              <w:rPr>
                <w:u w:val="single"/>
              </w:rPr>
            </w:pPr>
            <w:r>
              <w:rPr>
                <w:rFonts w:hint="eastAsia"/>
                <w:u w:val="single"/>
              </w:rPr>
              <w:t>0.02</w:t>
            </w:r>
          </w:p>
        </w:tc>
        <w:tc>
          <w:tcPr>
            <w:tcW w:w="333" w:type="pct"/>
            <w:vAlign w:val="center"/>
          </w:tcPr>
          <w:p w14:paraId="36D89D1E">
            <w:pPr>
              <w:pStyle w:val="87"/>
              <w:rPr>
                <w:u w:val="single"/>
              </w:rPr>
            </w:pPr>
            <w:r>
              <w:rPr>
                <w:rFonts w:hint="eastAsia"/>
                <w:u w:val="single"/>
              </w:rPr>
              <w:t>0.0125</w:t>
            </w:r>
          </w:p>
        </w:tc>
        <w:tc>
          <w:tcPr>
            <w:tcW w:w="311" w:type="pct"/>
            <w:vMerge w:val="restart"/>
            <w:vAlign w:val="center"/>
          </w:tcPr>
          <w:p w14:paraId="2F1068C8">
            <w:pPr>
              <w:spacing w:line="300" w:lineRule="exact"/>
              <w:jc w:val="center"/>
              <w:rPr>
                <w:spacing w:val="-11"/>
                <w:kern w:val="0"/>
                <w:szCs w:val="21"/>
                <w:u w:val="single"/>
              </w:rPr>
            </w:pPr>
            <w:r>
              <w:rPr>
                <w:rFonts w:hint="eastAsia"/>
                <w:spacing w:val="-11"/>
                <w:kern w:val="0"/>
                <w:szCs w:val="21"/>
                <w:u w:val="single"/>
              </w:rPr>
              <w:t>有组织</w:t>
            </w:r>
          </w:p>
        </w:tc>
        <w:tc>
          <w:tcPr>
            <w:tcW w:w="268" w:type="pct"/>
            <w:vAlign w:val="center"/>
          </w:tcPr>
          <w:p w14:paraId="2390952D">
            <w:pPr>
              <w:spacing w:line="300" w:lineRule="exact"/>
              <w:jc w:val="center"/>
              <w:rPr>
                <w:spacing w:val="-11"/>
                <w:kern w:val="0"/>
                <w:szCs w:val="21"/>
                <w:u w:val="single"/>
              </w:rPr>
            </w:pPr>
            <w:r>
              <w:rPr>
                <w:rFonts w:hint="eastAsia"/>
                <w:spacing w:val="-11"/>
                <w:kern w:val="0"/>
                <w:szCs w:val="21"/>
                <w:u w:val="single"/>
              </w:rPr>
              <w:t>/</w:t>
            </w:r>
          </w:p>
        </w:tc>
        <w:tc>
          <w:tcPr>
            <w:tcW w:w="392" w:type="pct"/>
            <w:vMerge w:val="restart"/>
            <w:vAlign w:val="center"/>
          </w:tcPr>
          <w:p w14:paraId="7CB7B4FD">
            <w:pPr>
              <w:spacing w:line="300" w:lineRule="exact"/>
              <w:jc w:val="center"/>
              <w:rPr>
                <w:spacing w:val="-11"/>
                <w:kern w:val="0"/>
                <w:szCs w:val="21"/>
                <w:u w:val="single"/>
              </w:rPr>
            </w:pPr>
            <w:r>
              <w:rPr>
                <w:rFonts w:hint="eastAsia"/>
                <w:spacing w:val="-11"/>
                <w:kern w:val="0"/>
                <w:szCs w:val="21"/>
                <w:u w:val="single"/>
              </w:rPr>
              <w:t>低氮燃烧</w:t>
            </w:r>
          </w:p>
        </w:tc>
        <w:tc>
          <w:tcPr>
            <w:tcW w:w="268" w:type="pct"/>
            <w:vAlign w:val="center"/>
          </w:tcPr>
          <w:p w14:paraId="2EA73F5A">
            <w:pPr>
              <w:spacing w:line="300" w:lineRule="exact"/>
              <w:jc w:val="center"/>
              <w:rPr>
                <w:spacing w:val="-11"/>
                <w:kern w:val="0"/>
                <w:szCs w:val="21"/>
                <w:u w:val="single"/>
              </w:rPr>
            </w:pPr>
            <w:r>
              <w:rPr>
                <w:rFonts w:hint="eastAsia"/>
                <w:spacing w:val="-11"/>
                <w:kern w:val="0"/>
                <w:szCs w:val="21"/>
                <w:u w:val="single"/>
              </w:rPr>
              <w:t>/</w:t>
            </w:r>
          </w:p>
        </w:tc>
        <w:tc>
          <w:tcPr>
            <w:tcW w:w="292" w:type="pct"/>
            <w:vAlign w:val="center"/>
          </w:tcPr>
          <w:p w14:paraId="613639D5">
            <w:pPr>
              <w:spacing w:line="300" w:lineRule="exact"/>
              <w:jc w:val="center"/>
              <w:rPr>
                <w:spacing w:val="-11"/>
                <w:kern w:val="0"/>
                <w:szCs w:val="21"/>
                <w:u w:val="single"/>
              </w:rPr>
            </w:pPr>
            <w:r>
              <w:rPr>
                <w:rFonts w:hint="eastAsia"/>
                <w:spacing w:val="-11"/>
                <w:kern w:val="0"/>
                <w:szCs w:val="21"/>
                <w:u w:val="single"/>
              </w:rPr>
              <w:t>/</w:t>
            </w:r>
          </w:p>
        </w:tc>
        <w:tc>
          <w:tcPr>
            <w:tcW w:w="407" w:type="pct"/>
            <w:vAlign w:val="center"/>
          </w:tcPr>
          <w:p w14:paraId="78558DEC">
            <w:pPr>
              <w:pStyle w:val="87"/>
              <w:rPr>
                <w:spacing w:val="-11"/>
                <w:szCs w:val="21"/>
                <w:u w:val="single"/>
              </w:rPr>
            </w:pPr>
            <w:r>
              <w:rPr>
                <w:rFonts w:hint="eastAsia"/>
                <w:u w:val="single"/>
              </w:rPr>
              <w:t>0.02</w:t>
            </w:r>
          </w:p>
        </w:tc>
        <w:tc>
          <w:tcPr>
            <w:tcW w:w="396" w:type="pct"/>
            <w:vAlign w:val="center"/>
          </w:tcPr>
          <w:p w14:paraId="05328602">
            <w:pPr>
              <w:pStyle w:val="87"/>
              <w:rPr>
                <w:spacing w:val="-11"/>
                <w:szCs w:val="21"/>
                <w:u w:val="single"/>
              </w:rPr>
            </w:pPr>
            <w:r>
              <w:rPr>
                <w:rFonts w:hint="eastAsia"/>
                <w:u w:val="single"/>
              </w:rPr>
              <w:t>0.0125</w:t>
            </w:r>
          </w:p>
        </w:tc>
        <w:tc>
          <w:tcPr>
            <w:tcW w:w="450" w:type="pct"/>
            <w:vAlign w:val="center"/>
          </w:tcPr>
          <w:p w14:paraId="7E4BA429">
            <w:pPr>
              <w:spacing w:line="300" w:lineRule="exact"/>
              <w:jc w:val="center"/>
              <w:rPr>
                <w:spacing w:val="-11"/>
                <w:kern w:val="0"/>
                <w:szCs w:val="21"/>
                <w:u w:val="single"/>
              </w:rPr>
            </w:pPr>
            <w:r>
              <w:rPr>
                <w:rFonts w:hint="eastAsia"/>
                <w:spacing w:val="-11"/>
                <w:kern w:val="0"/>
                <w:szCs w:val="21"/>
                <w:u w:val="single"/>
              </w:rPr>
              <w:t>/</w:t>
            </w:r>
          </w:p>
        </w:tc>
        <w:tc>
          <w:tcPr>
            <w:tcW w:w="563" w:type="pct"/>
            <w:vAlign w:val="center"/>
          </w:tcPr>
          <w:p w14:paraId="36E5A3E5">
            <w:pPr>
              <w:spacing w:line="300" w:lineRule="exact"/>
              <w:jc w:val="center"/>
              <w:rPr>
                <w:spacing w:val="-11"/>
                <w:kern w:val="0"/>
                <w:szCs w:val="21"/>
                <w:u w:val="single"/>
              </w:rPr>
            </w:pPr>
            <w:r>
              <w:rPr>
                <w:rFonts w:hint="eastAsia"/>
                <w:spacing w:val="-11"/>
                <w:kern w:val="0"/>
                <w:szCs w:val="21"/>
                <w:u w:val="single"/>
              </w:rPr>
              <w:t>/</w:t>
            </w:r>
          </w:p>
        </w:tc>
        <w:tc>
          <w:tcPr>
            <w:tcW w:w="285" w:type="pct"/>
            <w:vMerge w:val="restart"/>
            <w:vAlign w:val="center"/>
          </w:tcPr>
          <w:p w14:paraId="22CD4A5B">
            <w:pPr>
              <w:spacing w:line="300" w:lineRule="exact"/>
              <w:jc w:val="center"/>
              <w:rPr>
                <w:spacing w:val="-11"/>
                <w:kern w:val="0"/>
                <w:szCs w:val="21"/>
                <w:u w:val="single"/>
              </w:rPr>
            </w:pPr>
            <w:r>
              <w:rPr>
                <w:rFonts w:hint="eastAsia"/>
                <w:spacing w:val="-11"/>
                <w:kern w:val="0"/>
                <w:szCs w:val="21"/>
                <w:u w:val="single"/>
              </w:rPr>
              <w:t>DA001</w:t>
            </w:r>
          </w:p>
        </w:tc>
      </w:tr>
      <w:tr w14:paraId="345B0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blHeader/>
        </w:trPr>
        <w:tc>
          <w:tcPr>
            <w:tcW w:w="326" w:type="pct"/>
            <w:vMerge w:val="continue"/>
            <w:vAlign w:val="center"/>
          </w:tcPr>
          <w:p w14:paraId="7783B7B4">
            <w:pPr>
              <w:spacing w:line="300" w:lineRule="exact"/>
              <w:jc w:val="center"/>
              <w:rPr>
                <w:spacing w:val="-11"/>
                <w:szCs w:val="21"/>
                <w:u w:val="single"/>
              </w:rPr>
            </w:pPr>
          </w:p>
        </w:tc>
        <w:tc>
          <w:tcPr>
            <w:tcW w:w="361" w:type="pct"/>
            <w:vAlign w:val="center"/>
          </w:tcPr>
          <w:p w14:paraId="132B65AF">
            <w:pPr>
              <w:pStyle w:val="87"/>
              <w:rPr>
                <w:spacing w:val="-11"/>
                <w:szCs w:val="21"/>
                <w:u w:val="single"/>
              </w:rPr>
            </w:pPr>
            <w:r>
              <w:rPr>
                <w:u w:val="single"/>
              </w:rPr>
              <w:t>NOx</w:t>
            </w:r>
          </w:p>
        </w:tc>
        <w:tc>
          <w:tcPr>
            <w:tcW w:w="344" w:type="pct"/>
            <w:vAlign w:val="center"/>
          </w:tcPr>
          <w:p w14:paraId="02E8B6A1">
            <w:pPr>
              <w:pStyle w:val="87"/>
              <w:rPr>
                <w:rFonts w:hint="eastAsia" w:eastAsia="宋体"/>
                <w:u w:val="single"/>
                <w:lang w:val="en-US" w:eastAsia="zh-CN"/>
              </w:rPr>
            </w:pPr>
            <w:r>
              <w:rPr>
                <w:rFonts w:hint="eastAsia"/>
                <w:u w:val="single"/>
              </w:rPr>
              <w:t>0.0</w:t>
            </w:r>
            <w:r>
              <w:rPr>
                <w:rFonts w:hint="eastAsia"/>
                <w:u w:val="single"/>
                <w:lang w:val="en-US" w:eastAsia="zh-CN"/>
              </w:rPr>
              <w:t>7</w:t>
            </w:r>
          </w:p>
        </w:tc>
        <w:tc>
          <w:tcPr>
            <w:tcW w:w="333" w:type="pct"/>
            <w:vAlign w:val="center"/>
          </w:tcPr>
          <w:p w14:paraId="34B2FFFA">
            <w:pPr>
              <w:pStyle w:val="87"/>
              <w:rPr>
                <w:rFonts w:hint="default" w:eastAsia="宋体"/>
                <w:u w:val="single"/>
                <w:lang w:val="en-US" w:eastAsia="zh-CN"/>
              </w:rPr>
            </w:pPr>
            <w:r>
              <w:rPr>
                <w:rFonts w:hint="eastAsia"/>
                <w:u w:val="single"/>
              </w:rPr>
              <w:t>0.0</w:t>
            </w:r>
            <w:r>
              <w:rPr>
                <w:rFonts w:hint="eastAsia"/>
                <w:u w:val="single"/>
                <w:lang w:val="en-US" w:eastAsia="zh-CN"/>
              </w:rPr>
              <w:t>436</w:t>
            </w:r>
          </w:p>
        </w:tc>
        <w:tc>
          <w:tcPr>
            <w:tcW w:w="311" w:type="pct"/>
            <w:vMerge w:val="continue"/>
            <w:vAlign w:val="center"/>
          </w:tcPr>
          <w:p w14:paraId="5212EA38">
            <w:pPr>
              <w:spacing w:line="300" w:lineRule="exact"/>
              <w:jc w:val="center"/>
              <w:rPr>
                <w:spacing w:val="-11"/>
                <w:kern w:val="0"/>
                <w:szCs w:val="21"/>
                <w:u w:val="single"/>
              </w:rPr>
            </w:pPr>
          </w:p>
        </w:tc>
        <w:tc>
          <w:tcPr>
            <w:tcW w:w="268" w:type="pct"/>
            <w:vAlign w:val="center"/>
          </w:tcPr>
          <w:p w14:paraId="3AB0535D">
            <w:pPr>
              <w:spacing w:line="300" w:lineRule="exact"/>
              <w:jc w:val="center"/>
              <w:rPr>
                <w:spacing w:val="-11"/>
                <w:kern w:val="0"/>
                <w:szCs w:val="21"/>
                <w:u w:val="single"/>
              </w:rPr>
            </w:pPr>
            <w:r>
              <w:rPr>
                <w:rFonts w:hint="eastAsia"/>
                <w:spacing w:val="-11"/>
                <w:kern w:val="0"/>
                <w:szCs w:val="21"/>
                <w:u w:val="single"/>
              </w:rPr>
              <w:t>/</w:t>
            </w:r>
          </w:p>
        </w:tc>
        <w:tc>
          <w:tcPr>
            <w:tcW w:w="392" w:type="pct"/>
            <w:vMerge w:val="continue"/>
            <w:vAlign w:val="center"/>
          </w:tcPr>
          <w:p w14:paraId="197AFBA4">
            <w:pPr>
              <w:spacing w:line="300" w:lineRule="exact"/>
              <w:jc w:val="center"/>
              <w:rPr>
                <w:spacing w:val="-11"/>
                <w:kern w:val="0"/>
                <w:szCs w:val="21"/>
                <w:u w:val="single"/>
              </w:rPr>
            </w:pPr>
          </w:p>
        </w:tc>
        <w:tc>
          <w:tcPr>
            <w:tcW w:w="268" w:type="pct"/>
            <w:vAlign w:val="center"/>
          </w:tcPr>
          <w:p w14:paraId="1E1488CA">
            <w:pPr>
              <w:spacing w:line="300" w:lineRule="exact"/>
              <w:jc w:val="center"/>
              <w:rPr>
                <w:spacing w:val="-11"/>
                <w:kern w:val="0"/>
                <w:szCs w:val="21"/>
                <w:u w:val="single"/>
              </w:rPr>
            </w:pPr>
            <w:r>
              <w:rPr>
                <w:rFonts w:hint="eastAsia"/>
                <w:spacing w:val="-11"/>
                <w:kern w:val="0"/>
                <w:szCs w:val="21"/>
                <w:u w:val="single"/>
              </w:rPr>
              <w:t>/</w:t>
            </w:r>
          </w:p>
        </w:tc>
        <w:tc>
          <w:tcPr>
            <w:tcW w:w="292" w:type="pct"/>
            <w:vAlign w:val="center"/>
          </w:tcPr>
          <w:p w14:paraId="14D0686E">
            <w:pPr>
              <w:spacing w:line="300" w:lineRule="exact"/>
              <w:jc w:val="center"/>
              <w:rPr>
                <w:spacing w:val="-11"/>
                <w:kern w:val="0"/>
                <w:szCs w:val="21"/>
                <w:u w:val="single"/>
              </w:rPr>
            </w:pPr>
            <w:r>
              <w:rPr>
                <w:rFonts w:hint="eastAsia"/>
                <w:spacing w:val="-11"/>
                <w:kern w:val="0"/>
                <w:szCs w:val="21"/>
                <w:u w:val="single"/>
              </w:rPr>
              <w:t>是</w:t>
            </w:r>
          </w:p>
        </w:tc>
        <w:tc>
          <w:tcPr>
            <w:tcW w:w="407" w:type="pct"/>
            <w:vAlign w:val="center"/>
          </w:tcPr>
          <w:p w14:paraId="1A42FC89">
            <w:pPr>
              <w:pStyle w:val="87"/>
              <w:rPr>
                <w:rFonts w:hint="eastAsia" w:eastAsia="宋体"/>
                <w:spacing w:val="-11"/>
                <w:szCs w:val="21"/>
                <w:u w:val="single"/>
                <w:lang w:val="en-US" w:eastAsia="zh-CN"/>
              </w:rPr>
            </w:pPr>
            <w:r>
              <w:rPr>
                <w:rFonts w:hint="eastAsia"/>
                <w:u w:val="single"/>
              </w:rPr>
              <w:t>0.0</w:t>
            </w:r>
            <w:r>
              <w:rPr>
                <w:rFonts w:hint="eastAsia"/>
                <w:u w:val="single"/>
                <w:lang w:val="en-US" w:eastAsia="zh-CN"/>
              </w:rPr>
              <w:t>7</w:t>
            </w:r>
          </w:p>
        </w:tc>
        <w:tc>
          <w:tcPr>
            <w:tcW w:w="396" w:type="pct"/>
            <w:vAlign w:val="center"/>
          </w:tcPr>
          <w:p w14:paraId="16DECC91">
            <w:pPr>
              <w:pStyle w:val="87"/>
              <w:rPr>
                <w:rFonts w:hint="default" w:eastAsia="宋体"/>
                <w:spacing w:val="-11"/>
                <w:szCs w:val="21"/>
                <w:u w:val="single"/>
                <w:lang w:val="en-US" w:eastAsia="zh-CN"/>
              </w:rPr>
            </w:pPr>
            <w:r>
              <w:rPr>
                <w:rFonts w:hint="eastAsia"/>
                <w:u w:val="single"/>
              </w:rPr>
              <w:t>0.0</w:t>
            </w:r>
            <w:r>
              <w:rPr>
                <w:rFonts w:hint="eastAsia"/>
                <w:u w:val="single"/>
                <w:lang w:val="en-US" w:eastAsia="zh-CN"/>
              </w:rPr>
              <w:t>436</w:t>
            </w:r>
          </w:p>
        </w:tc>
        <w:tc>
          <w:tcPr>
            <w:tcW w:w="450" w:type="pct"/>
            <w:vAlign w:val="center"/>
          </w:tcPr>
          <w:p w14:paraId="7C5AA460">
            <w:pPr>
              <w:spacing w:line="300" w:lineRule="exact"/>
              <w:jc w:val="center"/>
              <w:rPr>
                <w:spacing w:val="-11"/>
                <w:kern w:val="0"/>
                <w:szCs w:val="21"/>
                <w:u w:val="single"/>
              </w:rPr>
            </w:pPr>
            <w:r>
              <w:rPr>
                <w:rFonts w:hint="eastAsia"/>
                <w:spacing w:val="-11"/>
                <w:kern w:val="0"/>
                <w:szCs w:val="21"/>
                <w:u w:val="single"/>
              </w:rPr>
              <w:t>/</w:t>
            </w:r>
          </w:p>
        </w:tc>
        <w:tc>
          <w:tcPr>
            <w:tcW w:w="563" w:type="pct"/>
            <w:vAlign w:val="center"/>
          </w:tcPr>
          <w:p w14:paraId="3C60DE94">
            <w:pPr>
              <w:spacing w:line="300" w:lineRule="exact"/>
              <w:jc w:val="center"/>
              <w:rPr>
                <w:spacing w:val="-11"/>
                <w:kern w:val="0"/>
                <w:szCs w:val="21"/>
                <w:u w:val="single"/>
              </w:rPr>
            </w:pPr>
            <w:r>
              <w:rPr>
                <w:rFonts w:hint="eastAsia"/>
                <w:spacing w:val="-11"/>
                <w:kern w:val="0"/>
                <w:szCs w:val="21"/>
                <w:u w:val="single"/>
              </w:rPr>
              <w:t>/</w:t>
            </w:r>
          </w:p>
        </w:tc>
        <w:tc>
          <w:tcPr>
            <w:tcW w:w="285" w:type="pct"/>
            <w:vMerge w:val="continue"/>
            <w:vAlign w:val="center"/>
          </w:tcPr>
          <w:p w14:paraId="6B47963A">
            <w:pPr>
              <w:spacing w:line="300" w:lineRule="exact"/>
              <w:jc w:val="center"/>
              <w:rPr>
                <w:spacing w:val="-11"/>
                <w:kern w:val="0"/>
                <w:szCs w:val="21"/>
                <w:u w:val="single"/>
              </w:rPr>
            </w:pPr>
          </w:p>
        </w:tc>
      </w:tr>
      <w:tr w14:paraId="44DC4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blHeader/>
        </w:trPr>
        <w:tc>
          <w:tcPr>
            <w:tcW w:w="326" w:type="pct"/>
            <w:vMerge w:val="continue"/>
            <w:vAlign w:val="center"/>
          </w:tcPr>
          <w:p w14:paraId="241B3CD7">
            <w:pPr>
              <w:spacing w:line="300" w:lineRule="exact"/>
              <w:jc w:val="center"/>
              <w:rPr>
                <w:spacing w:val="-11"/>
                <w:szCs w:val="21"/>
                <w:u w:val="single"/>
              </w:rPr>
            </w:pPr>
          </w:p>
        </w:tc>
        <w:tc>
          <w:tcPr>
            <w:tcW w:w="361" w:type="pct"/>
            <w:vAlign w:val="center"/>
          </w:tcPr>
          <w:p w14:paraId="43F9B81B">
            <w:pPr>
              <w:pStyle w:val="87"/>
              <w:rPr>
                <w:spacing w:val="-11"/>
                <w:szCs w:val="21"/>
                <w:u w:val="single"/>
              </w:rPr>
            </w:pPr>
            <w:r>
              <w:rPr>
                <w:rFonts w:hint="eastAsia"/>
                <w:u w:val="single"/>
              </w:rPr>
              <w:t>颗粒物</w:t>
            </w:r>
          </w:p>
        </w:tc>
        <w:tc>
          <w:tcPr>
            <w:tcW w:w="344" w:type="pct"/>
            <w:vAlign w:val="center"/>
          </w:tcPr>
          <w:p w14:paraId="5E18BFE5">
            <w:pPr>
              <w:pStyle w:val="87"/>
              <w:rPr>
                <w:u w:val="single"/>
              </w:rPr>
            </w:pPr>
            <w:r>
              <w:rPr>
                <w:rFonts w:hint="eastAsia"/>
                <w:u w:val="single"/>
              </w:rPr>
              <w:t>0.01</w:t>
            </w:r>
          </w:p>
        </w:tc>
        <w:tc>
          <w:tcPr>
            <w:tcW w:w="333" w:type="pct"/>
            <w:vAlign w:val="center"/>
          </w:tcPr>
          <w:p w14:paraId="76869718">
            <w:pPr>
              <w:pStyle w:val="87"/>
              <w:rPr>
                <w:u w:val="single"/>
              </w:rPr>
            </w:pPr>
            <w:r>
              <w:rPr>
                <w:rFonts w:hint="eastAsia"/>
                <w:u w:val="single"/>
              </w:rPr>
              <w:t>0.0063</w:t>
            </w:r>
          </w:p>
        </w:tc>
        <w:tc>
          <w:tcPr>
            <w:tcW w:w="311" w:type="pct"/>
            <w:vMerge w:val="continue"/>
            <w:vAlign w:val="center"/>
          </w:tcPr>
          <w:p w14:paraId="245F6AEF">
            <w:pPr>
              <w:spacing w:line="300" w:lineRule="exact"/>
              <w:jc w:val="center"/>
              <w:rPr>
                <w:spacing w:val="-11"/>
                <w:kern w:val="0"/>
                <w:szCs w:val="21"/>
                <w:u w:val="single"/>
              </w:rPr>
            </w:pPr>
          </w:p>
        </w:tc>
        <w:tc>
          <w:tcPr>
            <w:tcW w:w="268" w:type="pct"/>
            <w:vAlign w:val="center"/>
          </w:tcPr>
          <w:p w14:paraId="7B9605FF">
            <w:pPr>
              <w:spacing w:line="300" w:lineRule="exact"/>
              <w:jc w:val="center"/>
              <w:rPr>
                <w:spacing w:val="-11"/>
                <w:kern w:val="0"/>
                <w:szCs w:val="21"/>
                <w:u w:val="single"/>
              </w:rPr>
            </w:pPr>
            <w:r>
              <w:rPr>
                <w:rFonts w:hint="eastAsia"/>
                <w:spacing w:val="-11"/>
                <w:kern w:val="0"/>
                <w:szCs w:val="21"/>
                <w:u w:val="single"/>
              </w:rPr>
              <w:t>/</w:t>
            </w:r>
          </w:p>
        </w:tc>
        <w:tc>
          <w:tcPr>
            <w:tcW w:w="392" w:type="pct"/>
            <w:vMerge w:val="continue"/>
            <w:vAlign w:val="center"/>
          </w:tcPr>
          <w:p w14:paraId="45710A29">
            <w:pPr>
              <w:spacing w:line="300" w:lineRule="exact"/>
              <w:jc w:val="center"/>
              <w:rPr>
                <w:spacing w:val="-11"/>
                <w:kern w:val="0"/>
                <w:szCs w:val="21"/>
                <w:u w:val="single"/>
              </w:rPr>
            </w:pPr>
          </w:p>
        </w:tc>
        <w:tc>
          <w:tcPr>
            <w:tcW w:w="268" w:type="pct"/>
            <w:vAlign w:val="center"/>
          </w:tcPr>
          <w:p w14:paraId="1C9FB0EC">
            <w:pPr>
              <w:spacing w:line="300" w:lineRule="exact"/>
              <w:jc w:val="center"/>
              <w:rPr>
                <w:spacing w:val="-11"/>
                <w:kern w:val="0"/>
                <w:szCs w:val="21"/>
                <w:u w:val="single"/>
              </w:rPr>
            </w:pPr>
            <w:r>
              <w:rPr>
                <w:rFonts w:hint="eastAsia"/>
                <w:spacing w:val="-11"/>
                <w:kern w:val="0"/>
                <w:szCs w:val="21"/>
                <w:u w:val="single"/>
              </w:rPr>
              <w:t>/</w:t>
            </w:r>
          </w:p>
        </w:tc>
        <w:tc>
          <w:tcPr>
            <w:tcW w:w="292" w:type="pct"/>
            <w:vAlign w:val="center"/>
          </w:tcPr>
          <w:p w14:paraId="35530209">
            <w:pPr>
              <w:spacing w:line="300" w:lineRule="exact"/>
              <w:jc w:val="center"/>
              <w:rPr>
                <w:spacing w:val="-11"/>
                <w:kern w:val="0"/>
                <w:szCs w:val="21"/>
                <w:u w:val="single"/>
              </w:rPr>
            </w:pPr>
            <w:r>
              <w:rPr>
                <w:rFonts w:hint="eastAsia"/>
                <w:spacing w:val="-11"/>
                <w:kern w:val="0"/>
                <w:szCs w:val="21"/>
                <w:u w:val="single"/>
              </w:rPr>
              <w:t>/</w:t>
            </w:r>
          </w:p>
        </w:tc>
        <w:tc>
          <w:tcPr>
            <w:tcW w:w="407" w:type="pct"/>
            <w:vAlign w:val="center"/>
          </w:tcPr>
          <w:p w14:paraId="4C81E4DE">
            <w:pPr>
              <w:pStyle w:val="87"/>
              <w:rPr>
                <w:spacing w:val="-11"/>
                <w:szCs w:val="21"/>
                <w:u w:val="single"/>
              </w:rPr>
            </w:pPr>
            <w:r>
              <w:rPr>
                <w:rFonts w:hint="eastAsia"/>
                <w:u w:val="single"/>
              </w:rPr>
              <w:t>0.01</w:t>
            </w:r>
          </w:p>
        </w:tc>
        <w:tc>
          <w:tcPr>
            <w:tcW w:w="396" w:type="pct"/>
            <w:vAlign w:val="center"/>
          </w:tcPr>
          <w:p w14:paraId="2E35EB12">
            <w:pPr>
              <w:pStyle w:val="87"/>
              <w:rPr>
                <w:spacing w:val="-11"/>
                <w:szCs w:val="21"/>
                <w:u w:val="single"/>
              </w:rPr>
            </w:pPr>
            <w:r>
              <w:rPr>
                <w:rFonts w:hint="eastAsia"/>
                <w:u w:val="single"/>
              </w:rPr>
              <w:t>0.0063</w:t>
            </w:r>
          </w:p>
        </w:tc>
        <w:tc>
          <w:tcPr>
            <w:tcW w:w="450" w:type="pct"/>
            <w:vAlign w:val="center"/>
          </w:tcPr>
          <w:p w14:paraId="6587E3E2">
            <w:pPr>
              <w:spacing w:line="300" w:lineRule="exact"/>
              <w:jc w:val="center"/>
              <w:rPr>
                <w:spacing w:val="-11"/>
                <w:kern w:val="0"/>
                <w:szCs w:val="21"/>
                <w:u w:val="single"/>
              </w:rPr>
            </w:pPr>
            <w:r>
              <w:rPr>
                <w:rFonts w:hint="eastAsia"/>
                <w:spacing w:val="-11"/>
                <w:kern w:val="0"/>
                <w:szCs w:val="21"/>
                <w:u w:val="single"/>
              </w:rPr>
              <w:t>/</w:t>
            </w:r>
          </w:p>
        </w:tc>
        <w:tc>
          <w:tcPr>
            <w:tcW w:w="563" w:type="pct"/>
            <w:vAlign w:val="center"/>
          </w:tcPr>
          <w:p w14:paraId="293E46D8">
            <w:pPr>
              <w:spacing w:line="300" w:lineRule="exact"/>
              <w:jc w:val="center"/>
              <w:rPr>
                <w:spacing w:val="-11"/>
                <w:kern w:val="0"/>
                <w:szCs w:val="21"/>
                <w:u w:val="single"/>
              </w:rPr>
            </w:pPr>
            <w:r>
              <w:rPr>
                <w:rFonts w:hint="eastAsia"/>
                <w:spacing w:val="-11"/>
                <w:kern w:val="0"/>
                <w:szCs w:val="21"/>
                <w:u w:val="single"/>
              </w:rPr>
              <w:t>/</w:t>
            </w:r>
          </w:p>
        </w:tc>
        <w:tc>
          <w:tcPr>
            <w:tcW w:w="285" w:type="pct"/>
            <w:vMerge w:val="continue"/>
            <w:vAlign w:val="center"/>
          </w:tcPr>
          <w:p w14:paraId="55309BF7">
            <w:pPr>
              <w:spacing w:line="300" w:lineRule="exact"/>
              <w:jc w:val="center"/>
              <w:rPr>
                <w:spacing w:val="-11"/>
                <w:kern w:val="0"/>
                <w:szCs w:val="21"/>
                <w:u w:val="single"/>
              </w:rPr>
            </w:pPr>
          </w:p>
        </w:tc>
      </w:tr>
      <w:tr w14:paraId="6A273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blHeader/>
        </w:trPr>
        <w:tc>
          <w:tcPr>
            <w:tcW w:w="326" w:type="pct"/>
            <w:vMerge w:val="restart"/>
            <w:vAlign w:val="center"/>
          </w:tcPr>
          <w:p w14:paraId="51CB5EFD">
            <w:pPr>
              <w:spacing w:line="300" w:lineRule="exact"/>
              <w:jc w:val="center"/>
              <w:rPr>
                <w:spacing w:val="-11"/>
                <w:szCs w:val="21"/>
                <w:u w:val="single"/>
              </w:rPr>
            </w:pPr>
            <w:r>
              <w:rPr>
                <w:rFonts w:hint="eastAsia"/>
                <w:spacing w:val="-11"/>
                <w:szCs w:val="21"/>
                <w:u w:val="single"/>
              </w:rPr>
              <w:t>发泡</w:t>
            </w:r>
          </w:p>
        </w:tc>
        <w:tc>
          <w:tcPr>
            <w:tcW w:w="361" w:type="pct"/>
            <w:vAlign w:val="center"/>
          </w:tcPr>
          <w:p w14:paraId="0207F72A">
            <w:pPr>
              <w:spacing w:line="300" w:lineRule="exact"/>
              <w:jc w:val="center"/>
              <w:rPr>
                <w:spacing w:val="-11"/>
                <w:kern w:val="0"/>
                <w:szCs w:val="21"/>
                <w:u w:val="single"/>
              </w:rPr>
            </w:pPr>
            <w:r>
              <w:rPr>
                <w:rFonts w:hint="eastAsia"/>
                <w:u w:val="single"/>
              </w:rPr>
              <w:t>VOC</w:t>
            </w:r>
            <w:r>
              <w:rPr>
                <w:rFonts w:hint="eastAsia"/>
                <w:u w:val="single"/>
                <w:vertAlign w:val="subscript"/>
              </w:rPr>
              <w:t>S</w:t>
            </w:r>
          </w:p>
        </w:tc>
        <w:tc>
          <w:tcPr>
            <w:tcW w:w="344" w:type="pct"/>
            <w:vAlign w:val="center"/>
          </w:tcPr>
          <w:p w14:paraId="06A1C547">
            <w:pPr>
              <w:spacing w:line="300" w:lineRule="exact"/>
              <w:jc w:val="center"/>
              <w:rPr>
                <w:spacing w:val="-11"/>
                <w:kern w:val="0"/>
                <w:szCs w:val="21"/>
                <w:u w:val="single"/>
              </w:rPr>
            </w:pPr>
            <w:r>
              <w:rPr>
                <w:rFonts w:hint="eastAsia"/>
                <w:spacing w:val="-11"/>
                <w:kern w:val="0"/>
                <w:szCs w:val="21"/>
                <w:u w:val="single"/>
              </w:rPr>
              <w:t>0.36</w:t>
            </w:r>
          </w:p>
        </w:tc>
        <w:tc>
          <w:tcPr>
            <w:tcW w:w="333" w:type="pct"/>
            <w:vAlign w:val="center"/>
          </w:tcPr>
          <w:p w14:paraId="0719DF0F">
            <w:pPr>
              <w:spacing w:line="300" w:lineRule="exact"/>
              <w:jc w:val="center"/>
              <w:rPr>
                <w:spacing w:val="-11"/>
                <w:kern w:val="0"/>
                <w:szCs w:val="21"/>
                <w:u w:val="single"/>
              </w:rPr>
            </w:pPr>
            <w:r>
              <w:rPr>
                <w:rFonts w:hint="eastAsia"/>
                <w:spacing w:val="-11"/>
                <w:kern w:val="0"/>
                <w:szCs w:val="21"/>
                <w:u w:val="single"/>
              </w:rPr>
              <w:t>0.9</w:t>
            </w:r>
          </w:p>
        </w:tc>
        <w:tc>
          <w:tcPr>
            <w:tcW w:w="311" w:type="pct"/>
            <w:vMerge w:val="restart"/>
            <w:vAlign w:val="center"/>
          </w:tcPr>
          <w:p w14:paraId="068EF7A5">
            <w:pPr>
              <w:spacing w:line="300" w:lineRule="exact"/>
              <w:jc w:val="center"/>
              <w:rPr>
                <w:spacing w:val="-11"/>
                <w:kern w:val="0"/>
                <w:szCs w:val="21"/>
                <w:u w:val="single"/>
              </w:rPr>
            </w:pPr>
            <w:r>
              <w:rPr>
                <w:rFonts w:hint="eastAsia"/>
                <w:spacing w:val="-11"/>
                <w:kern w:val="0"/>
                <w:szCs w:val="21"/>
                <w:u w:val="single"/>
              </w:rPr>
              <w:t>有组织、无组织</w:t>
            </w:r>
          </w:p>
        </w:tc>
        <w:tc>
          <w:tcPr>
            <w:tcW w:w="268" w:type="pct"/>
            <w:vMerge w:val="restart"/>
            <w:vAlign w:val="center"/>
          </w:tcPr>
          <w:p w14:paraId="35BF17D0">
            <w:pPr>
              <w:spacing w:line="300" w:lineRule="exact"/>
              <w:jc w:val="center"/>
              <w:rPr>
                <w:spacing w:val="-11"/>
                <w:kern w:val="0"/>
                <w:szCs w:val="21"/>
                <w:u w:val="single"/>
              </w:rPr>
            </w:pPr>
            <w:r>
              <w:rPr>
                <w:rFonts w:hint="eastAsia"/>
                <w:spacing w:val="-11"/>
                <w:kern w:val="0"/>
                <w:szCs w:val="21"/>
                <w:u w:val="single"/>
                <w:lang w:val="en-US" w:eastAsia="zh-CN"/>
              </w:rPr>
              <w:t>3</w:t>
            </w:r>
            <w:r>
              <w:rPr>
                <w:rFonts w:hint="eastAsia"/>
                <w:spacing w:val="-11"/>
                <w:kern w:val="0"/>
                <w:szCs w:val="21"/>
                <w:u w:val="single"/>
              </w:rPr>
              <w:t>0</w:t>
            </w:r>
          </w:p>
        </w:tc>
        <w:tc>
          <w:tcPr>
            <w:tcW w:w="392" w:type="pct"/>
            <w:vMerge w:val="restart"/>
            <w:vAlign w:val="center"/>
          </w:tcPr>
          <w:p w14:paraId="7F015334">
            <w:pPr>
              <w:spacing w:line="300" w:lineRule="exact"/>
              <w:jc w:val="center"/>
              <w:rPr>
                <w:spacing w:val="-11"/>
                <w:kern w:val="0"/>
                <w:szCs w:val="21"/>
                <w:u w:val="single"/>
              </w:rPr>
            </w:pPr>
            <w:r>
              <w:rPr>
                <w:rFonts w:hint="eastAsia"/>
                <w:spacing w:val="-11"/>
                <w:kern w:val="0"/>
                <w:szCs w:val="21"/>
                <w:u w:val="single"/>
              </w:rPr>
              <w:t>二级活性炭吸附装置</w:t>
            </w:r>
          </w:p>
        </w:tc>
        <w:tc>
          <w:tcPr>
            <w:tcW w:w="268" w:type="pct"/>
            <w:vMerge w:val="restart"/>
            <w:vAlign w:val="center"/>
          </w:tcPr>
          <w:p w14:paraId="70E1DBD6">
            <w:pPr>
              <w:spacing w:line="300" w:lineRule="exact"/>
              <w:jc w:val="center"/>
              <w:rPr>
                <w:rFonts w:hint="default" w:eastAsia="宋体"/>
                <w:spacing w:val="-11"/>
                <w:kern w:val="0"/>
                <w:szCs w:val="21"/>
                <w:u w:val="single"/>
                <w:lang w:val="en-US" w:eastAsia="zh-CN"/>
              </w:rPr>
            </w:pPr>
            <w:r>
              <w:rPr>
                <w:rFonts w:hint="eastAsia"/>
                <w:spacing w:val="-11"/>
                <w:kern w:val="0"/>
                <w:szCs w:val="21"/>
                <w:u w:val="single"/>
                <w:lang w:val="en-US" w:eastAsia="zh-CN"/>
              </w:rPr>
              <w:t>75</w:t>
            </w:r>
          </w:p>
        </w:tc>
        <w:tc>
          <w:tcPr>
            <w:tcW w:w="292" w:type="pct"/>
            <w:vMerge w:val="restart"/>
            <w:vAlign w:val="center"/>
          </w:tcPr>
          <w:p w14:paraId="23BB9AF4">
            <w:pPr>
              <w:spacing w:line="300" w:lineRule="exact"/>
              <w:jc w:val="center"/>
              <w:rPr>
                <w:spacing w:val="-11"/>
                <w:kern w:val="0"/>
                <w:szCs w:val="21"/>
                <w:u w:val="single"/>
              </w:rPr>
            </w:pPr>
            <w:r>
              <w:rPr>
                <w:rFonts w:hint="eastAsia"/>
                <w:spacing w:val="-11"/>
                <w:kern w:val="0"/>
                <w:szCs w:val="21"/>
                <w:u w:val="single"/>
              </w:rPr>
              <w:t>是</w:t>
            </w:r>
          </w:p>
        </w:tc>
        <w:tc>
          <w:tcPr>
            <w:tcW w:w="1090" w:type="dxa"/>
            <w:vAlign w:val="center"/>
          </w:tcPr>
          <w:p w14:paraId="6F344001">
            <w:pPr>
              <w:spacing w:line="300" w:lineRule="exact"/>
              <w:jc w:val="center"/>
              <w:rPr>
                <w:spacing w:val="-11"/>
                <w:kern w:val="0"/>
                <w:szCs w:val="21"/>
                <w:u w:val="single"/>
              </w:rPr>
            </w:pPr>
            <w:r>
              <w:rPr>
                <w:rFonts w:hint="eastAsia"/>
                <w:spacing w:val="-11"/>
                <w:kern w:val="0"/>
                <w:szCs w:val="21"/>
                <w:u w:val="single"/>
              </w:rPr>
              <w:t>0.027</w:t>
            </w:r>
          </w:p>
        </w:tc>
        <w:tc>
          <w:tcPr>
            <w:tcW w:w="1060" w:type="dxa"/>
            <w:vAlign w:val="center"/>
          </w:tcPr>
          <w:p w14:paraId="42885D80">
            <w:pPr>
              <w:spacing w:line="300" w:lineRule="exact"/>
              <w:jc w:val="center"/>
              <w:rPr>
                <w:rFonts w:hint="default" w:eastAsia="宋体"/>
                <w:spacing w:val="-11"/>
                <w:kern w:val="0"/>
                <w:szCs w:val="21"/>
                <w:u w:val="single"/>
                <w:lang w:val="en-US" w:eastAsia="zh-CN"/>
              </w:rPr>
            </w:pPr>
            <w:r>
              <w:rPr>
                <w:rFonts w:hint="eastAsia"/>
                <w:spacing w:val="-11"/>
                <w:kern w:val="0"/>
                <w:szCs w:val="21"/>
                <w:u w:val="single"/>
              </w:rPr>
              <w:t>0.</w:t>
            </w:r>
            <w:r>
              <w:rPr>
                <w:rFonts w:hint="eastAsia"/>
                <w:spacing w:val="-11"/>
                <w:kern w:val="0"/>
                <w:szCs w:val="21"/>
                <w:u w:val="single"/>
                <w:lang w:val="en-US" w:eastAsia="zh-CN"/>
              </w:rPr>
              <w:t>0675</w:t>
            </w:r>
          </w:p>
        </w:tc>
        <w:tc>
          <w:tcPr>
            <w:tcW w:w="450" w:type="pct"/>
            <w:vAlign w:val="center"/>
          </w:tcPr>
          <w:p w14:paraId="0477CA26">
            <w:pPr>
              <w:spacing w:line="300" w:lineRule="exact"/>
              <w:jc w:val="center"/>
              <w:rPr>
                <w:rFonts w:hint="default" w:eastAsia="宋体"/>
                <w:spacing w:val="-11"/>
                <w:kern w:val="0"/>
                <w:szCs w:val="21"/>
                <w:u w:val="single"/>
                <w:lang w:val="en-US" w:eastAsia="zh-CN"/>
              </w:rPr>
            </w:pPr>
            <w:r>
              <w:rPr>
                <w:rFonts w:hint="eastAsia"/>
                <w:spacing w:val="-11"/>
                <w:kern w:val="0"/>
                <w:szCs w:val="21"/>
                <w:u w:val="single"/>
              </w:rPr>
              <w:t>0.</w:t>
            </w:r>
            <w:r>
              <w:rPr>
                <w:rFonts w:hint="eastAsia"/>
                <w:spacing w:val="-11"/>
                <w:kern w:val="0"/>
                <w:szCs w:val="21"/>
                <w:u w:val="single"/>
                <w:lang w:val="en-US" w:eastAsia="zh-CN"/>
              </w:rPr>
              <w:t>252</w:t>
            </w:r>
          </w:p>
        </w:tc>
        <w:tc>
          <w:tcPr>
            <w:tcW w:w="563" w:type="pct"/>
            <w:vAlign w:val="center"/>
          </w:tcPr>
          <w:p w14:paraId="0292D4B2">
            <w:pPr>
              <w:spacing w:line="300" w:lineRule="exact"/>
              <w:jc w:val="center"/>
              <w:rPr>
                <w:rFonts w:hint="default" w:eastAsia="宋体"/>
                <w:spacing w:val="-11"/>
                <w:kern w:val="0"/>
                <w:szCs w:val="21"/>
                <w:u w:val="single"/>
                <w:lang w:val="en-US" w:eastAsia="zh-CN"/>
              </w:rPr>
            </w:pPr>
            <w:r>
              <w:rPr>
                <w:rFonts w:hint="eastAsia"/>
                <w:spacing w:val="-11"/>
                <w:kern w:val="0"/>
                <w:szCs w:val="21"/>
                <w:u w:val="single"/>
              </w:rPr>
              <w:t>0.</w:t>
            </w:r>
            <w:r>
              <w:rPr>
                <w:rFonts w:hint="eastAsia"/>
                <w:spacing w:val="-11"/>
                <w:kern w:val="0"/>
                <w:szCs w:val="21"/>
                <w:u w:val="single"/>
                <w:lang w:val="en-US" w:eastAsia="zh-CN"/>
              </w:rPr>
              <w:t>63</w:t>
            </w:r>
          </w:p>
        </w:tc>
        <w:tc>
          <w:tcPr>
            <w:tcW w:w="285" w:type="pct"/>
            <w:vMerge w:val="restart"/>
            <w:vAlign w:val="center"/>
          </w:tcPr>
          <w:p w14:paraId="55F66FAE">
            <w:pPr>
              <w:spacing w:line="300" w:lineRule="exact"/>
              <w:jc w:val="center"/>
              <w:rPr>
                <w:spacing w:val="-11"/>
                <w:kern w:val="0"/>
                <w:szCs w:val="21"/>
                <w:u w:val="single"/>
              </w:rPr>
            </w:pPr>
            <w:r>
              <w:rPr>
                <w:rFonts w:hint="eastAsia"/>
                <w:spacing w:val="-11"/>
                <w:kern w:val="0"/>
                <w:szCs w:val="21"/>
                <w:u w:val="single"/>
              </w:rPr>
              <w:t>DA002</w:t>
            </w:r>
          </w:p>
        </w:tc>
      </w:tr>
      <w:tr w14:paraId="55274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trPr>
        <w:tc>
          <w:tcPr>
            <w:tcW w:w="326" w:type="pct"/>
            <w:vMerge w:val="continue"/>
            <w:vAlign w:val="center"/>
          </w:tcPr>
          <w:p w14:paraId="7D6F8B4D">
            <w:pPr>
              <w:spacing w:line="300" w:lineRule="exact"/>
              <w:jc w:val="center"/>
              <w:rPr>
                <w:spacing w:val="-11"/>
                <w:szCs w:val="21"/>
                <w:u w:val="single"/>
              </w:rPr>
            </w:pPr>
          </w:p>
        </w:tc>
        <w:tc>
          <w:tcPr>
            <w:tcW w:w="361" w:type="pct"/>
            <w:vAlign w:val="center"/>
          </w:tcPr>
          <w:p w14:paraId="3B4007D4">
            <w:pPr>
              <w:spacing w:line="300" w:lineRule="exact"/>
              <w:jc w:val="center"/>
              <w:rPr>
                <w:u w:val="single"/>
              </w:rPr>
            </w:pPr>
            <w:r>
              <w:rPr>
                <w:rFonts w:hint="eastAsia"/>
                <w:u w:val="single"/>
              </w:rPr>
              <w:t>苯乙烯</w:t>
            </w:r>
          </w:p>
        </w:tc>
        <w:tc>
          <w:tcPr>
            <w:tcW w:w="344" w:type="pct"/>
            <w:vAlign w:val="center"/>
          </w:tcPr>
          <w:p w14:paraId="2279176D">
            <w:pPr>
              <w:spacing w:line="300" w:lineRule="exact"/>
              <w:jc w:val="center"/>
              <w:rPr>
                <w:spacing w:val="-11"/>
                <w:kern w:val="0"/>
                <w:szCs w:val="21"/>
                <w:u w:val="single"/>
              </w:rPr>
            </w:pPr>
            <w:r>
              <w:rPr>
                <w:rFonts w:hint="eastAsia"/>
                <w:spacing w:val="-11"/>
                <w:kern w:val="0"/>
                <w:szCs w:val="21"/>
                <w:u w:val="single"/>
              </w:rPr>
              <w:t>0.072</w:t>
            </w:r>
          </w:p>
        </w:tc>
        <w:tc>
          <w:tcPr>
            <w:tcW w:w="333" w:type="pct"/>
            <w:vAlign w:val="center"/>
          </w:tcPr>
          <w:p w14:paraId="1A84680C">
            <w:pPr>
              <w:spacing w:line="300" w:lineRule="exact"/>
              <w:jc w:val="center"/>
              <w:rPr>
                <w:spacing w:val="-11"/>
                <w:kern w:val="0"/>
                <w:szCs w:val="21"/>
                <w:u w:val="single"/>
              </w:rPr>
            </w:pPr>
            <w:r>
              <w:rPr>
                <w:rFonts w:hint="eastAsia"/>
                <w:spacing w:val="-11"/>
                <w:kern w:val="0"/>
                <w:szCs w:val="21"/>
                <w:u w:val="single"/>
              </w:rPr>
              <w:t>0.18</w:t>
            </w:r>
          </w:p>
        </w:tc>
        <w:tc>
          <w:tcPr>
            <w:tcW w:w="311" w:type="pct"/>
            <w:vMerge w:val="continue"/>
            <w:vAlign w:val="center"/>
          </w:tcPr>
          <w:p w14:paraId="649857B8">
            <w:pPr>
              <w:spacing w:line="300" w:lineRule="exact"/>
              <w:jc w:val="center"/>
              <w:rPr>
                <w:spacing w:val="-11"/>
                <w:kern w:val="0"/>
                <w:szCs w:val="21"/>
                <w:u w:val="single"/>
              </w:rPr>
            </w:pPr>
          </w:p>
        </w:tc>
        <w:tc>
          <w:tcPr>
            <w:tcW w:w="268" w:type="pct"/>
            <w:vMerge w:val="continue"/>
            <w:vAlign w:val="center"/>
          </w:tcPr>
          <w:p w14:paraId="436A12FF">
            <w:pPr>
              <w:spacing w:line="300" w:lineRule="exact"/>
              <w:jc w:val="center"/>
              <w:rPr>
                <w:spacing w:val="-11"/>
                <w:kern w:val="0"/>
                <w:szCs w:val="21"/>
                <w:u w:val="single"/>
              </w:rPr>
            </w:pPr>
          </w:p>
        </w:tc>
        <w:tc>
          <w:tcPr>
            <w:tcW w:w="392" w:type="pct"/>
            <w:vMerge w:val="continue"/>
            <w:vAlign w:val="center"/>
          </w:tcPr>
          <w:p w14:paraId="5767A2B7">
            <w:pPr>
              <w:spacing w:line="300" w:lineRule="exact"/>
              <w:jc w:val="center"/>
              <w:rPr>
                <w:spacing w:val="-11"/>
                <w:kern w:val="0"/>
                <w:szCs w:val="21"/>
                <w:u w:val="single"/>
              </w:rPr>
            </w:pPr>
          </w:p>
        </w:tc>
        <w:tc>
          <w:tcPr>
            <w:tcW w:w="268" w:type="pct"/>
            <w:vMerge w:val="continue"/>
            <w:vAlign w:val="center"/>
          </w:tcPr>
          <w:p w14:paraId="3DDA3DC4">
            <w:pPr>
              <w:spacing w:line="300" w:lineRule="exact"/>
              <w:jc w:val="center"/>
              <w:rPr>
                <w:spacing w:val="-11"/>
                <w:kern w:val="0"/>
                <w:szCs w:val="21"/>
                <w:u w:val="single"/>
              </w:rPr>
            </w:pPr>
          </w:p>
        </w:tc>
        <w:tc>
          <w:tcPr>
            <w:tcW w:w="292" w:type="pct"/>
            <w:vMerge w:val="continue"/>
            <w:vAlign w:val="center"/>
          </w:tcPr>
          <w:p w14:paraId="788068A2">
            <w:pPr>
              <w:spacing w:line="300" w:lineRule="exact"/>
              <w:jc w:val="center"/>
              <w:rPr>
                <w:spacing w:val="-11"/>
                <w:kern w:val="0"/>
                <w:szCs w:val="21"/>
                <w:u w:val="single"/>
              </w:rPr>
            </w:pPr>
          </w:p>
        </w:tc>
        <w:tc>
          <w:tcPr>
            <w:tcW w:w="1090" w:type="dxa"/>
            <w:vAlign w:val="center"/>
          </w:tcPr>
          <w:p w14:paraId="713B0649">
            <w:pPr>
              <w:spacing w:line="300" w:lineRule="exact"/>
              <w:jc w:val="center"/>
              <w:rPr>
                <w:rFonts w:hint="default" w:eastAsia="宋体"/>
                <w:spacing w:val="-11"/>
                <w:kern w:val="0"/>
                <w:szCs w:val="21"/>
                <w:u w:val="single"/>
                <w:lang w:val="en-US" w:eastAsia="zh-CN"/>
              </w:rPr>
            </w:pPr>
            <w:r>
              <w:rPr>
                <w:rFonts w:hint="eastAsia"/>
                <w:spacing w:val="-11"/>
                <w:kern w:val="0"/>
                <w:szCs w:val="21"/>
                <w:u w:val="single"/>
              </w:rPr>
              <w:t>0.0</w:t>
            </w:r>
            <w:r>
              <w:rPr>
                <w:rFonts w:hint="eastAsia"/>
                <w:spacing w:val="-11"/>
                <w:kern w:val="0"/>
                <w:szCs w:val="21"/>
                <w:u w:val="single"/>
                <w:lang w:val="en-US" w:eastAsia="zh-CN"/>
              </w:rPr>
              <w:t>05</w:t>
            </w:r>
          </w:p>
        </w:tc>
        <w:tc>
          <w:tcPr>
            <w:tcW w:w="1060" w:type="dxa"/>
            <w:vAlign w:val="center"/>
          </w:tcPr>
          <w:p w14:paraId="006D0D0B">
            <w:pPr>
              <w:spacing w:line="300" w:lineRule="exact"/>
              <w:jc w:val="center"/>
              <w:rPr>
                <w:rFonts w:hint="default" w:eastAsia="宋体"/>
                <w:spacing w:val="-11"/>
                <w:kern w:val="0"/>
                <w:szCs w:val="21"/>
                <w:u w:val="single"/>
                <w:lang w:val="en-US" w:eastAsia="zh-CN"/>
              </w:rPr>
            </w:pPr>
            <w:r>
              <w:rPr>
                <w:rFonts w:hint="eastAsia"/>
                <w:spacing w:val="-11"/>
                <w:kern w:val="0"/>
                <w:szCs w:val="21"/>
                <w:u w:val="single"/>
              </w:rPr>
              <w:t>0.0</w:t>
            </w:r>
            <w:r>
              <w:rPr>
                <w:rFonts w:hint="eastAsia"/>
                <w:spacing w:val="-11"/>
                <w:kern w:val="0"/>
                <w:szCs w:val="21"/>
                <w:u w:val="single"/>
                <w:lang w:val="en-US" w:eastAsia="zh-CN"/>
              </w:rPr>
              <w:t>125</w:t>
            </w:r>
          </w:p>
        </w:tc>
        <w:tc>
          <w:tcPr>
            <w:tcW w:w="450" w:type="pct"/>
            <w:vAlign w:val="center"/>
          </w:tcPr>
          <w:p w14:paraId="729A0F79">
            <w:pPr>
              <w:spacing w:line="300" w:lineRule="exact"/>
              <w:jc w:val="center"/>
              <w:rPr>
                <w:rFonts w:hint="default" w:eastAsia="宋体"/>
                <w:spacing w:val="-11"/>
                <w:kern w:val="0"/>
                <w:szCs w:val="21"/>
                <w:u w:val="single"/>
                <w:lang w:val="en-US" w:eastAsia="zh-CN"/>
              </w:rPr>
            </w:pPr>
            <w:r>
              <w:rPr>
                <w:rFonts w:hint="eastAsia"/>
                <w:spacing w:val="-11"/>
                <w:kern w:val="0"/>
                <w:szCs w:val="21"/>
                <w:u w:val="single"/>
              </w:rPr>
              <w:t>0.0</w:t>
            </w:r>
            <w:r>
              <w:rPr>
                <w:rFonts w:hint="eastAsia"/>
                <w:spacing w:val="-11"/>
                <w:kern w:val="0"/>
                <w:szCs w:val="21"/>
                <w:u w:val="single"/>
                <w:lang w:val="en-US" w:eastAsia="zh-CN"/>
              </w:rPr>
              <w:t>50</w:t>
            </w:r>
          </w:p>
        </w:tc>
        <w:tc>
          <w:tcPr>
            <w:tcW w:w="563" w:type="pct"/>
            <w:vAlign w:val="center"/>
          </w:tcPr>
          <w:p w14:paraId="1B5082CE">
            <w:pPr>
              <w:spacing w:line="300" w:lineRule="exact"/>
              <w:jc w:val="center"/>
              <w:rPr>
                <w:rFonts w:hint="default" w:eastAsia="宋体"/>
                <w:spacing w:val="-11"/>
                <w:kern w:val="0"/>
                <w:szCs w:val="21"/>
                <w:u w:val="single"/>
                <w:lang w:val="en-US" w:eastAsia="zh-CN"/>
              </w:rPr>
            </w:pPr>
            <w:r>
              <w:rPr>
                <w:rFonts w:hint="eastAsia"/>
                <w:spacing w:val="-11"/>
                <w:kern w:val="0"/>
                <w:szCs w:val="21"/>
                <w:u w:val="single"/>
              </w:rPr>
              <w:t>0.</w:t>
            </w:r>
            <w:r>
              <w:rPr>
                <w:rFonts w:hint="eastAsia"/>
                <w:spacing w:val="-11"/>
                <w:kern w:val="0"/>
                <w:szCs w:val="21"/>
                <w:u w:val="single"/>
                <w:lang w:val="en-US" w:eastAsia="zh-CN"/>
              </w:rPr>
              <w:t>125</w:t>
            </w:r>
          </w:p>
        </w:tc>
        <w:tc>
          <w:tcPr>
            <w:tcW w:w="285" w:type="pct"/>
            <w:vMerge w:val="continue"/>
            <w:vAlign w:val="center"/>
          </w:tcPr>
          <w:p w14:paraId="7AB6E2C9">
            <w:pPr>
              <w:spacing w:line="300" w:lineRule="exact"/>
              <w:jc w:val="center"/>
              <w:rPr>
                <w:spacing w:val="-11"/>
                <w:kern w:val="0"/>
                <w:szCs w:val="21"/>
                <w:u w:val="single"/>
              </w:rPr>
            </w:pPr>
          </w:p>
        </w:tc>
      </w:tr>
      <w:tr w14:paraId="321DD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blHeader/>
        </w:trPr>
        <w:tc>
          <w:tcPr>
            <w:tcW w:w="326" w:type="pct"/>
            <w:vAlign w:val="center"/>
          </w:tcPr>
          <w:p w14:paraId="5E661F09">
            <w:pPr>
              <w:spacing w:line="300" w:lineRule="exact"/>
              <w:jc w:val="center"/>
              <w:rPr>
                <w:spacing w:val="-11"/>
                <w:szCs w:val="21"/>
                <w:u w:val="single"/>
              </w:rPr>
            </w:pPr>
            <w:r>
              <w:rPr>
                <w:rFonts w:hint="eastAsia"/>
                <w:spacing w:val="-11"/>
                <w:szCs w:val="21"/>
                <w:u w:val="single"/>
              </w:rPr>
              <w:t>切割</w:t>
            </w:r>
          </w:p>
        </w:tc>
        <w:tc>
          <w:tcPr>
            <w:tcW w:w="361" w:type="pct"/>
            <w:shd w:val="clear" w:color="auto" w:fill="auto"/>
            <w:vAlign w:val="center"/>
          </w:tcPr>
          <w:p w14:paraId="0EC175BD">
            <w:pPr>
              <w:spacing w:line="300" w:lineRule="exact"/>
              <w:jc w:val="center"/>
              <w:rPr>
                <w:spacing w:val="-11"/>
                <w:kern w:val="0"/>
                <w:szCs w:val="21"/>
                <w:u w:val="single"/>
              </w:rPr>
            </w:pPr>
            <w:r>
              <w:rPr>
                <w:rFonts w:hint="eastAsia"/>
                <w:u w:val="single"/>
              </w:rPr>
              <w:t>VOC</w:t>
            </w:r>
            <w:r>
              <w:rPr>
                <w:rFonts w:hint="eastAsia"/>
                <w:u w:val="single"/>
                <w:vertAlign w:val="subscript"/>
              </w:rPr>
              <w:t>S</w:t>
            </w:r>
          </w:p>
        </w:tc>
        <w:tc>
          <w:tcPr>
            <w:tcW w:w="344" w:type="pct"/>
            <w:shd w:val="clear" w:color="auto" w:fill="auto"/>
            <w:vAlign w:val="center"/>
          </w:tcPr>
          <w:p w14:paraId="2ECE827E">
            <w:pPr>
              <w:spacing w:line="300" w:lineRule="exact"/>
              <w:jc w:val="center"/>
              <w:rPr>
                <w:spacing w:val="-11"/>
                <w:kern w:val="0"/>
                <w:szCs w:val="21"/>
                <w:u w:val="single"/>
              </w:rPr>
            </w:pPr>
            <w:r>
              <w:rPr>
                <w:rFonts w:hint="eastAsia"/>
                <w:spacing w:val="-11"/>
                <w:kern w:val="0"/>
                <w:szCs w:val="21"/>
                <w:u w:val="single"/>
              </w:rPr>
              <w:t>0.0013</w:t>
            </w:r>
          </w:p>
        </w:tc>
        <w:tc>
          <w:tcPr>
            <w:tcW w:w="333" w:type="pct"/>
            <w:shd w:val="clear" w:color="auto" w:fill="auto"/>
            <w:vAlign w:val="center"/>
          </w:tcPr>
          <w:p w14:paraId="4370E368">
            <w:pPr>
              <w:spacing w:line="300" w:lineRule="exact"/>
              <w:jc w:val="center"/>
              <w:rPr>
                <w:spacing w:val="-11"/>
                <w:kern w:val="0"/>
                <w:szCs w:val="21"/>
                <w:u w:val="single"/>
              </w:rPr>
            </w:pPr>
            <w:r>
              <w:rPr>
                <w:rFonts w:hint="eastAsia"/>
                <w:spacing w:val="-11"/>
                <w:kern w:val="0"/>
                <w:szCs w:val="21"/>
                <w:u w:val="single"/>
              </w:rPr>
              <w:t>0.0011</w:t>
            </w:r>
          </w:p>
        </w:tc>
        <w:tc>
          <w:tcPr>
            <w:tcW w:w="311" w:type="pct"/>
            <w:shd w:val="clear" w:color="auto" w:fill="auto"/>
            <w:vAlign w:val="center"/>
          </w:tcPr>
          <w:p w14:paraId="5CD0D922">
            <w:pPr>
              <w:spacing w:line="300" w:lineRule="exact"/>
              <w:jc w:val="center"/>
              <w:rPr>
                <w:spacing w:val="-11"/>
                <w:kern w:val="0"/>
                <w:szCs w:val="21"/>
                <w:u w:val="single"/>
              </w:rPr>
            </w:pPr>
            <w:r>
              <w:rPr>
                <w:rFonts w:hint="eastAsia"/>
                <w:spacing w:val="-11"/>
                <w:kern w:val="0"/>
                <w:szCs w:val="21"/>
                <w:u w:val="single"/>
              </w:rPr>
              <w:t>有组织、无组织</w:t>
            </w:r>
          </w:p>
        </w:tc>
        <w:tc>
          <w:tcPr>
            <w:tcW w:w="268" w:type="pct"/>
            <w:shd w:val="clear" w:color="auto" w:fill="auto"/>
            <w:vAlign w:val="center"/>
          </w:tcPr>
          <w:p w14:paraId="5326CAB6">
            <w:pPr>
              <w:spacing w:line="300" w:lineRule="exact"/>
              <w:jc w:val="center"/>
              <w:rPr>
                <w:rFonts w:hint="default" w:eastAsia="宋体"/>
                <w:spacing w:val="-11"/>
                <w:kern w:val="0"/>
                <w:szCs w:val="21"/>
                <w:u w:val="single"/>
                <w:lang w:val="en-US" w:eastAsia="zh-CN"/>
              </w:rPr>
            </w:pPr>
            <w:r>
              <w:rPr>
                <w:rFonts w:hint="eastAsia"/>
                <w:spacing w:val="-11"/>
                <w:kern w:val="0"/>
                <w:szCs w:val="21"/>
                <w:u w:val="single"/>
                <w:lang w:val="en-US" w:eastAsia="zh-CN"/>
              </w:rPr>
              <w:t>30</w:t>
            </w:r>
          </w:p>
        </w:tc>
        <w:tc>
          <w:tcPr>
            <w:tcW w:w="392" w:type="pct"/>
            <w:shd w:val="clear" w:color="auto" w:fill="auto"/>
            <w:vAlign w:val="center"/>
          </w:tcPr>
          <w:p w14:paraId="123B8E66">
            <w:pPr>
              <w:spacing w:line="300" w:lineRule="exact"/>
              <w:jc w:val="center"/>
              <w:rPr>
                <w:spacing w:val="-11"/>
                <w:kern w:val="0"/>
                <w:szCs w:val="21"/>
                <w:u w:val="single"/>
              </w:rPr>
            </w:pPr>
            <w:r>
              <w:rPr>
                <w:rFonts w:hint="eastAsia"/>
                <w:spacing w:val="-11"/>
                <w:kern w:val="0"/>
                <w:szCs w:val="21"/>
                <w:u w:val="single"/>
              </w:rPr>
              <w:t>二级活性炭吸附装置</w:t>
            </w:r>
          </w:p>
        </w:tc>
        <w:tc>
          <w:tcPr>
            <w:tcW w:w="268" w:type="pct"/>
            <w:shd w:val="clear" w:color="auto" w:fill="auto"/>
            <w:vAlign w:val="center"/>
          </w:tcPr>
          <w:p w14:paraId="11D29036">
            <w:pPr>
              <w:spacing w:line="300" w:lineRule="exact"/>
              <w:jc w:val="center"/>
              <w:rPr>
                <w:rFonts w:hint="default" w:eastAsia="宋体"/>
                <w:spacing w:val="-11"/>
                <w:kern w:val="0"/>
                <w:szCs w:val="21"/>
                <w:u w:val="single"/>
                <w:lang w:val="en-US" w:eastAsia="zh-CN"/>
              </w:rPr>
            </w:pPr>
            <w:r>
              <w:rPr>
                <w:rFonts w:hint="eastAsia"/>
                <w:spacing w:val="-11"/>
                <w:kern w:val="0"/>
                <w:szCs w:val="21"/>
                <w:u w:val="single"/>
                <w:lang w:val="en-US" w:eastAsia="zh-CN"/>
              </w:rPr>
              <w:t>75</w:t>
            </w:r>
          </w:p>
        </w:tc>
        <w:tc>
          <w:tcPr>
            <w:tcW w:w="292" w:type="pct"/>
            <w:shd w:val="clear" w:color="auto" w:fill="auto"/>
            <w:vAlign w:val="center"/>
          </w:tcPr>
          <w:p w14:paraId="55F32116">
            <w:pPr>
              <w:spacing w:line="300" w:lineRule="exact"/>
              <w:jc w:val="center"/>
              <w:rPr>
                <w:spacing w:val="-11"/>
                <w:kern w:val="0"/>
                <w:szCs w:val="21"/>
                <w:u w:val="single"/>
              </w:rPr>
            </w:pPr>
            <w:r>
              <w:rPr>
                <w:rFonts w:hint="eastAsia"/>
                <w:spacing w:val="-11"/>
                <w:kern w:val="0"/>
                <w:szCs w:val="21"/>
                <w:u w:val="single"/>
              </w:rPr>
              <w:t>是</w:t>
            </w:r>
          </w:p>
        </w:tc>
        <w:tc>
          <w:tcPr>
            <w:tcW w:w="407" w:type="pct"/>
            <w:shd w:val="clear" w:color="auto" w:fill="auto"/>
            <w:vAlign w:val="center"/>
          </w:tcPr>
          <w:p w14:paraId="6B492F0B">
            <w:pPr>
              <w:spacing w:line="300" w:lineRule="exact"/>
              <w:jc w:val="center"/>
              <w:rPr>
                <w:rFonts w:hint="eastAsia" w:ascii="Times New Roman" w:hAnsi="Times New Roman" w:eastAsia="宋体" w:cs="Times New Roman"/>
                <w:spacing w:val="-11"/>
                <w:kern w:val="0"/>
                <w:szCs w:val="21"/>
                <w:u w:val="single"/>
                <w:lang w:eastAsia="zh-CN"/>
              </w:rPr>
            </w:pPr>
            <w:r>
              <w:rPr>
                <w:rFonts w:hint="eastAsia" w:ascii="Times New Roman" w:hAnsi="Times New Roman" w:eastAsia="宋体" w:cs="Times New Roman"/>
                <w:spacing w:val="0"/>
                <w:kern w:val="0"/>
                <w:sz w:val="21"/>
                <w:szCs w:val="21"/>
                <w:u w:val="single"/>
              </w:rPr>
              <w:t>0.000</w:t>
            </w:r>
            <w:r>
              <w:rPr>
                <w:rFonts w:hint="eastAsia" w:ascii="Times New Roman" w:hAnsi="Times New Roman" w:eastAsia="宋体" w:cs="Times New Roman"/>
                <w:spacing w:val="0"/>
                <w:kern w:val="0"/>
                <w:sz w:val="21"/>
                <w:szCs w:val="21"/>
                <w:u w:val="single"/>
                <w:lang w:val="en-US" w:eastAsia="zh-CN"/>
              </w:rPr>
              <w:t>1</w:t>
            </w:r>
          </w:p>
        </w:tc>
        <w:tc>
          <w:tcPr>
            <w:tcW w:w="396" w:type="pct"/>
            <w:shd w:val="clear" w:color="auto" w:fill="auto"/>
            <w:vAlign w:val="center"/>
          </w:tcPr>
          <w:p w14:paraId="719EA1F8">
            <w:pPr>
              <w:spacing w:line="300" w:lineRule="exact"/>
              <w:jc w:val="center"/>
              <w:rPr>
                <w:rFonts w:hint="default" w:ascii="Times New Roman" w:hAnsi="Times New Roman" w:eastAsia="宋体" w:cs="Times New Roman"/>
                <w:spacing w:val="-11"/>
                <w:kern w:val="0"/>
                <w:szCs w:val="21"/>
                <w:u w:val="single"/>
                <w:lang w:val="en-US" w:eastAsia="zh-CN"/>
              </w:rPr>
            </w:pPr>
            <w:r>
              <w:rPr>
                <w:rFonts w:hint="eastAsia" w:ascii="Times New Roman" w:hAnsi="Times New Roman" w:eastAsia="宋体" w:cs="Times New Roman"/>
                <w:spacing w:val="0"/>
                <w:kern w:val="0"/>
                <w:sz w:val="21"/>
                <w:szCs w:val="21"/>
                <w:u w:val="single"/>
              </w:rPr>
              <w:t>0.000</w:t>
            </w:r>
            <w:r>
              <w:rPr>
                <w:rFonts w:hint="eastAsia" w:ascii="Times New Roman" w:hAnsi="Times New Roman" w:eastAsia="宋体" w:cs="Times New Roman"/>
                <w:spacing w:val="0"/>
                <w:kern w:val="0"/>
                <w:sz w:val="21"/>
                <w:szCs w:val="21"/>
                <w:u w:val="single"/>
                <w:lang w:val="en-US" w:eastAsia="zh-CN"/>
              </w:rPr>
              <w:t>08</w:t>
            </w:r>
          </w:p>
        </w:tc>
        <w:tc>
          <w:tcPr>
            <w:tcW w:w="450" w:type="pct"/>
            <w:shd w:val="clear" w:color="auto" w:fill="auto"/>
            <w:vAlign w:val="center"/>
          </w:tcPr>
          <w:p w14:paraId="6DB8935D">
            <w:pPr>
              <w:spacing w:line="300" w:lineRule="exact"/>
              <w:jc w:val="center"/>
              <w:rPr>
                <w:rFonts w:hint="eastAsia" w:eastAsia="宋体"/>
                <w:spacing w:val="0"/>
                <w:kern w:val="0"/>
                <w:sz w:val="21"/>
                <w:szCs w:val="21"/>
                <w:u w:val="single"/>
                <w:lang w:eastAsia="zh-CN"/>
              </w:rPr>
            </w:pPr>
            <w:r>
              <w:rPr>
                <w:rFonts w:hint="eastAsia"/>
                <w:spacing w:val="0"/>
                <w:kern w:val="0"/>
                <w:sz w:val="21"/>
                <w:szCs w:val="21"/>
                <w:u w:val="single"/>
              </w:rPr>
              <w:t>0.000</w:t>
            </w:r>
            <w:r>
              <w:rPr>
                <w:rFonts w:hint="eastAsia"/>
                <w:spacing w:val="0"/>
                <w:kern w:val="0"/>
                <w:sz w:val="21"/>
                <w:szCs w:val="21"/>
                <w:u w:val="single"/>
                <w:lang w:val="en-US" w:eastAsia="zh-CN"/>
              </w:rPr>
              <w:t>9</w:t>
            </w:r>
          </w:p>
        </w:tc>
        <w:tc>
          <w:tcPr>
            <w:tcW w:w="563" w:type="pct"/>
            <w:shd w:val="clear" w:color="auto" w:fill="auto"/>
            <w:vAlign w:val="center"/>
          </w:tcPr>
          <w:p w14:paraId="5CFA42C1">
            <w:pPr>
              <w:spacing w:line="300" w:lineRule="exact"/>
              <w:jc w:val="center"/>
              <w:rPr>
                <w:rFonts w:hint="default" w:eastAsia="宋体"/>
                <w:spacing w:val="0"/>
                <w:kern w:val="0"/>
                <w:sz w:val="21"/>
                <w:szCs w:val="21"/>
                <w:u w:val="single"/>
                <w:lang w:val="en-US" w:eastAsia="zh-CN"/>
              </w:rPr>
            </w:pPr>
            <w:r>
              <w:rPr>
                <w:rFonts w:hint="eastAsia"/>
                <w:spacing w:val="0"/>
                <w:kern w:val="0"/>
                <w:sz w:val="21"/>
                <w:szCs w:val="21"/>
                <w:u w:val="single"/>
              </w:rPr>
              <w:t>0.000</w:t>
            </w:r>
            <w:r>
              <w:rPr>
                <w:rFonts w:hint="eastAsia"/>
                <w:spacing w:val="0"/>
                <w:kern w:val="0"/>
                <w:sz w:val="21"/>
                <w:szCs w:val="21"/>
                <w:u w:val="single"/>
                <w:lang w:val="en-US" w:eastAsia="zh-CN"/>
              </w:rPr>
              <w:t>75</w:t>
            </w:r>
          </w:p>
        </w:tc>
        <w:tc>
          <w:tcPr>
            <w:tcW w:w="285" w:type="pct"/>
            <w:shd w:val="clear" w:color="auto" w:fill="auto"/>
            <w:vAlign w:val="center"/>
          </w:tcPr>
          <w:p w14:paraId="07DFDC94">
            <w:pPr>
              <w:spacing w:line="300" w:lineRule="exact"/>
              <w:jc w:val="center"/>
              <w:rPr>
                <w:spacing w:val="-11"/>
                <w:kern w:val="0"/>
                <w:szCs w:val="21"/>
                <w:u w:val="single"/>
              </w:rPr>
            </w:pPr>
            <w:r>
              <w:rPr>
                <w:rFonts w:hint="eastAsia"/>
                <w:spacing w:val="-11"/>
                <w:kern w:val="0"/>
                <w:szCs w:val="21"/>
                <w:u w:val="single"/>
              </w:rPr>
              <w:t>DA002</w:t>
            </w:r>
          </w:p>
        </w:tc>
      </w:tr>
      <w:tr w14:paraId="57B73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blHeader/>
        </w:trPr>
        <w:tc>
          <w:tcPr>
            <w:tcW w:w="326" w:type="pct"/>
            <w:vAlign w:val="center"/>
          </w:tcPr>
          <w:p w14:paraId="3D5769B0">
            <w:pPr>
              <w:spacing w:line="300" w:lineRule="exact"/>
              <w:jc w:val="center"/>
              <w:rPr>
                <w:spacing w:val="-11"/>
                <w:szCs w:val="21"/>
                <w:u w:val="single"/>
              </w:rPr>
            </w:pPr>
            <w:r>
              <w:rPr>
                <w:rFonts w:hint="eastAsia"/>
                <w:spacing w:val="-11"/>
                <w:szCs w:val="21"/>
                <w:u w:val="single"/>
              </w:rPr>
              <w:t>熔炼</w:t>
            </w:r>
          </w:p>
        </w:tc>
        <w:tc>
          <w:tcPr>
            <w:tcW w:w="361" w:type="pct"/>
            <w:vAlign w:val="center"/>
          </w:tcPr>
          <w:p w14:paraId="5D7E48D2">
            <w:pPr>
              <w:spacing w:line="300" w:lineRule="exact"/>
              <w:jc w:val="center"/>
              <w:rPr>
                <w:spacing w:val="-11"/>
                <w:kern w:val="0"/>
                <w:szCs w:val="21"/>
                <w:u w:val="single"/>
              </w:rPr>
            </w:pPr>
            <w:r>
              <w:rPr>
                <w:rFonts w:hint="eastAsia"/>
                <w:spacing w:val="-11"/>
                <w:kern w:val="0"/>
                <w:szCs w:val="21"/>
                <w:u w:val="single"/>
              </w:rPr>
              <w:t>颗粒物</w:t>
            </w:r>
          </w:p>
        </w:tc>
        <w:tc>
          <w:tcPr>
            <w:tcW w:w="344" w:type="pct"/>
            <w:vAlign w:val="center"/>
          </w:tcPr>
          <w:p w14:paraId="50BC8FDB">
            <w:pPr>
              <w:spacing w:line="300" w:lineRule="exact"/>
              <w:jc w:val="center"/>
              <w:rPr>
                <w:spacing w:val="-11"/>
                <w:kern w:val="0"/>
                <w:szCs w:val="21"/>
                <w:u w:val="single"/>
              </w:rPr>
            </w:pPr>
            <w:r>
              <w:rPr>
                <w:rFonts w:hint="eastAsia"/>
                <w:spacing w:val="-11"/>
                <w:kern w:val="0"/>
                <w:szCs w:val="21"/>
                <w:u w:val="single"/>
              </w:rPr>
              <w:t>2.395</w:t>
            </w:r>
          </w:p>
        </w:tc>
        <w:tc>
          <w:tcPr>
            <w:tcW w:w="333" w:type="pct"/>
            <w:vAlign w:val="center"/>
          </w:tcPr>
          <w:p w14:paraId="6CE7B027">
            <w:pPr>
              <w:spacing w:line="300" w:lineRule="exact"/>
              <w:jc w:val="center"/>
              <w:rPr>
                <w:spacing w:val="-11"/>
                <w:kern w:val="0"/>
                <w:szCs w:val="21"/>
                <w:u w:val="single"/>
              </w:rPr>
            </w:pPr>
            <w:r>
              <w:rPr>
                <w:rFonts w:hint="eastAsia"/>
                <w:spacing w:val="-11"/>
                <w:kern w:val="0"/>
                <w:szCs w:val="21"/>
                <w:u w:val="single"/>
              </w:rPr>
              <w:t>0.998</w:t>
            </w:r>
          </w:p>
        </w:tc>
        <w:tc>
          <w:tcPr>
            <w:tcW w:w="311" w:type="pct"/>
            <w:vAlign w:val="center"/>
          </w:tcPr>
          <w:p w14:paraId="0F5DC214">
            <w:pPr>
              <w:spacing w:line="300" w:lineRule="exact"/>
              <w:jc w:val="center"/>
              <w:rPr>
                <w:spacing w:val="-11"/>
                <w:kern w:val="0"/>
                <w:szCs w:val="21"/>
                <w:u w:val="single"/>
              </w:rPr>
            </w:pPr>
            <w:r>
              <w:rPr>
                <w:rFonts w:hint="eastAsia"/>
                <w:spacing w:val="-11"/>
                <w:kern w:val="0"/>
                <w:szCs w:val="21"/>
                <w:u w:val="single"/>
              </w:rPr>
              <w:t>有组织、无组织</w:t>
            </w:r>
          </w:p>
        </w:tc>
        <w:tc>
          <w:tcPr>
            <w:tcW w:w="268" w:type="pct"/>
            <w:vAlign w:val="center"/>
          </w:tcPr>
          <w:p w14:paraId="1AEB4120">
            <w:pPr>
              <w:spacing w:line="300" w:lineRule="exact"/>
              <w:jc w:val="center"/>
              <w:rPr>
                <w:spacing w:val="-11"/>
                <w:kern w:val="0"/>
                <w:szCs w:val="21"/>
                <w:u w:val="single"/>
              </w:rPr>
            </w:pPr>
            <w:r>
              <w:rPr>
                <w:rFonts w:hint="eastAsia"/>
                <w:spacing w:val="-11"/>
                <w:kern w:val="0"/>
                <w:szCs w:val="21"/>
                <w:u w:val="single"/>
              </w:rPr>
              <w:t>80</w:t>
            </w:r>
          </w:p>
        </w:tc>
        <w:tc>
          <w:tcPr>
            <w:tcW w:w="392" w:type="pct"/>
            <w:vAlign w:val="center"/>
          </w:tcPr>
          <w:p w14:paraId="4E2E2385">
            <w:pPr>
              <w:spacing w:line="300" w:lineRule="exact"/>
              <w:jc w:val="center"/>
              <w:rPr>
                <w:spacing w:val="-11"/>
                <w:kern w:val="0"/>
                <w:szCs w:val="21"/>
                <w:u w:val="single"/>
              </w:rPr>
            </w:pPr>
            <w:r>
              <w:rPr>
                <w:rFonts w:hint="eastAsia"/>
                <w:spacing w:val="-11"/>
                <w:kern w:val="0"/>
                <w:szCs w:val="21"/>
                <w:u w:val="single"/>
              </w:rPr>
              <w:t>高温布袋除尘器</w:t>
            </w:r>
          </w:p>
        </w:tc>
        <w:tc>
          <w:tcPr>
            <w:tcW w:w="268" w:type="pct"/>
            <w:vAlign w:val="center"/>
          </w:tcPr>
          <w:p w14:paraId="5B157650">
            <w:pPr>
              <w:spacing w:line="300" w:lineRule="exact"/>
              <w:jc w:val="center"/>
              <w:rPr>
                <w:spacing w:val="-11"/>
                <w:kern w:val="0"/>
                <w:szCs w:val="21"/>
                <w:u w:val="single"/>
              </w:rPr>
            </w:pPr>
            <w:r>
              <w:rPr>
                <w:rFonts w:hint="eastAsia"/>
                <w:spacing w:val="-11"/>
                <w:kern w:val="0"/>
                <w:szCs w:val="21"/>
                <w:u w:val="single"/>
              </w:rPr>
              <w:t>95</w:t>
            </w:r>
          </w:p>
        </w:tc>
        <w:tc>
          <w:tcPr>
            <w:tcW w:w="292" w:type="pct"/>
            <w:vAlign w:val="center"/>
          </w:tcPr>
          <w:p w14:paraId="6168C276">
            <w:pPr>
              <w:spacing w:line="300" w:lineRule="exact"/>
              <w:jc w:val="center"/>
              <w:rPr>
                <w:spacing w:val="-11"/>
                <w:kern w:val="0"/>
                <w:szCs w:val="21"/>
                <w:u w:val="single"/>
              </w:rPr>
            </w:pPr>
            <w:r>
              <w:rPr>
                <w:rFonts w:hint="eastAsia"/>
                <w:spacing w:val="-11"/>
                <w:kern w:val="0"/>
                <w:szCs w:val="21"/>
                <w:u w:val="single"/>
              </w:rPr>
              <w:t>是</w:t>
            </w:r>
          </w:p>
        </w:tc>
        <w:tc>
          <w:tcPr>
            <w:tcW w:w="407" w:type="pct"/>
            <w:vAlign w:val="center"/>
          </w:tcPr>
          <w:p w14:paraId="0AF91C2F">
            <w:pPr>
              <w:spacing w:line="300" w:lineRule="exact"/>
              <w:jc w:val="center"/>
              <w:rPr>
                <w:spacing w:val="-11"/>
                <w:kern w:val="0"/>
                <w:szCs w:val="21"/>
                <w:u w:val="single"/>
              </w:rPr>
            </w:pPr>
            <w:r>
              <w:rPr>
                <w:rFonts w:hint="eastAsia"/>
                <w:spacing w:val="-11"/>
                <w:kern w:val="0"/>
                <w:szCs w:val="21"/>
                <w:u w:val="single"/>
              </w:rPr>
              <w:t>0.096</w:t>
            </w:r>
          </w:p>
        </w:tc>
        <w:tc>
          <w:tcPr>
            <w:tcW w:w="396" w:type="pct"/>
            <w:vAlign w:val="center"/>
          </w:tcPr>
          <w:p w14:paraId="11BAFF75">
            <w:pPr>
              <w:spacing w:line="300" w:lineRule="exact"/>
              <w:jc w:val="center"/>
              <w:rPr>
                <w:spacing w:val="-11"/>
                <w:kern w:val="0"/>
                <w:szCs w:val="21"/>
                <w:u w:val="single"/>
              </w:rPr>
            </w:pPr>
            <w:r>
              <w:rPr>
                <w:rFonts w:hint="eastAsia"/>
                <w:spacing w:val="-11"/>
                <w:kern w:val="0"/>
                <w:szCs w:val="21"/>
                <w:u w:val="single"/>
              </w:rPr>
              <w:t>0.04</w:t>
            </w:r>
          </w:p>
        </w:tc>
        <w:tc>
          <w:tcPr>
            <w:tcW w:w="450" w:type="pct"/>
            <w:vAlign w:val="center"/>
          </w:tcPr>
          <w:p w14:paraId="4DE6F0D0">
            <w:pPr>
              <w:spacing w:line="300" w:lineRule="exact"/>
              <w:jc w:val="center"/>
              <w:rPr>
                <w:spacing w:val="-11"/>
                <w:kern w:val="0"/>
                <w:szCs w:val="21"/>
                <w:u w:val="single"/>
              </w:rPr>
            </w:pPr>
            <w:r>
              <w:rPr>
                <w:rFonts w:hint="eastAsia"/>
                <w:spacing w:val="-11"/>
                <w:kern w:val="0"/>
                <w:szCs w:val="21"/>
                <w:u w:val="single"/>
              </w:rPr>
              <w:t>0.479</w:t>
            </w:r>
          </w:p>
        </w:tc>
        <w:tc>
          <w:tcPr>
            <w:tcW w:w="563" w:type="pct"/>
            <w:vAlign w:val="center"/>
          </w:tcPr>
          <w:p w14:paraId="2FB13614">
            <w:pPr>
              <w:spacing w:line="300" w:lineRule="exact"/>
              <w:jc w:val="center"/>
              <w:rPr>
                <w:spacing w:val="-11"/>
                <w:kern w:val="0"/>
                <w:szCs w:val="21"/>
                <w:u w:val="single"/>
              </w:rPr>
            </w:pPr>
            <w:r>
              <w:rPr>
                <w:rFonts w:hint="eastAsia"/>
                <w:spacing w:val="-11"/>
                <w:kern w:val="0"/>
                <w:szCs w:val="21"/>
                <w:u w:val="single"/>
              </w:rPr>
              <w:t>0.20</w:t>
            </w:r>
          </w:p>
        </w:tc>
        <w:tc>
          <w:tcPr>
            <w:tcW w:w="285" w:type="pct"/>
            <w:vAlign w:val="center"/>
          </w:tcPr>
          <w:p w14:paraId="3C7460ED">
            <w:pPr>
              <w:spacing w:line="300" w:lineRule="exact"/>
              <w:jc w:val="center"/>
              <w:rPr>
                <w:spacing w:val="-11"/>
                <w:kern w:val="0"/>
                <w:szCs w:val="21"/>
                <w:u w:val="single"/>
              </w:rPr>
            </w:pPr>
            <w:r>
              <w:rPr>
                <w:rFonts w:hint="eastAsia"/>
                <w:spacing w:val="-11"/>
                <w:kern w:val="0"/>
                <w:szCs w:val="21"/>
                <w:u w:val="single"/>
              </w:rPr>
              <w:t>DA003</w:t>
            </w:r>
          </w:p>
        </w:tc>
      </w:tr>
      <w:tr w14:paraId="477F2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blHeader/>
        </w:trPr>
        <w:tc>
          <w:tcPr>
            <w:tcW w:w="326" w:type="pct"/>
            <w:vMerge w:val="restart"/>
            <w:vAlign w:val="center"/>
          </w:tcPr>
          <w:p w14:paraId="2BEF9070">
            <w:pPr>
              <w:spacing w:line="300" w:lineRule="exact"/>
              <w:jc w:val="center"/>
              <w:rPr>
                <w:spacing w:val="-11"/>
                <w:szCs w:val="21"/>
                <w:u w:val="single"/>
              </w:rPr>
            </w:pPr>
            <w:r>
              <w:rPr>
                <w:rFonts w:hint="eastAsia"/>
                <w:spacing w:val="-11"/>
                <w:szCs w:val="21"/>
                <w:u w:val="single"/>
              </w:rPr>
              <w:t>造型/浇注废气（消失模）</w:t>
            </w:r>
          </w:p>
        </w:tc>
        <w:tc>
          <w:tcPr>
            <w:tcW w:w="361" w:type="pct"/>
            <w:shd w:val="clear" w:color="auto" w:fill="auto"/>
            <w:vAlign w:val="center"/>
          </w:tcPr>
          <w:p w14:paraId="2084EB1C">
            <w:pPr>
              <w:spacing w:line="300" w:lineRule="exact"/>
              <w:jc w:val="center"/>
              <w:rPr>
                <w:spacing w:val="-11"/>
                <w:kern w:val="0"/>
                <w:szCs w:val="21"/>
                <w:u w:val="single"/>
              </w:rPr>
            </w:pPr>
            <w:r>
              <w:rPr>
                <w:rFonts w:hint="eastAsia"/>
                <w:spacing w:val="-11"/>
                <w:kern w:val="0"/>
                <w:szCs w:val="21"/>
                <w:u w:val="single"/>
              </w:rPr>
              <w:t>颗粒物</w:t>
            </w:r>
          </w:p>
        </w:tc>
        <w:tc>
          <w:tcPr>
            <w:tcW w:w="344" w:type="pct"/>
            <w:shd w:val="clear" w:color="auto" w:fill="auto"/>
            <w:vAlign w:val="center"/>
          </w:tcPr>
          <w:p w14:paraId="263C6385">
            <w:pPr>
              <w:spacing w:line="300" w:lineRule="exact"/>
              <w:jc w:val="center"/>
              <w:rPr>
                <w:spacing w:val="-11"/>
                <w:kern w:val="0"/>
                <w:szCs w:val="21"/>
                <w:u w:val="single"/>
              </w:rPr>
            </w:pPr>
            <w:r>
              <w:rPr>
                <w:rFonts w:hint="eastAsia"/>
                <w:spacing w:val="-11"/>
                <w:kern w:val="0"/>
                <w:szCs w:val="21"/>
                <w:u w:val="single"/>
              </w:rPr>
              <w:t>4.545</w:t>
            </w:r>
          </w:p>
        </w:tc>
        <w:tc>
          <w:tcPr>
            <w:tcW w:w="333" w:type="pct"/>
            <w:shd w:val="clear" w:color="auto" w:fill="auto"/>
            <w:vAlign w:val="center"/>
          </w:tcPr>
          <w:p w14:paraId="75C2B0B1">
            <w:pPr>
              <w:spacing w:line="300" w:lineRule="exact"/>
              <w:jc w:val="center"/>
              <w:rPr>
                <w:spacing w:val="-11"/>
                <w:kern w:val="0"/>
                <w:szCs w:val="21"/>
                <w:u w:val="single"/>
              </w:rPr>
            </w:pPr>
            <w:r>
              <w:rPr>
                <w:rFonts w:hint="eastAsia"/>
                <w:spacing w:val="-11"/>
                <w:kern w:val="0"/>
                <w:szCs w:val="21"/>
                <w:u w:val="single"/>
              </w:rPr>
              <w:t>1.894</w:t>
            </w:r>
          </w:p>
        </w:tc>
        <w:tc>
          <w:tcPr>
            <w:tcW w:w="311" w:type="pct"/>
            <w:shd w:val="clear" w:color="auto" w:fill="auto"/>
            <w:vAlign w:val="center"/>
          </w:tcPr>
          <w:p w14:paraId="49016C2A">
            <w:pPr>
              <w:spacing w:line="300" w:lineRule="exact"/>
              <w:jc w:val="center"/>
              <w:rPr>
                <w:spacing w:val="-11"/>
                <w:kern w:val="0"/>
                <w:szCs w:val="21"/>
                <w:u w:val="single"/>
              </w:rPr>
            </w:pPr>
            <w:r>
              <w:rPr>
                <w:rFonts w:hint="eastAsia"/>
                <w:spacing w:val="-11"/>
                <w:kern w:val="0"/>
                <w:szCs w:val="21"/>
                <w:u w:val="single"/>
              </w:rPr>
              <w:t>有组织、无组织</w:t>
            </w:r>
          </w:p>
        </w:tc>
        <w:tc>
          <w:tcPr>
            <w:tcW w:w="268" w:type="pct"/>
            <w:shd w:val="clear" w:color="auto" w:fill="auto"/>
            <w:vAlign w:val="center"/>
          </w:tcPr>
          <w:p w14:paraId="569F5675">
            <w:pPr>
              <w:spacing w:line="300" w:lineRule="exact"/>
              <w:jc w:val="center"/>
              <w:rPr>
                <w:spacing w:val="-11"/>
                <w:kern w:val="0"/>
                <w:szCs w:val="21"/>
                <w:u w:val="single"/>
              </w:rPr>
            </w:pPr>
            <w:r>
              <w:rPr>
                <w:rFonts w:hint="eastAsia"/>
                <w:spacing w:val="-11"/>
                <w:kern w:val="0"/>
                <w:szCs w:val="21"/>
                <w:u w:val="single"/>
              </w:rPr>
              <w:t>90</w:t>
            </w:r>
          </w:p>
        </w:tc>
        <w:tc>
          <w:tcPr>
            <w:tcW w:w="392" w:type="pct"/>
            <w:shd w:val="clear" w:color="auto" w:fill="auto"/>
            <w:vAlign w:val="center"/>
          </w:tcPr>
          <w:p w14:paraId="39C4A01E">
            <w:pPr>
              <w:spacing w:line="300" w:lineRule="exact"/>
              <w:jc w:val="center"/>
              <w:rPr>
                <w:spacing w:val="-11"/>
                <w:kern w:val="0"/>
                <w:szCs w:val="21"/>
                <w:u w:val="single"/>
              </w:rPr>
            </w:pPr>
            <w:r>
              <w:rPr>
                <w:rFonts w:hint="eastAsia"/>
                <w:spacing w:val="-11"/>
                <w:kern w:val="0"/>
                <w:szCs w:val="21"/>
                <w:u w:val="single"/>
              </w:rPr>
              <w:t>高温布袋除尘器</w:t>
            </w:r>
          </w:p>
        </w:tc>
        <w:tc>
          <w:tcPr>
            <w:tcW w:w="268" w:type="pct"/>
            <w:shd w:val="clear" w:color="auto" w:fill="auto"/>
            <w:vAlign w:val="center"/>
          </w:tcPr>
          <w:p w14:paraId="473F8207">
            <w:pPr>
              <w:spacing w:line="300" w:lineRule="exact"/>
              <w:jc w:val="center"/>
              <w:rPr>
                <w:spacing w:val="-11"/>
                <w:kern w:val="0"/>
                <w:szCs w:val="21"/>
                <w:u w:val="single"/>
              </w:rPr>
            </w:pPr>
            <w:r>
              <w:rPr>
                <w:rFonts w:hint="eastAsia"/>
                <w:spacing w:val="-11"/>
                <w:kern w:val="0"/>
                <w:szCs w:val="21"/>
                <w:u w:val="single"/>
              </w:rPr>
              <w:t>95</w:t>
            </w:r>
          </w:p>
        </w:tc>
        <w:tc>
          <w:tcPr>
            <w:tcW w:w="292" w:type="pct"/>
            <w:shd w:val="clear" w:color="auto" w:fill="auto"/>
            <w:vAlign w:val="center"/>
          </w:tcPr>
          <w:p w14:paraId="6A6C2C4B">
            <w:pPr>
              <w:spacing w:line="300" w:lineRule="exact"/>
              <w:jc w:val="center"/>
              <w:rPr>
                <w:spacing w:val="-11"/>
                <w:kern w:val="0"/>
                <w:szCs w:val="21"/>
                <w:u w:val="single"/>
              </w:rPr>
            </w:pPr>
            <w:r>
              <w:rPr>
                <w:rFonts w:hint="eastAsia"/>
                <w:spacing w:val="-11"/>
                <w:kern w:val="0"/>
                <w:szCs w:val="21"/>
                <w:u w:val="single"/>
              </w:rPr>
              <w:t>是</w:t>
            </w:r>
          </w:p>
        </w:tc>
        <w:tc>
          <w:tcPr>
            <w:tcW w:w="407" w:type="pct"/>
            <w:shd w:val="clear" w:color="auto" w:fill="auto"/>
            <w:vAlign w:val="center"/>
          </w:tcPr>
          <w:p w14:paraId="52EC2CB6">
            <w:pPr>
              <w:spacing w:line="300" w:lineRule="exact"/>
              <w:jc w:val="center"/>
              <w:rPr>
                <w:spacing w:val="-11"/>
                <w:kern w:val="0"/>
                <w:szCs w:val="21"/>
                <w:u w:val="single"/>
              </w:rPr>
            </w:pPr>
            <w:r>
              <w:rPr>
                <w:rFonts w:hint="eastAsia"/>
                <w:spacing w:val="-11"/>
                <w:kern w:val="0"/>
                <w:szCs w:val="21"/>
                <w:u w:val="single"/>
              </w:rPr>
              <w:t>0.205</w:t>
            </w:r>
          </w:p>
        </w:tc>
        <w:tc>
          <w:tcPr>
            <w:tcW w:w="396" w:type="pct"/>
            <w:shd w:val="clear" w:color="auto" w:fill="auto"/>
            <w:vAlign w:val="center"/>
          </w:tcPr>
          <w:p w14:paraId="497C186F">
            <w:pPr>
              <w:spacing w:line="300" w:lineRule="exact"/>
              <w:jc w:val="center"/>
              <w:rPr>
                <w:spacing w:val="-11"/>
                <w:kern w:val="0"/>
                <w:szCs w:val="21"/>
                <w:u w:val="single"/>
              </w:rPr>
            </w:pPr>
            <w:r>
              <w:rPr>
                <w:rFonts w:hint="eastAsia"/>
                <w:spacing w:val="-11"/>
                <w:kern w:val="0"/>
                <w:szCs w:val="21"/>
                <w:u w:val="single"/>
              </w:rPr>
              <w:t>0.085</w:t>
            </w:r>
          </w:p>
        </w:tc>
        <w:tc>
          <w:tcPr>
            <w:tcW w:w="450" w:type="pct"/>
            <w:shd w:val="clear" w:color="auto" w:fill="auto"/>
            <w:vAlign w:val="center"/>
          </w:tcPr>
          <w:p w14:paraId="38C23DC1">
            <w:pPr>
              <w:spacing w:line="300" w:lineRule="exact"/>
              <w:jc w:val="center"/>
              <w:rPr>
                <w:spacing w:val="-11"/>
                <w:kern w:val="0"/>
                <w:szCs w:val="21"/>
                <w:u w:val="single"/>
              </w:rPr>
            </w:pPr>
            <w:r>
              <w:rPr>
                <w:rFonts w:hint="eastAsia"/>
                <w:spacing w:val="-11"/>
                <w:kern w:val="0"/>
                <w:szCs w:val="21"/>
                <w:u w:val="single"/>
              </w:rPr>
              <w:t>0.455</w:t>
            </w:r>
          </w:p>
        </w:tc>
        <w:tc>
          <w:tcPr>
            <w:tcW w:w="563" w:type="pct"/>
            <w:shd w:val="clear" w:color="auto" w:fill="auto"/>
            <w:vAlign w:val="center"/>
          </w:tcPr>
          <w:p w14:paraId="0EC7F061">
            <w:pPr>
              <w:spacing w:line="300" w:lineRule="exact"/>
              <w:jc w:val="center"/>
              <w:rPr>
                <w:spacing w:val="-11"/>
                <w:kern w:val="0"/>
                <w:szCs w:val="21"/>
                <w:u w:val="single"/>
              </w:rPr>
            </w:pPr>
            <w:r>
              <w:rPr>
                <w:rFonts w:hint="eastAsia"/>
                <w:spacing w:val="-11"/>
                <w:kern w:val="0"/>
                <w:szCs w:val="21"/>
                <w:u w:val="single"/>
              </w:rPr>
              <w:t>0.190</w:t>
            </w:r>
          </w:p>
        </w:tc>
        <w:tc>
          <w:tcPr>
            <w:tcW w:w="285" w:type="pct"/>
            <w:vMerge w:val="restart"/>
            <w:vAlign w:val="center"/>
          </w:tcPr>
          <w:p w14:paraId="275D75DB">
            <w:pPr>
              <w:spacing w:line="300" w:lineRule="exact"/>
              <w:jc w:val="center"/>
              <w:rPr>
                <w:spacing w:val="-11"/>
                <w:kern w:val="0"/>
                <w:szCs w:val="21"/>
                <w:u w:val="single"/>
              </w:rPr>
            </w:pPr>
            <w:r>
              <w:rPr>
                <w:rFonts w:hint="eastAsia"/>
                <w:spacing w:val="-11"/>
                <w:kern w:val="0"/>
                <w:szCs w:val="21"/>
                <w:u w:val="single"/>
              </w:rPr>
              <w:t>DA003</w:t>
            </w:r>
          </w:p>
        </w:tc>
      </w:tr>
      <w:tr w14:paraId="241D0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blHeader/>
        </w:trPr>
        <w:tc>
          <w:tcPr>
            <w:tcW w:w="326" w:type="pct"/>
            <w:vMerge w:val="continue"/>
            <w:vAlign w:val="center"/>
          </w:tcPr>
          <w:p w14:paraId="74897A37">
            <w:pPr>
              <w:spacing w:line="300" w:lineRule="exact"/>
              <w:jc w:val="center"/>
              <w:rPr>
                <w:spacing w:val="-11"/>
                <w:szCs w:val="21"/>
                <w:u w:val="single"/>
              </w:rPr>
            </w:pPr>
          </w:p>
        </w:tc>
        <w:tc>
          <w:tcPr>
            <w:tcW w:w="361" w:type="pct"/>
            <w:shd w:val="clear" w:color="auto" w:fill="auto"/>
            <w:vAlign w:val="center"/>
          </w:tcPr>
          <w:p w14:paraId="59228BE9">
            <w:pPr>
              <w:spacing w:line="300" w:lineRule="exact"/>
              <w:jc w:val="center"/>
              <w:rPr>
                <w:spacing w:val="-11"/>
                <w:kern w:val="0"/>
                <w:szCs w:val="21"/>
                <w:u w:val="single"/>
              </w:rPr>
            </w:pPr>
            <w:r>
              <w:rPr>
                <w:rFonts w:hint="eastAsia"/>
                <w:u w:val="single"/>
              </w:rPr>
              <w:t>VOC</w:t>
            </w:r>
            <w:r>
              <w:rPr>
                <w:rFonts w:hint="eastAsia"/>
                <w:u w:val="single"/>
                <w:vertAlign w:val="subscript"/>
              </w:rPr>
              <w:t>S</w:t>
            </w:r>
          </w:p>
        </w:tc>
        <w:tc>
          <w:tcPr>
            <w:tcW w:w="344" w:type="pct"/>
            <w:shd w:val="clear" w:color="auto" w:fill="auto"/>
            <w:vAlign w:val="center"/>
          </w:tcPr>
          <w:p w14:paraId="1D5E5445">
            <w:pPr>
              <w:spacing w:line="300" w:lineRule="exact"/>
              <w:jc w:val="center"/>
              <w:rPr>
                <w:spacing w:val="-11"/>
                <w:kern w:val="0"/>
                <w:szCs w:val="21"/>
                <w:u w:val="single"/>
              </w:rPr>
            </w:pPr>
            <w:r>
              <w:rPr>
                <w:rFonts w:hint="eastAsia"/>
                <w:spacing w:val="-11"/>
                <w:kern w:val="0"/>
                <w:szCs w:val="21"/>
                <w:u w:val="single"/>
              </w:rPr>
              <w:t>2.129</w:t>
            </w:r>
          </w:p>
        </w:tc>
        <w:tc>
          <w:tcPr>
            <w:tcW w:w="333" w:type="pct"/>
            <w:shd w:val="clear" w:color="auto" w:fill="auto"/>
            <w:vAlign w:val="center"/>
          </w:tcPr>
          <w:p w14:paraId="46D3A0C0">
            <w:pPr>
              <w:spacing w:line="300" w:lineRule="exact"/>
              <w:jc w:val="center"/>
              <w:rPr>
                <w:spacing w:val="-11"/>
                <w:kern w:val="0"/>
                <w:szCs w:val="21"/>
                <w:u w:val="single"/>
              </w:rPr>
            </w:pPr>
            <w:r>
              <w:rPr>
                <w:rFonts w:hint="eastAsia"/>
                <w:spacing w:val="-11"/>
                <w:kern w:val="0"/>
                <w:szCs w:val="21"/>
                <w:u w:val="single"/>
              </w:rPr>
              <w:t>0.887</w:t>
            </w:r>
          </w:p>
        </w:tc>
        <w:tc>
          <w:tcPr>
            <w:tcW w:w="311" w:type="pct"/>
            <w:shd w:val="clear" w:color="auto" w:fill="auto"/>
            <w:vAlign w:val="center"/>
          </w:tcPr>
          <w:p w14:paraId="3FCABCBE">
            <w:pPr>
              <w:spacing w:line="300" w:lineRule="exact"/>
              <w:jc w:val="center"/>
              <w:rPr>
                <w:spacing w:val="-11"/>
                <w:kern w:val="0"/>
                <w:szCs w:val="21"/>
                <w:u w:val="single"/>
              </w:rPr>
            </w:pPr>
            <w:r>
              <w:rPr>
                <w:rFonts w:hint="eastAsia"/>
                <w:spacing w:val="-11"/>
                <w:kern w:val="0"/>
                <w:szCs w:val="21"/>
                <w:u w:val="single"/>
              </w:rPr>
              <w:t>有组织、无组织</w:t>
            </w:r>
          </w:p>
        </w:tc>
        <w:tc>
          <w:tcPr>
            <w:tcW w:w="268" w:type="pct"/>
            <w:shd w:val="clear" w:color="auto" w:fill="auto"/>
            <w:vAlign w:val="center"/>
          </w:tcPr>
          <w:p w14:paraId="5FB79A71">
            <w:pPr>
              <w:spacing w:line="300" w:lineRule="exact"/>
              <w:jc w:val="center"/>
              <w:rPr>
                <w:spacing w:val="-11"/>
                <w:kern w:val="0"/>
                <w:szCs w:val="21"/>
                <w:u w:val="single"/>
              </w:rPr>
            </w:pPr>
            <w:r>
              <w:rPr>
                <w:rFonts w:hint="eastAsia"/>
                <w:spacing w:val="-11"/>
                <w:kern w:val="0"/>
                <w:szCs w:val="21"/>
                <w:u w:val="single"/>
              </w:rPr>
              <w:t>90</w:t>
            </w:r>
          </w:p>
        </w:tc>
        <w:tc>
          <w:tcPr>
            <w:tcW w:w="392" w:type="pct"/>
            <w:shd w:val="clear" w:color="auto" w:fill="auto"/>
            <w:vAlign w:val="center"/>
          </w:tcPr>
          <w:p w14:paraId="21ACBD97">
            <w:pPr>
              <w:spacing w:line="300" w:lineRule="exact"/>
              <w:jc w:val="center"/>
              <w:rPr>
                <w:spacing w:val="-11"/>
                <w:kern w:val="0"/>
                <w:szCs w:val="21"/>
                <w:u w:val="single"/>
              </w:rPr>
            </w:pPr>
            <w:r>
              <w:rPr>
                <w:rFonts w:hint="eastAsia"/>
                <w:spacing w:val="-11"/>
                <w:kern w:val="0"/>
                <w:szCs w:val="21"/>
                <w:u w:val="single"/>
              </w:rPr>
              <w:t>二级活性炭吸附装置</w:t>
            </w:r>
          </w:p>
        </w:tc>
        <w:tc>
          <w:tcPr>
            <w:tcW w:w="268" w:type="pct"/>
            <w:shd w:val="clear" w:color="auto" w:fill="auto"/>
            <w:vAlign w:val="center"/>
          </w:tcPr>
          <w:p w14:paraId="7AF209D7">
            <w:pPr>
              <w:spacing w:line="300" w:lineRule="exact"/>
              <w:jc w:val="center"/>
              <w:rPr>
                <w:rFonts w:hint="default" w:eastAsia="宋体"/>
                <w:spacing w:val="-11"/>
                <w:kern w:val="0"/>
                <w:szCs w:val="21"/>
                <w:u w:val="single"/>
                <w:lang w:val="en-US" w:eastAsia="zh-CN"/>
              </w:rPr>
            </w:pPr>
            <w:r>
              <w:rPr>
                <w:rFonts w:hint="eastAsia"/>
                <w:spacing w:val="-11"/>
                <w:kern w:val="0"/>
                <w:szCs w:val="21"/>
                <w:u w:val="single"/>
                <w:lang w:val="en-US" w:eastAsia="zh-CN"/>
              </w:rPr>
              <w:t>75</w:t>
            </w:r>
          </w:p>
        </w:tc>
        <w:tc>
          <w:tcPr>
            <w:tcW w:w="292" w:type="pct"/>
            <w:shd w:val="clear" w:color="auto" w:fill="auto"/>
            <w:vAlign w:val="center"/>
          </w:tcPr>
          <w:p w14:paraId="327081F4">
            <w:pPr>
              <w:spacing w:line="300" w:lineRule="exact"/>
              <w:jc w:val="center"/>
              <w:rPr>
                <w:spacing w:val="-11"/>
                <w:kern w:val="0"/>
                <w:szCs w:val="21"/>
                <w:u w:val="single"/>
              </w:rPr>
            </w:pPr>
            <w:r>
              <w:rPr>
                <w:rFonts w:hint="eastAsia"/>
                <w:spacing w:val="-11"/>
                <w:kern w:val="0"/>
                <w:szCs w:val="21"/>
                <w:u w:val="single"/>
              </w:rPr>
              <w:t>是</w:t>
            </w:r>
          </w:p>
        </w:tc>
        <w:tc>
          <w:tcPr>
            <w:tcW w:w="407" w:type="pct"/>
            <w:shd w:val="clear" w:color="auto" w:fill="auto"/>
            <w:vAlign w:val="center"/>
          </w:tcPr>
          <w:p w14:paraId="2136496E">
            <w:pPr>
              <w:spacing w:line="300" w:lineRule="exact"/>
              <w:jc w:val="center"/>
              <w:rPr>
                <w:rFonts w:hint="default" w:eastAsia="宋体"/>
                <w:spacing w:val="-11"/>
                <w:kern w:val="0"/>
                <w:szCs w:val="21"/>
                <w:u w:val="single"/>
                <w:lang w:val="en-US" w:eastAsia="zh-CN"/>
              </w:rPr>
            </w:pPr>
            <w:r>
              <w:rPr>
                <w:rFonts w:hint="eastAsia"/>
                <w:spacing w:val="-11"/>
                <w:kern w:val="0"/>
                <w:szCs w:val="21"/>
                <w:u w:val="single"/>
                <w:lang w:val="en-US" w:eastAsia="zh-CN"/>
              </w:rPr>
              <w:t>0.479</w:t>
            </w:r>
          </w:p>
        </w:tc>
        <w:tc>
          <w:tcPr>
            <w:tcW w:w="396" w:type="pct"/>
            <w:shd w:val="clear" w:color="auto" w:fill="auto"/>
            <w:vAlign w:val="center"/>
          </w:tcPr>
          <w:p w14:paraId="3AABC7FE">
            <w:pPr>
              <w:spacing w:line="300" w:lineRule="exact"/>
              <w:jc w:val="center"/>
              <w:rPr>
                <w:rFonts w:hint="default" w:eastAsia="宋体"/>
                <w:spacing w:val="-11"/>
                <w:kern w:val="0"/>
                <w:szCs w:val="21"/>
                <w:u w:val="single"/>
                <w:lang w:val="en-US" w:eastAsia="zh-CN"/>
              </w:rPr>
            </w:pPr>
            <w:r>
              <w:rPr>
                <w:rFonts w:hint="eastAsia"/>
                <w:spacing w:val="-11"/>
                <w:kern w:val="0"/>
                <w:szCs w:val="21"/>
                <w:u w:val="single"/>
              </w:rPr>
              <w:t>0.</w:t>
            </w:r>
            <w:r>
              <w:rPr>
                <w:rFonts w:hint="eastAsia"/>
                <w:spacing w:val="-11"/>
                <w:kern w:val="0"/>
                <w:szCs w:val="21"/>
                <w:u w:val="single"/>
                <w:lang w:val="en-US" w:eastAsia="zh-CN"/>
              </w:rPr>
              <w:t>200</w:t>
            </w:r>
          </w:p>
        </w:tc>
        <w:tc>
          <w:tcPr>
            <w:tcW w:w="450" w:type="pct"/>
            <w:shd w:val="clear" w:color="auto" w:fill="auto"/>
            <w:vAlign w:val="center"/>
          </w:tcPr>
          <w:p w14:paraId="6B243C9A">
            <w:pPr>
              <w:spacing w:line="300" w:lineRule="exact"/>
              <w:jc w:val="center"/>
              <w:rPr>
                <w:spacing w:val="-11"/>
                <w:kern w:val="0"/>
                <w:szCs w:val="21"/>
                <w:u w:val="single"/>
              </w:rPr>
            </w:pPr>
            <w:r>
              <w:rPr>
                <w:rFonts w:hint="eastAsia"/>
                <w:spacing w:val="-11"/>
                <w:kern w:val="0"/>
                <w:szCs w:val="21"/>
                <w:u w:val="single"/>
              </w:rPr>
              <w:t>0.213</w:t>
            </w:r>
          </w:p>
        </w:tc>
        <w:tc>
          <w:tcPr>
            <w:tcW w:w="563" w:type="pct"/>
            <w:shd w:val="clear" w:color="auto" w:fill="auto"/>
            <w:vAlign w:val="center"/>
          </w:tcPr>
          <w:p w14:paraId="6835DE46">
            <w:pPr>
              <w:spacing w:line="300" w:lineRule="exact"/>
              <w:jc w:val="center"/>
              <w:rPr>
                <w:spacing w:val="-11"/>
                <w:kern w:val="0"/>
                <w:szCs w:val="21"/>
                <w:u w:val="single"/>
              </w:rPr>
            </w:pPr>
            <w:r>
              <w:rPr>
                <w:rFonts w:hint="eastAsia"/>
                <w:spacing w:val="-11"/>
                <w:kern w:val="0"/>
                <w:szCs w:val="21"/>
                <w:u w:val="single"/>
              </w:rPr>
              <w:t>0.089</w:t>
            </w:r>
          </w:p>
        </w:tc>
        <w:tc>
          <w:tcPr>
            <w:tcW w:w="285" w:type="pct"/>
            <w:vMerge w:val="continue"/>
            <w:vAlign w:val="center"/>
          </w:tcPr>
          <w:p w14:paraId="759D06DB">
            <w:pPr>
              <w:spacing w:line="300" w:lineRule="exact"/>
              <w:jc w:val="center"/>
              <w:rPr>
                <w:spacing w:val="-11"/>
                <w:kern w:val="0"/>
                <w:szCs w:val="21"/>
                <w:u w:val="single"/>
              </w:rPr>
            </w:pPr>
          </w:p>
        </w:tc>
      </w:tr>
      <w:tr w14:paraId="41C6A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blHeader/>
        </w:trPr>
        <w:tc>
          <w:tcPr>
            <w:tcW w:w="326" w:type="pct"/>
            <w:vAlign w:val="center"/>
          </w:tcPr>
          <w:p w14:paraId="07C34B35">
            <w:pPr>
              <w:spacing w:line="300" w:lineRule="exact"/>
              <w:jc w:val="center"/>
              <w:rPr>
                <w:spacing w:val="-11"/>
                <w:szCs w:val="21"/>
                <w:u w:val="single"/>
              </w:rPr>
            </w:pPr>
            <w:r>
              <w:rPr>
                <w:rFonts w:hint="eastAsia"/>
                <w:spacing w:val="-11"/>
                <w:szCs w:val="21"/>
                <w:u w:val="single"/>
              </w:rPr>
              <w:t>落砂（消失模）</w:t>
            </w:r>
          </w:p>
        </w:tc>
        <w:tc>
          <w:tcPr>
            <w:tcW w:w="361" w:type="pct"/>
            <w:vAlign w:val="center"/>
          </w:tcPr>
          <w:p w14:paraId="6A28EFA4">
            <w:pPr>
              <w:spacing w:line="300" w:lineRule="exact"/>
              <w:jc w:val="center"/>
              <w:rPr>
                <w:spacing w:val="-11"/>
                <w:kern w:val="0"/>
                <w:szCs w:val="21"/>
                <w:u w:val="single"/>
              </w:rPr>
            </w:pPr>
            <w:r>
              <w:rPr>
                <w:rFonts w:hint="eastAsia"/>
                <w:spacing w:val="-11"/>
                <w:kern w:val="0"/>
                <w:szCs w:val="21"/>
                <w:u w:val="single"/>
              </w:rPr>
              <w:t>颗粒物</w:t>
            </w:r>
          </w:p>
        </w:tc>
        <w:tc>
          <w:tcPr>
            <w:tcW w:w="344" w:type="pct"/>
            <w:vAlign w:val="center"/>
          </w:tcPr>
          <w:p w14:paraId="3F7E5A0B">
            <w:pPr>
              <w:spacing w:line="300" w:lineRule="exact"/>
              <w:jc w:val="center"/>
              <w:rPr>
                <w:spacing w:val="-11"/>
                <w:kern w:val="0"/>
                <w:szCs w:val="21"/>
                <w:u w:val="single"/>
              </w:rPr>
            </w:pPr>
            <w:r>
              <w:rPr>
                <w:rFonts w:hint="eastAsia"/>
                <w:spacing w:val="-11"/>
                <w:kern w:val="0"/>
                <w:szCs w:val="21"/>
                <w:u w:val="single"/>
              </w:rPr>
              <w:t>2.82</w:t>
            </w:r>
          </w:p>
        </w:tc>
        <w:tc>
          <w:tcPr>
            <w:tcW w:w="333" w:type="pct"/>
            <w:vAlign w:val="center"/>
          </w:tcPr>
          <w:p w14:paraId="6D512E50">
            <w:pPr>
              <w:spacing w:line="300" w:lineRule="exact"/>
              <w:jc w:val="center"/>
              <w:rPr>
                <w:spacing w:val="-11"/>
                <w:kern w:val="0"/>
                <w:szCs w:val="21"/>
                <w:u w:val="single"/>
              </w:rPr>
            </w:pPr>
            <w:r>
              <w:rPr>
                <w:rFonts w:hint="eastAsia"/>
                <w:spacing w:val="-11"/>
                <w:kern w:val="0"/>
                <w:szCs w:val="21"/>
                <w:u w:val="single"/>
              </w:rPr>
              <w:t>1.175</w:t>
            </w:r>
          </w:p>
        </w:tc>
        <w:tc>
          <w:tcPr>
            <w:tcW w:w="311" w:type="pct"/>
            <w:vAlign w:val="center"/>
          </w:tcPr>
          <w:p w14:paraId="5E6A967E">
            <w:pPr>
              <w:spacing w:line="300" w:lineRule="exact"/>
              <w:jc w:val="center"/>
              <w:rPr>
                <w:spacing w:val="-11"/>
                <w:kern w:val="0"/>
                <w:szCs w:val="21"/>
                <w:u w:val="single"/>
              </w:rPr>
            </w:pPr>
            <w:r>
              <w:rPr>
                <w:rFonts w:hint="eastAsia"/>
                <w:spacing w:val="-11"/>
                <w:kern w:val="0"/>
                <w:szCs w:val="21"/>
                <w:u w:val="single"/>
              </w:rPr>
              <w:t>有组织、无组织</w:t>
            </w:r>
          </w:p>
        </w:tc>
        <w:tc>
          <w:tcPr>
            <w:tcW w:w="268" w:type="pct"/>
            <w:vAlign w:val="center"/>
          </w:tcPr>
          <w:p w14:paraId="3A1C3B1D">
            <w:pPr>
              <w:spacing w:line="300" w:lineRule="exact"/>
              <w:jc w:val="center"/>
              <w:rPr>
                <w:spacing w:val="-11"/>
                <w:kern w:val="0"/>
                <w:szCs w:val="21"/>
                <w:u w:val="single"/>
              </w:rPr>
            </w:pPr>
            <w:r>
              <w:rPr>
                <w:rFonts w:hint="eastAsia"/>
                <w:spacing w:val="-11"/>
                <w:kern w:val="0"/>
                <w:szCs w:val="21"/>
                <w:u w:val="single"/>
              </w:rPr>
              <w:t>80</w:t>
            </w:r>
          </w:p>
        </w:tc>
        <w:tc>
          <w:tcPr>
            <w:tcW w:w="392" w:type="pct"/>
            <w:vAlign w:val="center"/>
          </w:tcPr>
          <w:p w14:paraId="68148B1E">
            <w:pPr>
              <w:spacing w:line="300" w:lineRule="exact"/>
              <w:jc w:val="center"/>
              <w:rPr>
                <w:spacing w:val="-11"/>
                <w:kern w:val="0"/>
                <w:szCs w:val="21"/>
                <w:u w:val="single"/>
              </w:rPr>
            </w:pPr>
            <w:r>
              <w:rPr>
                <w:rFonts w:hint="eastAsia"/>
                <w:spacing w:val="-11"/>
                <w:kern w:val="0"/>
                <w:szCs w:val="21"/>
                <w:u w:val="single"/>
              </w:rPr>
              <w:t>布袋除尘器</w:t>
            </w:r>
          </w:p>
        </w:tc>
        <w:tc>
          <w:tcPr>
            <w:tcW w:w="268" w:type="pct"/>
            <w:vAlign w:val="center"/>
          </w:tcPr>
          <w:p w14:paraId="7729F7F4">
            <w:pPr>
              <w:spacing w:line="300" w:lineRule="exact"/>
              <w:jc w:val="center"/>
              <w:rPr>
                <w:spacing w:val="-11"/>
                <w:kern w:val="0"/>
                <w:szCs w:val="21"/>
                <w:u w:val="single"/>
              </w:rPr>
            </w:pPr>
            <w:r>
              <w:rPr>
                <w:rFonts w:hint="eastAsia"/>
                <w:spacing w:val="-11"/>
                <w:kern w:val="0"/>
                <w:szCs w:val="21"/>
                <w:u w:val="single"/>
              </w:rPr>
              <w:t>95</w:t>
            </w:r>
          </w:p>
        </w:tc>
        <w:tc>
          <w:tcPr>
            <w:tcW w:w="292" w:type="pct"/>
            <w:vAlign w:val="center"/>
          </w:tcPr>
          <w:p w14:paraId="201A47B9">
            <w:pPr>
              <w:spacing w:line="300" w:lineRule="exact"/>
              <w:jc w:val="center"/>
              <w:rPr>
                <w:spacing w:val="-11"/>
                <w:kern w:val="0"/>
                <w:szCs w:val="21"/>
                <w:u w:val="single"/>
              </w:rPr>
            </w:pPr>
            <w:r>
              <w:rPr>
                <w:rFonts w:hint="eastAsia"/>
                <w:spacing w:val="-11"/>
                <w:kern w:val="0"/>
                <w:szCs w:val="21"/>
                <w:u w:val="single"/>
              </w:rPr>
              <w:t>是</w:t>
            </w:r>
          </w:p>
        </w:tc>
        <w:tc>
          <w:tcPr>
            <w:tcW w:w="407" w:type="pct"/>
            <w:vAlign w:val="center"/>
          </w:tcPr>
          <w:p w14:paraId="2B3E5641">
            <w:pPr>
              <w:spacing w:line="300" w:lineRule="exact"/>
              <w:jc w:val="center"/>
              <w:rPr>
                <w:spacing w:val="-11"/>
                <w:kern w:val="0"/>
                <w:szCs w:val="21"/>
                <w:u w:val="single"/>
              </w:rPr>
            </w:pPr>
            <w:r>
              <w:rPr>
                <w:rFonts w:hint="eastAsia"/>
                <w:spacing w:val="-11"/>
                <w:kern w:val="0"/>
                <w:szCs w:val="21"/>
                <w:u w:val="single"/>
              </w:rPr>
              <w:t>0.113</w:t>
            </w:r>
          </w:p>
        </w:tc>
        <w:tc>
          <w:tcPr>
            <w:tcW w:w="396" w:type="pct"/>
            <w:vAlign w:val="center"/>
          </w:tcPr>
          <w:p w14:paraId="117FD17C">
            <w:pPr>
              <w:spacing w:line="300" w:lineRule="exact"/>
              <w:jc w:val="center"/>
              <w:rPr>
                <w:spacing w:val="-11"/>
                <w:kern w:val="0"/>
                <w:szCs w:val="21"/>
                <w:u w:val="single"/>
              </w:rPr>
            </w:pPr>
            <w:r>
              <w:rPr>
                <w:rFonts w:hint="eastAsia"/>
                <w:spacing w:val="-11"/>
                <w:kern w:val="0"/>
                <w:szCs w:val="21"/>
                <w:u w:val="single"/>
              </w:rPr>
              <w:t>0.047</w:t>
            </w:r>
          </w:p>
        </w:tc>
        <w:tc>
          <w:tcPr>
            <w:tcW w:w="450" w:type="pct"/>
            <w:vAlign w:val="center"/>
          </w:tcPr>
          <w:p w14:paraId="6F943BAA">
            <w:pPr>
              <w:spacing w:line="300" w:lineRule="exact"/>
              <w:jc w:val="center"/>
              <w:rPr>
                <w:spacing w:val="-11"/>
                <w:kern w:val="0"/>
                <w:szCs w:val="21"/>
                <w:u w:val="single"/>
              </w:rPr>
            </w:pPr>
            <w:r>
              <w:rPr>
                <w:rFonts w:hint="eastAsia"/>
                <w:spacing w:val="-11"/>
                <w:kern w:val="0"/>
                <w:szCs w:val="21"/>
                <w:u w:val="single"/>
              </w:rPr>
              <w:t>0.564</w:t>
            </w:r>
          </w:p>
        </w:tc>
        <w:tc>
          <w:tcPr>
            <w:tcW w:w="563" w:type="pct"/>
            <w:vAlign w:val="center"/>
          </w:tcPr>
          <w:p w14:paraId="24C1DCC0">
            <w:pPr>
              <w:spacing w:line="300" w:lineRule="exact"/>
              <w:jc w:val="center"/>
              <w:rPr>
                <w:spacing w:val="-11"/>
                <w:kern w:val="0"/>
                <w:szCs w:val="21"/>
                <w:u w:val="single"/>
              </w:rPr>
            </w:pPr>
            <w:r>
              <w:rPr>
                <w:rFonts w:hint="eastAsia"/>
                <w:spacing w:val="-11"/>
                <w:kern w:val="0"/>
                <w:szCs w:val="21"/>
                <w:u w:val="single"/>
              </w:rPr>
              <w:t>0.235</w:t>
            </w:r>
          </w:p>
        </w:tc>
        <w:tc>
          <w:tcPr>
            <w:tcW w:w="285" w:type="pct"/>
            <w:vAlign w:val="center"/>
          </w:tcPr>
          <w:p w14:paraId="3C3E6C1F">
            <w:pPr>
              <w:spacing w:line="300" w:lineRule="exact"/>
              <w:jc w:val="center"/>
              <w:rPr>
                <w:spacing w:val="-11"/>
                <w:kern w:val="0"/>
                <w:szCs w:val="21"/>
                <w:u w:val="single"/>
              </w:rPr>
            </w:pPr>
            <w:r>
              <w:rPr>
                <w:rFonts w:hint="eastAsia"/>
                <w:spacing w:val="-11"/>
                <w:kern w:val="0"/>
                <w:szCs w:val="21"/>
                <w:u w:val="single"/>
              </w:rPr>
              <w:t>DA003</w:t>
            </w:r>
          </w:p>
        </w:tc>
      </w:tr>
      <w:tr w14:paraId="4EE0E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blHeader/>
        </w:trPr>
        <w:tc>
          <w:tcPr>
            <w:tcW w:w="326" w:type="pct"/>
            <w:vAlign w:val="center"/>
          </w:tcPr>
          <w:p w14:paraId="7D21E75A">
            <w:pPr>
              <w:spacing w:line="300" w:lineRule="exact"/>
              <w:jc w:val="center"/>
              <w:rPr>
                <w:spacing w:val="-11"/>
                <w:szCs w:val="21"/>
                <w:u w:val="single"/>
              </w:rPr>
            </w:pPr>
            <w:r>
              <w:rPr>
                <w:rFonts w:hint="eastAsia"/>
                <w:spacing w:val="-11"/>
                <w:szCs w:val="21"/>
                <w:u w:val="single"/>
              </w:rPr>
              <w:t>砂处理（消失模）</w:t>
            </w:r>
          </w:p>
        </w:tc>
        <w:tc>
          <w:tcPr>
            <w:tcW w:w="361" w:type="pct"/>
            <w:vAlign w:val="center"/>
          </w:tcPr>
          <w:p w14:paraId="18B55864">
            <w:pPr>
              <w:spacing w:line="300" w:lineRule="exact"/>
              <w:jc w:val="center"/>
              <w:rPr>
                <w:spacing w:val="-11"/>
                <w:kern w:val="0"/>
                <w:szCs w:val="21"/>
                <w:u w:val="single"/>
              </w:rPr>
            </w:pPr>
            <w:r>
              <w:rPr>
                <w:rFonts w:hint="eastAsia"/>
                <w:spacing w:val="-11"/>
                <w:kern w:val="0"/>
                <w:szCs w:val="21"/>
                <w:u w:val="single"/>
              </w:rPr>
              <w:t>颗粒物</w:t>
            </w:r>
          </w:p>
        </w:tc>
        <w:tc>
          <w:tcPr>
            <w:tcW w:w="344" w:type="pct"/>
            <w:vAlign w:val="center"/>
          </w:tcPr>
          <w:p w14:paraId="000CAF00">
            <w:pPr>
              <w:spacing w:line="300" w:lineRule="exact"/>
              <w:jc w:val="center"/>
              <w:rPr>
                <w:spacing w:val="-11"/>
                <w:kern w:val="0"/>
                <w:szCs w:val="21"/>
                <w:u w:val="single"/>
              </w:rPr>
            </w:pPr>
            <w:r>
              <w:rPr>
                <w:rFonts w:hint="eastAsia"/>
                <w:spacing w:val="-11"/>
                <w:kern w:val="0"/>
                <w:szCs w:val="21"/>
                <w:u w:val="single"/>
              </w:rPr>
              <w:t>37.13</w:t>
            </w:r>
          </w:p>
        </w:tc>
        <w:tc>
          <w:tcPr>
            <w:tcW w:w="333" w:type="pct"/>
            <w:vAlign w:val="center"/>
          </w:tcPr>
          <w:p w14:paraId="01A24F19">
            <w:pPr>
              <w:spacing w:line="300" w:lineRule="exact"/>
              <w:jc w:val="center"/>
              <w:rPr>
                <w:spacing w:val="-11"/>
                <w:kern w:val="0"/>
                <w:szCs w:val="21"/>
                <w:u w:val="single"/>
              </w:rPr>
            </w:pPr>
            <w:r>
              <w:rPr>
                <w:rFonts w:hint="eastAsia"/>
                <w:spacing w:val="-11"/>
                <w:kern w:val="0"/>
                <w:szCs w:val="21"/>
                <w:u w:val="single"/>
              </w:rPr>
              <w:t>15.471</w:t>
            </w:r>
          </w:p>
        </w:tc>
        <w:tc>
          <w:tcPr>
            <w:tcW w:w="311" w:type="pct"/>
            <w:vAlign w:val="center"/>
          </w:tcPr>
          <w:p w14:paraId="4AC1191F">
            <w:pPr>
              <w:spacing w:line="300" w:lineRule="exact"/>
              <w:jc w:val="center"/>
              <w:rPr>
                <w:spacing w:val="-11"/>
                <w:kern w:val="0"/>
                <w:szCs w:val="21"/>
                <w:u w:val="single"/>
              </w:rPr>
            </w:pPr>
            <w:r>
              <w:rPr>
                <w:rFonts w:hint="eastAsia"/>
                <w:color w:val="000000"/>
                <w:spacing w:val="-11"/>
                <w:kern w:val="0"/>
                <w:szCs w:val="21"/>
                <w:u w:val="single"/>
              </w:rPr>
              <w:t>有组织</w:t>
            </w:r>
          </w:p>
        </w:tc>
        <w:tc>
          <w:tcPr>
            <w:tcW w:w="268" w:type="pct"/>
            <w:vAlign w:val="center"/>
          </w:tcPr>
          <w:p w14:paraId="6CED93BE">
            <w:pPr>
              <w:spacing w:line="300" w:lineRule="exact"/>
              <w:jc w:val="center"/>
              <w:rPr>
                <w:spacing w:val="-11"/>
                <w:kern w:val="0"/>
                <w:szCs w:val="21"/>
                <w:u w:val="single"/>
              </w:rPr>
            </w:pPr>
            <w:r>
              <w:rPr>
                <w:rFonts w:hint="eastAsia"/>
                <w:spacing w:val="-11"/>
                <w:kern w:val="0"/>
                <w:szCs w:val="21"/>
                <w:u w:val="single"/>
              </w:rPr>
              <w:t>100</w:t>
            </w:r>
          </w:p>
        </w:tc>
        <w:tc>
          <w:tcPr>
            <w:tcW w:w="392" w:type="pct"/>
            <w:vAlign w:val="center"/>
          </w:tcPr>
          <w:p w14:paraId="7149C83F">
            <w:pPr>
              <w:spacing w:line="300" w:lineRule="exact"/>
              <w:jc w:val="center"/>
              <w:rPr>
                <w:spacing w:val="-11"/>
                <w:kern w:val="0"/>
                <w:szCs w:val="21"/>
                <w:u w:val="single"/>
              </w:rPr>
            </w:pPr>
            <w:r>
              <w:rPr>
                <w:rFonts w:hint="eastAsia"/>
                <w:spacing w:val="-11"/>
                <w:kern w:val="0"/>
                <w:szCs w:val="21"/>
                <w:u w:val="single"/>
              </w:rPr>
              <w:t>布袋除尘器</w:t>
            </w:r>
          </w:p>
        </w:tc>
        <w:tc>
          <w:tcPr>
            <w:tcW w:w="268" w:type="pct"/>
            <w:vAlign w:val="center"/>
          </w:tcPr>
          <w:p w14:paraId="36940C34">
            <w:pPr>
              <w:spacing w:line="300" w:lineRule="exact"/>
              <w:jc w:val="center"/>
              <w:rPr>
                <w:spacing w:val="-11"/>
                <w:kern w:val="0"/>
                <w:szCs w:val="21"/>
                <w:u w:val="single"/>
              </w:rPr>
            </w:pPr>
            <w:r>
              <w:rPr>
                <w:rFonts w:hint="eastAsia"/>
                <w:spacing w:val="-11"/>
                <w:kern w:val="0"/>
                <w:szCs w:val="21"/>
                <w:u w:val="single"/>
              </w:rPr>
              <w:t>95</w:t>
            </w:r>
          </w:p>
        </w:tc>
        <w:tc>
          <w:tcPr>
            <w:tcW w:w="292" w:type="pct"/>
            <w:vAlign w:val="center"/>
          </w:tcPr>
          <w:p w14:paraId="68A4EF58">
            <w:pPr>
              <w:spacing w:line="300" w:lineRule="exact"/>
              <w:jc w:val="center"/>
              <w:rPr>
                <w:spacing w:val="-11"/>
                <w:kern w:val="0"/>
                <w:szCs w:val="21"/>
                <w:u w:val="single"/>
              </w:rPr>
            </w:pPr>
            <w:r>
              <w:rPr>
                <w:rFonts w:hint="eastAsia"/>
                <w:spacing w:val="-11"/>
                <w:kern w:val="0"/>
                <w:szCs w:val="21"/>
                <w:u w:val="single"/>
              </w:rPr>
              <w:t>是</w:t>
            </w:r>
          </w:p>
        </w:tc>
        <w:tc>
          <w:tcPr>
            <w:tcW w:w="407" w:type="pct"/>
            <w:vAlign w:val="center"/>
          </w:tcPr>
          <w:p w14:paraId="1A7EF59D">
            <w:pPr>
              <w:spacing w:line="300" w:lineRule="exact"/>
              <w:jc w:val="center"/>
              <w:rPr>
                <w:spacing w:val="-11"/>
                <w:kern w:val="0"/>
                <w:szCs w:val="21"/>
                <w:u w:val="single"/>
              </w:rPr>
            </w:pPr>
            <w:r>
              <w:rPr>
                <w:rFonts w:hint="eastAsia"/>
                <w:spacing w:val="-11"/>
                <w:kern w:val="0"/>
                <w:szCs w:val="21"/>
                <w:u w:val="single"/>
              </w:rPr>
              <w:t>1.857</w:t>
            </w:r>
          </w:p>
        </w:tc>
        <w:tc>
          <w:tcPr>
            <w:tcW w:w="396" w:type="pct"/>
            <w:vAlign w:val="center"/>
          </w:tcPr>
          <w:p w14:paraId="13A13811">
            <w:pPr>
              <w:spacing w:line="300" w:lineRule="exact"/>
              <w:jc w:val="center"/>
              <w:rPr>
                <w:spacing w:val="-11"/>
                <w:kern w:val="0"/>
                <w:szCs w:val="21"/>
                <w:u w:val="single"/>
              </w:rPr>
            </w:pPr>
            <w:r>
              <w:rPr>
                <w:rFonts w:hint="eastAsia"/>
                <w:spacing w:val="-11"/>
                <w:kern w:val="0"/>
                <w:szCs w:val="21"/>
                <w:u w:val="single"/>
              </w:rPr>
              <w:t>0.774</w:t>
            </w:r>
          </w:p>
        </w:tc>
        <w:tc>
          <w:tcPr>
            <w:tcW w:w="450" w:type="pct"/>
            <w:vAlign w:val="center"/>
          </w:tcPr>
          <w:p w14:paraId="2AF0A836">
            <w:pPr>
              <w:spacing w:line="300" w:lineRule="exact"/>
              <w:jc w:val="center"/>
              <w:rPr>
                <w:spacing w:val="-11"/>
                <w:kern w:val="0"/>
                <w:szCs w:val="21"/>
                <w:u w:val="single"/>
              </w:rPr>
            </w:pPr>
            <w:r>
              <w:rPr>
                <w:rFonts w:hint="eastAsia"/>
                <w:spacing w:val="-11"/>
                <w:kern w:val="0"/>
                <w:szCs w:val="21"/>
                <w:u w:val="single"/>
              </w:rPr>
              <w:t>/</w:t>
            </w:r>
          </w:p>
        </w:tc>
        <w:tc>
          <w:tcPr>
            <w:tcW w:w="563" w:type="pct"/>
            <w:vAlign w:val="center"/>
          </w:tcPr>
          <w:p w14:paraId="6D71F6C2">
            <w:pPr>
              <w:spacing w:line="300" w:lineRule="exact"/>
              <w:jc w:val="center"/>
              <w:rPr>
                <w:spacing w:val="-11"/>
                <w:kern w:val="0"/>
                <w:szCs w:val="21"/>
                <w:u w:val="single"/>
              </w:rPr>
            </w:pPr>
            <w:r>
              <w:rPr>
                <w:rFonts w:hint="eastAsia"/>
                <w:spacing w:val="-11"/>
                <w:kern w:val="0"/>
                <w:szCs w:val="21"/>
                <w:u w:val="single"/>
              </w:rPr>
              <w:t>/</w:t>
            </w:r>
          </w:p>
        </w:tc>
        <w:tc>
          <w:tcPr>
            <w:tcW w:w="285" w:type="pct"/>
            <w:vAlign w:val="center"/>
          </w:tcPr>
          <w:p w14:paraId="481453D5">
            <w:pPr>
              <w:spacing w:line="300" w:lineRule="exact"/>
              <w:jc w:val="center"/>
              <w:rPr>
                <w:spacing w:val="-11"/>
                <w:kern w:val="0"/>
                <w:szCs w:val="21"/>
                <w:u w:val="single"/>
              </w:rPr>
            </w:pPr>
            <w:r>
              <w:rPr>
                <w:rFonts w:hint="eastAsia"/>
                <w:spacing w:val="-11"/>
                <w:kern w:val="0"/>
                <w:szCs w:val="21"/>
                <w:u w:val="single"/>
              </w:rPr>
              <w:t>DA003</w:t>
            </w:r>
          </w:p>
        </w:tc>
      </w:tr>
      <w:tr w14:paraId="730A7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blHeader/>
        </w:trPr>
        <w:tc>
          <w:tcPr>
            <w:tcW w:w="326" w:type="pct"/>
            <w:shd w:val="clear" w:color="auto" w:fill="auto"/>
            <w:vAlign w:val="center"/>
          </w:tcPr>
          <w:p w14:paraId="2503FB54">
            <w:pPr>
              <w:spacing w:line="300" w:lineRule="exact"/>
              <w:jc w:val="center"/>
              <w:rPr>
                <w:spacing w:val="-11"/>
                <w:szCs w:val="21"/>
                <w:u w:val="single"/>
              </w:rPr>
            </w:pPr>
            <w:r>
              <w:rPr>
                <w:rFonts w:hint="eastAsia"/>
                <w:spacing w:val="-11"/>
                <w:szCs w:val="21"/>
                <w:u w:val="single"/>
              </w:rPr>
              <w:t>造型/浇注废气（水玻璃）</w:t>
            </w:r>
          </w:p>
        </w:tc>
        <w:tc>
          <w:tcPr>
            <w:tcW w:w="361" w:type="pct"/>
            <w:shd w:val="clear" w:color="auto" w:fill="auto"/>
            <w:vAlign w:val="center"/>
          </w:tcPr>
          <w:p w14:paraId="24CD94B8">
            <w:pPr>
              <w:spacing w:line="300" w:lineRule="exact"/>
              <w:jc w:val="center"/>
              <w:rPr>
                <w:spacing w:val="-11"/>
                <w:kern w:val="0"/>
                <w:szCs w:val="21"/>
                <w:u w:val="single"/>
              </w:rPr>
            </w:pPr>
            <w:r>
              <w:rPr>
                <w:rFonts w:hint="eastAsia"/>
                <w:spacing w:val="-11"/>
                <w:kern w:val="0"/>
                <w:szCs w:val="21"/>
                <w:u w:val="single"/>
              </w:rPr>
              <w:t>颗粒物</w:t>
            </w:r>
          </w:p>
        </w:tc>
        <w:tc>
          <w:tcPr>
            <w:tcW w:w="344" w:type="pct"/>
            <w:shd w:val="clear" w:color="auto" w:fill="auto"/>
            <w:vAlign w:val="center"/>
          </w:tcPr>
          <w:p w14:paraId="7DCF0A17">
            <w:pPr>
              <w:spacing w:line="300" w:lineRule="exact"/>
              <w:jc w:val="center"/>
              <w:rPr>
                <w:spacing w:val="-11"/>
                <w:kern w:val="0"/>
                <w:szCs w:val="21"/>
                <w:u w:val="single"/>
              </w:rPr>
            </w:pPr>
            <w:r>
              <w:rPr>
                <w:rFonts w:hint="eastAsia"/>
                <w:spacing w:val="-11"/>
                <w:kern w:val="0"/>
                <w:szCs w:val="21"/>
                <w:u w:val="single"/>
              </w:rPr>
              <w:t>0.168</w:t>
            </w:r>
          </w:p>
        </w:tc>
        <w:tc>
          <w:tcPr>
            <w:tcW w:w="333" w:type="pct"/>
            <w:shd w:val="clear" w:color="auto" w:fill="auto"/>
            <w:vAlign w:val="center"/>
          </w:tcPr>
          <w:p w14:paraId="0AC31DDA">
            <w:pPr>
              <w:spacing w:line="300" w:lineRule="exact"/>
              <w:jc w:val="center"/>
              <w:rPr>
                <w:spacing w:val="-11"/>
                <w:kern w:val="0"/>
                <w:szCs w:val="21"/>
                <w:u w:val="single"/>
              </w:rPr>
            </w:pPr>
            <w:r>
              <w:rPr>
                <w:rFonts w:hint="eastAsia"/>
                <w:spacing w:val="-11"/>
                <w:kern w:val="0"/>
                <w:szCs w:val="21"/>
                <w:u w:val="single"/>
              </w:rPr>
              <w:t>0.07</w:t>
            </w:r>
          </w:p>
        </w:tc>
        <w:tc>
          <w:tcPr>
            <w:tcW w:w="311" w:type="pct"/>
            <w:shd w:val="clear" w:color="auto" w:fill="auto"/>
            <w:vAlign w:val="center"/>
          </w:tcPr>
          <w:p w14:paraId="7A5CF3A8">
            <w:pPr>
              <w:spacing w:line="300" w:lineRule="exact"/>
              <w:jc w:val="center"/>
              <w:rPr>
                <w:spacing w:val="-11"/>
                <w:kern w:val="0"/>
                <w:szCs w:val="21"/>
                <w:u w:val="single"/>
              </w:rPr>
            </w:pPr>
            <w:r>
              <w:rPr>
                <w:rFonts w:hint="eastAsia"/>
                <w:spacing w:val="-11"/>
                <w:kern w:val="0"/>
                <w:szCs w:val="21"/>
                <w:u w:val="single"/>
              </w:rPr>
              <w:t>有组织、无组织</w:t>
            </w:r>
          </w:p>
        </w:tc>
        <w:tc>
          <w:tcPr>
            <w:tcW w:w="268" w:type="pct"/>
            <w:shd w:val="clear" w:color="auto" w:fill="auto"/>
            <w:vAlign w:val="center"/>
          </w:tcPr>
          <w:p w14:paraId="5AFC6E76">
            <w:pPr>
              <w:spacing w:line="300" w:lineRule="exact"/>
              <w:jc w:val="center"/>
              <w:rPr>
                <w:spacing w:val="-11"/>
                <w:kern w:val="0"/>
                <w:szCs w:val="21"/>
                <w:u w:val="single"/>
              </w:rPr>
            </w:pPr>
            <w:r>
              <w:rPr>
                <w:rFonts w:hint="eastAsia"/>
                <w:spacing w:val="-11"/>
                <w:kern w:val="0"/>
                <w:szCs w:val="21"/>
                <w:u w:val="single"/>
              </w:rPr>
              <w:t>80</w:t>
            </w:r>
          </w:p>
        </w:tc>
        <w:tc>
          <w:tcPr>
            <w:tcW w:w="392" w:type="pct"/>
            <w:shd w:val="clear" w:color="auto" w:fill="auto"/>
            <w:vAlign w:val="center"/>
          </w:tcPr>
          <w:p w14:paraId="21269D94">
            <w:pPr>
              <w:spacing w:line="300" w:lineRule="exact"/>
              <w:jc w:val="center"/>
              <w:rPr>
                <w:spacing w:val="-11"/>
                <w:kern w:val="0"/>
                <w:szCs w:val="21"/>
                <w:u w:val="single"/>
              </w:rPr>
            </w:pPr>
            <w:r>
              <w:rPr>
                <w:rFonts w:hint="eastAsia"/>
                <w:spacing w:val="-11"/>
                <w:kern w:val="0"/>
                <w:szCs w:val="21"/>
                <w:u w:val="single"/>
              </w:rPr>
              <w:t>布袋除尘器</w:t>
            </w:r>
          </w:p>
        </w:tc>
        <w:tc>
          <w:tcPr>
            <w:tcW w:w="268" w:type="pct"/>
            <w:shd w:val="clear" w:color="auto" w:fill="auto"/>
            <w:vAlign w:val="center"/>
          </w:tcPr>
          <w:p w14:paraId="61780224">
            <w:pPr>
              <w:spacing w:line="300" w:lineRule="exact"/>
              <w:jc w:val="center"/>
              <w:rPr>
                <w:spacing w:val="-11"/>
                <w:kern w:val="0"/>
                <w:szCs w:val="21"/>
                <w:u w:val="single"/>
              </w:rPr>
            </w:pPr>
            <w:r>
              <w:rPr>
                <w:rFonts w:hint="eastAsia"/>
                <w:spacing w:val="-11"/>
                <w:kern w:val="0"/>
                <w:szCs w:val="21"/>
                <w:u w:val="single"/>
              </w:rPr>
              <w:t>95</w:t>
            </w:r>
          </w:p>
        </w:tc>
        <w:tc>
          <w:tcPr>
            <w:tcW w:w="292" w:type="pct"/>
            <w:shd w:val="clear" w:color="auto" w:fill="auto"/>
            <w:vAlign w:val="center"/>
          </w:tcPr>
          <w:p w14:paraId="53F714F0">
            <w:pPr>
              <w:spacing w:line="300" w:lineRule="exact"/>
              <w:jc w:val="center"/>
              <w:rPr>
                <w:spacing w:val="-11"/>
                <w:kern w:val="0"/>
                <w:szCs w:val="21"/>
                <w:u w:val="single"/>
              </w:rPr>
            </w:pPr>
            <w:r>
              <w:rPr>
                <w:rFonts w:hint="eastAsia"/>
                <w:spacing w:val="-11"/>
                <w:kern w:val="0"/>
                <w:szCs w:val="21"/>
                <w:u w:val="single"/>
              </w:rPr>
              <w:t>是</w:t>
            </w:r>
          </w:p>
        </w:tc>
        <w:tc>
          <w:tcPr>
            <w:tcW w:w="407" w:type="pct"/>
            <w:shd w:val="clear" w:color="auto" w:fill="auto"/>
            <w:vAlign w:val="center"/>
          </w:tcPr>
          <w:p w14:paraId="48EB30AD">
            <w:pPr>
              <w:spacing w:line="300" w:lineRule="exact"/>
              <w:jc w:val="center"/>
              <w:rPr>
                <w:spacing w:val="-11"/>
                <w:kern w:val="0"/>
                <w:szCs w:val="21"/>
                <w:u w:val="single"/>
              </w:rPr>
            </w:pPr>
            <w:r>
              <w:rPr>
                <w:rFonts w:hint="eastAsia"/>
                <w:spacing w:val="-11"/>
                <w:kern w:val="0"/>
                <w:szCs w:val="21"/>
                <w:u w:val="single"/>
              </w:rPr>
              <w:t>0.007</w:t>
            </w:r>
          </w:p>
        </w:tc>
        <w:tc>
          <w:tcPr>
            <w:tcW w:w="396" w:type="pct"/>
            <w:shd w:val="clear" w:color="auto" w:fill="auto"/>
            <w:vAlign w:val="center"/>
          </w:tcPr>
          <w:p w14:paraId="01B72F7F">
            <w:pPr>
              <w:spacing w:line="300" w:lineRule="exact"/>
              <w:jc w:val="center"/>
              <w:rPr>
                <w:spacing w:val="-11"/>
                <w:kern w:val="0"/>
                <w:szCs w:val="21"/>
                <w:u w:val="single"/>
              </w:rPr>
            </w:pPr>
            <w:r>
              <w:rPr>
                <w:rFonts w:hint="eastAsia"/>
                <w:spacing w:val="-11"/>
                <w:kern w:val="0"/>
                <w:szCs w:val="21"/>
                <w:u w:val="single"/>
              </w:rPr>
              <w:t>0.028</w:t>
            </w:r>
          </w:p>
        </w:tc>
        <w:tc>
          <w:tcPr>
            <w:tcW w:w="450" w:type="pct"/>
            <w:shd w:val="clear" w:color="auto" w:fill="auto"/>
            <w:vAlign w:val="center"/>
          </w:tcPr>
          <w:p w14:paraId="6BA5DC06">
            <w:pPr>
              <w:spacing w:line="300" w:lineRule="exact"/>
              <w:jc w:val="center"/>
              <w:rPr>
                <w:spacing w:val="-11"/>
                <w:kern w:val="0"/>
                <w:szCs w:val="21"/>
                <w:u w:val="single"/>
              </w:rPr>
            </w:pPr>
            <w:r>
              <w:rPr>
                <w:rFonts w:hint="eastAsia"/>
                <w:spacing w:val="-11"/>
                <w:kern w:val="0"/>
                <w:szCs w:val="21"/>
                <w:u w:val="single"/>
              </w:rPr>
              <w:t>0.034</w:t>
            </w:r>
          </w:p>
        </w:tc>
        <w:tc>
          <w:tcPr>
            <w:tcW w:w="563" w:type="pct"/>
            <w:shd w:val="clear" w:color="auto" w:fill="auto"/>
            <w:vAlign w:val="center"/>
          </w:tcPr>
          <w:p w14:paraId="54F6B78F">
            <w:pPr>
              <w:spacing w:line="300" w:lineRule="exact"/>
              <w:jc w:val="center"/>
              <w:rPr>
                <w:spacing w:val="-11"/>
                <w:kern w:val="0"/>
                <w:szCs w:val="21"/>
                <w:u w:val="single"/>
              </w:rPr>
            </w:pPr>
            <w:r>
              <w:rPr>
                <w:rFonts w:hint="eastAsia"/>
                <w:spacing w:val="-11"/>
                <w:kern w:val="0"/>
                <w:szCs w:val="21"/>
                <w:u w:val="single"/>
              </w:rPr>
              <w:t>0.014</w:t>
            </w:r>
          </w:p>
        </w:tc>
        <w:tc>
          <w:tcPr>
            <w:tcW w:w="285" w:type="pct"/>
            <w:shd w:val="clear" w:color="auto" w:fill="auto"/>
            <w:vAlign w:val="center"/>
          </w:tcPr>
          <w:p w14:paraId="17ECD094">
            <w:pPr>
              <w:spacing w:line="300" w:lineRule="exact"/>
              <w:jc w:val="center"/>
              <w:rPr>
                <w:spacing w:val="-11"/>
                <w:kern w:val="0"/>
                <w:szCs w:val="21"/>
                <w:u w:val="single"/>
              </w:rPr>
            </w:pPr>
            <w:r>
              <w:rPr>
                <w:rFonts w:hint="eastAsia"/>
                <w:spacing w:val="-11"/>
                <w:kern w:val="0"/>
                <w:szCs w:val="21"/>
                <w:u w:val="single"/>
              </w:rPr>
              <w:t>DA003</w:t>
            </w:r>
          </w:p>
        </w:tc>
      </w:tr>
      <w:tr w14:paraId="15E6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blHeader/>
        </w:trPr>
        <w:tc>
          <w:tcPr>
            <w:tcW w:w="326" w:type="pct"/>
            <w:vAlign w:val="center"/>
          </w:tcPr>
          <w:p w14:paraId="73DABB5B">
            <w:pPr>
              <w:spacing w:line="300" w:lineRule="exact"/>
              <w:jc w:val="center"/>
              <w:rPr>
                <w:spacing w:val="-11"/>
                <w:szCs w:val="21"/>
                <w:u w:val="single"/>
              </w:rPr>
            </w:pPr>
            <w:r>
              <w:rPr>
                <w:rFonts w:hint="eastAsia"/>
                <w:spacing w:val="-11"/>
                <w:szCs w:val="21"/>
                <w:u w:val="single"/>
              </w:rPr>
              <w:t>落砂（水玻璃）</w:t>
            </w:r>
          </w:p>
        </w:tc>
        <w:tc>
          <w:tcPr>
            <w:tcW w:w="361" w:type="pct"/>
            <w:vAlign w:val="center"/>
          </w:tcPr>
          <w:p w14:paraId="29527EEE">
            <w:pPr>
              <w:spacing w:line="300" w:lineRule="exact"/>
              <w:jc w:val="center"/>
              <w:rPr>
                <w:spacing w:val="-11"/>
                <w:kern w:val="0"/>
                <w:szCs w:val="21"/>
                <w:u w:val="single"/>
              </w:rPr>
            </w:pPr>
            <w:r>
              <w:rPr>
                <w:rFonts w:hint="eastAsia"/>
                <w:spacing w:val="-11"/>
                <w:kern w:val="0"/>
                <w:szCs w:val="21"/>
                <w:u w:val="single"/>
              </w:rPr>
              <w:t>颗粒物</w:t>
            </w:r>
          </w:p>
        </w:tc>
        <w:tc>
          <w:tcPr>
            <w:tcW w:w="344" w:type="pct"/>
            <w:vAlign w:val="center"/>
          </w:tcPr>
          <w:p w14:paraId="5CDC4774">
            <w:pPr>
              <w:spacing w:line="300" w:lineRule="exact"/>
              <w:jc w:val="center"/>
              <w:rPr>
                <w:spacing w:val="-11"/>
                <w:kern w:val="0"/>
                <w:szCs w:val="21"/>
                <w:u w:val="single"/>
              </w:rPr>
            </w:pPr>
            <w:r>
              <w:rPr>
                <w:rFonts w:hint="eastAsia"/>
                <w:spacing w:val="-11"/>
                <w:kern w:val="0"/>
                <w:szCs w:val="21"/>
                <w:u w:val="single"/>
              </w:rPr>
              <w:t>0.18</w:t>
            </w:r>
          </w:p>
        </w:tc>
        <w:tc>
          <w:tcPr>
            <w:tcW w:w="333" w:type="pct"/>
            <w:vAlign w:val="center"/>
          </w:tcPr>
          <w:p w14:paraId="09AE0290">
            <w:pPr>
              <w:spacing w:line="300" w:lineRule="exact"/>
              <w:jc w:val="center"/>
              <w:rPr>
                <w:spacing w:val="-11"/>
                <w:kern w:val="0"/>
                <w:szCs w:val="21"/>
                <w:u w:val="single"/>
              </w:rPr>
            </w:pPr>
            <w:r>
              <w:rPr>
                <w:rFonts w:hint="eastAsia"/>
                <w:spacing w:val="-11"/>
                <w:kern w:val="0"/>
                <w:szCs w:val="21"/>
                <w:u w:val="single"/>
              </w:rPr>
              <w:t>0.075</w:t>
            </w:r>
          </w:p>
        </w:tc>
        <w:tc>
          <w:tcPr>
            <w:tcW w:w="311" w:type="pct"/>
            <w:vAlign w:val="center"/>
          </w:tcPr>
          <w:p w14:paraId="73A5047C">
            <w:pPr>
              <w:spacing w:line="300" w:lineRule="exact"/>
              <w:jc w:val="center"/>
              <w:rPr>
                <w:spacing w:val="-11"/>
                <w:kern w:val="0"/>
                <w:szCs w:val="21"/>
                <w:u w:val="single"/>
              </w:rPr>
            </w:pPr>
            <w:r>
              <w:rPr>
                <w:rFonts w:hint="eastAsia"/>
                <w:spacing w:val="-11"/>
                <w:kern w:val="0"/>
                <w:szCs w:val="21"/>
                <w:u w:val="single"/>
              </w:rPr>
              <w:t>有组织、无组织</w:t>
            </w:r>
          </w:p>
        </w:tc>
        <w:tc>
          <w:tcPr>
            <w:tcW w:w="268" w:type="pct"/>
            <w:vAlign w:val="center"/>
          </w:tcPr>
          <w:p w14:paraId="1CA9EF67">
            <w:pPr>
              <w:spacing w:line="300" w:lineRule="exact"/>
              <w:jc w:val="center"/>
              <w:rPr>
                <w:spacing w:val="-11"/>
                <w:kern w:val="0"/>
                <w:szCs w:val="21"/>
                <w:u w:val="single"/>
              </w:rPr>
            </w:pPr>
            <w:r>
              <w:rPr>
                <w:rFonts w:hint="eastAsia"/>
                <w:spacing w:val="-11"/>
                <w:kern w:val="0"/>
                <w:szCs w:val="21"/>
                <w:u w:val="single"/>
              </w:rPr>
              <w:t>80</w:t>
            </w:r>
          </w:p>
        </w:tc>
        <w:tc>
          <w:tcPr>
            <w:tcW w:w="392" w:type="pct"/>
            <w:vAlign w:val="center"/>
          </w:tcPr>
          <w:p w14:paraId="3E51FAB1">
            <w:pPr>
              <w:spacing w:line="300" w:lineRule="exact"/>
              <w:jc w:val="center"/>
              <w:rPr>
                <w:spacing w:val="-11"/>
                <w:kern w:val="0"/>
                <w:szCs w:val="21"/>
                <w:u w:val="single"/>
              </w:rPr>
            </w:pPr>
            <w:r>
              <w:rPr>
                <w:rFonts w:hint="eastAsia"/>
                <w:spacing w:val="-11"/>
                <w:kern w:val="0"/>
                <w:szCs w:val="21"/>
                <w:u w:val="single"/>
              </w:rPr>
              <w:t>布袋除尘器</w:t>
            </w:r>
          </w:p>
        </w:tc>
        <w:tc>
          <w:tcPr>
            <w:tcW w:w="268" w:type="pct"/>
            <w:vAlign w:val="center"/>
          </w:tcPr>
          <w:p w14:paraId="6A0B1B96">
            <w:pPr>
              <w:spacing w:line="300" w:lineRule="exact"/>
              <w:jc w:val="center"/>
              <w:rPr>
                <w:spacing w:val="-11"/>
                <w:kern w:val="0"/>
                <w:szCs w:val="21"/>
                <w:u w:val="single"/>
              </w:rPr>
            </w:pPr>
            <w:r>
              <w:rPr>
                <w:rFonts w:hint="eastAsia"/>
                <w:spacing w:val="-11"/>
                <w:kern w:val="0"/>
                <w:szCs w:val="21"/>
                <w:u w:val="single"/>
              </w:rPr>
              <w:t>95</w:t>
            </w:r>
          </w:p>
        </w:tc>
        <w:tc>
          <w:tcPr>
            <w:tcW w:w="292" w:type="pct"/>
            <w:vAlign w:val="center"/>
          </w:tcPr>
          <w:p w14:paraId="472E27AD">
            <w:pPr>
              <w:spacing w:line="300" w:lineRule="exact"/>
              <w:jc w:val="center"/>
              <w:rPr>
                <w:spacing w:val="-11"/>
                <w:kern w:val="0"/>
                <w:szCs w:val="21"/>
                <w:u w:val="single"/>
              </w:rPr>
            </w:pPr>
            <w:r>
              <w:rPr>
                <w:rFonts w:hint="eastAsia"/>
                <w:spacing w:val="-11"/>
                <w:kern w:val="0"/>
                <w:szCs w:val="21"/>
                <w:u w:val="single"/>
              </w:rPr>
              <w:t>是</w:t>
            </w:r>
          </w:p>
        </w:tc>
        <w:tc>
          <w:tcPr>
            <w:tcW w:w="407" w:type="pct"/>
            <w:vAlign w:val="center"/>
          </w:tcPr>
          <w:p w14:paraId="50B4FE0D">
            <w:pPr>
              <w:spacing w:line="300" w:lineRule="exact"/>
              <w:jc w:val="center"/>
              <w:rPr>
                <w:spacing w:val="-11"/>
                <w:kern w:val="0"/>
                <w:szCs w:val="21"/>
                <w:u w:val="single"/>
              </w:rPr>
            </w:pPr>
            <w:r>
              <w:rPr>
                <w:rFonts w:hint="eastAsia"/>
                <w:spacing w:val="-11"/>
                <w:kern w:val="0"/>
                <w:szCs w:val="21"/>
                <w:u w:val="single"/>
              </w:rPr>
              <w:t>0.007</w:t>
            </w:r>
          </w:p>
        </w:tc>
        <w:tc>
          <w:tcPr>
            <w:tcW w:w="396" w:type="pct"/>
            <w:vAlign w:val="center"/>
          </w:tcPr>
          <w:p w14:paraId="4A830945">
            <w:pPr>
              <w:spacing w:line="300" w:lineRule="exact"/>
              <w:jc w:val="center"/>
              <w:rPr>
                <w:spacing w:val="-11"/>
                <w:kern w:val="0"/>
                <w:szCs w:val="21"/>
                <w:u w:val="single"/>
              </w:rPr>
            </w:pPr>
            <w:r>
              <w:rPr>
                <w:rFonts w:hint="eastAsia"/>
                <w:spacing w:val="-11"/>
                <w:kern w:val="0"/>
                <w:szCs w:val="21"/>
                <w:u w:val="single"/>
              </w:rPr>
              <w:t>0.003</w:t>
            </w:r>
          </w:p>
        </w:tc>
        <w:tc>
          <w:tcPr>
            <w:tcW w:w="450" w:type="pct"/>
            <w:vAlign w:val="center"/>
          </w:tcPr>
          <w:p w14:paraId="20078006">
            <w:pPr>
              <w:spacing w:line="300" w:lineRule="exact"/>
              <w:jc w:val="center"/>
              <w:rPr>
                <w:spacing w:val="-11"/>
                <w:kern w:val="0"/>
                <w:szCs w:val="21"/>
                <w:u w:val="single"/>
              </w:rPr>
            </w:pPr>
            <w:r>
              <w:rPr>
                <w:rFonts w:hint="eastAsia"/>
                <w:spacing w:val="-11"/>
                <w:kern w:val="0"/>
                <w:szCs w:val="21"/>
                <w:u w:val="single"/>
              </w:rPr>
              <w:t>0.036</w:t>
            </w:r>
          </w:p>
        </w:tc>
        <w:tc>
          <w:tcPr>
            <w:tcW w:w="563" w:type="pct"/>
            <w:vAlign w:val="center"/>
          </w:tcPr>
          <w:p w14:paraId="5AC7257E">
            <w:pPr>
              <w:spacing w:line="300" w:lineRule="exact"/>
              <w:jc w:val="center"/>
              <w:rPr>
                <w:spacing w:val="-11"/>
                <w:kern w:val="0"/>
                <w:szCs w:val="21"/>
                <w:u w:val="single"/>
              </w:rPr>
            </w:pPr>
            <w:r>
              <w:rPr>
                <w:rFonts w:hint="eastAsia"/>
                <w:spacing w:val="-11"/>
                <w:kern w:val="0"/>
                <w:szCs w:val="21"/>
                <w:u w:val="single"/>
              </w:rPr>
              <w:t>0.015</w:t>
            </w:r>
          </w:p>
        </w:tc>
        <w:tc>
          <w:tcPr>
            <w:tcW w:w="285" w:type="pct"/>
            <w:vAlign w:val="center"/>
          </w:tcPr>
          <w:p w14:paraId="24F63F46">
            <w:pPr>
              <w:spacing w:line="300" w:lineRule="exact"/>
              <w:jc w:val="center"/>
              <w:rPr>
                <w:spacing w:val="-11"/>
                <w:kern w:val="0"/>
                <w:szCs w:val="21"/>
                <w:u w:val="single"/>
              </w:rPr>
            </w:pPr>
            <w:r>
              <w:rPr>
                <w:rFonts w:hint="eastAsia"/>
                <w:spacing w:val="-11"/>
                <w:kern w:val="0"/>
                <w:szCs w:val="21"/>
                <w:u w:val="single"/>
              </w:rPr>
              <w:t>DA003</w:t>
            </w:r>
          </w:p>
        </w:tc>
      </w:tr>
      <w:tr w14:paraId="2541C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blHeader/>
        </w:trPr>
        <w:tc>
          <w:tcPr>
            <w:tcW w:w="326" w:type="pct"/>
            <w:vAlign w:val="center"/>
          </w:tcPr>
          <w:p w14:paraId="36AD7BEB">
            <w:pPr>
              <w:spacing w:line="300" w:lineRule="exact"/>
              <w:jc w:val="center"/>
              <w:rPr>
                <w:spacing w:val="-11"/>
                <w:szCs w:val="21"/>
                <w:u w:val="single"/>
              </w:rPr>
            </w:pPr>
            <w:r>
              <w:rPr>
                <w:rFonts w:hint="eastAsia"/>
                <w:spacing w:val="-11"/>
                <w:szCs w:val="21"/>
                <w:u w:val="single"/>
              </w:rPr>
              <w:t>砂处理（水玻璃）</w:t>
            </w:r>
          </w:p>
        </w:tc>
        <w:tc>
          <w:tcPr>
            <w:tcW w:w="361" w:type="pct"/>
            <w:vAlign w:val="center"/>
          </w:tcPr>
          <w:p w14:paraId="3877C528">
            <w:pPr>
              <w:spacing w:line="300" w:lineRule="exact"/>
              <w:jc w:val="center"/>
              <w:rPr>
                <w:spacing w:val="-11"/>
                <w:kern w:val="0"/>
                <w:szCs w:val="21"/>
                <w:u w:val="single"/>
              </w:rPr>
            </w:pPr>
            <w:r>
              <w:rPr>
                <w:rFonts w:hint="eastAsia"/>
                <w:spacing w:val="-11"/>
                <w:kern w:val="0"/>
                <w:szCs w:val="21"/>
                <w:u w:val="single"/>
              </w:rPr>
              <w:t>颗粒物</w:t>
            </w:r>
          </w:p>
        </w:tc>
        <w:tc>
          <w:tcPr>
            <w:tcW w:w="344" w:type="pct"/>
            <w:vAlign w:val="center"/>
          </w:tcPr>
          <w:p w14:paraId="65D360C0">
            <w:pPr>
              <w:spacing w:line="300" w:lineRule="exact"/>
              <w:jc w:val="center"/>
              <w:rPr>
                <w:spacing w:val="-11"/>
                <w:kern w:val="0"/>
                <w:szCs w:val="21"/>
                <w:u w:val="single"/>
              </w:rPr>
            </w:pPr>
            <w:r>
              <w:rPr>
                <w:rFonts w:hint="eastAsia"/>
                <w:spacing w:val="-11"/>
                <w:kern w:val="0"/>
                <w:szCs w:val="21"/>
                <w:u w:val="single"/>
              </w:rPr>
              <w:t>1.044</w:t>
            </w:r>
          </w:p>
        </w:tc>
        <w:tc>
          <w:tcPr>
            <w:tcW w:w="333" w:type="pct"/>
            <w:vAlign w:val="center"/>
          </w:tcPr>
          <w:p w14:paraId="7933A20E">
            <w:pPr>
              <w:spacing w:line="300" w:lineRule="exact"/>
              <w:jc w:val="center"/>
              <w:rPr>
                <w:spacing w:val="-11"/>
                <w:kern w:val="0"/>
                <w:szCs w:val="21"/>
                <w:u w:val="single"/>
              </w:rPr>
            </w:pPr>
            <w:r>
              <w:rPr>
                <w:rFonts w:hint="eastAsia"/>
                <w:spacing w:val="-11"/>
                <w:kern w:val="0"/>
                <w:szCs w:val="21"/>
                <w:u w:val="single"/>
              </w:rPr>
              <w:t>0.435</w:t>
            </w:r>
          </w:p>
        </w:tc>
        <w:tc>
          <w:tcPr>
            <w:tcW w:w="311" w:type="pct"/>
            <w:vAlign w:val="center"/>
          </w:tcPr>
          <w:p w14:paraId="4CDCDA09">
            <w:pPr>
              <w:spacing w:line="300" w:lineRule="exact"/>
              <w:jc w:val="center"/>
              <w:rPr>
                <w:spacing w:val="-11"/>
                <w:kern w:val="0"/>
                <w:szCs w:val="21"/>
                <w:u w:val="single"/>
              </w:rPr>
            </w:pPr>
            <w:r>
              <w:rPr>
                <w:rFonts w:hint="eastAsia"/>
                <w:color w:val="000000"/>
                <w:spacing w:val="-11"/>
                <w:kern w:val="0"/>
                <w:szCs w:val="21"/>
                <w:u w:val="single"/>
              </w:rPr>
              <w:t>有组织</w:t>
            </w:r>
          </w:p>
        </w:tc>
        <w:tc>
          <w:tcPr>
            <w:tcW w:w="268" w:type="pct"/>
            <w:vAlign w:val="center"/>
          </w:tcPr>
          <w:p w14:paraId="4FA57B49">
            <w:pPr>
              <w:spacing w:line="300" w:lineRule="exact"/>
              <w:jc w:val="center"/>
              <w:rPr>
                <w:spacing w:val="-11"/>
                <w:kern w:val="0"/>
                <w:szCs w:val="21"/>
                <w:u w:val="single"/>
              </w:rPr>
            </w:pPr>
            <w:r>
              <w:rPr>
                <w:rFonts w:hint="eastAsia"/>
                <w:spacing w:val="-11"/>
                <w:kern w:val="0"/>
                <w:szCs w:val="21"/>
                <w:u w:val="single"/>
              </w:rPr>
              <w:t>100</w:t>
            </w:r>
          </w:p>
        </w:tc>
        <w:tc>
          <w:tcPr>
            <w:tcW w:w="392" w:type="pct"/>
            <w:vAlign w:val="center"/>
          </w:tcPr>
          <w:p w14:paraId="1A778E91">
            <w:pPr>
              <w:spacing w:line="300" w:lineRule="exact"/>
              <w:jc w:val="center"/>
              <w:rPr>
                <w:spacing w:val="-11"/>
                <w:kern w:val="0"/>
                <w:szCs w:val="21"/>
                <w:u w:val="single"/>
              </w:rPr>
            </w:pPr>
            <w:r>
              <w:rPr>
                <w:rFonts w:hint="eastAsia"/>
                <w:spacing w:val="-11"/>
                <w:kern w:val="0"/>
                <w:szCs w:val="21"/>
                <w:u w:val="single"/>
              </w:rPr>
              <w:t>布袋除尘器</w:t>
            </w:r>
          </w:p>
        </w:tc>
        <w:tc>
          <w:tcPr>
            <w:tcW w:w="268" w:type="pct"/>
            <w:vAlign w:val="center"/>
          </w:tcPr>
          <w:p w14:paraId="77A50B7E">
            <w:pPr>
              <w:spacing w:line="300" w:lineRule="exact"/>
              <w:jc w:val="center"/>
              <w:rPr>
                <w:spacing w:val="-11"/>
                <w:kern w:val="0"/>
                <w:szCs w:val="21"/>
                <w:u w:val="single"/>
              </w:rPr>
            </w:pPr>
            <w:r>
              <w:rPr>
                <w:rFonts w:hint="eastAsia"/>
                <w:spacing w:val="-11"/>
                <w:kern w:val="0"/>
                <w:szCs w:val="21"/>
                <w:u w:val="single"/>
              </w:rPr>
              <w:t>95</w:t>
            </w:r>
          </w:p>
        </w:tc>
        <w:tc>
          <w:tcPr>
            <w:tcW w:w="292" w:type="pct"/>
            <w:vAlign w:val="center"/>
          </w:tcPr>
          <w:p w14:paraId="11B6D12B">
            <w:pPr>
              <w:spacing w:line="300" w:lineRule="exact"/>
              <w:jc w:val="center"/>
              <w:rPr>
                <w:spacing w:val="-11"/>
                <w:kern w:val="0"/>
                <w:szCs w:val="21"/>
                <w:u w:val="single"/>
              </w:rPr>
            </w:pPr>
            <w:r>
              <w:rPr>
                <w:rFonts w:hint="eastAsia"/>
                <w:spacing w:val="-11"/>
                <w:kern w:val="0"/>
                <w:szCs w:val="21"/>
                <w:u w:val="single"/>
              </w:rPr>
              <w:t>是</w:t>
            </w:r>
          </w:p>
        </w:tc>
        <w:tc>
          <w:tcPr>
            <w:tcW w:w="407" w:type="pct"/>
            <w:vAlign w:val="center"/>
          </w:tcPr>
          <w:p w14:paraId="2D8323C8">
            <w:pPr>
              <w:spacing w:line="300" w:lineRule="exact"/>
              <w:jc w:val="center"/>
              <w:rPr>
                <w:spacing w:val="-11"/>
                <w:kern w:val="0"/>
                <w:szCs w:val="21"/>
                <w:u w:val="single"/>
              </w:rPr>
            </w:pPr>
            <w:r>
              <w:rPr>
                <w:rFonts w:hint="eastAsia"/>
                <w:spacing w:val="-11"/>
                <w:kern w:val="0"/>
                <w:szCs w:val="21"/>
                <w:u w:val="single"/>
              </w:rPr>
              <w:t>0.042</w:t>
            </w:r>
          </w:p>
        </w:tc>
        <w:tc>
          <w:tcPr>
            <w:tcW w:w="396" w:type="pct"/>
            <w:vAlign w:val="center"/>
          </w:tcPr>
          <w:p w14:paraId="1B007C3C">
            <w:pPr>
              <w:spacing w:line="300" w:lineRule="exact"/>
              <w:jc w:val="center"/>
              <w:rPr>
                <w:spacing w:val="-11"/>
                <w:kern w:val="0"/>
                <w:szCs w:val="21"/>
                <w:u w:val="single"/>
              </w:rPr>
            </w:pPr>
            <w:r>
              <w:rPr>
                <w:rFonts w:hint="eastAsia"/>
                <w:spacing w:val="-11"/>
                <w:kern w:val="0"/>
                <w:szCs w:val="21"/>
                <w:u w:val="single"/>
              </w:rPr>
              <w:t>0.018</w:t>
            </w:r>
          </w:p>
        </w:tc>
        <w:tc>
          <w:tcPr>
            <w:tcW w:w="450" w:type="pct"/>
            <w:vAlign w:val="center"/>
          </w:tcPr>
          <w:p w14:paraId="7CAAD5B2">
            <w:pPr>
              <w:spacing w:line="300" w:lineRule="exact"/>
              <w:jc w:val="center"/>
              <w:rPr>
                <w:spacing w:val="-11"/>
                <w:kern w:val="0"/>
                <w:szCs w:val="21"/>
                <w:u w:val="single"/>
              </w:rPr>
            </w:pPr>
            <w:r>
              <w:rPr>
                <w:rFonts w:hint="eastAsia"/>
                <w:spacing w:val="-11"/>
                <w:kern w:val="0"/>
                <w:szCs w:val="21"/>
                <w:u w:val="single"/>
              </w:rPr>
              <w:t>/</w:t>
            </w:r>
          </w:p>
        </w:tc>
        <w:tc>
          <w:tcPr>
            <w:tcW w:w="563" w:type="pct"/>
            <w:vAlign w:val="center"/>
          </w:tcPr>
          <w:p w14:paraId="40D50DF1">
            <w:pPr>
              <w:spacing w:line="300" w:lineRule="exact"/>
              <w:jc w:val="center"/>
              <w:rPr>
                <w:spacing w:val="-11"/>
                <w:kern w:val="0"/>
                <w:szCs w:val="21"/>
                <w:u w:val="single"/>
              </w:rPr>
            </w:pPr>
            <w:r>
              <w:rPr>
                <w:rFonts w:hint="eastAsia"/>
                <w:spacing w:val="-11"/>
                <w:kern w:val="0"/>
                <w:szCs w:val="21"/>
                <w:u w:val="single"/>
              </w:rPr>
              <w:t>/</w:t>
            </w:r>
          </w:p>
        </w:tc>
        <w:tc>
          <w:tcPr>
            <w:tcW w:w="285" w:type="pct"/>
            <w:vAlign w:val="center"/>
          </w:tcPr>
          <w:p w14:paraId="4884AF31">
            <w:pPr>
              <w:spacing w:line="300" w:lineRule="exact"/>
              <w:jc w:val="center"/>
              <w:rPr>
                <w:spacing w:val="-11"/>
                <w:kern w:val="0"/>
                <w:szCs w:val="21"/>
                <w:u w:val="single"/>
              </w:rPr>
            </w:pPr>
            <w:r>
              <w:rPr>
                <w:rFonts w:hint="eastAsia"/>
                <w:spacing w:val="-11"/>
                <w:kern w:val="0"/>
                <w:szCs w:val="21"/>
                <w:u w:val="single"/>
              </w:rPr>
              <w:t>DA003</w:t>
            </w:r>
          </w:p>
        </w:tc>
      </w:tr>
      <w:tr w14:paraId="02243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blHeader/>
        </w:trPr>
        <w:tc>
          <w:tcPr>
            <w:tcW w:w="326" w:type="pct"/>
            <w:vAlign w:val="center"/>
          </w:tcPr>
          <w:p w14:paraId="66724123">
            <w:pPr>
              <w:spacing w:line="300" w:lineRule="exact"/>
              <w:jc w:val="center"/>
              <w:rPr>
                <w:spacing w:val="-11"/>
                <w:szCs w:val="21"/>
                <w:u w:val="single"/>
              </w:rPr>
            </w:pPr>
            <w:r>
              <w:rPr>
                <w:rFonts w:hint="eastAsia"/>
                <w:spacing w:val="-11"/>
                <w:szCs w:val="21"/>
                <w:u w:val="single"/>
              </w:rPr>
              <w:t>去冒口</w:t>
            </w:r>
          </w:p>
        </w:tc>
        <w:tc>
          <w:tcPr>
            <w:tcW w:w="361" w:type="pct"/>
            <w:vAlign w:val="center"/>
          </w:tcPr>
          <w:p w14:paraId="4839CA4F">
            <w:pPr>
              <w:spacing w:line="300" w:lineRule="exact"/>
              <w:jc w:val="center"/>
              <w:rPr>
                <w:spacing w:val="-11"/>
                <w:kern w:val="0"/>
                <w:szCs w:val="21"/>
                <w:u w:val="single"/>
              </w:rPr>
            </w:pPr>
            <w:r>
              <w:rPr>
                <w:rFonts w:hint="eastAsia"/>
                <w:spacing w:val="-11"/>
                <w:kern w:val="0"/>
                <w:szCs w:val="21"/>
                <w:u w:val="single"/>
              </w:rPr>
              <w:t>颗粒物</w:t>
            </w:r>
          </w:p>
        </w:tc>
        <w:tc>
          <w:tcPr>
            <w:tcW w:w="344" w:type="pct"/>
            <w:vAlign w:val="center"/>
          </w:tcPr>
          <w:p w14:paraId="6C13166F">
            <w:pPr>
              <w:spacing w:line="300" w:lineRule="exact"/>
              <w:jc w:val="center"/>
              <w:rPr>
                <w:spacing w:val="-11"/>
                <w:kern w:val="0"/>
                <w:szCs w:val="21"/>
                <w:u w:val="single"/>
              </w:rPr>
            </w:pPr>
            <w:r>
              <w:rPr>
                <w:rFonts w:hint="eastAsia"/>
                <w:spacing w:val="-11"/>
                <w:kern w:val="0"/>
                <w:szCs w:val="21"/>
                <w:u w:val="single"/>
              </w:rPr>
              <w:t>1.5</w:t>
            </w:r>
          </w:p>
        </w:tc>
        <w:tc>
          <w:tcPr>
            <w:tcW w:w="333" w:type="pct"/>
            <w:vAlign w:val="center"/>
          </w:tcPr>
          <w:p w14:paraId="33508315">
            <w:pPr>
              <w:spacing w:line="300" w:lineRule="exact"/>
              <w:jc w:val="center"/>
              <w:rPr>
                <w:spacing w:val="-11"/>
                <w:kern w:val="0"/>
                <w:szCs w:val="21"/>
                <w:u w:val="single"/>
              </w:rPr>
            </w:pPr>
            <w:r>
              <w:rPr>
                <w:rFonts w:hint="eastAsia"/>
                <w:spacing w:val="-11"/>
                <w:kern w:val="0"/>
                <w:szCs w:val="21"/>
                <w:u w:val="single"/>
              </w:rPr>
              <w:t>0.625</w:t>
            </w:r>
          </w:p>
        </w:tc>
        <w:tc>
          <w:tcPr>
            <w:tcW w:w="311" w:type="pct"/>
            <w:vAlign w:val="center"/>
          </w:tcPr>
          <w:p w14:paraId="32C17FB1">
            <w:pPr>
              <w:spacing w:line="300" w:lineRule="exact"/>
              <w:jc w:val="center"/>
              <w:rPr>
                <w:spacing w:val="-11"/>
                <w:kern w:val="0"/>
                <w:szCs w:val="21"/>
                <w:u w:val="single"/>
              </w:rPr>
            </w:pPr>
            <w:r>
              <w:rPr>
                <w:rFonts w:hint="eastAsia"/>
                <w:spacing w:val="-11"/>
                <w:kern w:val="0"/>
                <w:szCs w:val="21"/>
                <w:u w:val="single"/>
              </w:rPr>
              <w:t>无组织</w:t>
            </w:r>
          </w:p>
        </w:tc>
        <w:tc>
          <w:tcPr>
            <w:tcW w:w="268" w:type="pct"/>
            <w:vAlign w:val="center"/>
          </w:tcPr>
          <w:p w14:paraId="444C7295">
            <w:pPr>
              <w:spacing w:line="300" w:lineRule="exact"/>
              <w:jc w:val="center"/>
              <w:rPr>
                <w:spacing w:val="-11"/>
                <w:kern w:val="0"/>
                <w:szCs w:val="21"/>
                <w:u w:val="single"/>
              </w:rPr>
            </w:pPr>
            <w:r>
              <w:rPr>
                <w:rFonts w:hint="eastAsia"/>
                <w:spacing w:val="-11"/>
                <w:kern w:val="0"/>
                <w:szCs w:val="21"/>
                <w:u w:val="single"/>
              </w:rPr>
              <w:t>60</w:t>
            </w:r>
          </w:p>
        </w:tc>
        <w:tc>
          <w:tcPr>
            <w:tcW w:w="392" w:type="pct"/>
            <w:vAlign w:val="center"/>
          </w:tcPr>
          <w:p w14:paraId="43D48A55">
            <w:pPr>
              <w:spacing w:line="300" w:lineRule="exact"/>
              <w:jc w:val="center"/>
              <w:rPr>
                <w:spacing w:val="-11"/>
                <w:kern w:val="0"/>
                <w:szCs w:val="21"/>
                <w:u w:val="single"/>
              </w:rPr>
            </w:pPr>
            <w:r>
              <w:rPr>
                <w:rFonts w:hint="eastAsia"/>
                <w:spacing w:val="-11"/>
                <w:kern w:val="0"/>
                <w:szCs w:val="21"/>
                <w:u w:val="single"/>
              </w:rPr>
              <w:t>移动式除尘器</w:t>
            </w:r>
          </w:p>
        </w:tc>
        <w:tc>
          <w:tcPr>
            <w:tcW w:w="268" w:type="pct"/>
            <w:vAlign w:val="center"/>
          </w:tcPr>
          <w:p w14:paraId="4BCBAE4D">
            <w:pPr>
              <w:spacing w:line="300" w:lineRule="exact"/>
              <w:jc w:val="center"/>
              <w:rPr>
                <w:spacing w:val="-11"/>
                <w:kern w:val="0"/>
                <w:szCs w:val="21"/>
                <w:u w:val="single"/>
              </w:rPr>
            </w:pPr>
            <w:r>
              <w:rPr>
                <w:rFonts w:hint="eastAsia"/>
                <w:spacing w:val="-11"/>
                <w:kern w:val="0"/>
                <w:szCs w:val="21"/>
                <w:u w:val="single"/>
              </w:rPr>
              <w:t>95</w:t>
            </w:r>
          </w:p>
        </w:tc>
        <w:tc>
          <w:tcPr>
            <w:tcW w:w="292" w:type="pct"/>
            <w:vAlign w:val="center"/>
          </w:tcPr>
          <w:p w14:paraId="5FEAAE7E">
            <w:pPr>
              <w:spacing w:line="300" w:lineRule="exact"/>
              <w:jc w:val="center"/>
              <w:rPr>
                <w:spacing w:val="-11"/>
                <w:kern w:val="0"/>
                <w:szCs w:val="21"/>
                <w:u w:val="single"/>
              </w:rPr>
            </w:pPr>
            <w:r>
              <w:rPr>
                <w:rFonts w:hint="eastAsia"/>
                <w:spacing w:val="-11"/>
                <w:kern w:val="0"/>
                <w:szCs w:val="21"/>
                <w:u w:val="single"/>
              </w:rPr>
              <w:t>是</w:t>
            </w:r>
          </w:p>
        </w:tc>
        <w:tc>
          <w:tcPr>
            <w:tcW w:w="407" w:type="pct"/>
            <w:vAlign w:val="center"/>
          </w:tcPr>
          <w:p w14:paraId="4934EE8A">
            <w:pPr>
              <w:spacing w:line="300" w:lineRule="exact"/>
              <w:jc w:val="center"/>
              <w:rPr>
                <w:spacing w:val="-11"/>
                <w:kern w:val="0"/>
                <w:szCs w:val="21"/>
                <w:u w:val="single"/>
              </w:rPr>
            </w:pPr>
            <w:r>
              <w:rPr>
                <w:rFonts w:hint="eastAsia"/>
                <w:spacing w:val="-11"/>
                <w:kern w:val="0"/>
                <w:szCs w:val="21"/>
                <w:u w:val="single"/>
              </w:rPr>
              <w:t>/</w:t>
            </w:r>
          </w:p>
        </w:tc>
        <w:tc>
          <w:tcPr>
            <w:tcW w:w="396" w:type="pct"/>
            <w:vAlign w:val="center"/>
          </w:tcPr>
          <w:p w14:paraId="0EB00B03">
            <w:pPr>
              <w:spacing w:line="300" w:lineRule="exact"/>
              <w:jc w:val="center"/>
              <w:rPr>
                <w:spacing w:val="-11"/>
                <w:kern w:val="0"/>
                <w:szCs w:val="21"/>
                <w:u w:val="single"/>
              </w:rPr>
            </w:pPr>
            <w:r>
              <w:rPr>
                <w:rFonts w:hint="eastAsia"/>
                <w:spacing w:val="-11"/>
                <w:kern w:val="0"/>
                <w:szCs w:val="21"/>
                <w:u w:val="single"/>
              </w:rPr>
              <w:t>/</w:t>
            </w:r>
          </w:p>
        </w:tc>
        <w:tc>
          <w:tcPr>
            <w:tcW w:w="450" w:type="pct"/>
            <w:vAlign w:val="center"/>
          </w:tcPr>
          <w:p w14:paraId="12A334A1">
            <w:pPr>
              <w:spacing w:line="300" w:lineRule="exact"/>
              <w:jc w:val="center"/>
              <w:rPr>
                <w:spacing w:val="-11"/>
                <w:kern w:val="0"/>
                <w:szCs w:val="21"/>
                <w:u w:val="single"/>
              </w:rPr>
            </w:pPr>
            <w:r>
              <w:rPr>
                <w:rFonts w:hint="eastAsia"/>
                <w:spacing w:val="-11"/>
                <w:kern w:val="0"/>
                <w:szCs w:val="21"/>
                <w:u w:val="single"/>
              </w:rPr>
              <w:t>0.645</w:t>
            </w:r>
          </w:p>
        </w:tc>
        <w:tc>
          <w:tcPr>
            <w:tcW w:w="563" w:type="pct"/>
            <w:vAlign w:val="center"/>
          </w:tcPr>
          <w:p w14:paraId="1A26C35B">
            <w:pPr>
              <w:spacing w:line="300" w:lineRule="exact"/>
              <w:jc w:val="center"/>
              <w:rPr>
                <w:spacing w:val="-11"/>
                <w:kern w:val="0"/>
                <w:szCs w:val="21"/>
                <w:u w:val="single"/>
              </w:rPr>
            </w:pPr>
            <w:r>
              <w:rPr>
                <w:rFonts w:hint="eastAsia"/>
                <w:spacing w:val="-11"/>
                <w:kern w:val="0"/>
                <w:szCs w:val="21"/>
                <w:u w:val="single"/>
              </w:rPr>
              <w:t>0.269</w:t>
            </w:r>
          </w:p>
        </w:tc>
        <w:tc>
          <w:tcPr>
            <w:tcW w:w="285" w:type="pct"/>
            <w:vAlign w:val="center"/>
          </w:tcPr>
          <w:p w14:paraId="5C213CBE">
            <w:pPr>
              <w:spacing w:line="300" w:lineRule="exact"/>
              <w:jc w:val="center"/>
              <w:rPr>
                <w:spacing w:val="-11"/>
                <w:kern w:val="0"/>
                <w:szCs w:val="21"/>
                <w:u w:val="single"/>
              </w:rPr>
            </w:pPr>
            <w:r>
              <w:rPr>
                <w:rFonts w:hint="eastAsia"/>
                <w:spacing w:val="-11"/>
                <w:kern w:val="0"/>
                <w:szCs w:val="21"/>
                <w:u w:val="single"/>
              </w:rPr>
              <w:t>/</w:t>
            </w:r>
          </w:p>
        </w:tc>
      </w:tr>
      <w:tr w14:paraId="4D662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blHeader/>
        </w:trPr>
        <w:tc>
          <w:tcPr>
            <w:tcW w:w="326" w:type="pct"/>
            <w:vAlign w:val="center"/>
          </w:tcPr>
          <w:p w14:paraId="428C6A3F">
            <w:pPr>
              <w:spacing w:line="300" w:lineRule="exact"/>
              <w:jc w:val="center"/>
              <w:rPr>
                <w:spacing w:val="-11"/>
                <w:szCs w:val="21"/>
                <w:u w:val="single"/>
              </w:rPr>
            </w:pPr>
            <w:r>
              <w:rPr>
                <w:rFonts w:hint="eastAsia"/>
                <w:spacing w:val="-11"/>
                <w:szCs w:val="21"/>
                <w:u w:val="single"/>
              </w:rPr>
              <w:t>打磨</w:t>
            </w:r>
          </w:p>
        </w:tc>
        <w:tc>
          <w:tcPr>
            <w:tcW w:w="361" w:type="pct"/>
            <w:vAlign w:val="center"/>
          </w:tcPr>
          <w:p w14:paraId="1FD4C071">
            <w:pPr>
              <w:spacing w:line="300" w:lineRule="exact"/>
              <w:jc w:val="center"/>
              <w:rPr>
                <w:spacing w:val="-11"/>
                <w:kern w:val="0"/>
                <w:szCs w:val="21"/>
                <w:u w:val="single"/>
              </w:rPr>
            </w:pPr>
            <w:r>
              <w:rPr>
                <w:rFonts w:hint="eastAsia"/>
                <w:spacing w:val="-11"/>
                <w:kern w:val="0"/>
                <w:szCs w:val="21"/>
                <w:u w:val="single"/>
              </w:rPr>
              <w:t>颗粒物</w:t>
            </w:r>
          </w:p>
        </w:tc>
        <w:tc>
          <w:tcPr>
            <w:tcW w:w="344" w:type="pct"/>
            <w:vAlign w:val="center"/>
          </w:tcPr>
          <w:p w14:paraId="3FE77974">
            <w:pPr>
              <w:spacing w:line="300" w:lineRule="exact"/>
              <w:jc w:val="center"/>
              <w:rPr>
                <w:spacing w:val="-11"/>
                <w:kern w:val="0"/>
                <w:szCs w:val="21"/>
                <w:u w:val="single"/>
              </w:rPr>
            </w:pPr>
            <w:r>
              <w:rPr>
                <w:rFonts w:hint="eastAsia"/>
                <w:spacing w:val="-11"/>
                <w:kern w:val="0"/>
                <w:szCs w:val="21"/>
                <w:u w:val="single"/>
              </w:rPr>
              <w:t>2.19</w:t>
            </w:r>
          </w:p>
        </w:tc>
        <w:tc>
          <w:tcPr>
            <w:tcW w:w="333" w:type="pct"/>
            <w:vAlign w:val="center"/>
          </w:tcPr>
          <w:p w14:paraId="2E2B3F24">
            <w:pPr>
              <w:spacing w:line="300" w:lineRule="exact"/>
              <w:jc w:val="center"/>
              <w:rPr>
                <w:spacing w:val="-11"/>
                <w:kern w:val="0"/>
                <w:szCs w:val="21"/>
                <w:u w:val="single"/>
              </w:rPr>
            </w:pPr>
            <w:r>
              <w:rPr>
                <w:rFonts w:hint="eastAsia"/>
                <w:spacing w:val="-11"/>
                <w:kern w:val="0"/>
                <w:szCs w:val="21"/>
                <w:u w:val="single"/>
              </w:rPr>
              <w:t>0.913</w:t>
            </w:r>
          </w:p>
        </w:tc>
        <w:tc>
          <w:tcPr>
            <w:tcW w:w="311" w:type="pct"/>
            <w:vAlign w:val="center"/>
          </w:tcPr>
          <w:p w14:paraId="4C22266A">
            <w:pPr>
              <w:spacing w:line="300" w:lineRule="exact"/>
              <w:jc w:val="center"/>
              <w:rPr>
                <w:spacing w:val="-11"/>
                <w:kern w:val="0"/>
                <w:szCs w:val="21"/>
                <w:u w:val="single"/>
              </w:rPr>
            </w:pPr>
            <w:r>
              <w:rPr>
                <w:rFonts w:hint="eastAsia"/>
                <w:spacing w:val="-11"/>
                <w:kern w:val="0"/>
                <w:szCs w:val="21"/>
                <w:u w:val="single"/>
              </w:rPr>
              <w:t>无组织</w:t>
            </w:r>
          </w:p>
        </w:tc>
        <w:tc>
          <w:tcPr>
            <w:tcW w:w="268" w:type="pct"/>
            <w:vAlign w:val="center"/>
          </w:tcPr>
          <w:p w14:paraId="55287E48">
            <w:pPr>
              <w:spacing w:line="300" w:lineRule="exact"/>
              <w:jc w:val="center"/>
              <w:rPr>
                <w:spacing w:val="-11"/>
                <w:kern w:val="0"/>
                <w:szCs w:val="21"/>
                <w:u w:val="single"/>
              </w:rPr>
            </w:pPr>
            <w:r>
              <w:rPr>
                <w:rFonts w:hint="eastAsia"/>
                <w:spacing w:val="-11"/>
                <w:kern w:val="0"/>
                <w:szCs w:val="21"/>
                <w:u w:val="single"/>
              </w:rPr>
              <w:t>60</w:t>
            </w:r>
          </w:p>
        </w:tc>
        <w:tc>
          <w:tcPr>
            <w:tcW w:w="392" w:type="pct"/>
            <w:vAlign w:val="center"/>
          </w:tcPr>
          <w:p w14:paraId="0D817ED4">
            <w:pPr>
              <w:spacing w:line="300" w:lineRule="exact"/>
              <w:jc w:val="center"/>
              <w:rPr>
                <w:spacing w:val="-11"/>
                <w:kern w:val="0"/>
                <w:szCs w:val="21"/>
                <w:u w:val="single"/>
              </w:rPr>
            </w:pPr>
            <w:r>
              <w:rPr>
                <w:rFonts w:hint="eastAsia"/>
                <w:spacing w:val="-11"/>
                <w:kern w:val="0"/>
                <w:szCs w:val="21"/>
                <w:u w:val="single"/>
              </w:rPr>
              <w:t>移动式除尘器</w:t>
            </w:r>
          </w:p>
        </w:tc>
        <w:tc>
          <w:tcPr>
            <w:tcW w:w="268" w:type="pct"/>
            <w:vAlign w:val="center"/>
          </w:tcPr>
          <w:p w14:paraId="3BEB495B">
            <w:pPr>
              <w:spacing w:line="300" w:lineRule="exact"/>
              <w:jc w:val="center"/>
              <w:rPr>
                <w:spacing w:val="-11"/>
                <w:kern w:val="0"/>
                <w:szCs w:val="21"/>
                <w:u w:val="single"/>
              </w:rPr>
            </w:pPr>
            <w:r>
              <w:rPr>
                <w:rFonts w:hint="eastAsia"/>
                <w:spacing w:val="-11"/>
                <w:kern w:val="0"/>
                <w:szCs w:val="21"/>
                <w:u w:val="single"/>
              </w:rPr>
              <w:t>95</w:t>
            </w:r>
          </w:p>
        </w:tc>
        <w:tc>
          <w:tcPr>
            <w:tcW w:w="292" w:type="pct"/>
            <w:vAlign w:val="center"/>
          </w:tcPr>
          <w:p w14:paraId="4C6A06B1">
            <w:pPr>
              <w:spacing w:line="300" w:lineRule="exact"/>
              <w:jc w:val="center"/>
              <w:rPr>
                <w:spacing w:val="-11"/>
                <w:kern w:val="0"/>
                <w:szCs w:val="21"/>
                <w:u w:val="single"/>
              </w:rPr>
            </w:pPr>
            <w:r>
              <w:rPr>
                <w:rFonts w:hint="eastAsia"/>
                <w:spacing w:val="-11"/>
                <w:kern w:val="0"/>
                <w:szCs w:val="21"/>
                <w:u w:val="single"/>
              </w:rPr>
              <w:t>是</w:t>
            </w:r>
          </w:p>
        </w:tc>
        <w:tc>
          <w:tcPr>
            <w:tcW w:w="407" w:type="pct"/>
            <w:vAlign w:val="center"/>
          </w:tcPr>
          <w:p w14:paraId="1A8F9DF4">
            <w:pPr>
              <w:spacing w:line="300" w:lineRule="exact"/>
              <w:jc w:val="center"/>
              <w:rPr>
                <w:spacing w:val="-11"/>
                <w:kern w:val="0"/>
                <w:szCs w:val="21"/>
                <w:u w:val="single"/>
              </w:rPr>
            </w:pPr>
            <w:r>
              <w:rPr>
                <w:rFonts w:hint="eastAsia"/>
                <w:spacing w:val="-11"/>
                <w:kern w:val="0"/>
                <w:szCs w:val="21"/>
                <w:u w:val="single"/>
              </w:rPr>
              <w:t>/</w:t>
            </w:r>
          </w:p>
        </w:tc>
        <w:tc>
          <w:tcPr>
            <w:tcW w:w="396" w:type="pct"/>
            <w:vAlign w:val="center"/>
          </w:tcPr>
          <w:p w14:paraId="12AB5177">
            <w:pPr>
              <w:spacing w:line="300" w:lineRule="exact"/>
              <w:jc w:val="center"/>
              <w:rPr>
                <w:spacing w:val="-11"/>
                <w:kern w:val="0"/>
                <w:szCs w:val="21"/>
                <w:u w:val="single"/>
              </w:rPr>
            </w:pPr>
            <w:r>
              <w:rPr>
                <w:rFonts w:hint="eastAsia"/>
                <w:spacing w:val="-11"/>
                <w:kern w:val="0"/>
                <w:szCs w:val="21"/>
                <w:u w:val="single"/>
              </w:rPr>
              <w:t>/</w:t>
            </w:r>
          </w:p>
        </w:tc>
        <w:tc>
          <w:tcPr>
            <w:tcW w:w="450" w:type="pct"/>
            <w:vAlign w:val="center"/>
          </w:tcPr>
          <w:p w14:paraId="51610212">
            <w:pPr>
              <w:spacing w:line="300" w:lineRule="exact"/>
              <w:jc w:val="center"/>
              <w:rPr>
                <w:spacing w:val="-11"/>
                <w:kern w:val="0"/>
                <w:szCs w:val="21"/>
                <w:u w:val="single"/>
              </w:rPr>
            </w:pPr>
            <w:r>
              <w:rPr>
                <w:rFonts w:hint="eastAsia"/>
                <w:spacing w:val="-11"/>
                <w:kern w:val="0"/>
                <w:szCs w:val="21"/>
                <w:u w:val="single"/>
              </w:rPr>
              <w:t>0.942</w:t>
            </w:r>
          </w:p>
        </w:tc>
        <w:tc>
          <w:tcPr>
            <w:tcW w:w="563" w:type="pct"/>
            <w:vAlign w:val="center"/>
          </w:tcPr>
          <w:p w14:paraId="11993D17">
            <w:pPr>
              <w:spacing w:line="300" w:lineRule="exact"/>
              <w:jc w:val="center"/>
              <w:rPr>
                <w:spacing w:val="-11"/>
                <w:kern w:val="0"/>
                <w:szCs w:val="21"/>
                <w:u w:val="single"/>
              </w:rPr>
            </w:pPr>
            <w:r>
              <w:rPr>
                <w:rFonts w:hint="eastAsia"/>
                <w:spacing w:val="-11"/>
                <w:kern w:val="0"/>
                <w:szCs w:val="21"/>
                <w:u w:val="single"/>
              </w:rPr>
              <w:t>0.393</w:t>
            </w:r>
          </w:p>
        </w:tc>
        <w:tc>
          <w:tcPr>
            <w:tcW w:w="285" w:type="pct"/>
            <w:vAlign w:val="center"/>
          </w:tcPr>
          <w:p w14:paraId="3EC958F2">
            <w:pPr>
              <w:spacing w:line="300" w:lineRule="exact"/>
              <w:jc w:val="center"/>
              <w:rPr>
                <w:spacing w:val="-11"/>
                <w:kern w:val="0"/>
                <w:szCs w:val="21"/>
                <w:u w:val="single"/>
              </w:rPr>
            </w:pPr>
            <w:r>
              <w:rPr>
                <w:rFonts w:hint="eastAsia"/>
                <w:spacing w:val="-11"/>
                <w:kern w:val="0"/>
                <w:szCs w:val="21"/>
                <w:u w:val="single"/>
              </w:rPr>
              <w:t>/</w:t>
            </w:r>
          </w:p>
        </w:tc>
      </w:tr>
      <w:tr w14:paraId="17301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rPr>
        <w:tc>
          <w:tcPr>
            <w:tcW w:w="326" w:type="pct"/>
            <w:vAlign w:val="center"/>
          </w:tcPr>
          <w:p w14:paraId="62238A5A">
            <w:pPr>
              <w:spacing w:line="300" w:lineRule="exact"/>
              <w:jc w:val="center"/>
              <w:rPr>
                <w:szCs w:val="21"/>
                <w:u w:val="single"/>
              </w:rPr>
            </w:pPr>
            <w:r>
              <w:rPr>
                <w:rFonts w:hint="eastAsia"/>
                <w:szCs w:val="21"/>
                <w:u w:val="single"/>
              </w:rPr>
              <w:t>焊接</w:t>
            </w:r>
          </w:p>
        </w:tc>
        <w:tc>
          <w:tcPr>
            <w:tcW w:w="361" w:type="pct"/>
            <w:vAlign w:val="center"/>
          </w:tcPr>
          <w:p w14:paraId="087F7923">
            <w:pPr>
              <w:spacing w:line="300" w:lineRule="exact"/>
              <w:jc w:val="center"/>
              <w:rPr>
                <w:spacing w:val="-11"/>
                <w:kern w:val="0"/>
                <w:szCs w:val="21"/>
                <w:u w:val="single"/>
              </w:rPr>
            </w:pPr>
            <w:r>
              <w:rPr>
                <w:rFonts w:hint="eastAsia"/>
                <w:spacing w:val="-11"/>
                <w:kern w:val="0"/>
                <w:szCs w:val="21"/>
                <w:u w:val="single"/>
              </w:rPr>
              <w:t>颗粒物</w:t>
            </w:r>
          </w:p>
        </w:tc>
        <w:tc>
          <w:tcPr>
            <w:tcW w:w="344" w:type="pct"/>
            <w:vAlign w:val="center"/>
          </w:tcPr>
          <w:p w14:paraId="1D56F069">
            <w:pPr>
              <w:spacing w:line="300" w:lineRule="exact"/>
              <w:jc w:val="center"/>
              <w:rPr>
                <w:spacing w:val="-11"/>
                <w:kern w:val="0"/>
                <w:szCs w:val="21"/>
                <w:u w:val="single"/>
              </w:rPr>
            </w:pPr>
            <w:r>
              <w:rPr>
                <w:rFonts w:hint="eastAsia"/>
                <w:spacing w:val="-11"/>
                <w:kern w:val="0"/>
                <w:szCs w:val="21"/>
                <w:u w:val="single"/>
              </w:rPr>
              <w:t>0.005</w:t>
            </w:r>
          </w:p>
        </w:tc>
        <w:tc>
          <w:tcPr>
            <w:tcW w:w="333" w:type="pct"/>
            <w:vAlign w:val="center"/>
          </w:tcPr>
          <w:p w14:paraId="2B51A491">
            <w:pPr>
              <w:spacing w:line="300" w:lineRule="exact"/>
              <w:jc w:val="center"/>
              <w:rPr>
                <w:spacing w:val="-11"/>
                <w:kern w:val="0"/>
                <w:szCs w:val="21"/>
                <w:u w:val="single"/>
              </w:rPr>
            </w:pPr>
            <w:r>
              <w:rPr>
                <w:rFonts w:hint="eastAsia"/>
                <w:spacing w:val="-11"/>
                <w:kern w:val="0"/>
                <w:szCs w:val="21"/>
                <w:u w:val="single"/>
              </w:rPr>
              <w:t>0.008</w:t>
            </w:r>
          </w:p>
        </w:tc>
        <w:tc>
          <w:tcPr>
            <w:tcW w:w="311" w:type="pct"/>
            <w:vAlign w:val="center"/>
          </w:tcPr>
          <w:p w14:paraId="76231FE5">
            <w:pPr>
              <w:spacing w:line="300" w:lineRule="exact"/>
              <w:jc w:val="center"/>
              <w:rPr>
                <w:spacing w:val="-11"/>
                <w:kern w:val="0"/>
                <w:szCs w:val="21"/>
                <w:u w:val="single"/>
              </w:rPr>
            </w:pPr>
            <w:r>
              <w:rPr>
                <w:rFonts w:hint="eastAsia"/>
                <w:spacing w:val="-11"/>
                <w:kern w:val="0"/>
                <w:szCs w:val="21"/>
                <w:u w:val="single"/>
              </w:rPr>
              <w:t>无组织</w:t>
            </w:r>
          </w:p>
        </w:tc>
        <w:tc>
          <w:tcPr>
            <w:tcW w:w="268" w:type="pct"/>
            <w:vAlign w:val="center"/>
          </w:tcPr>
          <w:p w14:paraId="3C8B907F">
            <w:pPr>
              <w:spacing w:line="300" w:lineRule="exact"/>
              <w:jc w:val="center"/>
              <w:rPr>
                <w:spacing w:val="-11"/>
                <w:kern w:val="0"/>
                <w:szCs w:val="21"/>
                <w:u w:val="single"/>
              </w:rPr>
            </w:pPr>
            <w:r>
              <w:rPr>
                <w:rFonts w:hint="eastAsia"/>
                <w:spacing w:val="-11"/>
                <w:kern w:val="0"/>
                <w:szCs w:val="21"/>
                <w:u w:val="single"/>
              </w:rPr>
              <w:t>60</w:t>
            </w:r>
          </w:p>
        </w:tc>
        <w:tc>
          <w:tcPr>
            <w:tcW w:w="392" w:type="pct"/>
            <w:vAlign w:val="center"/>
          </w:tcPr>
          <w:p w14:paraId="51333F2A">
            <w:pPr>
              <w:spacing w:line="300" w:lineRule="exact"/>
              <w:jc w:val="center"/>
              <w:rPr>
                <w:spacing w:val="-11"/>
                <w:kern w:val="0"/>
                <w:szCs w:val="21"/>
                <w:u w:val="single"/>
              </w:rPr>
            </w:pPr>
            <w:r>
              <w:rPr>
                <w:rFonts w:hint="eastAsia"/>
                <w:spacing w:val="-11"/>
                <w:kern w:val="0"/>
                <w:szCs w:val="21"/>
                <w:u w:val="single"/>
              </w:rPr>
              <w:t>移动式除尘器</w:t>
            </w:r>
          </w:p>
        </w:tc>
        <w:tc>
          <w:tcPr>
            <w:tcW w:w="268" w:type="pct"/>
            <w:vAlign w:val="center"/>
          </w:tcPr>
          <w:p w14:paraId="360AFEBB">
            <w:pPr>
              <w:spacing w:line="300" w:lineRule="exact"/>
              <w:jc w:val="center"/>
              <w:rPr>
                <w:spacing w:val="-11"/>
                <w:kern w:val="0"/>
                <w:szCs w:val="21"/>
                <w:u w:val="single"/>
              </w:rPr>
            </w:pPr>
            <w:r>
              <w:rPr>
                <w:rFonts w:hint="eastAsia"/>
                <w:spacing w:val="-11"/>
                <w:kern w:val="0"/>
                <w:szCs w:val="21"/>
                <w:u w:val="single"/>
              </w:rPr>
              <w:t>95</w:t>
            </w:r>
          </w:p>
        </w:tc>
        <w:tc>
          <w:tcPr>
            <w:tcW w:w="292" w:type="pct"/>
            <w:vAlign w:val="center"/>
          </w:tcPr>
          <w:p w14:paraId="5EDB28EB">
            <w:pPr>
              <w:spacing w:line="300" w:lineRule="exact"/>
              <w:jc w:val="center"/>
              <w:rPr>
                <w:spacing w:val="-11"/>
                <w:kern w:val="0"/>
                <w:szCs w:val="21"/>
                <w:u w:val="single"/>
              </w:rPr>
            </w:pPr>
            <w:r>
              <w:rPr>
                <w:rFonts w:hint="eastAsia"/>
                <w:spacing w:val="-11"/>
                <w:kern w:val="0"/>
                <w:szCs w:val="21"/>
                <w:u w:val="single"/>
              </w:rPr>
              <w:t>是</w:t>
            </w:r>
          </w:p>
        </w:tc>
        <w:tc>
          <w:tcPr>
            <w:tcW w:w="407" w:type="pct"/>
            <w:vAlign w:val="center"/>
          </w:tcPr>
          <w:p w14:paraId="18BDA92C">
            <w:pPr>
              <w:spacing w:line="300" w:lineRule="exact"/>
              <w:jc w:val="center"/>
              <w:rPr>
                <w:spacing w:val="-11"/>
                <w:kern w:val="0"/>
                <w:szCs w:val="21"/>
                <w:u w:val="single"/>
              </w:rPr>
            </w:pPr>
            <w:r>
              <w:rPr>
                <w:rFonts w:hint="eastAsia"/>
                <w:spacing w:val="-11"/>
                <w:kern w:val="0"/>
                <w:szCs w:val="21"/>
                <w:u w:val="single"/>
              </w:rPr>
              <w:t>/</w:t>
            </w:r>
          </w:p>
        </w:tc>
        <w:tc>
          <w:tcPr>
            <w:tcW w:w="396" w:type="pct"/>
            <w:vAlign w:val="center"/>
          </w:tcPr>
          <w:p w14:paraId="3F0FC2BE">
            <w:pPr>
              <w:spacing w:line="300" w:lineRule="exact"/>
              <w:jc w:val="center"/>
              <w:rPr>
                <w:spacing w:val="-11"/>
                <w:kern w:val="0"/>
                <w:szCs w:val="21"/>
                <w:u w:val="single"/>
              </w:rPr>
            </w:pPr>
            <w:r>
              <w:rPr>
                <w:rFonts w:hint="eastAsia"/>
                <w:spacing w:val="-11"/>
                <w:kern w:val="0"/>
                <w:szCs w:val="21"/>
                <w:u w:val="single"/>
              </w:rPr>
              <w:t>/</w:t>
            </w:r>
          </w:p>
        </w:tc>
        <w:tc>
          <w:tcPr>
            <w:tcW w:w="450" w:type="pct"/>
            <w:vAlign w:val="center"/>
          </w:tcPr>
          <w:p w14:paraId="5AAED0FB">
            <w:pPr>
              <w:spacing w:line="300" w:lineRule="exact"/>
              <w:jc w:val="center"/>
              <w:rPr>
                <w:spacing w:val="-11"/>
                <w:kern w:val="0"/>
                <w:szCs w:val="21"/>
                <w:u w:val="single"/>
              </w:rPr>
            </w:pPr>
            <w:r>
              <w:rPr>
                <w:rFonts w:hint="eastAsia"/>
                <w:spacing w:val="-11"/>
                <w:kern w:val="0"/>
                <w:szCs w:val="21"/>
                <w:u w:val="single"/>
              </w:rPr>
              <w:t>0.002</w:t>
            </w:r>
          </w:p>
        </w:tc>
        <w:tc>
          <w:tcPr>
            <w:tcW w:w="563" w:type="pct"/>
            <w:vAlign w:val="center"/>
          </w:tcPr>
          <w:p w14:paraId="7F9424D7">
            <w:pPr>
              <w:spacing w:line="300" w:lineRule="exact"/>
              <w:jc w:val="center"/>
              <w:rPr>
                <w:spacing w:val="-11"/>
                <w:kern w:val="0"/>
                <w:szCs w:val="21"/>
                <w:u w:val="single"/>
              </w:rPr>
            </w:pPr>
            <w:r>
              <w:rPr>
                <w:rFonts w:hint="eastAsia"/>
                <w:spacing w:val="-11"/>
                <w:kern w:val="0"/>
                <w:szCs w:val="21"/>
                <w:u w:val="single"/>
              </w:rPr>
              <w:t>0.003</w:t>
            </w:r>
          </w:p>
        </w:tc>
        <w:tc>
          <w:tcPr>
            <w:tcW w:w="285" w:type="pct"/>
            <w:vAlign w:val="center"/>
          </w:tcPr>
          <w:p w14:paraId="71564F61">
            <w:pPr>
              <w:spacing w:line="300" w:lineRule="exact"/>
              <w:jc w:val="center"/>
              <w:rPr>
                <w:spacing w:val="-11"/>
                <w:kern w:val="0"/>
                <w:szCs w:val="21"/>
                <w:u w:val="single"/>
              </w:rPr>
            </w:pPr>
            <w:r>
              <w:rPr>
                <w:rFonts w:hint="eastAsia"/>
                <w:spacing w:val="-11"/>
                <w:kern w:val="0"/>
                <w:szCs w:val="21"/>
                <w:u w:val="single"/>
              </w:rPr>
              <w:t>/</w:t>
            </w:r>
          </w:p>
        </w:tc>
      </w:tr>
      <w:tr w14:paraId="055B5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rPr>
        <w:tc>
          <w:tcPr>
            <w:tcW w:w="326" w:type="pct"/>
            <w:shd w:val="clear" w:color="auto" w:fill="auto"/>
            <w:vAlign w:val="center"/>
          </w:tcPr>
          <w:p w14:paraId="2C24BF7F">
            <w:pPr>
              <w:spacing w:line="300" w:lineRule="exact"/>
              <w:jc w:val="center"/>
              <w:rPr>
                <w:szCs w:val="21"/>
                <w:u w:val="single"/>
              </w:rPr>
            </w:pPr>
            <w:r>
              <w:rPr>
                <w:rFonts w:hint="eastAsia"/>
                <w:szCs w:val="21"/>
                <w:u w:val="single"/>
              </w:rPr>
              <w:t>抛丸工序</w:t>
            </w:r>
          </w:p>
        </w:tc>
        <w:tc>
          <w:tcPr>
            <w:tcW w:w="361" w:type="pct"/>
            <w:shd w:val="clear" w:color="auto" w:fill="auto"/>
            <w:vAlign w:val="center"/>
          </w:tcPr>
          <w:p w14:paraId="18D32954">
            <w:pPr>
              <w:spacing w:line="300" w:lineRule="exact"/>
              <w:jc w:val="center"/>
              <w:rPr>
                <w:szCs w:val="21"/>
                <w:u w:val="single"/>
              </w:rPr>
            </w:pPr>
            <w:r>
              <w:rPr>
                <w:rFonts w:hint="eastAsia"/>
                <w:szCs w:val="21"/>
                <w:u w:val="single"/>
              </w:rPr>
              <w:t>颗粒物</w:t>
            </w:r>
          </w:p>
        </w:tc>
        <w:tc>
          <w:tcPr>
            <w:tcW w:w="344" w:type="pct"/>
            <w:shd w:val="clear" w:color="auto" w:fill="auto"/>
            <w:vAlign w:val="center"/>
          </w:tcPr>
          <w:p w14:paraId="77E54C36">
            <w:pPr>
              <w:spacing w:line="300" w:lineRule="exact"/>
              <w:jc w:val="center"/>
              <w:rPr>
                <w:szCs w:val="21"/>
                <w:u w:val="single"/>
              </w:rPr>
            </w:pPr>
            <w:r>
              <w:rPr>
                <w:rFonts w:hint="eastAsia"/>
                <w:szCs w:val="21"/>
                <w:u w:val="single"/>
              </w:rPr>
              <w:t>12.045</w:t>
            </w:r>
          </w:p>
        </w:tc>
        <w:tc>
          <w:tcPr>
            <w:tcW w:w="333" w:type="pct"/>
            <w:shd w:val="clear" w:color="auto" w:fill="auto"/>
            <w:vAlign w:val="center"/>
          </w:tcPr>
          <w:p w14:paraId="32A9A582">
            <w:pPr>
              <w:spacing w:line="300" w:lineRule="exact"/>
              <w:jc w:val="center"/>
              <w:rPr>
                <w:szCs w:val="21"/>
                <w:u w:val="single"/>
              </w:rPr>
            </w:pPr>
            <w:r>
              <w:rPr>
                <w:rFonts w:hint="eastAsia"/>
                <w:szCs w:val="21"/>
                <w:u w:val="single"/>
              </w:rPr>
              <w:t>5.019</w:t>
            </w:r>
          </w:p>
        </w:tc>
        <w:tc>
          <w:tcPr>
            <w:tcW w:w="311" w:type="pct"/>
            <w:shd w:val="clear" w:color="auto" w:fill="auto"/>
            <w:vAlign w:val="center"/>
          </w:tcPr>
          <w:p w14:paraId="313F49AA">
            <w:pPr>
              <w:spacing w:line="300" w:lineRule="exact"/>
              <w:jc w:val="center"/>
              <w:rPr>
                <w:color w:val="000000"/>
                <w:spacing w:val="-11"/>
                <w:kern w:val="0"/>
                <w:szCs w:val="21"/>
                <w:u w:val="single"/>
              </w:rPr>
            </w:pPr>
            <w:r>
              <w:rPr>
                <w:rFonts w:hint="eastAsia"/>
                <w:color w:val="000000"/>
                <w:spacing w:val="-11"/>
                <w:kern w:val="0"/>
                <w:szCs w:val="21"/>
                <w:u w:val="single"/>
              </w:rPr>
              <w:t>有组织</w:t>
            </w:r>
          </w:p>
        </w:tc>
        <w:tc>
          <w:tcPr>
            <w:tcW w:w="268" w:type="pct"/>
            <w:shd w:val="clear" w:color="auto" w:fill="auto"/>
            <w:vAlign w:val="center"/>
          </w:tcPr>
          <w:p w14:paraId="63F9C5A3">
            <w:pPr>
              <w:spacing w:line="300" w:lineRule="exact"/>
              <w:jc w:val="center"/>
              <w:rPr>
                <w:color w:val="000000"/>
                <w:spacing w:val="-11"/>
                <w:kern w:val="0"/>
                <w:szCs w:val="21"/>
                <w:u w:val="single"/>
              </w:rPr>
            </w:pPr>
            <w:r>
              <w:rPr>
                <w:rFonts w:hint="eastAsia"/>
                <w:color w:val="000000"/>
                <w:spacing w:val="-11"/>
                <w:kern w:val="0"/>
                <w:szCs w:val="21"/>
                <w:u w:val="single"/>
              </w:rPr>
              <w:t>100</w:t>
            </w:r>
          </w:p>
        </w:tc>
        <w:tc>
          <w:tcPr>
            <w:tcW w:w="392" w:type="pct"/>
            <w:shd w:val="clear" w:color="auto" w:fill="auto"/>
            <w:vAlign w:val="center"/>
          </w:tcPr>
          <w:p w14:paraId="001FF7FA">
            <w:pPr>
              <w:spacing w:line="300" w:lineRule="exact"/>
              <w:jc w:val="center"/>
              <w:rPr>
                <w:spacing w:val="-11"/>
                <w:kern w:val="0"/>
                <w:szCs w:val="21"/>
                <w:u w:val="single"/>
              </w:rPr>
            </w:pPr>
            <w:r>
              <w:rPr>
                <w:rFonts w:hint="eastAsia"/>
                <w:spacing w:val="-11"/>
                <w:kern w:val="0"/>
                <w:szCs w:val="21"/>
                <w:u w:val="single"/>
              </w:rPr>
              <w:t>布袋除尘器</w:t>
            </w:r>
          </w:p>
        </w:tc>
        <w:tc>
          <w:tcPr>
            <w:tcW w:w="268" w:type="pct"/>
            <w:shd w:val="clear" w:color="auto" w:fill="auto"/>
            <w:vAlign w:val="center"/>
          </w:tcPr>
          <w:p w14:paraId="6578EBAA">
            <w:pPr>
              <w:spacing w:line="300" w:lineRule="exact"/>
              <w:jc w:val="center"/>
              <w:rPr>
                <w:spacing w:val="-11"/>
                <w:kern w:val="0"/>
                <w:szCs w:val="21"/>
                <w:u w:val="single"/>
              </w:rPr>
            </w:pPr>
            <w:r>
              <w:rPr>
                <w:spacing w:val="-11"/>
                <w:kern w:val="0"/>
                <w:szCs w:val="21"/>
                <w:u w:val="single"/>
              </w:rPr>
              <w:t>95</w:t>
            </w:r>
          </w:p>
        </w:tc>
        <w:tc>
          <w:tcPr>
            <w:tcW w:w="292" w:type="pct"/>
            <w:shd w:val="clear" w:color="auto" w:fill="auto"/>
            <w:vAlign w:val="center"/>
          </w:tcPr>
          <w:p w14:paraId="6AF5BB4A">
            <w:pPr>
              <w:spacing w:line="300" w:lineRule="exact"/>
              <w:jc w:val="center"/>
              <w:rPr>
                <w:spacing w:val="-11"/>
                <w:kern w:val="0"/>
                <w:szCs w:val="21"/>
                <w:u w:val="single"/>
              </w:rPr>
            </w:pPr>
            <w:r>
              <w:rPr>
                <w:rFonts w:hint="eastAsia"/>
                <w:spacing w:val="-11"/>
                <w:kern w:val="0"/>
                <w:szCs w:val="21"/>
                <w:u w:val="single"/>
              </w:rPr>
              <w:t>是</w:t>
            </w:r>
          </w:p>
        </w:tc>
        <w:tc>
          <w:tcPr>
            <w:tcW w:w="407" w:type="pct"/>
            <w:shd w:val="clear" w:color="auto" w:fill="auto"/>
            <w:vAlign w:val="center"/>
          </w:tcPr>
          <w:p w14:paraId="701EE8A3">
            <w:pPr>
              <w:widowControl/>
              <w:spacing w:line="300" w:lineRule="exact"/>
              <w:jc w:val="center"/>
              <w:textAlignment w:val="center"/>
              <w:rPr>
                <w:color w:val="000000"/>
                <w:kern w:val="0"/>
                <w:szCs w:val="21"/>
                <w:u w:val="single"/>
                <w:lang w:bidi="ar"/>
              </w:rPr>
            </w:pPr>
            <w:r>
              <w:rPr>
                <w:rFonts w:hint="eastAsia"/>
                <w:color w:val="000000"/>
                <w:kern w:val="0"/>
                <w:szCs w:val="21"/>
                <w:u w:val="single"/>
                <w:lang w:bidi="ar"/>
              </w:rPr>
              <w:t>0.602</w:t>
            </w:r>
          </w:p>
        </w:tc>
        <w:tc>
          <w:tcPr>
            <w:tcW w:w="396" w:type="pct"/>
            <w:shd w:val="clear" w:color="auto" w:fill="auto"/>
            <w:vAlign w:val="center"/>
          </w:tcPr>
          <w:p w14:paraId="6CCF9EA3">
            <w:pPr>
              <w:widowControl/>
              <w:spacing w:line="300" w:lineRule="exact"/>
              <w:jc w:val="center"/>
              <w:textAlignment w:val="center"/>
              <w:rPr>
                <w:color w:val="000000"/>
                <w:kern w:val="0"/>
                <w:szCs w:val="21"/>
                <w:u w:val="single"/>
                <w:lang w:bidi="ar"/>
              </w:rPr>
            </w:pPr>
            <w:r>
              <w:rPr>
                <w:rFonts w:hint="eastAsia"/>
                <w:color w:val="000000"/>
                <w:kern w:val="0"/>
                <w:szCs w:val="21"/>
                <w:u w:val="single"/>
                <w:lang w:bidi="ar"/>
              </w:rPr>
              <w:t>0.251</w:t>
            </w:r>
          </w:p>
        </w:tc>
        <w:tc>
          <w:tcPr>
            <w:tcW w:w="450" w:type="pct"/>
            <w:shd w:val="clear" w:color="auto" w:fill="auto"/>
            <w:vAlign w:val="center"/>
          </w:tcPr>
          <w:p w14:paraId="7405C2EE">
            <w:pPr>
              <w:spacing w:line="300" w:lineRule="exact"/>
              <w:jc w:val="center"/>
              <w:rPr>
                <w:spacing w:val="-11"/>
                <w:kern w:val="0"/>
                <w:szCs w:val="21"/>
                <w:u w:val="single"/>
              </w:rPr>
            </w:pPr>
            <w:r>
              <w:rPr>
                <w:rFonts w:hint="eastAsia"/>
                <w:spacing w:val="-11"/>
                <w:kern w:val="0"/>
                <w:szCs w:val="21"/>
                <w:u w:val="single"/>
              </w:rPr>
              <w:t>/</w:t>
            </w:r>
          </w:p>
        </w:tc>
        <w:tc>
          <w:tcPr>
            <w:tcW w:w="563" w:type="pct"/>
            <w:shd w:val="clear" w:color="auto" w:fill="auto"/>
            <w:vAlign w:val="center"/>
          </w:tcPr>
          <w:p w14:paraId="1C141E12">
            <w:pPr>
              <w:spacing w:line="300" w:lineRule="exact"/>
              <w:jc w:val="center"/>
              <w:rPr>
                <w:spacing w:val="-11"/>
                <w:kern w:val="0"/>
                <w:szCs w:val="21"/>
                <w:u w:val="single"/>
              </w:rPr>
            </w:pPr>
            <w:r>
              <w:rPr>
                <w:rFonts w:hint="eastAsia"/>
                <w:spacing w:val="-11"/>
                <w:kern w:val="0"/>
                <w:szCs w:val="21"/>
                <w:u w:val="single"/>
              </w:rPr>
              <w:t>/</w:t>
            </w:r>
          </w:p>
        </w:tc>
        <w:tc>
          <w:tcPr>
            <w:tcW w:w="285" w:type="pct"/>
            <w:shd w:val="clear" w:color="auto" w:fill="auto"/>
            <w:vAlign w:val="center"/>
          </w:tcPr>
          <w:p w14:paraId="4AD26AE3">
            <w:pPr>
              <w:spacing w:line="300" w:lineRule="exact"/>
              <w:jc w:val="center"/>
              <w:rPr>
                <w:spacing w:val="-11"/>
                <w:kern w:val="0"/>
                <w:szCs w:val="21"/>
                <w:u w:val="single"/>
              </w:rPr>
            </w:pPr>
            <w:r>
              <w:rPr>
                <w:rFonts w:hint="eastAsia"/>
                <w:spacing w:val="-11"/>
                <w:kern w:val="0"/>
                <w:szCs w:val="21"/>
                <w:u w:val="single"/>
              </w:rPr>
              <w:t>DA003</w:t>
            </w:r>
          </w:p>
        </w:tc>
      </w:tr>
      <w:tr w14:paraId="442F0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rPr>
        <w:tc>
          <w:tcPr>
            <w:tcW w:w="326" w:type="pct"/>
            <w:vMerge w:val="restart"/>
            <w:vAlign w:val="center"/>
          </w:tcPr>
          <w:p w14:paraId="1B5F9AF8">
            <w:pPr>
              <w:spacing w:line="300" w:lineRule="exact"/>
              <w:jc w:val="center"/>
              <w:rPr>
                <w:spacing w:val="-11"/>
                <w:szCs w:val="21"/>
                <w:u w:val="single"/>
              </w:rPr>
            </w:pPr>
            <w:r>
              <w:rPr>
                <w:rFonts w:hint="eastAsia"/>
                <w:spacing w:val="-11"/>
                <w:szCs w:val="21"/>
                <w:u w:val="single"/>
              </w:rPr>
              <w:t>喷涂</w:t>
            </w:r>
            <w:r>
              <w:rPr>
                <w:rFonts w:hint="eastAsia"/>
                <w:szCs w:val="21"/>
                <w:u w:val="single"/>
              </w:rPr>
              <w:t>工序</w:t>
            </w:r>
          </w:p>
        </w:tc>
        <w:tc>
          <w:tcPr>
            <w:tcW w:w="361" w:type="pct"/>
            <w:vAlign w:val="center"/>
          </w:tcPr>
          <w:p w14:paraId="3DC8EB38">
            <w:pPr>
              <w:spacing w:line="300" w:lineRule="exact"/>
              <w:jc w:val="center"/>
              <w:rPr>
                <w:spacing w:val="-11"/>
                <w:kern w:val="0"/>
                <w:szCs w:val="21"/>
                <w:u w:val="single"/>
              </w:rPr>
            </w:pPr>
            <w:r>
              <w:rPr>
                <w:rFonts w:hint="eastAsia"/>
                <w:spacing w:val="-11"/>
                <w:kern w:val="0"/>
                <w:szCs w:val="21"/>
                <w:u w:val="single"/>
              </w:rPr>
              <w:t>VOCs</w:t>
            </w:r>
          </w:p>
        </w:tc>
        <w:tc>
          <w:tcPr>
            <w:tcW w:w="344" w:type="pct"/>
            <w:vAlign w:val="center"/>
          </w:tcPr>
          <w:p w14:paraId="5FF495FD">
            <w:pPr>
              <w:spacing w:line="300" w:lineRule="exact"/>
              <w:jc w:val="center"/>
              <w:rPr>
                <w:color w:val="000000"/>
                <w:spacing w:val="-11"/>
                <w:kern w:val="0"/>
                <w:szCs w:val="21"/>
                <w:u w:val="single"/>
              </w:rPr>
            </w:pPr>
            <w:r>
              <w:rPr>
                <w:rFonts w:hint="eastAsia"/>
                <w:color w:val="000000"/>
                <w:spacing w:val="-11"/>
                <w:kern w:val="0"/>
                <w:szCs w:val="21"/>
                <w:u w:val="single"/>
              </w:rPr>
              <w:t>0.788</w:t>
            </w:r>
          </w:p>
        </w:tc>
        <w:tc>
          <w:tcPr>
            <w:tcW w:w="333" w:type="pct"/>
            <w:vAlign w:val="center"/>
          </w:tcPr>
          <w:p w14:paraId="452AF229">
            <w:pPr>
              <w:spacing w:line="300" w:lineRule="exact"/>
              <w:jc w:val="center"/>
              <w:rPr>
                <w:color w:val="000000"/>
                <w:spacing w:val="-11"/>
                <w:kern w:val="0"/>
                <w:szCs w:val="21"/>
                <w:u w:val="single"/>
              </w:rPr>
            </w:pPr>
            <w:r>
              <w:rPr>
                <w:rFonts w:hint="eastAsia"/>
                <w:color w:val="000000"/>
                <w:spacing w:val="-11"/>
                <w:kern w:val="0"/>
                <w:szCs w:val="21"/>
                <w:u w:val="single"/>
              </w:rPr>
              <w:t>0.942</w:t>
            </w:r>
          </w:p>
        </w:tc>
        <w:tc>
          <w:tcPr>
            <w:tcW w:w="311" w:type="pct"/>
            <w:vMerge w:val="restart"/>
            <w:vAlign w:val="center"/>
          </w:tcPr>
          <w:p w14:paraId="1B98F446">
            <w:pPr>
              <w:spacing w:line="300" w:lineRule="exact"/>
              <w:jc w:val="center"/>
              <w:rPr>
                <w:color w:val="000000"/>
                <w:spacing w:val="-11"/>
                <w:kern w:val="0"/>
                <w:szCs w:val="21"/>
                <w:u w:val="single"/>
              </w:rPr>
            </w:pPr>
            <w:r>
              <w:rPr>
                <w:rFonts w:hint="eastAsia"/>
                <w:spacing w:val="-11"/>
                <w:kern w:val="0"/>
                <w:szCs w:val="21"/>
                <w:u w:val="single"/>
              </w:rPr>
              <w:t>有组织、无组织</w:t>
            </w:r>
          </w:p>
        </w:tc>
        <w:tc>
          <w:tcPr>
            <w:tcW w:w="268" w:type="pct"/>
            <w:vMerge w:val="restart"/>
            <w:vAlign w:val="center"/>
          </w:tcPr>
          <w:p w14:paraId="55DFF20D">
            <w:pPr>
              <w:spacing w:line="300" w:lineRule="exact"/>
              <w:jc w:val="center"/>
              <w:rPr>
                <w:color w:val="000000"/>
                <w:spacing w:val="-11"/>
                <w:kern w:val="0"/>
                <w:szCs w:val="21"/>
                <w:u w:val="single"/>
              </w:rPr>
            </w:pPr>
            <w:r>
              <w:rPr>
                <w:rFonts w:hint="eastAsia"/>
                <w:color w:val="000000"/>
                <w:spacing w:val="-11"/>
                <w:kern w:val="0"/>
                <w:szCs w:val="21"/>
                <w:u w:val="single"/>
              </w:rPr>
              <w:t>90</w:t>
            </w:r>
          </w:p>
        </w:tc>
        <w:tc>
          <w:tcPr>
            <w:tcW w:w="392" w:type="pct"/>
            <w:vMerge w:val="restart"/>
            <w:vAlign w:val="center"/>
          </w:tcPr>
          <w:p w14:paraId="0B55C7A6">
            <w:pPr>
              <w:spacing w:line="300" w:lineRule="exact"/>
              <w:jc w:val="center"/>
              <w:rPr>
                <w:spacing w:val="-11"/>
                <w:kern w:val="0"/>
                <w:szCs w:val="21"/>
                <w:u w:val="single"/>
              </w:rPr>
            </w:pPr>
            <w:r>
              <w:rPr>
                <w:rFonts w:hint="eastAsia"/>
                <w:spacing w:val="-11"/>
                <w:kern w:val="0"/>
                <w:szCs w:val="21"/>
                <w:u w:val="single"/>
              </w:rPr>
              <w:t>过滤棉+二级活性炭吸附装置</w:t>
            </w:r>
          </w:p>
        </w:tc>
        <w:tc>
          <w:tcPr>
            <w:tcW w:w="268" w:type="pct"/>
            <w:vMerge w:val="restart"/>
            <w:vAlign w:val="center"/>
          </w:tcPr>
          <w:p w14:paraId="74D8E67F">
            <w:pPr>
              <w:spacing w:line="300" w:lineRule="exact"/>
              <w:jc w:val="center"/>
              <w:rPr>
                <w:rFonts w:hint="default" w:eastAsia="宋体"/>
                <w:spacing w:val="-11"/>
                <w:kern w:val="0"/>
                <w:szCs w:val="21"/>
                <w:u w:val="single"/>
                <w:lang w:val="en-US" w:eastAsia="zh-CN"/>
              </w:rPr>
            </w:pPr>
            <w:r>
              <w:rPr>
                <w:rFonts w:hint="eastAsia"/>
                <w:spacing w:val="-11"/>
                <w:kern w:val="0"/>
                <w:szCs w:val="21"/>
                <w:u w:val="single"/>
                <w:lang w:val="en-US" w:eastAsia="zh-CN"/>
              </w:rPr>
              <w:t>75</w:t>
            </w:r>
          </w:p>
        </w:tc>
        <w:tc>
          <w:tcPr>
            <w:tcW w:w="292" w:type="pct"/>
            <w:vMerge w:val="restart"/>
            <w:vAlign w:val="center"/>
          </w:tcPr>
          <w:p w14:paraId="400F8302">
            <w:pPr>
              <w:spacing w:line="300" w:lineRule="exact"/>
              <w:jc w:val="center"/>
              <w:rPr>
                <w:spacing w:val="-11"/>
                <w:kern w:val="0"/>
                <w:szCs w:val="21"/>
                <w:u w:val="single"/>
              </w:rPr>
            </w:pPr>
            <w:r>
              <w:rPr>
                <w:rFonts w:hint="eastAsia"/>
                <w:spacing w:val="-11"/>
                <w:kern w:val="0"/>
                <w:szCs w:val="21"/>
                <w:u w:val="single"/>
              </w:rPr>
              <w:t>是</w:t>
            </w:r>
          </w:p>
        </w:tc>
        <w:tc>
          <w:tcPr>
            <w:tcW w:w="407" w:type="pct"/>
            <w:vAlign w:val="center"/>
          </w:tcPr>
          <w:p w14:paraId="2E21BAB8">
            <w:pPr>
              <w:widowControl/>
              <w:spacing w:line="300" w:lineRule="exact"/>
              <w:jc w:val="center"/>
              <w:textAlignment w:val="center"/>
              <w:rPr>
                <w:rFonts w:hint="default" w:eastAsia="宋体"/>
                <w:color w:val="000000"/>
                <w:kern w:val="0"/>
                <w:szCs w:val="21"/>
                <w:u w:val="single"/>
                <w:lang w:val="en-US" w:eastAsia="zh-CN" w:bidi="ar"/>
              </w:rPr>
            </w:pPr>
            <w:r>
              <w:rPr>
                <w:rFonts w:hint="eastAsia"/>
                <w:color w:val="000000"/>
                <w:kern w:val="0"/>
                <w:szCs w:val="21"/>
                <w:u w:val="single"/>
                <w:lang w:bidi="ar"/>
              </w:rPr>
              <w:t>0.</w:t>
            </w:r>
            <w:r>
              <w:rPr>
                <w:rFonts w:hint="eastAsia"/>
                <w:color w:val="000000"/>
                <w:kern w:val="0"/>
                <w:szCs w:val="21"/>
                <w:u w:val="single"/>
                <w:lang w:val="en-US" w:eastAsia="zh-CN" w:bidi="ar"/>
              </w:rPr>
              <w:t>177</w:t>
            </w:r>
          </w:p>
        </w:tc>
        <w:tc>
          <w:tcPr>
            <w:tcW w:w="396" w:type="pct"/>
            <w:vAlign w:val="center"/>
          </w:tcPr>
          <w:p w14:paraId="5F04FA43">
            <w:pPr>
              <w:widowControl/>
              <w:spacing w:line="300" w:lineRule="exact"/>
              <w:jc w:val="center"/>
              <w:textAlignment w:val="center"/>
              <w:rPr>
                <w:rFonts w:hint="default" w:eastAsia="宋体"/>
                <w:color w:val="000000"/>
                <w:kern w:val="0"/>
                <w:szCs w:val="21"/>
                <w:u w:val="single"/>
                <w:lang w:val="en-US" w:eastAsia="zh-CN" w:bidi="ar"/>
              </w:rPr>
            </w:pPr>
            <w:r>
              <w:rPr>
                <w:rFonts w:hint="eastAsia"/>
                <w:color w:val="000000"/>
                <w:kern w:val="0"/>
                <w:szCs w:val="21"/>
                <w:u w:val="single"/>
                <w:lang w:bidi="ar"/>
              </w:rPr>
              <w:t>0.</w:t>
            </w:r>
            <w:r>
              <w:rPr>
                <w:rFonts w:hint="eastAsia"/>
                <w:color w:val="000000"/>
                <w:kern w:val="0"/>
                <w:szCs w:val="21"/>
                <w:u w:val="single"/>
                <w:lang w:val="en-US" w:eastAsia="zh-CN" w:bidi="ar"/>
              </w:rPr>
              <w:t>074</w:t>
            </w:r>
          </w:p>
        </w:tc>
        <w:tc>
          <w:tcPr>
            <w:tcW w:w="450" w:type="pct"/>
            <w:vAlign w:val="center"/>
          </w:tcPr>
          <w:p w14:paraId="5D01B8E0">
            <w:pPr>
              <w:widowControl/>
              <w:spacing w:line="300" w:lineRule="exact"/>
              <w:jc w:val="center"/>
              <w:textAlignment w:val="center"/>
              <w:rPr>
                <w:u w:val="single"/>
              </w:rPr>
            </w:pPr>
            <w:r>
              <w:rPr>
                <w:rFonts w:hint="eastAsia"/>
                <w:u w:val="single"/>
              </w:rPr>
              <w:t>0.079</w:t>
            </w:r>
          </w:p>
        </w:tc>
        <w:tc>
          <w:tcPr>
            <w:tcW w:w="563" w:type="pct"/>
            <w:vAlign w:val="center"/>
          </w:tcPr>
          <w:p w14:paraId="261E4FBB">
            <w:pPr>
              <w:spacing w:line="300" w:lineRule="exact"/>
              <w:jc w:val="center"/>
              <w:rPr>
                <w:color w:val="000000"/>
                <w:spacing w:val="-11"/>
                <w:kern w:val="0"/>
                <w:szCs w:val="21"/>
                <w:u w:val="single"/>
              </w:rPr>
            </w:pPr>
            <w:r>
              <w:rPr>
                <w:rFonts w:hint="eastAsia"/>
                <w:color w:val="000000"/>
                <w:spacing w:val="-11"/>
                <w:kern w:val="0"/>
                <w:szCs w:val="21"/>
                <w:u w:val="single"/>
              </w:rPr>
              <w:t>0.033</w:t>
            </w:r>
          </w:p>
        </w:tc>
        <w:tc>
          <w:tcPr>
            <w:tcW w:w="285" w:type="pct"/>
            <w:vMerge w:val="restart"/>
            <w:vAlign w:val="center"/>
          </w:tcPr>
          <w:p w14:paraId="73E5710D">
            <w:pPr>
              <w:spacing w:line="300" w:lineRule="exact"/>
              <w:jc w:val="center"/>
              <w:rPr>
                <w:spacing w:val="-11"/>
                <w:kern w:val="0"/>
                <w:szCs w:val="21"/>
                <w:u w:val="single"/>
              </w:rPr>
            </w:pPr>
            <w:r>
              <w:rPr>
                <w:rFonts w:hint="eastAsia"/>
                <w:spacing w:val="-11"/>
                <w:kern w:val="0"/>
                <w:szCs w:val="21"/>
                <w:u w:val="single"/>
              </w:rPr>
              <w:t>DA004</w:t>
            </w:r>
          </w:p>
        </w:tc>
      </w:tr>
      <w:tr w14:paraId="4A81F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rPr>
        <w:tc>
          <w:tcPr>
            <w:tcW w:w="326" w:type="pct"/>
            <w:vMerge w:val="continue"/>
            <w:vAlign w:val="center"/>
          </w:tcPr>
          <w:p w14:paraId="5A64D589">
            <w:pPr>
              <w:spacing w:line="300" w:lineRule="exact"/>
              <w:jc w:val="center"/>
              <w:rPr>
                <w:spacing w:val="-11"/>
                <w:szCs w:val="21"/>
                <w:u w:val="single"/>
              </w:rPr>
            </w:pPr>
          </w:p>
        </w:tc>
        <w:tc>
          <w:tcPr>
            <w:tcW w:w="361" w:type="pct"/>
            <w:vAlign w:val="center"/>
          </w:tcPr>
          <w:p w14:paraId="6960CE38">
            <w:pPr>
              <w:spacing w:line="300" w:lineRule="exact"/>
              <w:jc w:val="center"/>
              <w:rPr>
                <w:spacing w:val="-11"/>
                <w:kern w:val="0"/>
                <w:szCs w:val="21"/>
                <w:u w:val="single"/>
              </w:rPr>
            </w:pPr>
            <w:r>
              <w:rPr>
                <w:spacing w:val="-11"/>
                <w:kern w:val="0"/>
                <w:szCs w:val="21"/>
                <w:u w:val="single"/>
              </w:rPr>
              <w:t>二甲苯</w:t>
            </w:r>
          </w:p>
        </w:tc>
        <w:tc>
          <w:tcPr>
            <w:tcW w:w="344" w:type="pct"/>
            <w:vAlign w:val="center"/>
          </w:tcPr>
          <w:p w14:paraId="41D4384C">
            <w:pPr>
              <w:spacing w:line="300" w:lineRule="exact"/>
              <w:jc w:val="center"/>
              <w:rPr>
                <w:color w:val="000000"/>
                <w:spacing w:val="-11"/>
                <w:kern w:val="0"/>
                <w:szCs w:val="21"/>
                <w:u w:val="single"/>
              </w:rPr>
            </w:pPr>
            <w:r>
              <w:rPr>
                <w:rFonts w:hint="eastAsia"/>
                <w:color w:val="000000"/>
                <w:spacing w:val="-11"/>
                <w:kern w:val="0"/>
                <w:szCs w:val="21"/>
                <w:u w:val="single"/>
              </w:rPr>
              <w:t>0.18</w:t>
            </w:r>
          </w:p>
        </w:tc>
        <w:tc>
          <w:tcPr>
            <w:tcW w:w="333" w:type="pct"/>
            <w:vAlign w:val="center"/>
          </w:tcPr>
          <w:p w14:paraId="0580A26A">
            <w:pPr>
              <w:spacing w:line="300" w:lineRule="exact"/>
              <w:jc w:val="center"/>
              <w:rPr>
                <w:color w:val="000000"/>
                <w:spacing w:val="-11"/>
                <w:kern w:val="0"/>
                <w:szCs w:val="21"/>
                <w:u w:val="single"/>
              </w:rPr>
            </w:pPr>
            <w:r>
              <w:rPr>
                <w:rFonts w:hint="eastAsia"/>
                <w:color w:val="000000"/>
                <w:spacing w:val="-11"/>
                <w:kern w:val="0"/>
                <w:szCs w:val="21"/>
                <w:u w:val="single"/>
              </w:rPr>
              <w:t>0.617</w:t>
            </w:r>
          </w:p>
        </w:tc>
        <w:tc>
          <w:tcPr>
            <w:tcW w:w="311" w:type="pct"/>
            <w:vMerge w:val="continue"/>
            <w:vAlign w:val="center"/>
          </w:tcPr>
          <w:p w14:paraId="32E37814">
            <w:pPr>
              <w:spacing w:line="300" w:lineRule="exact"/>
              <w:jc w:val="center"/>
              <w:rPr>
                <w:color w:val="000000"/>
                <w:spacing w:val="-11"/>
                <w:kern w:val="0"/>
                <w:szCs w:val="21"/>
                <w:u w:val="single"/>
              </w:rPr>
            </w:pPr>
          </w:p>
        </w:tc>
        <w:tc>
          <w:tcPr>
            <w:tcW w:w="268" w:type="pct"/>
            <w:vMerge w:val="continue"/>
            <w:vAlign w:val="center"/>
          </w:tcPr>
          <w:p w14:paraId="5B825A40">
            <w:pPr>
              <w:spacing w:line="300" w:lineRule="exact"/>
              <w:jc w:val="center"/>
              <w:rPr>
                <w:color w:val="000000"/>
                <w:spacing w:val="-11"/>
                <w:kern w:val="0"/>
                <w:szCs w:val="21"/>
                <w:u w:val="single"/>
              </w:rPr>
            </w:pPr>
          </w:p>
        </w:tc>
        <w:tc>
          <w:tcPr>
            <w:tcW w:w="392" w:type="pct"/>
            <w:vMerge w:val="continue"/>
            <w:vAlign w:val="center"/>
          </w:tcPr>
          <w:p w14:paraId="32CD31ED">
            <w:pPr>
              <w:spacing w:line="300" w:lineRule="exact"/>
              <w:jc w:val="center"/>
              <w:rPr>
                <w:color w:val="000000"/>
                <w:spacing w:val="-11"/>
                <w:kern w:val="0"/>
                <w:szCs w:val="21"/>
                <w:u w:val="single"/>
              </w:rPr>
            </w:pPr>
          </w:p>
        </w:tc>
        <w:tc>
          <w:tcPr>
            <w:tcW w:w="268" w:type="pct"/>
            <w:vMerge w:val="continue"/>
            <w:vAlign w:val="center"/>
          </w:tcPr>
          <w:p w14:paraId="0501216D">
            <w:pPr>
              <w:spacing w:line="300" w:lineRule="exact"/>
              <w:jc w:val="center"/>
              <w:rPr>
                <w:spacing w:val="-11"/>
                <w:kern w:val="0"/>
                <w:szCs w:val="21"/>
                <w:u w:val="single"/>
              </w:rPr>
            </w:pPr>
          </w:p>
        </w:tc>
        <w:tc>
          <w:tcPr>
            <w:tcW w:w="292" w:type="pct"/>
            <w:vMerge w:val="continue"/>
            <w:vAlign w:val="center"/>
          </w:tcPr>
          <w:p w14:paraId="176BFB49">
            <w:pPr>
              <w:spacing w:line="300" w:lineRule="exact"/>
              <w:jc w:val="center"/>
              <w:rPr>
                <w:spacing w:val="-11"/>
                <w:kern w:val="0"/>
                <w:szCs w:val="21"/>
                <w:u w:val="single"/>
              </w:rPr>
            </w:pPr>
          </w:p>
        </w:tc>
        <w:tc>
          <w:tcPr>
            <w:tcW w:w="407" w:type="pct"/>
            <w:vAlign w:val="center"/>
          </w:tcPr>
          <w:p w14:paraId="2493EB33">
            <w:pPr>
              <w:widowControl/>
              <w:spacing w:line="300" w:lineRule="exact"/>
              <w:jc w:val="center"/>
              <w:textAlignment w:val="center"/>
              <w:rPr>
                <w:rFonts w:hint="default" w:eastAsia="宋体"/>
                <w:color w:val="000000"/>
                <w:kern w:val="0"/>
                <w:szCs w:val="21"/>
                <w:u w:val="single"/>
                <w:lang w:val="en-US" w:eastAsia="zh-CN" w:bidi="ar"/>
              </w:rPr>
            </w:pPr>
            <w:r>
              <w:rPr>
                <w:rFonts w:hint="eastAsia"/>
                <w:color w:val="000000"/>
                <w:kern w:val="0"/>
                <w:szCs w:val="21"/>
                <w:u w:val="single"/>
                <w:lang w:bidi="ar"/>
              </w:rPr>
              <w:t>0.</w:t>
            </w:r>
            <w:r>
              <w:rPr>
                <w:rFonts w:hint="eastAsia"/>
                <w:color w:val="000000"/>
                <w:kern w:val="0"/>
                <w:szCs w:val="21"/>
                <w:u w:val="single"/>
                <w:lang w:val="en-US" w:eastAsia="zh-CN" w:bidi="ar"/>
              </w:rPr>
              <w:t>041</w:t>
            </w:r>
          </w:p>
        </w:tc>
        <w:tc>
          <w:tcPr>
            <w:tcW w:w="396" w:type="pct"/>
            <w:vAlign w:val="center"/>
          </w:tcPr>
          <w:p w14:paraId="59B2C889">
            <w:pPr>
              <w:widowControl/>
              <w:spacing w:line="300" w:lineRule="exact"/>
              <w:jc w:val="center"/>
              <w:textAlignment w:val="center"/>
              <w:rPr>
                <w:rFonts w:hint="default" w:eastAsia="宋体"/>
                <w:color w:val="000000"/>
                <w:kern w:val="0"/>
                <w:szCs w:val="21"/>
                <w:u w:val="single"/>
                <w:lang w:val="en-US" w:eastAsia="zh-CN" w:bidi="ar"/>
              </w:rPr>
            </w:pPr>
            <w:r>
              <w:rPr>
                <w:rFonts w:hint="eastAsia"/>
                <w:color w:val="000000"/>
                <w:kern w:val="0"/>
                <w:szCs w:val="21"/>
                <w:u w:val="single"/>
                <w:lang w:bidi="ar"/>
              </w:rPr>
              <w:t>0.0</w:t>
            </w:r>
            <w:r>
              <w:rPr>
                <w:rFonts w:hint="eastAsia"/>
                <w:color w:val="000000"/>
                <w:kern w:val="0"/>
                <w:szCs w:val="21"/>
                <w:u w:val="single"/>
                <w:lang w:val="en-US" w:eastAsia="zh-CN" w:bidi="ar"/>
              </w:rPr>
              <w:t>17</w:t>
            </w:r>
          </w:p>
        </w:tc>
        <w:tc>
          <w:tcPr>
            <w:tcW w:w="450" w:type="pct"/>
            <w:vAlign w:val="center"/>
          </w:tcPr>
          <w:p w14:paraId="3AC414C6">
            <w:pPr>
              <w:widowControl/>
              <w:spacing w:line="300" w:lineRule="exact"/>
              <w:jc w:val="center"/>
              <w:textAlignment w:val="center"/>
              <w:rPr>
                <w:u w:val="single"/>
              </w:rPr>
            </w:pPr>
            <w:r>
              <w:rPr>
                <w:rFonts w:hint="eastAsia"/>
                <w:u w:val="single"/>
              </w:rPr>
              <w:t>0.018</w:t>
            </w:r>
          </w:p>
        </w:tc>
        <w:tc>
          <w:tcPr>
            <w:tcW w:w="563" w:type="pct"/>
            <w:vAlign w:val="center"/>
          </w:tcPr>
          <w:p w14:paraId="0F5DC414">
            <w:pPr>
              <w:spacing w:line="300" w:lineRule="exact"/>
              <w:jc w:val="center"/>
              <w:rPr>
                <w:color w:val="000000"/>
                <w:kern w:val="0"/>
                <w:szCs w:val="21"/>
                <w:u w:val="single"/>
                <w:lang w:bidi="ar"/>
              </w:rPr>
            </w:pPr>
            <w:r>
              <w:rPr>
                <w:rFonts w:hint="eastAsia"/>
                <w:color w:val="000000"/>
                <w:kern w:val="0"/>
                <w:szCs w:val="21"/>
                <w:u w:val="single"/>
                <w:lang w:bidi="ar"/>
              </w:rPr>
              <w:t>0.008</w:t>
            </w:r>
          </w:p>
        </w:tc>
        <w:tc>
          <w:tcPr>
            <w:tcW w:w="285" w:type="pct"/>
            <w:vMerge w:val="continue"/>
            <w:vAlign w:val="center"/>
          </w:tcPr>
          <w:p w14:paraId="1B37E612">
            <w:pPr>
              <w:spacing w:line="300" w:lineRule="exact"/>
              <w:jc w:val="center"/>
              <w:rPr>
                <w:color w:val="000000"/>
                <w:spacing w:val="-11"/>
                <w:kern w:val="0"/>
                <w:szCs w:val="21"/>
                <w:u w:val="single"/>
              </w:rPr>
            </w:pPr>
          </w:p>
        </w:tc>
      </w:tr>
      <w:tr w14:paraId="2A168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trPr>
        <w:tc>
          <w:tcPr>
            <w:tcW w:w="326" w:type="pct"/>
            <w:vMerge w:val="continue"/>
            <w:vAlign w:val="center"/>
          </w:tcPr>
          <w:p w14:paraId="775B4509">
            <w:pPr>
              <w:spacing w:line="300" w:lineRule="exact"/>
              <w:jc w:val="center"/>
              <w:rPr>
                <w:spacing w:val="-11"/>
                <w:szCs w:val="21"/>
                <w:u w:val="single"/>
              </w:rPr>
            </w:pPr>
          </w:p>
        </w:tc>
        <w:tc>
          <w:tcPr>
            <w:tcW w:w="361" w:type="pct"/>
            <w:vAlign w:val="center"/>
          </w:tcPr>
          <w:p w14:paraId="03745B7D">
            <w:pPr>
              <w:spacing w:line="300" w:lineRule="exact"/>
              <w:jc w:val="center"/>
              <w:rPr>
                <w:spacing w:val="-11"/>
                <w:kern w:val="0"/>
                <w:szCs w:val="21"/>
                <w:u w:val="single"/>
              </w:rPr>
            </w:pPr>
            <w:r>
              <w:rPr>
                <w:spacing w:val="-11"/>
                <w:kern w:val="0"/>
                <w:szCs w:val="21"/>
                <w:u w:val="single"/>
              </w:rPr>
              <w:t>漆雾（以颗粒物计）</w:t>
            </w:r>
          </w:p>
        </w:tc>
        <w:tc>
          <w:tcPr>
            <w:tcW w:w="344" w:type="pct"/>
            <w:vAlign w:val="center"/>
          </w:tcPr>
          <w:p w14:paraId="21E68F92">
            <w:pPr>
              <w:spacing w:line="300" w:lineRule="exact"/>
              <w:jc w:val="center"/>
              <w:rPr>
                <w:color w:val="000000"/>
                <w:spacing w:val="-11"/>
                <w:kern w:val="0"/>
                <w:szCs w:val="21"/>
                <w:u w:val="single"/>
              </w:rPr>
            </w:pPr>
            <w:r>
              <w:rPr>
                <w:rFonts w:hint="eastAsia"/>
                <w:color w:val="000000"/>
                <w:spacing w:val="-11"/>
                <w:kern w:val="0"/>
                <w:szCs w:val="21"/>
                <w:u w:val="single"/>
              </w:rPr>
              <w:t>0.592</w:t>
            </w:r>
          </w:p>
        </w:tc>
        <w:tc>
          <w:tcPr>
            <w:tcW w:w="333" w:type="pct"/>
            <w:vAlign w:val="center"/>
          </w:tcPr>
          <w:p w14:paraId="251EA09E">
            <w:pPr>
              <w:spacing w:line="300" w:lineRule="exact"/>
              <w:jc w:val="center"/>
              <w:rPr>
                <w:color w:val="000000"/>
                <w:spacing w:val="-11"/>
                <w:kern w:val="0"/>
                <w:szCs w:val="21"/>
                <w:u w:val="single"/>
              </w:rPr>
            </w:pPr>
            <w:r>
              <w:rPr>
                <w:rFonts w:hint="eastAsia"/>
                <w:color w:val="000000"/>
                <w:spacing w:val="-11"/>
                <w:kern w:val="0"/>
                <w:szCs w:val="21"/>
                <w:u w:val="single"/>
              </w:rPr>
              <w:t>0.5</w:t>
            </w:r>
          </w:p>
        </w:tc>
        <w:tc>
          <w:tcPr>
            <w:tcW w:w="311" w:type="pct"/>
            <w:vMerge w:val="continue"/>
            <w:vAlign w:val="center"/>
          </w:tcPr>
          <w:p w14:paraId="2304994E">
            <w:pPr>
              <w:spacing w:line="300" w:lineRule="exact"/>
              <w:jc w:val="center"/>
              <w:rPr>
                <w:color w:val="000000"/>
                <w:spacing w:val="-11"/>
                <w:kern w:val="0"/>
                <w:szCs w:val="21"/>
                <w:u w:val="single"/>
              </w:rPr>
            </w:pPr>
          </w:p>
        </w:tc>
        <w:tc>
          <w:tcPr>
            <w:tcW w:w="268" w:type="pct"/>
            <w:vMerge w:val="continue"/>
            <w:vAlign w:val="center"/>
          </w:tcPr>
          <w:p w14:paraId="0279F8E4">
            <w:pPr>
              <w:spacing w:line="300" w:lineRule="exact"/>
              <w:jc w:val="center"/>
              <w:rPr>
                <w:color w:val="000000"/>
                <w:spacing w:val="-11"/>
                <w:kern w:val="0"/>
                <w:szCs w:val="21"/>
                <w:u w:val="single"/>
              </w:rPr>
            </w:pPr>
          </w:p>
        </w:tc>
        <w:tc>
          <w:tcPr>
            <w:tcW w:w="392" w:type="pct"/>
            <w:vMerge w:val="continue"/>
            <w:vAlign w:val="center"/>
          </w:tcPr>
          <w:p w14:paraId="1C4DF51C">
            <w:pPr>
              <w:spacing w:line="300" w:lineRule="exact"/>
              <w:jc w:val="center"/>
              <w:rPr>
                <w:color w:val="000000"/>
                <w:spacing w:val="-11"/>
                <w:kern w:val="0"/>
                <w:szCs w:val="21"/>
                <w:u w:val="single"/>
              </w:rPr>
            </w:pPr>
          </w:p>
        </w:tc>
        <w:tc>
          <w:tcPr>
            <w:tcW w:w="268" w:type="pct"/>
            <w:vAlign w:val="center"/>
          </w:tcPr>
          <w:p w14:paraId="75C0E214">
            <w:pPr>
              <w:spacing w:line="300" w:lineRule="exact"/>
              <w:jc w:val="center"/>
              <w:rPr>
                <w:spacing w:val="-11"/>
                <w:kern w:val="0"/>
                <w:szCs w:val="21"/>
                <w:u w:val="single"/>
              </w:rPr>
            </w:pPr>
            <w:r>
              <w:rPr>
                <w:rFonts w:hint="eastAsia"/>
                <w:spacing w:val="-11"/>
                <w:kern w:val="0"/>
                <w:szCs w:val="21"/>
                <w:u w:val="single"/>
              </w:rPr>
              <w:t>90</w:t>
            </w:r>
          </w:p>
        </w:tc>
        <w:tc>
          <w:tcPr>
            <w:tcW w:w="292" w:type="pct"/>
            <w:vAlign w:val="center"/>
          </w:tcPr>
          <w:p w14:paraId="03ADFEDF">
            <w:pPr>
              <w:spacing w:line="300" w:lineRule="exact"/>
              <w:jc w:val="center"/>
              <w:rPr>
                <w:spacing w:val="-11"/>
                <w:kern w:val="0"/>
                <w:szCs w:val="21"/>
                <w:u w:val="single"/>
              </w:rPr>
            </w:pPr>
            <w:r>
              <w:rPr>
                <w:rFonts w:hint="eastAsia"/>
                <w:spacing w:val="-11"/>
                <w:kern w:val="0"/>
                <w:szCs w:val="21"/>
                <w:u w:val="single"/>
              </w:rPr>
              <w:t>是</w:t>
            </w:r>
          </w:p>
        </w:tc>
        <w:tc>
          <w:tcPr>
            <w:tcW w:w="407" w:type="pct"/>
            <w:vAlign w:val="center"/>
          </w:tcPr>
          <w:p w14:paraId="4517702D">
            <w:pPr>
              <w:widowControl/>
              <w:spacing w:line="300" w:lineRule="exact"/>
              <w:jc w:val="center"/>
              <w:textAlignment w:val="center"/>
              <w:rPr>
                <w:color w:val="000000"/>
                <w:kern w:val="0"/>
                <w:szCs w:val="21"/>
                <w:u w:val="single"/>
                <w:lang w:bidi="ar"/>
              </w:rPr>
            </w:pPr>
            <w:r>
              <w:rPr>
                <w:rFonts w:hint="eastAsia"/>
                <w:u w:val="single"/>
              </w:rPr>
              <w:t>0.052</w:t>
            </w:r>
          </w:p>
        </w:tc>
        <w:tc>
          <w:tcPr>
            <w:tcW w:w="396" w:type="pct"/>
            <w:vAlign w:val="center"/>
          </w:tcPr>
          <w:p w14:paraId="2F374CE9">
            <w:pPr>
              <w:widowControl/>
              <w:spacing w:line="300" w:lineRule="exact"/>
              <w:jc w:val="center"/>
              <w:textAlignment w:val="center"/>
              <w:rPr>
                <w:color w:val="000000"/>
                <w:kern w:val="0"/>
                <w:szCs w:val="21"/>
                <w:u w:val="single"/>
                <w:lang w:bidi="ar"/>
              </w:rPr>
            </w:pPr>
            <w:r>
              <w:rPr>
                <w:rFonts w:hint="eastAsia"/>
                <w:u w:val="single"/>
              </w:rPr>
              <w:t>0.022</w:t>
            </w:r>
          </w:p>
        </w:tc>
        <w:tc>
          <w:tcPr>
            <w:tcW w:w="450" w:type="pct"/>
            <w:vAlign w:val="center"/>
          </w:tcPr>
          <w:p w14:paraId="778E42F5">
            <w:pPr>
              <w:spacing w:line="300" w:lineRule="exact"/>
              <w:jc w:val="center"/>
              <w:rPr>
                <w:color w:val="000000"/>
                <w:spacing w:val="-11"/>
                <w:kern w:val="0"/>
                <w:szCs w:val="21"/>
                <w:u w:val="single"/>
              </w:rPr>
            </w:pPr>
            <w:r>
              <w:rPr>
                <w:rFonts w:hint="eastAsia"/>
                <w:color w:val="000000"/>
                <w:spacing w:val="-11"/>
                <w:kern w:val="0"/>
                <w:szCs w:val="21"/>
                <w:u w:val="single"/>
              </w:rPr>
              <w:t>0.057</w:t>
            </w:r>
          </w:p>
        </w:tc>
        <w:tc>
          <w:tcPr>
            <w:tcW w:w="563" w:type="pct"/>
            <w:vAlign w:val="center"/>
          </w:tcPr>
          <w:p w14:paraId="27ABB9AD">
            <w:pPr>
              <w:spacing w:line="300" w:lineRule="exact"/>
              <w:jc w:val="center"/>
              <w:rPr>
                <w:color w:val="000000"/>
                <w:kern w:val="0"/>
                <w:szCs w:val="21"/>
                <w:u w:val="single"/>
                <w:lang w:bidi="ar"/>
              </w:rPr>
            </w:pPr>
            <w:r>
              <w:rPr>
                <w:rFonts w:hint="eastAsia"/>
                <w:color w:val="000000"/>
                <w:kern w:val="0"/>
                <w:szCs w:val="21"/>
                <w:u w:val="single"/>
                <w:lang w:bidi="ar"/>
              </w:rPr>
              <w:t>0.024</w:t>
            </w:r>
          </w:p>
        </w:tc>
        <w:tc>
          <w:tcPr>
            <w:tcW w:w="285" w:type="pct"/>
            <w:vMerge w:val="continue"/>
            <w:vAlign w:val="center"/>
          </w:tcPr>
          <w:p w14:paraId="01FEE151">
            <w:pPr>
              <w:spacing w:line="300" w:lineRule="exact"/>
              <w:jc w:val="center"/>
              <w:rPr>
                <w:color w:val="000000"/>
                <w:spacing w:val="-11"/>
                <w:kern w:val="0"/>
                <w:szCs w:val="21"/>
                <w:u w:val="single"/>
              </w:rPr>
            </w:pPr>
          </w:p>
        </w:tc>
      </w:tr>
    </w:tbl>
    <w:p w14:paraId="0710CBEB">
      <w:pPr>
        <w:rPr>
          <w:u w:val="single"/>
        </w:rPr>
      </w:pPr>
    </w:p>
    <w:p w14:paraId="3DEB75AB">
      <w:pPr>
        <w:spacing w:line="260" w:lineRule="exact"/>
        <w:jc w:val="center"/>
        <w:rPr>
          <w:u w:val="single"/>
        </w:rPr>
      </w:pPr>
      <w:r>
        <w:rPr>
          <w:b/>
          <w:bCs/>
          <w:szCs w:val="21"/>
          <w:u w:val="single"/>
        </w:rPr>
        <w:t>表4-</w:t>
      </w:r>
      <w:r>
        <w:rPr>
          <w:rFonts w:hint="eastAsia"/>
          <w:b/>
          <w:bCs/>
          <w:szCs w:val="21"/>
          <w:u w:val="single"/>
        </w:rPr>
        <w:t>7</w:t>
      </w:r>
      <w:r>
        <w:rPr>
          <w:b/>
          <w:bCs/>
          <w:szCs w:val="21"/>
          <w:u w:val="single"/>
        </w:rPr>
        <w:t xml:space="preserve">   本项目</w:t>
      </w:r>
      <w:r>
        <w:rPr>
          <w:rFonts w:hint="eastAsia"/>
          <w:b/>
          <w:bCs/>
          <w:szCs w:val="21"/>
          <w:u w:val="single"/>
        </w:rPr>
        <w:t>有组织</w:t>
      </w:r>
      <w:r>
        <w:rPr>
          <w:b/>
          <w:bCs/>
          <w:szCs w:val="21"/>
          <w:u w:val="single"/>
        </w:rPr>
        <w:t>废气污染物</w:t>
      </w:r>
      <w:r>
        <w:rPr>
          <w:rFonts w:hint="eastAsia"/>
          <w:b/>
          <w:bCs/>
          <w:szCs w:val="21"/>
          <w:u w:val="single"/>
        </w:rPr>
        <w:t>排放</w:t>
      </w:r>
      <w:r>
        <w:rPr>
          <w:b/>
          <w:bCs/>
          <w:szCs w:val="21"/>
          <w:u w:val="single"/>
        </w:rPr>
        <w:t>情况一览表</w:t>
      </w:r>
    </w:p>
    <w:tbl>
      <w:tblPr>
        <w:tblStyle w:val="30"/>
        <w:tblW w:w="500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40"/>
        <w:gridCol w:w="875"/>
        <w:gridCol w:w="854"/>
        <w:gridCol w:w="1106"/>
        <w:gridCol w:w="1249"/>
        <w:gridCol w:w="1408"/>
        <w:gridCol w:w="1238"/>
        <w:gridCol w:w="1249"/>
        <w:gridCol w:w="1419"/>
        <w:gridCol w:w="1265"/>
        <w:gridCol w:w="1350"/>
      </w:tblGrid>
      <w:tr w14:paraId="49F7BB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68" w:type="pct"/>
            <w:vMerge w:val="restart"/>
            <w:vAlign w:val="center"/>
          </w:tcPr>
          <w:p w14:paraId="0D0DEFCD">
            <w:pPr>
              <w:pStyle w:val="76"/>
              <w:autoSpaceDE w:val="0"/>
              <w:autoSpaceDN w:val="0"/>
              <w:jc w:val="center"/>
              <w:rPr>
                <w:rFonts w:ascii="Times New Roman" w:hAnsi="Times New Roman"/>
                <w:szCs w:val="21"/>
                <w:u w:val="single"/>
              </w:rPr>
            </w:pPr>
            <w:r>
              <w:rPr>
                <w:rFonts w:hint="eastAsia" w:ascii="Times New Roman" w:hAnsi="Times New Roman"/>
                <w:szCs w:val="21"/>
                <w:u w:val="single"/>
              </w:rPr>
              <w:t>排气筒编号</w:t>
            </w:r>
          </w:p>
        </w:tc>
        <w:tc>
          <w:tcPr>
            <w:tcW w:w="1069" w:type="pct"/>
            <w:gridSpan w:val="3"/>
            <w:vAlign w:val="center"/>
          </w:tcPr>
          <w:p w14:paraId="6AB5344E">
            <w:pPr>
              <w:pStyle w:val="76"/>
              <w:autoSpaceDE w:val="0"/>
              <w:autoSpaceDN w:val="0"/>
              <w:jc w:val="center"/>
              <w:rPr>
                <w:rFonts w:ascii="Times New Roman" w:hAnsi="Times New Roman"/>
                <w:szCs w:val="21"/>
                <w:u w:val="single"/>
              </w:rPr>
            </w:pPr>
            <w:r>
              <w:rPr>
                <w:rFonts w:hint="eastAsia" w:ascii="Times New Roman" w:hAnsi="Times New Roman"/>
                <w:szCs w:val="21"/>
                <w:u w:val="single"/>
              </w:rPr>
              <w:t>排气筒信息</w:t>
            </w:r>
          </w:p>
        </w:tc>
        <w:tc>
          <w:tcPr>
            <w:tcW w:w="471" w:type="pct"/>
            <w:vMerge w:val="restart"/>
            <w:vAlign w:val="center"/>
          </w:tcPr>
          <w:p w14:paraId="44A49450">
            <w:pPr>
              <w:pStyle w:val="76"/>
              <w:autoSpaceDE w:val="0"/>
              <w:autoSpaceDN w:val="0"/>
              <w:jc w:val="center"/>
              <w:rPr>
                <w:rFonts w:ascii="Times New Roman" w:hAnsi="Times New Roman"/>
                <w:szCs w:val="21"/>
                <w:u w:val="single"/>
              </w:rPr>
            </w:pPr>
            <w:r>
              <w:rPr>
                <w:rFonts w:ascii="Times New Roman" w:hAnsi="Times New Roman"/>
                <w:szCs w:val="21"/>
                <w:u w:val="single"/>
              </w:rPr>
              <w:t>风量</w:t>
            </w:r>
          </w:p>
          <w:p w14:paraId="78DAA431">
            <w:pPr>
              <w:pStyle w:val="76"/>
              <w:autoSpaceDE w:val="0"/>
              <w:autoSpaceDN w:val="0"/>
              <w:jc w:val="center"/>
              <w:rPr>
                <w:rFonts w:ascii="Times New Roman" w:hAnsi="Times New Roman"/>
                <w:szCs w:val="21"/>
                <w:u w:val="single"/>
              </w:rPr>
            </w:pPr>
            <w:r>
              <w:rPr>
                <w:rFonts w:hint="eastAsia" w:ascii="Times New Roman" w:hAnsi="Times New Roman"/>
                <w:szCs w:val="21"/>
                <w:u w:val="single"/>
              </w:rPr>
              <w:t>（</w:t>
            </w:r>
            <w:r>
              <w:rPr>
                <w:rFonts w:ascii="Times New Roman" w:hAnsi="Times New Roman"/>
                <w:szCs w:val="21"/>
                <w:u w:val="single"/>
              </w:rPr>
              <w:t>m</w:t>
            </w:r>
            <w:r>
              <w:rPr>
                <w:rFonts w:ascii="Times New Roman" w:hAnsi="Times New Roman"/>
                <w:szCs w:val="21"/>
                <w:u w:val="single"/>
                <w:vertAlign w:val="superscript"/>
              </w:rPr>
              <w:t>3</w:t>
            </w:r>
            <w:r>
              <w:rPr>
                <w:rFonts w:ascii="Times New Roman" w:hAnsi="Times New Roman"/>
                <w:szCs w:val="21"/>
                <w:u w:val="single"/>
              </w:rPr>
              <w:t>/h</w:t>
            </w:r>
            <w:r>
              <w:rPr>
                <w:rFonts w:hint="eastAsia" w:ascii="Times New Roman" w:hAnsi="Times New Roman"/>
                <w:szCs w:val="21"/>
                <w:u w:val="single"/>
              </w:rPr>
              <w:t>）</w:t>
            </w:r>
          </w:p>
        </w:tc>
        <w:tc>
          <w:tcPr>
            <w:tcW w:w="531" w:type="pct"/>
            <w:vAlign w:val="center"/>
          </w:tcPr>
          <w:p w14:paraId="76D9D18D">
            <w:pPr>
              <w:pStyle w:val="76"/>
              <w:autoSpaceDE w:val="0"/>
              <w:autoSpaceDN w:val="0"/>
              <w:jc w:val="center"/>
              <w:rPr>
                <w:rFonts w:ascii="Times New Roman" w:hAnsi="Times New Roman"/>
                <w:szCs w:val="21"/>
                <w:u w:val="single"/>
              </w:rPr>
            </w:pPr>
          </w:p>
        </w:tc>
        <w:tc>
          <w:tcPr>
            <w:tcW w:w="1473" w:type="pct"/>
            <w:gridSpan w:val="3"/>
            <w:vAlign w:val="center"/>
          </w:tcPr>
          <w:p w14:paraId="1D4901D7">
            <w:pPr>
              <w:pStyle w:val="76"/>
              <w:autoSpaceDE w:val="0"/>
              <w:autoSpaceDN w:val="0"/>
              <w:jc w:val="center"/>
              <w:rPr>
                <w:rFonts w:ascii="Times New Roman" w:hAnsi="Times New Roman"/>
                <w:szCs w:val="21"/>
                <w:u w:val="single"/>
              </w:rPr>
            </w:pPr>
            <w:r>
              <w:rPr>
                <w:rFonts w:hint="eastAsia" w:ascii="Times New Roman" w:hAnsi="Times New Roman"/>
                <w:szCs w:val="21"/>
                <w:u w:val="single"/>
              </w:rPr>
              <w:t>有组织</w:t>
            </w:r>
            <w:r>
              <w:rPr>
                <w:rFonts w:ascii="Times New Roman" w:hAnsi="Times New Roman"/>
                <w:szCs w:val="21"/>
                <w:u w:val="single"/>
              </w:rPr>
              <w:t>排放情况</w:t>
            </w:r>
          </w:p>
        </w:tc>
        <w:tc>
          <w:tcPr>
            <w:tcW w:w="986" w:type="pct"/>
            <w:gridSpan w:val="2"/>
            <w:vAlign w:val="center"/>
          </w:tcPr>
          <w:p w14:paraId="14D85313">
            <w:pPr>
              <w:pStyle w:val="76"/>
              <w:autoSpaceDE w:val="0"/>
              <w:autoSpaceDN w:val="0"/>
              <w:jc w:val="center"/>
              <w:rPr>
                <w:rFonts w:ascii="Times New Roman" w:hAnsi="Times New Roman"/>
                <w:szCs w:val="21"/>
                <w:u w:val="single"/>
              </w:rPr>
            </w:pPr>
            <w:r>
              <w:rPr>
                <w:rFonts w:ascii="Times New Roman" w:hAnsi="Times New Roman"/>
                <w:szCs w:val="21"/>
                <w:u w:val="single"/>
              </w:rPr>
              <w:t>排放标准</w:t>
            </w:r>
          </w:p>
        </w:tc>
      </w:tr>
      <w:tr w14:paraId="4DA8FB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68" w:type="pct"/>
            <w:vMerge w:val="continue"/>
            <w:tcBorders>
              <w:top w:val="nil"/>
            </w:tcBorders>
            <w:vAlign w:val="center"/>
          </w:tcPr>
          <w:p w14:paraId="3FE8738E">
            <w:pPr>
              <w:autoSpaceDE w:val="0"/>
              <w:autoSpaceDN w:val="0"/>
              <w:jc w:val="center"/>
              <w:rPr>
                <w:szCs w:val="21"/>
                <w:u w:val="single"/>
              </w:rPr>
            </w:pPr>
          </w:p>
        </w:tc>
        <w:tc>
          <w:tcPr>
            <w:tcW w:w="330" w:type="pct"/>
            <w:vAlign w:val="center"/>
          </w:tcPr>
          <w:p w14:paraId="53A5EAE6">
            <w:pPr>
              <w:pStyle w:val="76"/>
              <w:autoSpaceDE w:val="0"/>
              <w:autoSpaceDN w:val="0"/>
              <w:jc w:val="center"/>
              <w:rPr>
                <w:rFonts w:ascii="Times New Roman" w:hAnsi="Times New Roman"/>
                <w:szCs w:val="21"/>
                <w:u w:val="single"/>
              </w:rPr>
            </w:pPr>
            <w:r>
              <w:rPr>
                <w:rFonts w:hint="eastAsia" w:ascii="Times New Roman" w:hAnsi="Times New Roman"/>
                <w:szCs w:val="21"/>
                <w:u w:val="single"/>
              </w:rPr>
              <w:t>高度（</w:t>
            </w:r>
            <w:r>
              <w:rPr>
                <w:rFonts w:ascii="Times New Roman" w:hAnsi="Times New Roman"/>
                <w:szCs w:val="21"/>
                <w:u w:val="single"/>
              </w:rPr>
              <w:t>m</w:t>
            </w:r>
            <w:r>
              <w:rPr>
                <w:rFonts w:hint="eastAsia" w:ascii="Times New Roman" w:hAnsi="Times New Roman"/>
                <w:szCs w:val="21"/>
                <w:u w:val="single"/>
              </w:rPr>
              <w:t>）</w:t>
            </w:r>
          </w:p>
        </w:tc>
        <w:tc>
          <w:tcPr>
            <w:tcW w:w="322" w:type="pct"/>
            <w:vAlign w:val="center"/>
          </w:tcPr>
          <w:p w14:paraId="1F314B01">
            <w:pPr>
              <w:pStyle w:val="76"/>
              <w:autoSpaceDE w:val="0"/>
              <w:autoSpaceDN w:val="0"/>
              <w:jc w:val="center"/>
              <w:rPr>
                <w:rFonts w:ascii="Times New Roman" w:hAnsi="Times New Roman"/>
                <w:szCs w:val="21"/>
                <w:u w:val="single"/>
              </w:rPr>
            </w:pPr>
            <w:r>
              <w:rPr>
                <w:rFonts w:hint="eastAsia" w:ascii="Times New Roman" w:hAnsi="Times New Roman"/>
                <w:szCs w:val="21"/>
                <w:u w:val="single"/>
              </w:rPr>
              <w:t>内径（</w:t>
            </w:r>
            <w:r>
              <w:rPr>
                <w:rFonts w:ascii="Times New Roman" w:hAnsi="Times New Roman"/>
                <w:szCs w:val="21"/>
                <w:u w:val="single"/>
              </w:rPr>
              <w:t>m</w:t>
            </w:r>
            <w:r>
              <w:rPr>
                <w:rFonts w:hint="eastAsia" w:ascii="Times New Roman" w:hAnsi="Times New Roman"/>
                <w:szCs w:val="21"/>
                <w:u w:val="single"/>
              </w:rPr>
              <w:t>）</w:t>
            </w:r>
          </w:p>
        </w:tc>
        <w:tc>
          <w:tcPr>
            <w:tcW w:w="417" w:type="pct"/>
            <w:vAlign w:val="center"/>
          </w:tcPr>
          <w:p w14:paraId="411729D9">
            <w:pPr>
              <w:pStyle w:val="76"/>
              <w:autoSpaceDE w:val="0"/>
              <w:autoSpaceDN w:val="0"/>
              <w:jc w:val="center"/>
              <w:rPr>
                <w:rFonts w:ascii="Times New Roman" w:hAnsi="Times New Roman"/>
                <w:szCs w:val="21"/>
                <w:u w:val="single"/>
              </w:rPr>
            </w:pPr>
            <w:r>
              <w:rPr>
                <w:rFonts w:hint="eastAsia" w:ascii="Times New Roman" w:hAnsi="Times New Roman"/>
                <w:szCs w:val="21"/>
                <w:u w:val="single"/>
              </w:rPr>
              <w:t>出口温度（</w:t>
            </w:r>
            <w:r>
              <w:rPr>
                <w:rFonts w:ascii="Times New Roman" w:hAnsi="Times New Roman"/>
                <w:szCs w:val="21"/>
                <w:u w:val="single"/>
              </w:rPr>
              <w:t>℃</w:t>
            </w:r>
            <w:r>
              <w:rPr>
                <w:rFonts w:hint="eastAsia" w:ascii="Times New Roman" w:hAnsi="Times New Roman"/>
                <w:szCs w:val="21"/>
                <w:u w:val="single"/>
              </w:rPr>
              <w:t>）</w:t>
            </w:r>
          </w:p>
        </w:tc>
        <w:tc>
          <w:tcPr>
            <w:tcW w:w="471" w:type="pct"/>
            <w:vMerge w:val="continue"/>
            <w:tcBorders>
              <w:top w:val="nil"/>
            </w:tcBorders>
            <w:vAlign w:val="center"/>
          </w:tcPr>
          <w:p w14:paraId="30AD446C">
            <w:pPr>
              <w:pStyle w:val="76"/>
              <w:autoSpaceDE w:val="0"/>
              <w:autoSpaceDN w:val="0"/>
              <w:jc w:val="center"/>
              <w:rPr>
                <w:rFonts w:ascii="Times New Roman" w:hAnsi="Times New Roman"/>
                <w:szCs w:val="21"/>
                <w:u w:val="single"/>
              </w:rPr>
            </w:pPr>
          </w:p>
        </w:tc>
        <w:tc>
          <w:tcPr>
            <w:tcW w:w="531" w:type="pct"/>
            <w:vAlign w:val="center"/>
          </w:tcPr>
          <w:p w14:paraId="0226ADDE">
            <w:pPr>
              <w:pStyle w:val="76"/>
              <w:autoSpaceDE w:val="0"/>
              <w:autoSpaceDN w:val="0"/>
              <w:jc w:val="center"/>
              <w:rPr>
                <w:rFonts w:ascii="Times New Roman" w:hAnsi="Times New Roman"/>
                <w:szCs w:val="21"/>
                <w:u w:val="single"/>
              </w:rPr>
            </w:pPr>
            <w:r>
              <w:rPr>
                <w:rFonts w:hint="eastAsia" w:ascii="Times New Roman" w:hAnsi="Times New Roman"/>
                <w:szCs w:val="21"/>
                <w:u w:val="single"/>
              </w:rPr>
              <w:t>污染物</w:t>
            </w:r>
          </w:p>
        </w:tc>
        <w:tc>
          <w:tcPr>
            <w:tcW w:w="467" w:type="pct"/>
            <w:vAlign w:val="center"/>
          </w:tcPr>
          <w:p w14:paraId="20E8CDD4">
            <w:pPr>
              <w:pStyle w:val="76"/>
              <w:autoSpaceDE w:val="0"/>
              <w:autoSpaceDN w:val="0"/>
              <w:jc w:val="center"/>
              <w:rPr>
                <w:rFonts w:ascii="Times New Roman" w:hAnsi="Times New Roman"/>
                <w:szCs w:val="21"/>
                <w:u w:val="single"/>
              </w:rPr>
            </w:pPr>
            <w:r>
              <w:rPr>
                <w:rFonts w:ascii="Times New Roman" w:hAnsi="Times New Roman"/>
                <w:szCs w:val="21"/>
                <w:u w:val="single"/>
              </w:rPr>
              <w:t>排放量</w:t>
            </w:r>
          </w:p>
          <w:p w14:paraId="1E2D0FFE">
            <w:pPr>
              <w:pStyle w:val="76"/>
              <w:autoSpaceDE w:val="0"/>
              <w:autoSpaceDN w:val="0"/>
              <w:jc w:val="center"/>
              <w:rPr>
                <w:rFonts w:ascii="Times New Roman" w:hAnsi="Times New Roman"/>
                <w:szCs w:val="21"/>
                <w:u w:val="single"/>
              </w:rPr>
            </w:pPr>
            <w:r>
              <w:rPr>
                <w:rFonts w:ascii="Times New Roman" w:hAnsi="Times New Roman"/>
                <w:szCs w:val="21"/>
                <w:u w:val="single"/>
              </w:rPr>
              <w:t>（t/a）</w:t>
            </w:r>
          </w:p>
        </w:tc>
        <w:tc>
          <w:tcPr>
            <w:tcW w:w="471" w:type="pct"/>
            <w:vAlign w:val="center"/>
          </w:tcPr>
          <w:p w14:paraId="41CB42D0">
            <w:pPr>
              <w:pStyle w:val="76"/>
              <w:autoSpaceDE w:val="0"/>
              <w:autoSpaceDN w:val="0"/>
              <w:jc w:val="center"/>
              <w:rPr>
                <w:rFonts w:ascii="Times New Roman" w:hAnsi="Times New Roman"/>
                <w:szCs w:val="21"/>
                <w:u w:val="single"/>
              </w:rPr>
            </w:pPr>
            <w:r>
              <w:rPr>
                <w:rFonts w:ascii="Times New Roman" w:hAnsi="Times New Roman"/>
                <w:szCs w:val="21"/>
                <w:u w:val="single"/>
              </w:rPr>
              <w:t>排放速率</w:t>
            </w:r>
          </w:p>
          <w:p w14:paraId="2DCF009A">
            <w:pPr>
              <w:pStyle w:val="76"/>
              <w:autoSpaceDE w:val="0"/>
              <w:autoSpaceDN w:val="0"/>
              <w:jc w:val="center"/>
              <w:rPr>
                <w:rFonts w:ascii="Times New Roman" w:hAnsi="Times New Roman"/>
                <w:szCs w:val="21"/>
                <w:u w:val="single"/>
              </w:rPr>
            </w:pPr>
            <w:r>
              <w:rPr>
                <w:rFonts w:ascii="Times New Roman" w:hAnsi="Times New Roman"/>
                <w:szCs w:val="21"/>
                <w:u w:val="single"/>
              </w:rPr>
              <w:t>（kg/h）</w:t>
            </w:r>
          </w:p>
        </w:tc>
        <w:tc>
          <w:tcPr>
            <w:tcW w:w="535" w:type="pct"/>
            <w:vAlign w:val="center"/>
          </w:tcPr>
          <w:p w14:paraId="7956E204">
            <w:pPr>
              <w:pStyle w:val="76"/>
              <w:autoSpaceDE w:val="0"/>
              <w:autoSpaceDN w:val="0"/>
              <w:jc w:val="center"/>
              <w:rPr>
                <w:rFonts w:ascii="Times New Roman" w:hAnsi="Times New Roman"/>
                <w:szCs w:val="21"/>
                <w:u w:val="single"/>
              </w:rPr>
            </w:pPr>
            <w:r>
              <w:rPr>
                <w:rFonts w:ascii="Times New Roman" w:hAnsi="Times New Roman"/>
                <w:szCs w:val="21"/>
                <w:u w:val="single"/>
              </w:rPr>
              <w:t>排放浓度</w:t>
            </w:r>
          </w:p>
          <w:p w14:paraId="1529BE00">
            <w:pPr>
              <w:pStyle w:val="76"/>
              <w:autoSpaceDE w:val="0"/>
              <w:autoSpaceDN w:val="0"/>
              <w:jc w:val="center"/>
              <w:rPr>
                <w:rFonts w:ascii="Times New Roman" w:hAnsi="Times New Roman"/>
                <w:szCs w:val="21"/>
                <w:u w:val="single"/>
              </w:rPr>
            </w:pPr>
            <w:r>
              <w:rPr>
                <w:rFonts w:ascii="Times New Roman" w:hAnsi="Times New Roman"/>
                <w:szCs w:val="21"/>
                <w:u w:val="single"/>
              </w:rPr>
              <w:t>（mg/m</w:t>
            </w:r>
            <w:r>
              <w:rPr>
                <w:rFonts w:ascii="Times New Roman" w:hAnsi="Times New Roman"/>
                <w:szCs w:val="21"/>
                <w:u w:val="single"/>
                <w:vertAlign w:val="superscript"/>
              </w:rPr>
              <w:t>3</w:t>
            </w:r>
            <w:r>
              <w:rPr>
                <w:rFonts w:ascii="Times New Roman" w:hAnsi="Times New Roman"/>
                <w:szCs w:val="21"/>
                <w:u w:val="single"/>
              </w:rPr>
              <w:t>）</w:t>
            </w:r>
          </w:p>
        </w:tc>
        <w:tc>
          <w:tcPr>
            <w:tcW w:w="477" w:type="pct"/>
            <w:vAlign w:val="center"/>
          </w:tcPr>
          <w:p w14:paraId="7D6AB3ED">
            <w:pPr>
              <w:pStyle w:val="76"/>
              <w:autoSpaceDE w:val="0"/>
              <w:autoSpaceDN w:val="0"/>
              <w:jc w:val="center"/>
              <w:rPr>
                <w:rFonts w:ascii="Times New Roman" w:hAnsi="Times New Roman"/>
                <w:szCs w:val="21"/>
                <w:u w:val="single"/>
              </w:rPr>
            </w:pPr>
            <w:r>
              <w:rPr>
                <w:rFonts w:ascii="Times New Roman" w:hAnsi="Times New Roman"/>
                <w:szCs w:val="21"/>
                <w:u w:val="single"/>
              </w:rPr>
              <w:t>排放速率 (kg/h)</w:t>
            </w:r>
          </w:p>
        </w:tc>
        <w:tc>
          <w:tcPr>
            <w:tcW w:w="509" w:type="pct"/>
            <w:vAlign w:val="center"/>
          </w:tcPr>
          <w:p w14:paraId="01859891">
            <w:pPr>
              <w:pStyle w:val="76"/>
              <w:autoSpaceDE w:val="0"/>
              <w:autoSpaceDN w:val="0"/>
              <w:jc w:val="center"/>
              <w:rPr>
                <w:rFonts w:ascii="Times New Roman" w:hAnsi="Times New Roman"/>
                <w:szCs w:val="21"/>
                <w:u w:val="single"/>
              </w:rPr>
            </w:pPr>
            <w:r>
              <w:rPr>
                <w:rFonts w:ascii="Times New Roman" w:hAnsi="Times New Roman"/>
                <w:szCs w:val="21"/>
                <w:u w:val="single"/>
              </w:rPr>
              <w:t>排放浓度</w:t>
            </w:r>
          </w:p>
          <w:p w14:paraId="7D3AA3C0">
            <w:pPr>
              <w:pStyle w:val="76"/>
              <w:autoSpaceDE w:val="0"/>
              <w:autoSpaceDN w:val="0"/>
              <w:jc w:val="center"/>
              <w:rPr>
                <w:rFonts w:ascii="Times New Roman" w:hAnsi="Times New Roman"/>
                <w:szCs w:val="21"/>
                <w:u w:val="single"/>
              </w:rPr>
            </w:pPr>
            <w:r>
              <w:rPr>
                <w:rFonts w:ascii="Times New Roman" w:hAnsi="Times New Roman"/>
                <w:szCs w:val="21"/>
                <w:u w:val="single"/>
              </w:rPr>
              <w:t>（mg/m</w:t>
            </w:r>
            <w:r>
              <w:rPr>
                <w:rFonts w:ascii="Times New Roman" w:hAnsi="Times New Roman"/>
                <w:szCs w:val="21"/>
                <w:u w:val="single"/>
                <w:vertAlign w:val="superscript"/>
              </w:rPr>
              <w:t>3</w:t>
            </w:r>
            <w:r>
              <w:rPr>
                <w:rFonts w:ascii="Times New Roman" w:hAnsi="Times New Roman"/>
                <w:szCs w:val="21"/>
                <w:u w:val="single"/>
              </w:rPr>
              <w:t>）</w:t>
            </w:r>
          </w:p>
        </w:tc>
      </w:tr>
      <w:tr w14:paraId="5204FE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68" w:type="pct"/>
            <w:vMerge w:val="restart"/>
            <w:vAlign w:val="center"/>
          </w:tcPr>
          <w:p w14:paraId="66D79B88">
            <w:pPr>
              <w:pStyle w:val="76"/>
              <w:autoSpaceDE w:val="0"/>
              <w:autoSpaceDN w:val="0"/>
              <w:jc w:val="center"/>
              <w:rPr>
                <w:rFonts w:ascii="Times New Roman" w:hAnsi="Times New Roman"/>
                <w:szCs w:val="21"/>
                <w:u w:val="single"/>
              </w:rPr>
            </w:pPr>
            <w:r>
              <w:rPr>
                <w:rFonts w:hint="eastAsia" w:ascii="Times New Roman" w:hAnsi="Times New Roman"/>
                <w:szCs w:val="21"/>
                <w:u w:val="single"/>
              </w:rPr>
              <w:t>DA001</w:t>
            </w:r>
          </w:p>
        </w:tc>
        <w:tc>
          <w:tcPr>
            <w:tcW w:w="330" w:type="pct"/>
            <w:vMerge w:val="restart"/>
            <w:vAlign w:val="center"/>
          </w:tcPr>
          <w:p w14:paraId="787697F4">
            <w:pPr>
              <w:pStyle w:val="78"/>
              <w:rPr>
                <w:color w:val="auto"/>
                <w:szCs w:val="21"/>
                <w:u w:val="single"/>
              </w:rPr>
            </w:pPr>
            <w:r>
              <w:rPr>
                <w:rFonts w:hint="eastAsia"/>
                <w:szCs w:val="21"/>
                <w:u w:val="single"/>
              </w:rPr>
              <w:t>15</w:t>
            </w:r>
          </w:p>
        </w:tc>
        <w:tc>
          <w:tcPr>
            <w:tcW w:w="322" w:type="pct"/>
            <w:vMerge w:val="restart"/>
            <w:vAlign w:val="center"/>
          </w:tcPr>
          <w:p w14:paraId="78B06CE4">
            <w:pPr>
              <w:pStyle w:val="78"/>
              <w:rPr>
                <w:color w:val="auto"/>
                <w:szCs w:val="21"/>
                <w:u w:val="single"/>
              </w:rPr>
            </w:pPr>
            <w:r>
              <w:rPr>
                <w:rFonts w:hint="eastAsia"/>
                <w:szCs w:val="21"/>
                <w:u w:val="single"/>
              </w:rPr>
              <w:t>0.15</w:t>
            </w:r>
          </w:p>
        </w:tc>
        <w:tc>
          <w:tcPr>
            <w:tcW w:w="417" w:type="pct"/>
            <w:vMerge w:val="restart"/>
            <w:vAlign w:val="center"/>
          </w:tcPr>
          <w:p w14:paraId="234E4D68">
            <w:pPr>
              <w:pStyle w:val="78"/>
              <w:rPr>
                <w:color w:val="auto"/>
                <w:szCs w:val="21"/>
                <w:u w:val="single"/>
              </w:rPr>
            </w:pPr>
            <w:r>
              <w:rPr>
                <w:rFonts w:hint="eastAsia"/>
                <w:szCs w:val="21"/>
                <w:u w:val="single"/>
              </w:rPr>
              <w:t>100</w:t>
            </w:r>
          </w:p>
        </w:tc>
        <w:tc>
          <w:tcPr>
            <w:tcW w:w="471" w:type="pct"/>
            <w:vMerge w:val="restart"/>
            <w:vAlign w:val="center"/>
          </w:tcPr>
          <w:p w14:paraId="0DFC5BE3">
            <w:pPr>
              <w:pStyle w:val="76"/>
              <w:autoSpaceDE w:val="0"/>
              <w:autoSpaceDN w:val="0"/>
              <w:jc w:val="center"/>
              <w:rPr>
                <w:rFonts w:ascii="Times New Roman" w:hAnsi="Times New Roman"/>
                <w:szCs w:val="21"/>
                <w:u w:val="single"/>
              </w:rPr>
            </w:pPr>
            <w:r>
              <w:rPr>
                <w:rFonts w:hint="eastAsia" w:ascii="Times New Roman" w:hAnsi="Times New Roman"/>
                <w:szCs w:val="21"/>
                <w:u w:val="single"/>
              </w:rPr>
              <w:t>644.875</w:t>
            </w:r>
          </w:p>
        </w:tc>
        <w:tc>
          <w:tcPr>
            <w:tcW w:w="531" w:type="pct"/>
            <w:vAlign w:val="center"/>
          </w:tcPr>
          <w:p w14:paraId="255DC36C">
            <w:pPr>
              <w:pStyle w:val="87"/>
              <w:rPr>
                <w:szCs w:val="21"/>
                <w:u w:val="single"/>
              </w:rPr>
            </w:pPr>
            <w:r>
              <w:rPr>
                <w:u w:val="single"/>
              </w:rPr>
              <w:t>SO</w:t>
            </w:r>
            <w:r>
              <w:rPr>
                <w:u w:val="single"/>
                <w:vertAlign w:val="subscript"/>
              </w:rPr>
              <w:t>2</w:t>
            </w:r>
          </w:p>
        </w:tc>
        <w:tc>
          <w:tcPr>
            <w:tcW w:w="467" w:type="pct"/>
            <w:vAlign w:val="center"/>
          </w:tcPr>
          <w:p w14:paraId="191EC34E">
            <w:pPr>
              <w:pStyle w:val="87"/>
              <w:rPr>
                <w:szCs w:val="21"/>
                <w:u w:val="single"/>
              </w:rPr>
            </w:pPr>
            <w:r>
              <w:rPr>
                <w:rFonts w:hint="eastAsia"/>
                <w:u w:val="single"/>
              </w:rPr>
              <w:t>0.02</w:t>
            </w:r>
          </w:p>
        </w:tc>
        <w:tc>
          <w:tcPr>
            <w:tcW w:w="471" w:type="pct"/>
            <w:vAlign w:val="center"/>
          </w:tcPr>
          <w:p w14:paraId="4C373C3C">
            <w:pPr>
              <w:pStyle w:val="87"/>
              <w:rPr>
                <w:szCs w:val="21"/>
                <w:u w:val="single"/>
              </w:rPr>
            </w:pPr>
            <w:r>
              <w:rPr>
                <w:rFonts w:hint="eastAsia"/>
                <w:u w:val="single"/>
              </w:rPr>
              <w:t>0.0125</w:t>
            </w:r>
          </w:p>
        </w:tc>
        <w:tc>
          <w:tcPr>
            <w:tcW w:w="535" w:type="pct"/>
            <w:vAlign w:val="center"/>
          </w:tcPr>
          <w:p w14:paraId="7E0EACC6">
            <w:pPr>
              <w:pStyle w:val="87"/>
              <w:rPr>
                <w:szCs w:val="21"/>
                <w:u w:val="single"/>
              </w:rPr>
            </w:pPr>
            <w:r>
              <w:rPr>
                <w:rFonts w:hint="eastAsia"/>
                <w:u w:val="single"/>
              </w:rPr>
              <w:t>19.38</w:t>
            </w:r>
          </w:p>
        </w:tc>
        <w:tc>
          <w:tcPr>
            <w:tcW w:w="477" w:type="pct"/>
            <w:vAlign w:val="center"/>
          </w:tcPr>
          <w:p w14:paraId="1407261D">
            <w:pPr>
              <w:pStyle w:val="76"/>
              <w:autoSpaceDE w:val="0"/>
              <w:autoSpaceDN w:val="0"/>
              <w:jc w:val="center"/>
              <w:rPr>
                <w:rFonts w:ascii="Times New Roman" w:hAnsi="Times New Roman"/>
                <w:szCs w:val="21"/>
                <w:u w:val="single"/>
              </w:rPr>
            </w:pPr>
            <w:r>
              <w:rPr>
                <w:rFonts w:hint="eastAsia" w:ascii="Times New Roman" w:hAnsi="Times New Roman"/>
                <w:szCs w:val="21"/>
                <w:u w:val="single"/>
              </w:rPr>
              <w:t>/</w:t>
            </w:r>
          </w:p>
        </w:tc>
        <w:tc>
          <w:tcPr>
            <w:tcW w:w="509" w:type="pct"/>
            <w:vAlign w:val="center"/>
          </w:tcPr>
          <w:p w14:paraId="714DD583">
            <w:pPr>
              <w:pStyle w:val="87"/>
              <w:rPr>
                <w:szCs w:val="21"/>
                <w:u w:val="single"/>
              </w:rPr>
            </w:pPr>
            <w:r>
              <w:rPr>
                <w:u w:val="single"/>
              </w:rPr>
              <w:t>50</w:t>
            </w:r>
          </w:p>
        </w:tc>
      </w:tr>
      <w:tr w14:paraId="5C8C63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68" w:type="pct"/>
            <w:vMerge w:val="continue"/>
            <w:vAlign w:val="center"/>
          </w:tcPr>
          <w:p w14:paraId="24A51EF1">
            <w:pPr>
              <w:pStyle w:val="76"/>
              <w:autoSpaceDE w:val="0"/>
              <w:autoSpaceDN w:val="0"/>
              <w:jc w:val="center"/>
              <w:rPr>
                <w:rFonts w:ascii="Times New Roman" w:hAnsi="Times New Roman"/>
                <w:szCs w:val="21"/>
                <w:u w:val="single"/>
              </w:rPr>
            </w:pPr>
          </w:p>
        </w:tc>
        <w:tc>
          <w:tcPr>
            <w:tcW w:w="330" w:type="pct"/>
            <w:vMerge w:val="continue"/>
            <w:vAlign w:val="center"/>
          </w:tcPr>
          <w:p w14:paraId="6DA0C93B">
            <w:pPr>
              <w:pStyle w:val="76"/>
              <w:autoSpaceDE w:val="0"/>
              <w:autoSpaceDN w:val="0"/>
              <w:jc w:val="center"/>
              <w:rPr>
                <w:rFonts w:ascii="Times New Roman" w:hAnsi="Times New Roman"/>
                <w:szCs w:val="21"/>
                <w:u w:val="single"/>
              </w:rPr>
            </w:pPr>
          </w:p>
        </w:tc>
        <w:tc>
          <w:tcPr>
            <w:tcW w:w="322" w:type="pct"/>
            <w:vMerge w:val="continue"/>
            <w:vAlign w:val="center"/>
          </w:tcPr>
          <w:p w14:paraId="4C54D9CA">
            <w:pPr>
              <w:pStyle w:val="76"/>
              <w:autoSpaceDE w:val="0"/>
              <w:autoSpaceDN w:val="0"/>
              <w:jc w:val="center"/>
              <w:rPr>
                <w:rFonts w:ascii="Times New Roman" w:hAnsi="Times New Roman"/>
                <w:szCs w:val="21"/>
                <w:u w:val="single"/>
              </w:rPr>
            </w:pPr>
          </w:p>
        </w:tc>
        <w:tc>
          <w:tcPr>
            <w:tcW w:w="417" w:type="pct"/>
            <w:vMerge w:val="continue"/>
            <w:vAlign w:val="center"/>
          </w:tcPr>
          <w:p w14:paraId="6E33EFE0">
            <w:pPr>
              <w:pStyle w:val="76"/>
              <w:autoSpaceDE w:val="0"/>
              <w:autoSpaceDN w:val="0"/>
              <w:jc w:val="center"/>
              <w:rPr>
                <w:rFonts w:ascii="Times New Roman" w:hAnsi="Times New Roman"/>
                <w:szCs w:val="21"/>
                <w:u w:val="single"/>
              </w:rPr>
            </w:pPr>
          </w:p>
        </w:tc>
        <w:tc>
          <w:tcPr>
            <w:tcW w:w="471" w:type="pct"/>
            <w:vMerge w:val="continue"/>
            <w:vAlign w:val="center"/>
          </w:tcPr>
          <w:p w14:paraId="598647E1">
            <w:pPr>
              <w:pStyle w:val="76"/>
              <w:autoSpaceDE w:val="0"/>
              <w:autoSpaceDN w:val="0"/>
              <w:jc w:val="center"/>
              <w:rPr>
                <w:rFonts w:ascii="Times New Roman" w:hAnsi="Times New Roman"/>
                <w:szCs w:val="21"/>
                <w:u w:val="single"/>
              </w:rPr>
            </w:pPr>
          </w:p>
        </w:tc>
        <w:tc>
          <w:tcPr>
            <w:tcW w:w="531" w:type="pct"/>
            <w:shd w:val="clear" w:color="auto" w:fill="auto"/>
            <w:vAlign w:val="center"/>
          </w:tcPr>
          <w:p w14:paraId="0F8064F9">
            <w:pPr>
              <w:pStyle w:val="87"/>
              <w:rPr>
                <w:kern w:val="2"/>
                <w:szCs w:val="21"/>
                <w:u w:val="single"/>
              </w:rPr>
            </w:pPr>
            <w:r>
              <w:rPr>
                <w:u w:val="single"/>
              </w:rPr>
              <w:t>NOx</w:t>
            </w:r>
          </w:p>
        </w:tc>
        <w:tc>
          <w:tcPr>
            <w:tcW w:w="467" w:type="pct"/>
            <w:shd w:val="clear" w:color="auto" w:fill="auto"/>
            <w:vAlign w:val="center"/>
          </w:tcPr>
          <w:p w14:paraId="4BAE5CF4">
            <w:pPr>
              <w:pStyle w:val="87"/>
              <w:rPr>
                <w:rFonts w:hint="eastAsia" w:eastAsia="宋体"/>
                <w:kern w:val="2"/>
                <w:szCs w:val="21"/>
                <w:u w:val="single"/>
                <w:lang w:val="en-US" w:eastAsia="zh-CN"/>
              </w:rPr>
            </w:pPr>
            <w:r>
              <w:rPr>
                <w:rFonts w:hint="eastAsia"/>
                <w:u w:val="single"/>
              </w:rPr>
              <w:t>0.0</w:t>
            </w:r>
            <w:r>
              <w:rPr>
                <w:rFonts w:hint="eastAsia"/>
                <w:u w:val="single"/>
                <w:lang w:val="en-US" w:eastAsia="zh-CN"/>
              </w:rPr>
              <w:t>7</w:t>
            </w:r>
          </w:p>
        </w:tc>
        <w:tc>
          <w:tcPr>
            <w:tcW w:w="471" w:type="pct"/>
            <w:shd w:val="clear" w:color="auto" w:fill="auto"/>
            <w:vAlign w:val="center"/>
          </w:tcPr>
          <w:p w14:paraId="7B30D4D4">
            <w:pPr>
              <w:pStyle w:val="87"/>
              <w:rPr>
                <w:rFonts w:hint="default" w:eastAsia="宋体"/>
                <w:kern w:val="2"/>
                <w:szCs w:val="21"/>
                <w:u w:val="single"/>
                <w:lang w:val="en-US" w:eastAsia="zh-CN"/>
              </w:rPr>
            </w:pPr>
            <w:r>
              <w:rPr>
                <w:rFonts w:hint="eastAsia"/>
                <w:u w:val="single"/>
              </w:rPr>
              <w:t>0.0</w:t>
            </w:r>
            <w:r>
              <w:rPr>
                <w:rFonts w:hint="eastAsia"/>
                <w:u w:val="single"/>
                <w:lang w:val="en-US" w:eastAsia="zh-CN"/>
              </w:rPr>
              <w:t>436</w:t>
            </w:r>
          </w:p>
        </w:tc>
        <w:tc>
          <w:tcPr>
            <w:tcW w:w="535" w:type="pct"/>
            <w:shd w:val="clear" w:color="auto" w:fill="auto"/>
            <w:vAlign w:val="center"/>
          </w:tcPr>
          <w:p w14:paraId="1B61C134">
            <w:pPr>
              <w:pStyle w:val="87"/>
              <w:rPr>
                <w:rFonts w:hint="default" w:eastAsia="宋体"/>
                <w:kern w:val="2"/>
                <w:szCs w:val="21"/>
                <w:u w:val="single"/>
                <w:lang w:val="en-US" w:eastAsia="zh-CN"/>
              </w:rPr>
            </w:pPr>
            <w:r>
              <w:rPr>
                <w:rFonts w:hint="eastAsia"/>
                <w:u w:val="single"/>
                <w:lang w:val="en-US" w:eastAsia="zh-CN"/>
              </w:rPr>
              <w:t>67.61</w:t>
            </w:r>
          </w:p>
        </w:tc>
        <w:tc>
          <w:tcPr>
            <w:tcW w:w="477" w:type="pct"/>
            <w:shd w:val="clear" w:color="auto" w:fill="auto"/>
            <w:vAlign w:val="center"/>
          </w:tcPr>
          <w:p w14:paraId="103DA8DB">
            <w:pPr>
              <w:pStyle w:val="76"/>
              <w:autoSpaceDE w:val="0"/>
              <w:autoSpaceDN w:val="0"/>
              <w:jc w:val="center"/>
              <w:rPr>
                <w:rFonts w:ascii="Times New Roman" w:hAnsi="Times New Roman"/>
                <w:szCs w:val="21"/>
                <w:u w:val="single"/>
              </w:rPr>
            </w:pPr>
            <w:r>
              <w:rPr>
                <w:rFonts w:ascii="Times New Roman" w:hAnsi="Times New Roman"/>
                <w:szCs w:val="21"/>
                <w:u w:val="single"/>
              </w:rPr>
              <w:t>/</w:t>
            </w:r>
          </w:p>
        </w:tc>
        <w:tc>
          <w:tcPr>
            <w:tcW w:w="509" w:type="pct"/>
            <w:shd w:val="clear" w:color="auto" w:fill="auto"/>
            <w:vAlign w:val="center"/>
          </w:tcPr>
          <w:p w14:paraId="28839F8B">
            <w:pPr>
              <w:pStyle w:val="87"/>
              <w:rPr>
                <w:kern w:val="2"/>
                <w:szCs w:val="21"/>
                <w:u w:val="single"/>
              </w:rPr>
            </w:pPr>
            <w:r>
              <w:rPr>
                <w:rFonts w:hint="eastAsia"/>
                <w:u w:val="single"/>
              </w:rPr>
              <w:t>150</w:t>
            </w:r>
          </w:p>
        </w:tc>
      </w:tr>
      <w:tr w14:paraId="779B1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68" w:type="pct"/>
            <w:vMerge w:val="continue"/>
            <w:vAlign w:val="center"/>
          </w:tcPr>
          <w:p w14:paraId="10E518F0">
            <w:pPr>
              <w:pStyle w:val="76"/>
              <w:autoSpaceDE w:val="0"/>
              <w:autoSpaceDN w:val="0"/>
              <w:jc w:val="center"/>
              <w:rPr>
                <w:rFonts w:ascii="Times New Roman" w:hAnsi="Times New Roman"/>
                <w:szCs w:val="21"/>
                <w:u w:val="single"/>
              </w:rPr>
            </w:pPr>
          </w:p>
        </w:tc>
        <w:tc>
          <w:tcPr>
            <w:tcW w:w="330" w:type="pct"/>
            <w:vMerge w:val="continue"/>
            <w:vAlign w:val="center"/>
          </w:tcPr>
          <w:p w14:paraId="3FFA66DC">
            <w:pPr>
              <w:pStyle w:val="76"/>
              <w:autoSpaceDE w:val="0"/>
              <w:autoSpaceDN w:val="0"/>
              <w:jc w:val="center"/>
              <w:rPr>
                <w:rFonts w:ascii="Times New Roman" w:hAnsi="Times New Roman"/>
                <w:szCs w:val="21"/>
                <w:u w:val="single"/>
              </w:rPr>
            </w:pPr>
          </w:p>
        </w:tc>
        <w:tc>
          <w:tcPr>
            <w:tcW w:w="322" w:type="pct"/>
            <w:vMerge w:val="continue"/>
            <w:vAlign w:val="center"/>
          </w:tcPr>
          <w:p w14:paraId="0448DE31">
            <w:pPr>
              <w:pStyle w:val="76"/>
              <w:autoSpaceDE w:val="0"/>
              <w:autoSpaceDN w:val="0"/>
              <w:jc w:val="center"/>
              <w:rPr>
                <w:rFonts w:ascii="Times New Roman" w:hAnsi="Times New Roman"/>
                <w:szCs w:val="21"/>
                <w:u w:val="single"/>
              </w:rPr>
            </w:pPr>
          </w:p>
        </w:tc>
        <w:tc>
          <w:tcPr>
            <w:tcW w:w="417" w:type="pct"/>
            <w:vMerge w:val="continue"/>
            <w:vAlign w:val="center"/>
          </w:tcPr>
          <w:p w14:paraId="7A80B039">
            <w:pPr>
              <w:pStyle w:val="76"/>
              <w:autoSpaceDE w:val="0"/>
              <w:autoSpaceDN w:val="0"/>
              <w:jc w:val="center"/>
              <w:rPr>
                <w:rFonts w:ascii="Times New Roman" w:hAnsi="Times New Roman"/>
                <w:szCs w:val="21"/>
                <w:u w:val="single"/>
              </w:rPr>
            </w:pPr>
          </w:p>
        </w:tc>
        <w:tc>
          <w:tcPr>
            <w:tcW w:w="471" w:type="pct"/>
            <w:vMerge w:val="continue"/>
            <w:vAlign w:val="center"/>
          </w:tcPr>
          <w:p w14:paraId="35F58447">
            <w:pPr>
              <w:pStyle w:val="76"/>
              <w:autoSpaceDE w:val="0"/>
              <w:autoSpaceDN w:val="0"/>
              <w:jc w:val="center"/>
              <w:rPr>
                <w:rFonts w:ascii="Times New Roman" w:hAnsi="Times New Roman"/>
                <w:szCs w:val="21"/>
                <w:u w:val="single"/>
              </w:rPr>
            </w:pPr>
          </w:p>
        </w:tc>
        <w:tc>
          <w:tcPr>
            <w:tcW w:w="531" w:type="pct"/>
            <w:shd w:val="clear" w:color="auto" w:fill="auto"/>
            <w:vAlign w:val="center"/>
          </w:tcPr>
          <w:p w14:paraId="26E05E27">
            <w:pPr>
              <w:pStyle w:val="87"/>
              <w:rPr>
                <w:kern w:val="2"/>
                <w:szCs w:val="21"/>
                <w:u w:val="single"/>
              </w:rPr>
            </w:pPr>
            <w:r>
              <w:rPr>
                <w:rFonts w:hint="eastAsia"/>
                <w:u w:val="single"/>
              </w:rPr>
              <w:t>颗粒物</w:t>
            </w:r>
          </w:p>
        </w:tc>
        <w:tc>
          <w:tcPr>
            <w:tcW w:w="467" w:type="pct"/>
            <w:shd w:val="clear" w:color="auto" w:fill="auto"/>
            <w:vAlign w:val="center"/>
          </w:tcPr>
          <w:p w14:paraId="0888C727">
            <w:pPr>
              <w:pStyle w:val="87"/>
              <w:rPr>
                <w:kern w:val="2"/>
                <w:szCs w:val="21"/>
                <w:u w:val="single"/>
              </w:rPr>
            </w:pPr>
            <w:r>
              <w:rPr>
                <w:rFonts w:hint="eastAsia"/>
                <w:u w:val="single"/>
              </w:rPr>
              <w:t>0.01</w:t>
            </w:r>
          </w:p>
        </w:tc>
        <w:tc>
          <w:tcPr>
            <w:tcW w:w="471" w:type="pct"/>
            <w:shd w:val="clear" w:color="auto" w:fill="auto"/>
            <w:vAlign w:val="center"/>
          </w:tcPr>
          <w:p w14:paraId="024CD380">
            <w:pPr>
              <w:pStyle w:val="87"/>
              <w:rPr>
                <w:kern w:val="2"/>
                <w:szCs w:val="21"/>
                <w:u w:val="single"/>
              </w:rPr>
            </w:pPr>
            <w:r>
              <w:rPr>
                <w:rFonts w:hint="eastAsia"/>
                <w:u w:val="single"/>
              </w:rPr>
              <w:t>0.0063</w:t>
            </w:r>
          </w:p>
        </w:tc>
        <w:tc>
          <w:tcPr>
            <w:tcW w:w="535" w:type="pct"/>
            <w:shd w:val="clear" w:color="auto" w:fill="auto"/>
            <w:vAlign w:val="center"/>
          </w:tcPr>
          <w:p w14:paraId="585A8F0B">
            <w:pPr>
              <w:pStyle w:val="87"/>
              <w:rPr>
                <w:kern w:val="2"/>
                <w:szCs w:val="21"/>
                <w:u w:val="single"/>
              </w:rPr>
            </w:pPr>
            <w:r>
              <w:rPr>
                <w:rFonts w:hint="eastAsia"/>
                <w:u w:val="single"/>
              </w:rPr>
              <w:t>9.77</w:t>
            </w:r>
          </w:p>
        </w:tc>
        <w:tc>
          <w:tcPr>
            <w:tcW w:w="477" w:type="pct"/>
            <w:shd w:val="clear" w:color="auto" w:fill="auto"/>
            <w:vAlign w:val="center"/>
          </w:tcPr>
          <w:p w14:paraId="252E8605">
            <w:pPr>
              <w:pStyle w:val="76"/>
              <w:autoSpaceDE w:val="0"/>
              <w:autoSpaceDN w:val="0"/>
              <w:jc w:val="center"/>
              <w:rPr>
                <w:rFonts w:ascii="Times New Roman" w:hAnsi="Times New Roman"/>
                <w:szCs w:val="21"/>
                <w:u w:val="single"/>
              </w:rPr>
            </w:pPr>
            <w:r>
              <w:rPr>
                <w:rFonts w:ascii="Times New Roman" w:hAnsi="Times New Roman"/>
                <w:w w:val="99"/>
                <w:szCs w:val="21"/>
                <w:u w:val="single"/>
              </w:rPr>
              <w:t>/</w:t>
            </w:r>
          </w:p>
        </w:tc>
        <w:tc>
          <w:tcPr>
            <w:tcW w:w="509" w:type="pct"/>
            <w:shd w:val="clear" w:color="auto" w:fill="auto"/>
            <w:vAlign w:val="center"/>
          </w:tcPr>
          <w:p w14:paraId="04D84350">
            <w:pPr>
              <w:pStyle w:val="87"/>
              <w:rPr>
                <w:kern w:val="2"/>
                <w:szCs w:val="21"/>
                <w:u w:val="single"/>
              </w:rPr>
            </w:pPr>
            <w:r>
              <w:rPr>
                <w:rFonts w:hint="eastAsia"/>
                <w:u w:val="single"/>
              </w:rPr>
              <w:t>20</w:t>
            </w:r>
          </w:p>
        </w:tc>
      </w:tr>
      <w:tr w14:paraId="2D0E91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68" w:type="pct"/>
            <w:vMerge w:val="restart"/>
            <w:vAlign w:val="center"/>
          </w:tcPr>
          <w:p w14:paraId="12EFDA20">
            <w:pPr>
              <w:pStyle w:val="76"/>
              <w:autoSpaceDE w:val="0"/>
              <w:autoSpaceDN w:val="0"/>
              <w:jc w:val="center"/>
              <w:rPr>
                <w:rFonts w:ascii="Times New Roman" w:hAnsi="Times New Roman"/>
                <w:szCs w:val="21"/>
                <w:u w:val="single"/>
              </w:rPr>
            </w:pPr>
            <w:r>
              <w:rPr>
                <w:rFonts w:hint="eastAsia" w:ascii="Times New Roman" w:hAnsi="Times New Roman"/>
                <w:szCs w:val="21"/>
                <w:u w:val="single"/>
              </w:rPr>
              <w:t>DA002</w:t>
            </w:r>
          </w:p>
        </w:tc>
        <w:tc>
          <w:tcPr>
            <w:tcW w:w="330" w:type="pct"/>
            <w:vMerge w:val="restart"/>
            <w:vAlign w:val="center"/>
          </w:tcPr>
          <w:p w14:paraId="168FB633">
            <w:pPr>
              <w:pStyle w:val="78"/>
              <w:rPr>
                <w:color w:val="auto"/>
                <w:szCs w:val="21"/>
                <w:u w:val="single"/>
              </w:rPr>
            </w:pPr>
            <w:r>
              <w:rPr>
                <w:rFonts w:hint="eastAsia"/>
                <w:szCs w:val="21"/>
                <w:u w:val="single"/>
              </w:rPr>
              <w:t>15</w:t>
            </w:r>
          </w:p>
        </w:tc>
        <w:tc>
          <w:tcPr>
            <w:tcW w:w="322" w:type="pct"/>
            <w:vMerge w:val="restart"/>
            <w:vAlign w:val="center"/>
          </w:tcPr>
          <w:p w14:paraId="224D7B53">
            <w:pPr>
              <w:pStyle w:val="78"/>
              <w:rPr>
                <w:color w:val="auto"/>
                <w:szCs w:val="21"/>
                <w:u w:val="single"/>
              </w:rPr>
            </w:pPr>
            <w:r>
              <w:rPr>
                <w:rFonts w:hint="eastAsia"/>
                <w:szCs w:val="21"/>
                <w:u w:val="single"/>
              </w:rPr>
              <w:t>0.3</w:t>
            </w:r>
          </w:p>
        </w:tc>
        <w:tc>
          <w:tcPr>
            <w:tcW w:w="417" w:type="pct"/>
            <w:vMerge w:val="restart"/>
            <w:vAlign w:val="center"/>
          </w:tcPr>
          <w:p w14:paraId="1180ECDB">
            <w:pPr>
              <w:pStyle w:val="78"/>
              <w:rPr>
                <w:color w:val="auto"/>
                <w:szCs w:val="21"/>
                <w:u w:val="single"/>
              </w:rPr>
            </w:pPr>
            <w:r>
              <w:rPr>
                <w:rFonts w:hint="eastAsia"/>
                <w:szCs w:val="21"/>
                <w:u w:val="single"/>
              </w:rPr>
              <w:t>35</w:t>
            </w:r>
          </w:p>
        </w:tc>
        <w:tc>
          <w:tcPr>
            <w:tcW w:w="471" w:type="pct"/>
            <w:vMerge w:val="restart"/>
            <w:vAlign w:val="center"/>
          </w:tcPr>
          <w:p w14:paraId="1A0B4EE6">
            <w:pPr>
              <w:pStyle w:val="76"/>
              <w:autoSpaceDE w:val="0"/>
              <w:autoSpaceDN w:val="0"/>
              <w:jc w:val="center"/>
              <w:rPr>
                <w:rFonts w:ascii="Times New Roman" w:hAnsi="Times New Roman"/>
                <w:szCs w:val="21"/>
                <w:u w:val="single"/>
              </w:rPr>
            </w:pPr>
            <w:r>
              <w:rPr>
                <w:rFonts w:hint="eastAsia" w:ascii="Times New Roman" w:hAnsi="Times New Roman"/>
                <w:szCs w:val="21"/>
                <w:u w:val="single"/>
              </w:rPr>
              <w:t>6000</w:t>
            </w:r>
          </w:p>
        </w:tc>
        <w:tc>
          <w:tcPr>
            <w:tcW w:w="531" w:type="pct"/>
            <w:vAlign w:val="center"/>
          </w:tcPr>
          <w:p w14:paraId="3EDE9004">
            <w:pPr>
              <w:pStyle w:val="76"/>
              <w:autoSpaceDE w:val="0"/>
              <w:autoSpaceDN w:val="0"/>
              <w:jc w:val="center"/>
              <w:rPr>
                <w:rFonts w:ascii="Times New Roman" w:hAnsi="Times New Roman"/>
                <w:szCs w:val="21"/>
                <w:u w:val="single"/>
              </w:rPr>
            </w:pPr>
            <w:r>
              <w:rPr>
                <w:rFonts w:hint="eastAsia" w:ascii="Times New Roman" w:hAnsi="Times New Roman"/>
                <w:szCs w:val="21"/>
                <w:u w:val="single"/>
              </w:rPr>
              <w:t>VOC</w:t>
            </w:r>
            <w:r>
              <w:rPr>
                <w:rFonts w:hint="eastAsia" w:ascii="Times New Roman" w:hAnsi="Times New Roman"/>
                <w:szCs w:val="21"/>
                <w:u w:val="single"/>
                <w:vertAlign w:val="subscript"/>
              </w:rPr>
              <w:t>S</w:t>
            </w:r>
          </w:p>
        </w:tc>
        <w:tc>
          <w:tcPr>
            <w:tcW w:w="467" w:type="pct"/>
            <w:vAlign w:val="center"/>
          </w:tcPr>
          <w:p w14:paraId="7B47C7B6">
            <w:pPr>
              <w:pStyle w:val="76"/>
              <w:autoSpaceDE w:val="0"/>
              <w:autoSpaceDN w:val="0"/>
              <w:jc w:val="center"/>
              <w:rPr>
                <w:rFonts w:hint="default" w:ascii="Times New Roman" w:hAnsi="Times New Roman" w:eastAsia="宋体"/>
                <w:szCs w:val="21"/>
                <w:u w:val="single"/>
                <w:lang w:val="en-US" w:eastAsia="zh-CN"/>
              </w:rPr>
            </w:pPr>
            <w:r>
              <w:rPr>
                <w:rFonts w:hint="eastAsia" w:ascii="Times New Roman" w:hAnsi="Times New Roman"/>
                <w:szCs w:val="21"/>
                <w:u w:val="single"/>
              </w:rPr>
              <w:t>0.</w:t>
            </w:r>
            <w:r>
              <w:rPr>
                <w:rFonts w:hint="eastAsia" w:ascii="Times New Roman" w:hAnsi="Times New Roman"/>
                <w:szCs w:val="21"/>
                <w:u w:val="single"/>
                <w:lang w:val="en-US" w:eastAsia="zh-CN"/>
              </w:rPr>
              <w:t>0271</w:t>
            </w:r>
          </w:p>
        </w:tc>
        <w:tc>
          <w:tcPr>
            <w:tcW w:w="471" w:type="pct"/>
            <w:vAlign w:val="center"/>
          </w:tcPr>
          <w:p w14:paraId="0BC57E4B">
            <w:pPr>
              <w:pStyle w:val="76"/>
              <w:autoSpaceDE w:val="0"/>
              <w:autoSpaceDN w:val="0"/>
              <w:jc w:val="center"/>
              <w:rPr>
                <w:rFonts w:hint="default" w:ascii="Times New Roman" w:hAnsi="Times New Roman" w:eastAsia="宋体"/>
                <w:szCs w:val="21"/>
                <w:u w:val="single"/>
                <w:lang w:val="en-US" w:eastAsia="zh-CN"/>
              </w:rPr>
            </w:pPr>
            <w:r>
              <w:rPr>
                <w:rFonts w:hint="eastAsia" w:ascii="Times New Roman" w:hAnsi="Times New Roman"/>
                <w:szCs w:val="21"/>
                <w:u w:val="single"/>
              </w:rPr>
              <w:t>0.</w:t>
            </w:r>
            <w:r>
              <w:rPr>
                <w:rFonts w:hint="eastAsia" w:ascii="Times New Roman" w:hAnsi="Times New Roman"/>
                <w:szCs w:val="21"/>
                <w:u w:val="single"/>
                <w:lang w:val="en-US" w:eastAsia="zh-CN"/>
              </w:rPr>
              <w:t>06758</w:t>
            </w:r>
          </w:p>
        </w:tc>
        <w:tc>
          <w:tcPr>
            <w:tcW w:w="535" w:type="pct"/>
            <w:vAlign w:val="center"/>
          </w:tcPr>
          <w:p w14:paraId="328AA963">
            <w:pPr>
              <w:pStyle w:val="76"/>
              <w:autoSpaceDE w:val="0"/>
              <w:autoSpaceDN w:val="0"/>
              <w:jc w:val="center"/>
              <w:rPr>
                <w:rFonts w:hint="default" w:ascii="Times New Roman" w:hAnsi="Times New Roman" w:eastAsia="宋体"/>
                <w:szCs w:val="21"/>
                <w:u w:val="single"/>
                <w:lang w:val="en-US" w:eastAsia="zh-CN"/>
              </w:rPr>
            </w:pPr>
            <w:r>
              <w:rPr>
                <w:rFonts w:hint="eastAsia" w:ascii="Times New Roman" w:hAnsi="Times New Roman"/>
                <w:szCs w:val="21"/>
                <w:u w:val="single"/>
                <w:lang w:val="en-US" w:eastAsia="zh-CN"/>
              </w:rPr>
              <w:t>11.26</w:t>
            </w:r>
          </w:p>
        </w:tc>
        <w:tc>
          <w:tcPr>
            <w:tcW w:w="477" w:type="pct"/>
            <w:shd w:val="clear" w:color="auto" w:fill="auto"/>
            <w:vAlign w:val="center"/>
          </w:tcPr>
          <w:p w14:paraId="0C90FFE7">
            <w:pPr>
              <w:pStyle w:val="76"/>
              <w:autoSpaceDE w:val="0"/>
              <w:autoSpaceDN w:val="0"/>
              <w:jc w:val="center"/>
              <w:rPr>
                <w:rFonts w:ascii="Times New Roman" w:hAnsi="Times New Roman"/>
                <w:szCs w:val="21"/>
                <w:u w:val="single"/>
              </w:rPr>
            </w:pPr>
            <w:r>
              <w:rPr>
                <w:rFonts w:hint="eastAsia" w:ascii="Times New Roman" w:hAnsi="Times New Roman"/>
                <w:szCs w:val="21"/>
                <w:u w:val="single"/>
              </w:rPr>
              <w:t>/</w:t>
            </w:r>
          </w:p>
        </w:tc>
        <w:tc>
          <w:tcPr>
            <w:tcW w:w="509" w:type="pct"/>
            <w:vAlign w:val="center"/>
          </w:tcPr>
          <w:p w14:paraId="31B5F897">
            <w:pPr>
              <w:pStyle w:val="76"/>
              <w:autoSpaceDE w:val="0"/>
              <w:autoSpaceDN w:val="0"/>
              <w:jc w:val="center"/>
              <w:rPr>
                <w:rFonts w:ascii="Times New Roman" w:hAnsi="Times New Roman"/>
                <w:szCs w:val="21"/>
                <w:u w:val="single"/>
              </w:rPr>
            </w:pPr>
            <w:r>
              <w:rPr>
                <w:rFonts w:hint="eastAsia" w:ascii="Times New Roman" w:hAnsi="Times New Roman"/>
                <w:szCs w:val="21"/>
                <w:u w:val="single"/>
              </w:rPr>
              <w:t>100</w:t>
            </w:r>
          </w:p>
        </w:tc>
      </w:tr>
      <w:tr w14:paraId="22A58E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68" w:type="pct"/>
            <w:vMerge w:val="continue"/>
            <w:vAlign w:val="center"/>
          </w:tcPr>
          <w:p w14:paraId="22E22B0E">
            <w:pPr>
              <w:pStyle w:val="76"/>
              <w:autoSpaceDE w:val="0"/>
              <w:autoSpaceDN w:val="0"/>
              <w:jc w:val="center"/>
              <w:rPr>
                <w:rFonts w:ascii="Times New Roman" w:hAnsi="Times New Roman"/>
                <w:szCs w:val="21"/>
                <w:u w:val="single"/>
              </w:rPr>
            </w:pPr>
          </w:p>
        </w:tc>
        <w:tc>
          <w:tcPr>
            <w:tcW w:w="330" w:type="pct"/>
            <w:vMerge w:val="continue"/>
            <w:vAlign w:val="center"/>
          </w:tcPr>
          <w:p w14:paraId="599A74ED">
            <w:pPr>
              <w:pStyle w:val="76"/>
              <w:autoSpaceDE w:val="0"/>
              <w:autoSpaceDN w:val="0"/>
              <w:jc w:val="center"/>
              <w:rPr>
                <w:rFonts w:ascii="Times New Roman" w:hAnsi="Times New Roman"/>
                <w:szCs w:val="21"/>
                <w:u w:val="single"/>
              </w:rPr>
            </w:pPr>
          </w:p>
        </w:tc>
        <w:tc>
          <w:tcPr>
            <w:tcW w:w="322" w:type="pct"/>
            <w:vMerge w:val="continue"/>
            <w:vAlign w:val="center"/>
          </w:tcPr>
          <w:p w14:paraId="158494D2">
            <w:pPr>
              <w:pStyle w:val="76"/>
              <w:autoSpaceDE w:val="0"/>
              <w:autoSpaceDN w:val="0"/>
              <w:jc w:val="center"/>
              <w:rPr>
                <w:rFonts w:ascii="Times New Roman" w:hAnsi="Times New Roman"/>
                <w:szCs w:val="21"/>
                <w:u w:val="single"/>
              </w:rPr>
            </w:pPr>
          </w:p>
        </w:tc>
        <w:tc>
          <w:tcPr>
            <w:tcW w:w="417" w:type="pct"/>
            <w:vMerge w:val="continue"/>
            <w:vAlign w:val="center"/>
          </w:tcPr>
          <w:p w14:paraId="1A4E0546">
            <w:pPr>
              <w:pStyle w:val="76"/>
              <w:autoSpaceDE w:val="0"/>
              <w:autoSpaceDN w:val="0"/>
              <w:jc w:val="center"/>
              <w:rPr>
                <w:rFonts w:ascii="Times New Roman" w:hAnsi="Times New Roman"/>
                <w:szCs w:val="21"/>
                <w:u w:val="single"/>
              </w:rPr>
            </w:pPr>
          </w:p>
        </w:tc>
        <w:tc>
          <w:tcPr>
            <w:tcW w:w="471" w:type="pct"/>
            <w:vMerge w:val="continue"/>
            <w:vAlign w:val="center"/>
          </w:tcPr>
          <w:p w14:paraId="3E2CFEC2">
            <w:pPr>
              <w:pStyle w:val="76"/>
              <w:autoSpaceDE w:val="0"/>
              <w:autoSpaceDN w:val="0"/>
              <w:jc w:val="center"/>
              <w:rPr>
                <w:rFonts w:ascii="Times New Roman" w:hAnsi="Times New Roman"/>
                <w:szCs w:val="21"/>
                <w:u w:val="single"/>
              </w:rPr>
            </w:pPr>
          </w:p>
        </w:tc>
        <w:tc>
          <w:tcPr>
            <w:tcW w:w="531" w:type="pct"/>
            <w:vAlign w:val="center"/>
          </w:tcPr>
          <w:p w14:paraId="5F363862">
            <w:pPr>
              <w:pStyle w:val="76"/>
              <w:autoSpaceDE w:val="0"/>
              <w:autoSpaceDN w:val="0"/>
              <w:jc w:val="center"/>
              <w:rPr>
                <w:rFonts w:ascii="Times New Roman" w:hAnsi="Times New Roman"/>
                <w:szCs w:val="21"/>
                <w:u w:val="single"/>
              </w:rPr>
            </w:pPr>
            <w:r>
              <w:rPr>
                <w:rFonts w:hint="eastAsia" w:ascii="Times New Roman" w:hAnsi="Times New Roman"/>
                <w:szCs w:val="21"/>
                <w:u w:val="single"/>
              </w:rPr>
              <w:t>苯乙烯</w:t>
            </w:r>
          </w:p>
        </w:tc>
        <w:tc>
          <w:tcPr>
            <w:tcW w:w="1238" w:type="dxa"/>
            <w:vAlign w:val="center"/>
          </w:tcPr>
          <w:p w14:paraId="3E1DF49F">
            <w:pPr>
              <w:spacing w:line="300" w:lineRule="exact"/>
              <w:jc w:val="center"/>
              <w:rPr>
                <w:szCs w:val="21"/>
                <w:u w:val="single"/>
              </w:rPr>
            </w:pPr>
            <w:r>
              <w:rPr>
                <w:rFonts w:hint="eastAsia"/>
                <w:spacing w:val="-11"/>
                <w:kern w:val="0"/>
                <w:szCs w:val="21"/>
                <w:u w:val="single"/>
              </w:rPr>
              <w:t>0.0</w:t>
            </w:r>
            <w:r>
              <w:rPr>
                <w:rFonts w:hint="eastAsia"/>
                <w:spacing w:val="-11"/>
                <w:kern w:val="0"/>
                <w:szCs w:val="21"/>
                <w:u w:val="single"/>
                <w:lang w:val="en-US" w:eastAsia="zh-CN"/>
              </w:rPr>
              <w:t>05</w:t>
            </w:r>
          </w:p>
        </w:tc>
        <w:tc>
          <w:tcPr>
            <w:tcW w:w="1249" w:type="dxa"/>
            <w:vAlign w:val="center"/>
          </w:tcPr>
          <w:p w14:paraId="1E3E5C9E">
            <w:pPr>
              <w:spacing w:line="300" w:lineRule="exact"/>
              <w:jc w:val="center"/>
              <w:rPr>
                <w:szCs w:val="21"/>
                <w:u w:val="single"/>
              </w:rPr>
            </w:pPr>
            <w:r>
              <w:rPr>
                <w:rFonts w:hint="eastAsia"/>
                <w:spacing w:val="-11"/>
                <w:kern w:val="0"/>
                <w:szCs w:val="21"/>
                <w:u w:val="single"/>
              </w:rPr>
              <w:t>0.0</w:t>
            </w:r>
            <w:r>
              <w:rPr>
                <w:rFonts w:hint="eastAsia"/>
                <w:spacing w:val="-11"/>
                <w:kern w:val="0"/>
                <w:szCs w:val="21"/>
                <w:u w:val="single"/>
                <w:lang w:val="en-US" w:eastAsia="zh-CN"/>
              </w:rPr>
              <w:t>125</w:t>
            </w:r>
          </w:p>
        </w:tc>
        <w:tc>
          <w:tcPr>
            <w:tcW w:w="535" w:type="pct"/>
            <w:vAlign w:val="center"/>
          </w:tcPr>
          <w:p w14:paraId="5973DF9B">
            <w:pPr>
              <w:pStyle w:val="76"/>
              <w:autoSpaceDE w:val="0"/>
              <w:autoSpaceDN w:val="0"/>
              <w:jc w:val="center"/>
              <w:rPr>
                <w:rFonts w:hint="default" w:ascii="Times New Roman" w:hAnsi="Times New Roman" w:eastAsia="宋体"/>
                <w:szCs w:val="21"/>
                <w:u w:val="single"/>
                <w:lang w:val="en-US" w:eastAsia="zh-CN"/>
              </w:rPr>
            </w:pPr>
            <w:r>
              <w:rPr>
                <w:rFonts w:hint="eastAsia" w:ascii="Times New Roman" w:hAnsi="Times New Roman"/>
                <w:szCs w:val="21"/>
                <w:u w:val="single"/>
                <w:lang w:val="en-US" w:eastAsia="zh-CN"/>
              </w:rPr>
              <w:t>2.08</w:t>
            </w:r>
          </w:p>
        </w:tc>
        <w:tc>
          <w:tcPr>
            <w:tcW w:w="477" w:type="pct"/>
            <w:shd w:val="clear" w:color="auto" w:fill="auto"/>
            <w:vAlign w:val="center"/>
          </w:tcPr>
          <w:p w14:paraId="4D561EB7">
            <w:pPr>
              <w:pStyle w:val="76"/>
              <w:autoSpaceDE w:val="0"/>
              <w:autoSpaceDN w:val="0"/>
              <w:jc w:val="center"/>
              <w:rPr>
                <w:rFonts w:ascii="Times New Roman" w:hAnsi="Times New Roman"/>
                <w:szCs w:val="21"/>
                <w:u w:val="single"/>
              </w:rPr>
            </w:pPr>
            <w:r>
              <w:rPr>
                <w:rFonts w:ascii="Times New Roman" w:hAnsi="Times New Roman"/>
                <w:szCs w:val="21"/>
                <w:u w:val="single"/>
              </w:rPr>
              <w:t>/</w:t>
            </w:r>
          </w:p>
        </w:tc>
        <w:tc>
          <w:tcPr>
            <w:tcW w:w="509" w:type="pct"/>
            <w:vAlign w:val="center"/>
          </w:tcPr>
          <w:p w14:paraId="7BE53169">
            <w:pPr>
              <w:pStyle w:val="76"/>
              <w:autoSpaceDE w:val="0"/>
              <w:autoSpaceDN w:val="0"/>
              <w:jc w:val="center"/>
              <w:rPr>
                <w:rFonts w:ascii="Times New Roman" w:hAnsi="Times New Roman"/>
                <w:szCs w:val="21"/>
                <w:u w:val="single"/>
              </w:rPr>
            </w:pPr>
            <w:r>
              <w:rPr>
                <w:rFonts w:hint="eastAsia" w:ascii="Times New Roman" w:hAnsi="Times New Roman"/>
                <w:szCs w:val="21"/>
                <w:u w:val="single"/>
              </w:rPr>
              <w:t>50</w:t>
            </w:r>
          </w:p>
        </w:tc>
      </w:tr>
      <w:tr w14:paraId="10F931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68" w:type="pct"/>
            <w:vMerge w:val="restart"/>
            <w:vAlign w:val="center"/>
          </w:tcPr>
          <w:p w14:paraId="445F03F9">
            <w:pPr>
              <w:pStyle w:val="76"/>
              <w:autoSpaceDE w:val="0"/>
              <w:autoSpaceDN w:val="0"/>
              <w:jc w:val="center"/>
              <w:rPr>
                <w:rFonts w:ascii="Times New Roman" w:hAnsi="Times New Roman"/>
                <w:szCs w:val="21"/>
                <w:u w:val="single"/>
              </w:rPr>
            </w:pPr>
            <w:r>
              <w:rPr>
                <w:rFonts w:hint="eastAsia" w:ascii="Times New Roman" w:hAnsi="Times New Roman"/>
                <w:szCs w:val="21"/>
                <w:u w:val="single"/>
              </w:rPr>
              <w:t>DA003</w:t>
            </w:r>
            <w:r>
              <w:rPr>
                <w:rFonts w:hint="eastAsia" w:ascii="Times New Roman" w:hAnsi="Times New Roman"/>
                <w:szCs w:val="21"/>
                <w:u w:val="single"/>
                <w:vertAlign w:val="superscript"/>
              </w:rPr>
              <w:t>①</w:t>
            </w:r>
          </w:p>
        </w:tc>
        <w:tc>
          <w:tcPr>
            <w:tcW w:w="330" w:type="pct"/>
            <w:vMerge w:val="restart"/>
            <w:vAlign w:val="center"/>
          </w:tcPr>
          <w:p w14:paraId="0C2836BC">
            <w:pPr>
              <w:pStyle w:val="78"/>
              <w:rPr>
                <w:color w:val="auto"/>
                <w:szCs w:val="21"/>
                <w:u w:val="single"/>
              </w:rPr>
            </w:pPr>
            <w:r>
              <w:rPr>
                <w:rFonts w:hint="eastAsia"/>
                <w:szCs w:val="21"/>
                <w:u w:val="single"/>
              </w:rPr>
              <w:t>15</w:t>
            </w:r>
          </w:p>
        </w:tc>
        <w:tc>
          <w:tcPr>
            <w:tcW w:w="322" w:type="pct"/>
            <w:vMerge w:val="restart"/>
            <w:vAlign w:val="center"/>
          </w:tcPr>
          <w:p w14:paraId="7DC88483">
            <w:pPr>
              <w:pStyle w:val="78"/>
              <w:rPr>
                <w:color w:val="auto"/>
                <w:szCs w:val="21"/>
                <w:u w:val="single"/>
              </w:rPr>
            </w:pPr>
            <w:r>
              <w:rPr>
                <w:rFonts w:hint="eastAsia"/>
                <w:szCs w:val="21"/>
                <w:u w:val="single"/>
              </w:rPr>
              <w:t>1.0</w:t>
            </w:r>
          </w:p>
        </w:tc>
        <w:tc>
          <w:tcPr>
            <w:tcW w:w="417" w:type="pct"/>
            <w:vMerge w:val="restart"/>
            <w:vAlign w:val="center"/>
          </w:tcPr>
          <w:p w14:paraId="10909AF7">
            <w:pPr>
              <w:pStyle w:val="78"/>
              <w:rPr>
                <w:color w:val="auto"/>
                <w:szCs w:val="21"/>
                <w:u w:val="single"/>
              </w:rPr>
            </w:pPr>
            <w:r>
              <w:rPr>
                <w:rFonts w:hint="eastAsia"/>
                <w:szCs w:val="21"/>
                <w:u w:val="single"/>
              </w:rPr>
              <w:t>70</w:t>
            </w:r>
          </w:p>
        </w:tc>
        <w:tc>
          <w:tcPr>
            <w:tcW w:w="471" w:type="pct"/>
            <w:vMerge w:val="restart"/>
            <w:vAlign w:val="center"/>
          </w:tcPr>
          <w:p w14:paraId="1695B57F">
            <w:pPr>
              <w:pStyle w:val="76"/>
              <w:autoSpaceDE w:val="0"/>
              <w:autoSpaceDN w:val="0"/>
              <w:jc w:val="center"/>
              <w:rPr>
                <w:rFonts w:ascii="Times New Roman" w:hAnsi="Times New Roman"/>
                <w:szCs w:val="21"/>
                <w:u w:val="single"/>
              </w:rPr>
            </w:pPr>
            <w:r>
              <w:rPr>
                <w:rFonts w:hint="eastAsia" w:ascii="Times New Roman" w:hAnsi="Times New Roman"/>
                <w:szCs w:val="21"/>
                <w:u w:val="single"/>
              </w:rPr>
              <w:t>15917</w:t>
            </w:r>
          </w:p>
        </w:tc>
        <w:tc>
          <w:tcPr>
            <w:tcW w:w="531" w:type="pct"/>
            <w:vAlign w:val="center"/>
          </w:tcPr>
          <w:p w14:paraId="086092B8">
            <w:pPr>
              <w:pStyle w:val="76"/>
              <w:autoSpaceDE w:val="0"/>
              <w:autoSpaceDN w:val="0"/>
              <w:jc w:val="center"/>
              <w:rPr>
                <w:rFonts w:ascii="Times New Roman" w:hAnsi="Times New Roman"/>
                <w:szCs w:val="21"/>
                <w:u w:val="single"/>
              </w:rPr>
            </w:pPr>
            <w:r>
              <w:rPr>
                <w:rFonts w:hint="eastAsia" w:ascii="Times New Roman" w:hAnsi="Times New Roman"/>
                <w:szCs w:val="21"/>
                <w:u w:val="single"/>
              </w:rPr>
              <w:t>VOC</w:t>
            </w:r>
            <w:r>
              <w:rPr>
                <w:rFonts w:hint="eastAsia" w:ascii="Times New Roman" w:hAnsi="Times New Roman"/>
                <w:szCs w:val="21"/>
                <w:u w:val="single"/>
                <w:vertAlign w:val="subscript"/>
              </w:rPr>
              <w:t>S</w:t>
            </w:r>
          </w:p>
        </w:tc>
        <w:tc>
          <w:tcPr>
            <w:tcW w:w="1238" w:type="dxa"/>
            <w:vAlign w:val="center"/>
          </w:tcPr>
          <w:p w14:paraId="7BE95E8D">
            <w:pPr>
              <w:spacing w:line="300" w:lineRule="exact"/>
              <w:jc w:val="center"/>
              <w:rPr>
                <w:szCs w:val="21"/>
                <w:u w:val="single"/>
              </w:rPr>
            </w:pPr>
            <w:r>
              <w:rPr>
                <w:rFonts w:hint="eastAsia"/>
                <w:spacing w:val="-11"/>
                <w:kern w:val="0"/>
                <w:szCs w:val="21"/>
                <w:u w:val="single"/>
                <w:lang w:val="en-US" w:eastAsia="zh-CN"/>
              </w:rPr>
              <w:t>0.479</w:t>
            </w:r>
          </w:p>
        </w:tc>
        <w:tc>
          <w:tcPr>
            <w:tcW w:w="1249" w:type="dxa"/>
            <w:vAlign w:val="center"/>
          </w:tcPr>
          <w:p w14:paraId="42DD52E4">
            <w:pPr>
              <w:spacing w:line="300" w:lineRule="exact"/>
              <w:jc w:val="center"/>
              <w:rPr>
                <w:szCs w:val="21"/>
                <w:u w:val="single"/>
              </w:rPr>
            </w:pPr>
            <w:r>
              <w:rPr>
                <w:rFonts w:hint="eastAsia"/>
                <w:spacing w:val="-11"/>
                <w:kern w:val="0"/>
                <w:szCs w:val="21"/>
                <w:u w:val="single"/>
              </w:rPr>
              <w:t>0.</w:t>
            </w:r>
            <w:r>
              <w:rPr>
                <w:rFonts w:hint="eastAsia"/>
                <w:spacing w:val="-11"/>
                <w:kern w:val="0"/>
                <w:szCs w:val="21"/>
                <w:u w:val="single"/>
                <w:lang w:val="en-US" w:eastAsia="zh-CN"/>
              </w:rPr>
              <w:t>200</w:t>
            </w:r>
          </w:p>
        </w:tc>
        <w:tc>
          <w:tcPr>
            <w:tcW w:w="535" w:type="pct"/>
            <w:vAlign w:val="center"/>
          </w:tcPr>
          <w:p w14:paraId="3FC1BE7C">
            <w:pPr>
              <w:pStyle w:val="76"/>
              <w:autoSpaceDE w:val="0"/>
              <w:autoSpaceDN w:val="0"/>
              <w:jc w:val="center"/>
              <w:rPr>
                <w:rFonts w:hint="default" w:ascii="Times New Roman" w:hAnsi="Times New Roman" w:eastAsia="宋体"/>
                <w:szCs w:val="21"/>
                <w:u w:val="single"/>
                <w:lang w:val="en-US" w:eastAsia="zh-CN"/>
              </w:rPr>
            </w:pPr>
            <w:r>
              <w:rPr>
                <w:rFonts w:hint="eastAsia" w:ascii="Times New Roman" w:hAnsi="Times New Roman"/>
                <w:szCs w:val="21"/>
                <w:u w:val="single"/>
                <w:lang w:val="en-US" w:eastAsia="zh-CN"/>
              </w:rPr>
              <w:t>12.57</w:t>
            </w:r>
          </w:p>
        </w:tc>
        <w:tc>
          <w:tcPr>
            <w:tcW w:w="477" w:type="pct"/>
            <w:shd w:val="clear" w:color="auto" w:fill="auto"/>
            <w:vAlign w:val="center"/>
          </w:tcPr>
          <w:p w14:paraId="06B563BB">
            <w:pPr>
              <w:pStyle w:val="76"/>
              <w:autoSpaceDE w:val="0"/>
              <w:autoSpaceDN w:val="0"/>
              <w:jc w:val="center"/>
              <w:rPr>
                <w:rFonts w:ascii="Times New Roman" w:hAnsi="Times New Roman"/>
                <w:szCs w:val="21"/>
                <w:u w:val="single"/>
              </w:rPr>
            </w:pPr>
            <w:r>
              <w:rPr>
                <w:rFonts w:ascii="Times New Roman" w:hAnsi="Times New Roman"/>
                <w:w w:val="99"/>
                <w:szCs w:val="21"/>
                <w:u w:val="single"/>
              </w:rPr>
              <w:t>/</w:t>
            </w:r>
          </w:p>
        </w:tc>
        <w:tc>
          <w:tcPr>
            <w:tcW w:w="509" w:type="pct"/>
            <w:vAlign w:val="center"/>
          </w:tcPr>
          <w:p w14:paraId="77BFB7C0">
            <w:pPr>
              <w:pStyle w:val="76"/>
              <w:autoSpaceDE w:val="0"/>
              <w:autoSpaceDN w:val="0"/>
              <w:jc w:val="center"/>
              <w:rPr>
                <w:rFonts w:ascii="Times New Roman" w:hAnsi="Times New Roman"/>
                <w:szCs w:val="21"/>
                <w:u w:val="single"/>
              </w:rPr>
            </w:pPr>
            <w:r>
              <w:rPr>
                <w:rFonts w:ascii="Times New Roman" w:hAnsi="Times New Roman"/>
                <w:szCs w:val="21"/>
                <w:u w:val="single"/>
              </w:rPr>
              <w:t>1</w:t>
            </w:r>
            <w:r>
              <w:rPr>
                <w:rFonts w:hint="eastAsia" w:ascii="Times New Roman" w:hAnsi="Times New Roman"/>
                <w:szCs w:val="21"/>
                <w:u w:val="single"/>
              </w:rPr>
              <w:t>0</w:t>
            </w:r>
            <w:r>
              <w:rPr>
                <w:rFonts w:ascii="Times New Roman" w:hAnsi="Times New Roman"/>
                <w:szCs w:val="21"/>
                <w:u w:val="single"/>
              </w:rPr>
              <w:t>0</w:t>
            </w:r>
          </w:p>
        </w:tc>
      </w:tr>
      <w:tr w14:paraId="3CC9AE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68" w:type="pct"/>
            <w:vMerge w:val="continue"/>
            <w:vAlign w:val="center"/>
          </w:tcPr>
          <w:p w14:paraId="42DF1D9A">
            <w:pPr>
              <w:pStyle w:val="76"/>
              <w:autoSpaceDE w:val="0"/>
              <w:autoSpaceDN w:val="0"/>
              <w:jc w:val="center"/>
              <w:rPr>
                <w:rFonts w:ascii="Times New Roman" w:hAnsi="Times New Roman"/>
                <w:szCs w:val="21"/>
                <w:u w:val="single"/>
              </w:rPr>
            </w:pPr>
          </w:p>
        </w:tc>
        <w:tc>
          <w:tcPr>
            <w:tcW w:w="330" w:type="pct"/>
            <w:vMerge w:val="continue"/>
            <w:vAlign w:val="center"/>
          </w:tcPr>
          <w:p w14:paraId="047F6987">
            <w:pPr>
              <w:pStyle w:val="76"/>
              <w:autoSpaceDE w:val="0"/>
              <w:autoSpaceDN w:val="0"/>
              <w:jc w:val="center"/>
              <w:rPr>
                <w:rFonts w:ascii="Times New Roman" w:hAnsi="Times New Roman"/>
                <w:szCs w:val="21"/>
                <w:u w:val="single"/>
              </w:rPr>
            </w:pPr>
          </w:p>
        </w:tc>
        <w:tc>
          <w:tcPr>
            <w:tcW w:w="322" w:type="pct"/>
            <w:vMerge w:val="continue"/>
            <w:vAlign w:val="center"/>
          </w:tcPr>
          <w:p w14:paraId="27000595">
            <w:pPr>
              <w:pStyle w:val="76"/>
              <w:autoSpaceDE w:val="0"/>
              <w:autoSpaceDN w:val="0"/>
              <w:jc w:val="center"/>
              <w:rPr>
                <w:rFonts w:ascii="Times New Roman" w:hAnsi="Times New Roman"/>
                <w:szCs w:val="21"/>
                <w:u w:val="single"/>
              </w:rPr>
            </w:pPr>
          </w:p>
        </w:tc>
        <w:tc>
          <w:tcPr>
            <w:tcW w:w="417" w:type="pct"/>
            <w:vMerge w:val="continue"/>
            <w:vAlign w:val="center"/>
          </w:tcPr>
          <w:p w14:paraId="46E2FF0B">
            <w:pPr>
              <w:pStyle w:val="76"/>
              <w:autoSpaceDE w:val="0"/>
              <w:autoSpaceDN w:val="0"/>
              <w:jc w:val="center"/>
              <w:rPr>
                <w:rFonts w:ascii="Times New Roman" w:hAnsi="Times New Roman"/>
                <w:szCs w:val="21"/>
                <w:u w:val="single"/>
              </w:rPr>
            </w:pPr>
          </w:p>
        </w:tc>
        <w:tc>
          <w:tcPr>
            <w:tcW w:w="471" w:type="pct"/>
            <w:vMerge w:val="continue"/>
            <w:vAlign w:val="center"/>
          </w:tcPr>
          <w:p w14:paraId="0D5F21A4">
            <w:pPr>
              <w:pStyle w:val="76"/>
              <w:autoSpaceDE w:val="0"/>
              <w:autoSpaceDN w:val="0"/>
              <w:jc w:val="center"/>
              <w:rPr>
                <w:rFonts w:ascii="Times New Roman" w:hAnsi="Times New Roman"/>
                <w:szCs w:val="21"/>
                <w:u w:val="single"/>
              </w:rPr>
            </w:pPr>
          </w:p>
        </w:tc>
        <w:tc>
          <w:tcPr>
            <w:tcW w:w="531" w:type="pct"/>
            <w:vAlign w:val="center"/>
          </w:tcPr>
          <w:p w14:paraId="159A3F7C">
            <w:pPr>
              <w:pStyle w:val="76"/>
              <w:autoSpaceDE w:val="0"/>
              <w:autoSpaceDN w:val="0"/>
              <w:jc w:val="center"/>
              <w:rPr>
                <w:rFonts w:ascii="Times New Roman" w:hAnsi="Times New Roman"/>
                <w:szCs w:val="21"/>
                <w:u w:val="single"/>
              </w:rPr>
            </w:pPr>
            <w:r>
              <w:rPr>
                <w:rFonts w:ascii="Times New Roman" w:hAnsi="Times New Roman"/>
                <w:szCs w:val="21"/>
                <w:u w:val="single"/>
              </w:rPr>
              <w:t>颗粒物</w:t>
            </w:r>
          </w:p>
        </w:tc>
        <w:tc>
          <w:tcPr>
            <w:tcW w:w="467" w:type="pct"/>
            <w:vAlign w:val="center"/>
          </w:tcPr>
          <w:p w14:paraId="598246A5">
            <w:pPr>
              <w:pStyle w:val="76"/>
              <w:autoSpaceDE w:val="0"/>
              <w:autoSpaceDN w:val="0"/>
              <w:jc w:val="center"/>
              <w:rPr>
                <w:rFonts w:ascii="Times New Roman" w:hAnsi="Times New Roman"/>
                <w:szCs w:val="21"/>
                <w:u w:val="single"/>
              </w:rPr>
            </w:pPr>
            <w:r>
              <w:rPr>
                <w:rFonts w:hint="eastAsia" w:ascii="Times New Roman" w:hAnsi="Times New Roman"/>
                <w:szCs w:val="21"/>
                <w:u w:val="single"/>
              </w:rPr>
              <w:t>0.308</w:t>
            </w:r>
          </w:p>
        </w:tc>
        <w:tc>
          <w:tcPr>
            <w:tcW w:w="471" w:type="pct"/>
            <w:vAlign w:val="center"/>
          </w:tcPr>
          <w:p w14:paraId="75DD1688">
            <w:pPr>
              <w:pStyle w:val="76"/>
              <w:autoSpaceDE w:val="0"/>
              <w:autoSpaceDN w:val="0"/>
              <w:jc w:val="center"/>
              <w:rPr>
                <w:rFonts w:ascii="Times New Roman" w:hAnsi="Times New Roman"/>
                <w:szCs w:val="21"/>
                <w:u w:val="single"/>
              </w:rPr>
            </w:pPr>
            <w:r>
              <w:rPr>
                <w:rFonts w:hint="eastAsia" w:ascii="Times New Roman" w:hAnsi="Times New Roman"/>
                <w:szCs w:val="21"/>
                <w:u w:val="single"/>
              </w:rPr>
              <w:t>0.153</w:t>
            </w:r>
          </w:p>
        </w:tc>
        <w:tc>
          <w:tcPr>
            <w:tcW w:w="535" w:type="pct"/>
            <w:vAlign w:val="center"/>
          </w:tcPr>
          <w:p w14:paraId="3DB66381">
            <w:pPr>
              <w:pStyle w:val="76"/>
              <w:autoSpaceDE w:val="0"/>
              <w:autoSpaceDN w:val="0"/>
              <w:jc w:val="center"/>
              <w:rPr>
                <w:rFonts w:ascii="Times New Roman" w:hAnsi="Times New Roman"/>
                <w:szCs w:val="21"/>
                <w:u w:val="single"/>
              </w:rPr>
            </w:pPr>
            <w:r>
              <w:rPr>
                <w:rFonts w:hint="eastAsia" w:ascii="Times New Roman" w:hAnsi="Times New Roman"/>
                <w:szCs w:val="21"/>
                <w:u w:val="single"/>
              </w:rPr>
              <w:t>9.61</w:t>
            </w:r>
          </w:p>
        </w:tc>
        <w:tc>
          <w:tcPr>
            <w:tcW w:w="477" w:type="pct"/>
            <w:vAlign w:val="center"/>
          </w:tcPr>
          <w:p w14:paraId="19142EB2">
            <w:pPr>
              <w:pStyle w:val="76"/>
              <w:autoSpaceDE w:val="0"/>
              <w:autoSpaceDN w:val="0"/>
              <w:jc w:val="center"/>
              <w:rPr>
                <w:rFonts w:ascii="Times New Roman" w:hAnsi="Times New Roman"/>
                <w:szCs w:val="21"/>
                <w:u w:val="single"/>
              </w:rPr>
            </w:pPr>
            <w:r>
              <w:rPr>
                <w:rFonts w:ascii="Times New Roman" w:hAnsi="Times New Roman"/>
                <w:szCs w:val="21"/>
                <w:u w:val="single"/>
              </w:rPr>
              <w:t>/</w:t>
            </w:r>
          </w:p>
        </w:tc>
        <w:tc>
          <w:tcPr>
            <w:tcW w:w="509" w:type="pct"/>
            <w:vAlign w:val="center"/>
          </w:tcPr>
          <w:p w14:paraId="36502C8B">
            <w:pPr>
              <w:pStyle w:val="76"/>
              <w:autoSpaceDE w:val="0"/>
              <w:autoSpaceDN w:val="0"/>
              <w:jc w:val="center"/>
              <w:rPr>
                <w:rFonts w:ascii="Times New Roman" w:hAnsi="Times New Roman"/>
                <w:szCs w:val="21"/>
                <w:u w:val="single"/>
              </w:rPr>
            </w:pPr>
            <w:r>
              <w:rPr>
                <w:rFonts w:hint="eastAsia" w:ascii="Times New Roman" w:hAnsi="Times New Roman"/>
                <w:szCs w:val="21"/>
                <w:u w:val="single"/>
              </w:rPr>
              <w:t>30</w:t>
            </w:r>
          </w:p>
        </w:tc>
      </w:tr>
      <w:tr w14:paraId="15C430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68" w:type="pct"/>
            <w:shd w:val="clear" w:color="auto" w:fill="auto"/>
            <w:vAlign w:val="center"/>
          </w:tcPr>
          <w:p w14:paraId="20283073">
            <w:pPr>
              <w:pStyle w:val="76"/>
              <w:autoSpaceDE w:val="0"/>
              <w:autoSpaceDN w:val="0"/>
              <w:jc w:val="center"/>
              <w:rPr>
                <w:rFonts w:ascii="Times New Roman" w:hAnsi="Times New Roman"/>
                <w:szCs w:val="21"/>
                <w:u w:val="single"/>
              </w:rPr>
            </w:pPr>
            <w:r>
              <w:rPr>
                <w:rFonts w:hint="eastAsia" w:ascii="Times New Roman" w:hAnsi="Times New Roman"/>
                <w:szCs w:val="21"/>
                <w:u w:val="single"/>
              </w:rPr>
              <w:t>DA003</w:t>
            </w:r>
            <w:r>
              <w:rPr>
                <w:rFonts w:hint="eastAsia" w:ascii="Times New Roman" w:hAnsi="Times New Roman"/>
                <w:szCs w:val="21"/>
                <w:u w:val="single"/>
                <w:vertAlign w:val="superscript"/>
              </w:rPr>
              <w:t>②</w:t>
            </w:r>
          </w:p>
        </w:tc>
        <w:tc>
          <w:tcPr>
            <w:tcW w:w="330" w:type="pct"/>
            <w:shd w:val="clear" w:color="auto" w:fill="auto"/>
            <w:vAlign w:val="center"/>
          </w:tcPr>
          <w:p w14:paraId="40D776EE">
            <w:pPr>
              <w:pStyle w:val="78"/>
              <w:rPr>
                <w:color w:val="auto"/>
                <w:szCs w:val="21"/>
                <w:u w:val="single"/>
              </w:rPr>
            </w:pPr>
            <w:r>
              <w:rPr>
                <w:rFonts w:hint="eastAsia"/>
                <w:szCs w:val="21"/>
                <w:u w:val="single"/>
              </w:rPr>
              <w:t>15</w:t>
            </w:r>
          </w:p>
        </w:tc>
        <w:tc>
          <w:tcPr>
            <w:tcW w:w="322" w:type="pct"/>
            <w:shd w:val="clear" w:color="auto" w:fill="auto"/>
            <w:vAlign w:val="center"/>
          </w:tcPr>
          <w:p w14:paraId="24FA696C">
            <w:pPr>
              <w:pStyle w:val="78"/>
              <w:rPr>
                <w:color w:val="auto"/>
                <w:szCs w:val="21"/>
                <w:u w:val="single"/>
              </w:rPr>
            </w:pPr>
            <w:r>
              <w:rPr>
                <w:rFonts w:hint="eastAsia"/>
                <w:szCs w:val="21"/>
                <w:u w:val="single"/>
              </w:rPr>
              <w:t>1.0</w:t>
            </w:r>
          </w:p>
        </w:tc>
        <w:tc>
          <w:tcPr>
            <w:tcW w:w="417" w:type="pct"/>
            <w:shd w:val="clear" w:color="auto" w:fill="auto"/>
            <w:vAlign w:val="center"/>
          </w:tcPr>
          <w:p w14:paraId="35AB095C">
            <w:pPr>
              <w:pStyle w:val="78"/>
              <w:rPr>
                <w:color w:val="auto"/>
                <w:szCs w:val="21"/>
                <w:u w:val="single"/>
              </w:rPr>
            </w:pPr>
            <w:r>
              <w:rPr>
                <w:rFonts w:hint="eastAsia"/>
                <w:szCs w:val="21"/>
                <w:u w:val="single"/>
              </w:rPr>
              <w:t>70</w:t>
            </w:r>
          </w:p>
        </w:tc>
        <w:tc>
          <w:tcPr>
            <w:tcW w:w="471" w:type="pct"/>
            <w:shd w:val="clear" w:color="auto" w:fill="auto"/>
            <w:vAlign w:val="center"/>
          </w:tcPr>
          <w:p w14:paraId="7D92DFF1">
            <w:pPr>
              <w:pStyle w:val="76"/>
              <w:autoSpaceDE w:val="0"/>
              <w:autoSpaceDN w:val="0"/>
              <w:jc w:val="center"/>
              <w:rPr>
                <w:rFonts w:ascii="Times New Roman" w:hAnsi="Times New Roman"/>
                <w:szCs w:val="21"/>
                <w:u w:val="single"/>
              </w:rPr>
            </w:pPr>
            <w:r>
              <w:rPr>
                <w:rFonts w:hint="eastAsia" w:ascii="Times New Roman" w:hAnsi="Times New Roman"/>
                <w:szCs w:val="21"/>
                <w:u w:val="single"/>
              </w:rPr>
              <w:t>42000</w:t>
            </w:r>
          </w:p>
        </w:tc>
        <w:tc>
          <w:tcPr>
            <w:tcW w:w="531" w:type="pct"/>
            <w:vAlign w:val="center"/>
          </w:tcPr>
          <w:p w14:paraId="06A6125F">
            <w:pPr>
              <w:pStyle w:val="76"/>
              <w:autoSpaceDE w:val="0"/>
              <w:autoSpaceDN w:val="0"/>
              <w:jc w:val="center"/>
              <w:rPr>
                <w:rFonts w:ascii="Times New Roman" w:hAnsi="Times New Roman"/>
                <w:szCs w:val="21"/>
                <w:u w:val="single"/>
              </w:rPr>
            </w:pPr>
            <w:r>
              <w:rPr>
                <w:rFonts w:hint="eastAsia" w:ascii="Times New Roman" w:hAnsi="Times New Roman"/>
                <w:szCs w:val="21"/>
                <w:u w:val="single"/>
              </w:rPr>
              <w:t>颗粒物</w:t>
            </w:r>
          </w:p>
        </w:tc>
        <w:tc>
          <w:tcPr>
            <w:tcW w:w="467" w:type="pct"/>
            <w:vAlign w:val="center"/>
          </w:tcPr>
          <w:p w14:paraId="2C1B76B1">
            <w:pPr>
              <w:pStyle w:val="76"/>
              <w:autoSpaceDE w:val="0"/>
              <w:autoSpaceDN w:val="0"/>
              <w:jc w:val="center"/>
              <w:rPr>
                <w:rFonts w:ascii="Times New Roman" w:hAnsi="Times New Roman"/>
                <w:szCs w:val="21"/>
                <w:u w:val="single"/>
              </w:rPr>
            </w:pPr>
            <w:r>
              <w:rPr>
                <w:rFonts w:hint="eastAsia" w:ascii="Times New Roman" w:hAnsi="Times New Roman"/>
                <w:szCs w:val="21"/>
                <w:u w:val="single"/>
              </w:rPr>
              <w:t>2.621</w:t>
            </w:r>
          </w:p>
        </w:tc>
        <w:tc>
          <w:tcPr>
            <w:tcW w:w="471" w:type="pct"/>
            <w:vAlign w:val="center"/>
          </w:tcPr>
          <w:p w14:paraId="34A53646">
            <w:pPr>
              <w:pStyle w:val="76"/>
              <w:autoSpaceDE w:val="0"/>
              <w:autoSpaceDN w:val="0"/>
              <w:jc w:val="center"/>
              <w:rPr>
                <w:rFonts w:ascii="Times New Roman" w:hAnsi="Times New Roman"/>
                <w:szCs w:val="21"/>
                <w:u w:val="single"/>
              </w:rPr>
            </w:pPr>
            <w:r>
              <w:rPr>
                <w:rFonts w:hint="eastAsia" w:ascii="Times New Roman" w:hAnsi="Times New Roman"/>
                <w:szCs w:val="21"/>
                <w:u w:val="single"/>
              </w:rPr>
              <w:t>1.093</w:t>
            </w:r>
          </w:p>
        </w:tc>
        <w:tc>
          <w:tcPr>
            <w:tcW w:w="535" w:type="pct"/>
            <w:vAlign w:val="center"/>
          </w:tcPr>
          <w:p w14:paraId="411FEA54">
            <w:pPr>
              <w:pStyle w:val="76"/>
              <w:autoSpaceDE w:val="0"/>
              <w:autoSpaceDN w:val="0"/>
              <w:jc w:val="center"/>
              <w:rPr>
                <w:rFonts w:ascii="Times New Roman" w:hAnsi="Times New Roman"/>
                <w:szCs w:val="21"/>
                <w:u w:val="single"/>
              </w:rPr>
            </w:pPr>
            <w:r>
              <w:rPr>
                <w:rFonts w:hint="eastAsia" w:ascii="Times New Roman" w:hAnsi="Times New Roman"/>
                <w:szCs w:val="21"/>
                <w:u w:val="single"/>
              </w:rPr>
              <w:t>27.33</w:t>
            </w:r>
          </w:p>
        </w:tc>
        <w:tc>
          <w:tcPr>
            <w:tcW w:w="477" w:type="pct"/>
            <w:shd w:val="clear" w:color="auto" w:fill="auto"/>
            <w:vAlign w:val="center"/>
          </w:tcPr>
          <w:p w14:paraId="006D7CA0">
            <w:pPr>
              <w:pStyle w:val="76"/>
              <w:autoSpaceDE w:val="0"/>
              <w:autoSpaceDN w:val="0"/>
              <w:jc w:val="center"/>
              <w:rPr>
                <w:rFonts w:ascii="Times New Roman" w:hAnsi="Times New Roman"/>
                <w:szCs w:val="21"/>
                <w:u w:val="single"/>
              </w:rPr>
            </w:pPr>
            <w:r>
              <w:rPr>
                <w:rFonts w:hint="eastAsia" w:ascii="Times New Roman" w:hAnsi="Times New Roman"/>
                <w:szCs w:val="21"/>
                <w:u w:val="single"/>
              </w:rPr>
              <w:t>/</w:t>
            </w:r>
          </w:p>
        </w:tc>
        <w:tc>
          <w:tcPr>
            <w:tcW w:w="509" w:type="pct"/>
            <w:vAlign w:val="center"/>
          </w:tcPr>
          <w:p w14:paraId="0352AD04">
            <w:pPr>
              <w:pStyle w:val="76"/>
              <w:autoSpaceDE w:val="0"/>
              <w:autoSpaceDN w:val="0"/>
              <w:jc w:val="center"/>
              <w:rPr>
                <w:rFonts w:ascii="Times New Roman" w:hAnsi="Times New Roman"/>
                <w:szCs w:val="21"/>
                <w:u w:val="single"/>
              </w:rPr>
            </w:pPr>
            <w:r>
              <w:rPr>
                <w:rFonts w:hint="eastAsia" w:ascii="Times New Roman" w:hAnsi="Times New Roman"/>
                <w:szCs w:val="21"/>
                <w:u w:val="single"/>
              </w:rPr>
              <w:t>30</w:t>
            </w:r>
          </w:p>
        </w:tc>
      </w:tr>
      <w:tr w14:paraId="7FA5CE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68" w:type="pct"/>
            <w:vMerge w:val="restart"/>
            <w:vAlign w:val="center"/>
          </w:tcPr>
          <w:p w14:paraId="227F86A8">
            <w:pPr>
              <w:pStyle w:val="76"/>
              <w:autoSpaceDE w:val="0"/>
              <w:autoSpaceDN w:val="0"/>
              <w:jc w:val="center"/>
              <w:rPr>
                <w:rFonts w:ascii="Times New Roman" w:hAnsi="Times New Roman"/>
                <w:szCs w:val="21"/>
                <w:u w:val="single"/>
              </w:rPr>
            </w:pPr>
            <w:r>
              <w:rPr>
                <w:rFonts w:hint="eastAsia" w:ascii="Times New Roman" w:hAnsi="Times New Roman"/>
                <w:szCs w:val="21"/>
                <w:u w:val="single"/>
              </w:rPr>
              <w:t>DA004</w:t>
            </w:r>
          </w:p>
        </w:tc>
        <w:tc>
          <w:tcPr>
            <w:tcW w:w="330" w:type="pct"/>
            <w:vMerge w:val="restart"/>
            <w:vAlign w:val="center"/>
          </w:tcPr>
          <w:p w14:paraId="115DAEB1">
            <w:pPr>
              <w:pStyle w:val="78"/>
              <w:rPr>
                <w:color w:val="auto"/>
                <w:szCs w:val="21"/>
                <w:u w:val="single"/>
              </w:rPr>
            </w:pPr>
            <w:r>
              <w:rPr>
                <w:rFonts w:hint="eastAsia"/>
                <w:szCs w:val="21"/>
                <w:u w:val="single"/>
              </w:rPr>
              <w:t>15</w:t>
            </w:r>
          </w:p>
        </w:tc>
        <w:tc>
          <w:tcPr>
            <w:tcW w:w="322" w:type="pct"/>
            <w:vMerge w:val="restart"/>
            <w:vAlign w:val="center"/>
          </w:tcPr>
          <w:p w14:paraId="52037B5A">
            <w:pPr>
              <w:pStyle w:val="78"/>
              <w:rPr>
                <w:color w:val="auto"/>
                <w:szCs w:val="21"/>
                <w:u w:val="single"/>
              </w:rPr>
            </w:pPr>
            <w:r>
              <w:rPr>
                <w:rFonts w:hint="eastAsia"/>
                <w:szCs w:val="21"/>
                <w:u w:val="single"/>
              </w:rPr>
              <w:t>0.8</w:t>
            </w:r>
          </w:p>
        </w:tc>
        <w:tc>
          <w:tcPr>
            <w:tcW w:w="417" w:type="pct"/>
            <w:vMerge w:val="restart"/>
            <w:vAlign w:val="center"/>
          </w:tcPr>
          <w:p w14:paraId="6AA012FB">
            <w:pPr>
              <w:pStyle w:val="78"/>
              <w:rPr>
                <w:color w:val="auto"/>
                <w:szCs w:val="21"/>
                <w:u w:val="single"/>
              </w:rPr>
            </w:pPr>
            <w:r>
              <w:rPr>
                <w:rFonts w:hint="eastAsia"/>
                <w:szCs w:val="21"/>
                <w:u w:val="single"/>
              </w:rPr>
              <w:t>25</w:t>
            </w:r>
          </w:p>
        </w:tc>
        <w:tc>
          <w:tcPr>
            <w:tcW w:w="471" w:type="pct"/>
            <w:vMerge w:val="restart"/>
            <w:vAlign w:val="center"/>
          </w:tcPr>
          <w:p w14:paraId="1A052344">
            <w:pPr>
              <w:pStyle w:val="76"/>
              <w:autoSpaceDE w:val="0"/>
              <w:autoSpaceDN w:val="0"/>
              <w:jc w:val="center"/>
              <w:rPr>
                <w:rFonts w:ascii="Times New Roman" w:hAnsi="Times New Roman"/>
                <w:szCs w:val="21"/>
                <w:u w:val="single"/>
              </w:rPr>
            </w:pPr>
            <w:r>
              <w:rPr>
                <w:rFonts w:hint="eastAsia" w:ascii="Times New Roman" w:hAnsi="Times New Roman"/>
                <w:szCs w:val="21"/>
                <w:u w:val="single"/>
              </w:rPr>
              <w:t>20000</w:t>
            </w:r>
          </w:p>
        </w:tc>
        <w:tc>
          <w:tcPr>
            <w:tcW w:w="531" w:type="pct"/>
            <w:shd w:val="clear" w:color="auto" w:fill="auto"/>
            <w:vAlign w:val="center"/>
          </w:tcPr>
          <w:p w14:paraId="5226B9C0">
            <w:pPr>
              <w:pStyle w:val="76"/>
              <w:autoSpaceDE w:val="0"/>
              <w:autoSpaceDN w:val="0"/>
              <w:jc w:val="center"/>
              <w:rPr>
                <w:rFonts w:ascii="Times New Roman" w:hAnsi="Times New Roman"/>
                <w:szCs w:val="21"/>
                <w:u w:val="single"/>
              </w:rPr>
            </w:pPr>
            <w:r>
              <w:rPr>
                <w:rFonts w:hint="eastAsia" w:ascii="Times New Roman" w:hAnsi="Times New Roman"/>
                <w:szCs w:val="21"/>
                <w:u w:val="single"/>
              </w:rPr>
              <w:t>VOC</w:t>
            </w:r>
            <w:r>
              <w:rPr>
                <w:rFonts w:hint="eastAsia" w:ascii="Times New Roman" w:hAnsi="Times New Roman"/>
                <w:szCs w:val="21"/>
                <w:u w:val="single"/>
                <w:vertAlign w:val="subscript"/>
              </w:rPr>
              <w:t>S</w:t>
            </w:r>
          </w:p>
        </w:tc>
        <w:tc>
          <w:tcPr>
            <w:tcW w:w="1238" w:type="dxa"/>
            <w:vAlign w:val="center"/>
          </w:tcPr>
          <w:p w14:paraId="32B0D09E">
            <w:pPr>
              <w:widowControl/>
              <w:spacing w:line="300" w:lineRule="exact"/>
              <w:jc w:val="center"/>
              <w:textAlignment w:val="center"/>
              <w:rPr>
                <w:szCs w:val="21"/>
                <w:u w:val="single"/>
              </w:rPr>
            </w:pPr>
            <w:r>
              <w:rPr>
                <w:rFonts w:hint="eastAsia"/>
                <w:color w:val="000000"/>
                <w:kern w:val="0"/>
                <w:szCs w:val="21"/>
                <w:u w:val="single"/>
                <w:lang w:bidi="ar"/>
              </w:rPr>
              <w:t>0.</w:t>
            </w:r>
            <w:r>
              <w:rPr>
                <w:rFonts w:hint="eastAsia"/>
                <w:color w:val="000000"/>
                <w:kern w:val="0"/>
                <w:szCs w:val="21"/>
                <w:u w:val="single"/>
                <w:lang w:val="en-US" w:eastAsia="zh-CN" w:bidi="ar"/>
              </w:rPr>
              <w:t>177</w:t>
            </w:r>
          </w:p>
        </w:tc>
        <w:tc>
          <w:tcPr>
            <w:tcW w:w="1249" w:type="dxa"/>
            <w:vAlign w:val="center"/>
          </w:tcPr>
          <w:p w14:paraId="44401D62">
            <w:pPr>
              <w:widowControl/>
              <w:spacing w:line="300" w:lineRule="exact"/>
              <w:jc w:val="center"/>
              <w:textAlignment w:val="center"/>
              <w:rPr>
                <w:szCs w:val="21"/>
                <w:u w:val="single"/>
              </w:rPr>
            </w:pPr>
            <w:r>
              <w:rPr>
                <w:rFonts w:hint="eastAsia"/>
                <w:color w:val="000000"/>
                <w:kern w:val="0"/>
                <w:szCs w:val="21"/>
                <w:u w:val="single"/>
                <w:lang w:bidi="ar"/>
              </w:rPr>
              <w:t>0.</w:t>
            </w:r>
            <w:r>
              <w:rPr>
                <w:rFonts w:hint="eastAsia"/>
                <w:color w:val="000000"/>
                <w:kern w:val="0"/>
                <w:szCs w:val="21"/>
                <w:u w:val="single"/>
                <w:lang w:val="en-US" w:eastAsia="zh-CN" w:bidi="ar"/>
              </w:rPr>
              <w:t>074</w:t>
            </w:r>
          </w:p>
        </w:tc>
        <w:tc>
          <w:tcPr>
            <w:tcW w:w="535" w:type="pct"/>
            <w:vAlign w:val="center"/>
          </w:tcPr>
          <w:p w14:paraId="6AB4063A">
            <w:pPr>
              <w:widowControl/>
              <w:spacing w:line="300" w:lineRule="exact"/>
              <w:jc w:val="center"/>
              <w:textAlignment w:val="center"/>
              <w:rPr>
                <w:rFonts w:hint="default" w:eastAsia="宋体"/>
                <w:szCs w:val="21"/>
                <w:u w:val="single"/>
                <w:lang w:val="en-US" w:eastAsia="zh-CN"/>
              </w:rPr>
            </w:pPr>
            <w:r>
              <w:rPr>
                <w:rFonts w:hint="eastAsia"/>
                <w:color w:val="000000"/>
                <w:kern w:val="0"/>
                <w:szCs w:val="21"/>
                <w:u w:val="single"/>
                <w:lang w:val="en-US" w:eastAsia="zh-CN" w:bidi="ar"/>
              </w:rPr>
              <w:t>3.7</w:t>
            </w:r>
          </w:p>
        </w:tc>
        <w:tc>
          <w:tcPr>
            <w:tcW w:w="477" w:type="pct"/>
            <w:shd w:val="clear" w:color="auto" w:fill="auto"/>
            <w:vAlign w:val="center"/>
          </w:tcPr>
          <w:p w14:paraId="175FBFCE">
            <w:pPr>
              <w:pStyle w:val="76"/>
              <w:autoSpaceDE w:val="0"/>
              <w:autoSpaceDN w:val="0"/>
              <w:jc w:val="center"/>
              <w:rPr>
                <w:rFonts w:ascii="Times New Roman" w:hAnsi="Times New Roman"/>
                <w:szCs w:val="21"/>
                <w:u w:val="single"/>
              </w:rPr>
            </w:pPr>
            <w:r>
              <w:rPr>
                <w:rFonts w:ascii="Times New Roman" w:hAnsi="Times New Roman"/>
                <w:szCs w:val="21"/>
                <w:u w:val="single"/>
              </w:rPr>
              <w:t>/</w:t>
            </w:r>
          </w:p>
        </w:tc>
        <w:tc>
          <w:tcPr>
            <w:tcW w:w="509" w:type="pct"/>
            <w:vAlign w:val="center"/>
          </w:tcPr>
          <w:p w14:paraId="4F4E086B">
            <w:pPr>
              <w:pStyle w:val="76"/>
              <w:autoSpaceDE w:val="0"/>
              <w:autoSpaceDN w:val="0"/>
              <w:jc w:val="center"/>
              <w:rPr>
                <w:rFonts w:ascii="Times New Roman" w:hAnsi="Times New Roman"/>
                <w:szCs w:val="21"/>
                <w:u w:val="single"/>
              </w:rPr>
            </w:pPr>
            <w:r>
              <w:rPr>
                <w:rFonts w:hint="eastAsia" w:ascii="Times New Roman" w:hAnsi="Times New Roman"/>
                <w:szCs w:val="21"/>
                <w:u w:val="single"/>
              </w:rPr>
              <w:t>100</w:t>
            </w:r>
          </w:p>
        </w:tc>
      </w:tr>
      <w:tr w14:paraId="0A045B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68" w:type="pct"/>
            <w:vMerge w:val="continue"/>
            <w:vAlign w:val="center"/>
          </w:tcPr>
          <w:p w14:paraId="16F9B2CF">
            <w:pPr>
              <w:pStyle w:val="76"/>
              <w:autoSpaceDE w:val="0"/>
              <w:autoSpaceDN w:val="0"/>
              <w:jc w:val="center"/>
              <w:rPr>
                <w:rFonts w:ascii="Times New Roman" w:hAnsi="Times New Roman"/>
                <w:szCs w:val="21"/>
                <w:u w:val="single"/>
              </w:rPr>
            </w:pPr>
          </w:p>
        </w:tc>
        <w:tc>
          <w:tcPr>
            <w:tcW w:w="330" w:type="pct"/>
            <w:vMerge w:val="continue"/>
            <w:vAlign w:val="center"/>
          </w:tcPr>
          <w:p w14:paraId="044D69DF">
            <w:pPr>
              <w:pStyle w:val="76"/>
              <w:autoSpaceDE w:val="0"/>
              <w:autoSpaceDN w:val="0"/>
              <w:jc w:val="center"/>
              <w:rPr>
                <w:rFonts w:ascii="Times New Roman" w:hAnsi="Times New Roman"/>
                <w:szCs w:val="21"/>
                <w:u w:val="single"/>
              </w:rPr>
            </w:pPr>
          </w:p>
        </w:tc>
        <w:tc>
          <w:tcPr>
            <w:tcW w:w="322" w:type="pct"/>
            <w:vMerge w:val="continue"/>
            <w:vAlign w:val="center"/>
          </w:tcPr>
          <w:p w14:paraId="28E34C1B">
            <w:pPr>
              <w:pStyle w:val="76"/>
              <w:autoSpaceDE w:val="0"/>
              <w:autoSpaceDN w:val="0"/>
              <w:jc w:val="center"/>
              <w:rPr>
                <w:rFonts w:ascii="Times New Roman" w:hAnsi="Times New Roman"/>
                <w:szCs w:val="21"/>
                <w:u w:val="single"/>
              </w:rPr>
            </w:pPr>
          </w:p>
        </w:tc>
        <w:tc>
          <w:tcPr>
            <w:tcW w:w="417" w:type="pct"/>
            <w:vMerge w:val="continue"/>
            <w:vAlign w:val="center"/>
          </w:tcPr>
          <w:p w14:paraId="32EB7536">
            <w:pPr>
              <w:pStyle w:val="76"/>
              <w:autoSpaceDE w:val="0"/>
              <w:autoSpaceDN w:val="0"/>
              <w:jc w:val="center"/>
              <w:rPr>
                <w:rFonts w:ascii="Times New Roman" w:hAnsi="Times New Roman"/>
                <w:szCs w:val="21"/>
                <w:u w:val="single"/>
              </w:rPr>
            </w:pPr>
          </w:p>
        </w:tc>
        <w:tc>
          <w:tcPr>
            <w:tcW w:w="471" w:type="pct"/>
            <w:vMerge w:val="continue"/>
            <w:vAlign w:val="center"/>
          </w:tcPr>
          <w:p w14:paraId="0DFC6473">
            <w:pPr>
              <w:pStyle w:val="76"/>
              <w:autoSpaceDE w:val="0"/>
              <w:autoSpaceDN w:val="0"/>
              <w:jc w:val="center"/>
              <w:rPr>
                <w:rFonts w:ascii="Times New Roman" w:hAnsi="Times New Roman"/>
                <w:szCs w:val="21"/>
                <w:u w:val="single"/>
              </w:rPr>
            </w:pPr>
          </w:p>
        </w:tc>
        <w:tc>
          <w:tcPr>
            <w:tcW w:w="531" w:type="pct"/>
            <w:shd w:val="clear" w:color="auto" w:fill="auto"/>
            <w:vAlign w:val="center"/>
          </w:tcPr>
          <w:p w14:paraId="26A63C5D">
            <w:pPr>
              <w:pStyle w:val="76"/>
              <w:autoSpaceDE w:val="0"/>
              <w:autoSpaceDN w:val="0"/>
              <w:jc w:val="center"/>
              <w:rPr>
                <w:rFonts w:ascii="Times New Roman" w:hAnsi="Times New Roman"/>
                <w:szCs w:val="21"/>
                <w:u w:val="single"/>
              </w:rPr>
            </w:pPr>
            <w:r>
              <w:rPr>
                <w:rFonts w:hint="eastAsia" w:ascii="Times New Roman" w:hAnsi="Times New Roman"/>
                <w:szCs w:val="21"/>
                <w:u w:val="single"/>
              </w:rPr>
              <w:t>二甲苯</w:t>
            </w:r>
          </w:p>
        </w:tc>
        <w:tc>
          <w:tcPr>
            <w:tcW w:w="1238" w:type="dxa"/>
            <w:vAlign w:val="center"/>
          </w:tcPr>
          <w:p w14:paraId="5266722F">
            <w:pPr>
              <w:widowControl/>
              <w:spacing w:line="300" w:lineRule="exact"/>
              <w:jc w:val="center"/>
              <w:textAlignment w:val="center"/>
              <w:rPr>
                <w:szCs w:val="21"/>
                <w:u w:val="single"/>
              </w:rPr>
            </w:pPr>
            <w:r>
              <w:rPr>
                <w:rFonts w:hint="eastAsia"/>
                <w:color w:val="000000"/>
                <w:kern w:val="0"/>
                <w:szCs w:val="21"/>
                <w:u w:val="single"/>
                <w:lang w:bidi="ar"/>
              </w:rPr>
              <w:t>0.</w:t>
            </w:r>
            <w:r>
              <w:rPr>
                <w:rFonts w:hint="eastAsia"/>
                <w:color w:val="000000"/>
                <w:kern w:val="0"/>
                <w:szCs w:val="21"/>
                <w:u w:val="single"/>
                <w:lang w:val="en-US" w:eastAsia="zh-CN" w:bidi="ar"/>
              </w:rPr>
              <w:t>041</w:t>
            </w:r>
          </w:p>
        </w:tc>
        <w:tc>
          <w:tcPr>
            <w:tcW w:w="1249" w:type="dxa"/>
            <w:vAlign w:val="center"/>
          </w:tcPr>
          <w:p w14:paraId="3F3749F8">
            <w:pPr>
              <w:widowControl/>
              <w:spacing w:line="300" w:lineRule="exact"/>
              <w:jc w:val="center"/>
              <w:textAlignment w:val="center"/>
              <w:rPr>
                <w:szCs w:val="21"/>
                <w:u w:val="single"/>
              </w:rPr>
            </w:pPr>
            <w:r>
              <w:rPr>
                <w:rFonts w:hint="eastAsia"/>
                <w:color w:val="000000"/>
                <w:kern w:val="0"/>
                <w:szCs w:val="21"/>
                <w:u w:val="single"/>
                <w:lang w:bidi="ar"/>
              </w:rPr>
              <w:t>0.0</w:t>
            </w:r>
            <w:r>
              <w:rPr>
                <w:rFonts w:hint="eastAsia"/>
                <w:color w:val="000000"/>
                <w:kern w:val="0"/>
                <w:szCs w:val="21"/>
                <w:u w:val="single"/>
                <w:lang w:val="en-US" w:eastAsia="zh-CN" w:bidi="ar"/>
              </w:rPr>
              <w:t>17</w:t>
            </w:r>
          </w:p>
        </w:tc>
        <w:tc>
          <w:tcPr>
            <w:tcW w:w="535" w:type="pct"/>
            <w:vAlign w:val="center"/>
          </w:tcPr>
          <w:p w14:paraId="471D8137">
            <w:pPr>
              <w:widowControl/>
              <w:spacing w:line="300" w:lineRule="exact"/>
              <w:jc w:val="center"/>
              <w:textAlignment w:val="center"/>
              <w:rPr>
                <w:rFonts w:hint="default" w:eastAsia="宋体"/>
                <w:szCs w:val="21"/>
                <w:u w:val="single"/>
                <w:lang w:val="en-US" w:eastAsia="zh-CN"/>
              </w:rPr>
            </w:pPr>
            <w:r>
              <w:rPr>
                <w:rFonts w:hint="eastAsia"/>
                <w:color w:val="000000"/>
                <w:kern w:val="0"/>
                <w:szCs w:val="21"/>
                <w:u w:val="single"/>
                <w:lang w:val="en-US" w:eastAsia="zh-CN" w:bidi="ar"/>
              </w:rPr>
              <w:t>0.85</w:t>
            </w:r>
          </w:p>
        </w:tc>
        <w:tc>
          <w:tcPr>
            <w:tcW w:w="477" w:type="pct"/>
            <w:shd w:val="clear" w:color="auto" w:fill="auto"/>
            <w:vAlign w:val="center"/>
          </w:tcPr>
          <w:p w14:paraId="51F2F7D1">
            <w:pPr>
              <w:pStyle w:val="76"/>
              <w:autoSpaceDE w:val="0"/>
              <w:autoSpaceDN w:val="0"/>
              <w:jc w:val="center"/>
              <w:rPr>
                <w:rFonts w:ascii="Times New Roman" w:hAnsi="Times New Roman"/>
                <w:szCs w:val="21"/>
                <w:u w:val="single"/>
              </w:rPr>
            </w:pPr>
            <w:r>
              <w:rPr>
                <w:rFonts w:ascii="Times New Roman" w:hAnsi="Times New Roman"/>
                <w:w w:val="99"/>
                <w:szCs w:val="21"/>
                <w:u w:val="single"/>
              </w:rPr>
              <w:t>/</w:t>
            </w:r>
          </w:p>
        </w:tc>
        <w:tc>
          <w:tcPr>
            <w:tcW w:w="509" w:type="pct"/>
            <w:vAlign w:val="center"/>
          </w:tcPr>
          <w:p w14:paraId="7119E8C9">
            <w:pPr>
              <w:pStyle w:val="76"/>
              <w:autoSpaceDE w:val="0"/>
              <w:autoSpaceDN w:val="0"/>
              <w:jc w:val="center"/>
              <w:rPr>
                <w:rFonts w:ascii="Times New Roman" w:hAnsi="Times New Roman"/>
                <w:szCs w:val="21"/>
                <w:u w:val="single"/>
              </w:rPr>
            </w:pPr>
            <w:r>
              <w:rPr>
                <w:rFonts w:hint="eastAsia" w:ascii="Times New Roman" w:hAnsi="Times New Roman"/>
                <w:szCs w:val="21"/>
                <w:u w:val="single"/>
              </w:rPr>
              <w:t>60</w:t>
            </w:r>
          </w:p>
        </w:tc>
      </w:tr>
      <w:tr w14:paraId="3BD55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68" w:type="pct"/>
            <w:vMerge w:val="continue"/>
            <w:vAlign w:val="center"/>
          </w:tcPr>
          <w:p w14:paraId="64329BE3">
            <w:pPr>
              <w:pStyle w:val="76"/>
              <w:autoSpaceDE w:val="0"/>
              <w:autoSpaceDN w:val="0"/>
              <w:jc w:val="center"/>
              <w:rPr>
                <w:rFonts w:ascii="Times New Roman" w:hAnsi="Times New Roman"/>
                <w:szCs w:val="21"/>
                <w:u w:val="single"/>
              </w:rPr>
            </w:pPr>
          </w:p>
        </w:tc>
        <w:tc>
          <w:tcPr>
            <w:tcW w:w="330" w:type="pct"/>
            <w:vMerge w:val="continue"/>
            <w:vAlign w:val="center"/>
          </w:tcPr>
          <w:p w14:paraId="049332C7">
            <w:pPr>
              <w:pStyle w:val="76"/>
              <w:autoSpaceDE w:val="0"/>
              <w:autoSpaceDN w:val="0"/>
              <w:jc w:val="center"/>
              <w:rPr>
                <w:rFonts w:ascii="Times New Roman" w:hAnsi="Times New Roman"/>
                <w:szCs w:val="21"/>
                <w:u w:val="single"/>
              </w:rPr>
            </w:pPr>
          </w:p>
        </w:tc>
        <w:tc>
          <w:tcPr>
            <w:tcW w:w="322" w:type="pct"/>
            <w:vMerge w:val="continue"/>
            <w:vAlign w:val="center"/>
          </w:tcPr>
          <w:p w14:paraId="1E0FB192">
            <w:pPr>
              <w:pStyle w:val="76"/>
              <w:autoSpaceDE w:val="0"/>
              <w:autoSpaceDN w:val="0"/>
              <w:jc w:val="center"/>
              <w:rPr>
                <w:rFonts w:ascii="Times New Roman" w:hAnsi="Times New Roman"/>
                <w:szCs w:val="21"/>
                <w:u w:val="single"/>
              </w:rPr>
            </w:pPr>
          </w:p>
        </w:tc>
        <w:tc>
          <w:tcPr>
            <w:tcW w:w="417" w:type="pct"/>
            <w:vMerge w:val="continue"/>
            <w:vAlign w:val="center"/>
          </w:tcPr>
          <w:p w14:paraId="5B1BE722">
            <w:pPr>
              <w:pStyle w:val="76"/>
              <w:autoSpaceDE w:val="0"/>
              <w:autoSpaceDN w:val="0"/>
              <w:jc w:val="center"/>
              <w:rPr>
                <w:rFonts w:ascii="Times New Roman" w:hAnsi="Times New Roman"/>
                <w:szCs w:val="21"/>
                <w:u w:val="single"/>
              </w:rPr>
            </w:pPr>
          </w:p>
        </w:tc>
        <w:tc>
          <w:tcPr>
            <w:tcW w:w="471" w:type="pct"/>
            <w:vMerge w:val="continue"/>
            <w:vAlign w:val="center"/>
          </w:tcPr>
          <w:p w14:paraId="587EECED">
            <w:pPr>
              <w:pStyle w:val="76"/>
              <w:autoSpaceDE w:val="0"/>
              <w:autoSpaceDN w:val="0"/>
              <w:jc w:val="center"/>
              <w:rPr>
                <w:rFonts w:ascii="Times New Roman" w:hAnsi="Times New Roman"/>
                <w:szCs w:val="21"/>
                <w:u w:val="single"/>
              </w:rPr>
            </w:pPr>
          </w:p>
        </w:tc>
        <w:tc>
          <w:tcPr>
            <w:tcW w:w="531" w:type="pct"/>
            <w:vAlign w:val="center"/>
          </w:tcPr>
          <w:p w14:paraId="18541751">
            <w:pPr>
              <w:pStyle w:val="76"/>
              <w:autoSpaceDE w:val="0"/>
              <w:autoSpaceDN w:val="0"/>
              <w:jc w:val="center"/>
              <w:rPr>
                <w:rFonts w:ascii="Times New Roman" w:hAnsi="Times New Roman"/>
                <w:position w:val="2"/>
                <w:szCs w:val="21"/>
                <w:u w:val="single"/>
              </w:rPr>
            </w:pPr>
            <w:r>
              <w:rPr>
                <w:rFonts w:ascii="Times New Roman" w:hAnsi="Times New Roman"/>
                <w:szCs w:val="21"/>
                <w:u w:val="single"/>
              </w:rPr>
              <w:t>颗粒物</w:t>
            </w:r>
            <w:r>
              <w:rPr>
                <w:rFonts w:hint="eastAsia" w:ascii="Times New Roman" w:hAnsi="Times New Roman"/>
                <w:szCs w:val="21"/>
                <w:u w:val="single"/>
              </w:rPr>
              <w:t>（漆雾）</w:t>
            </w:r>
          </w:p>
        </w:tc>
        <w:tc>
          <w:tcPr>
            <w:tcW w:w="1238" w:type="dxa"/>
            <w:vAlign w:val="center"/>
          </w:tcPr>
          <w:p w14:paraId="6D0F4262">
            <w:pPr>
              <w:widowControl/>
              <w:spacing w:line="300" w:lineRule="exact"/>
              <w:jc w:val="center"/>
              <w:textAlignment w:val="center"/>
              <w:rPr>
                <w:szCs w:val="21"/>
                <w:u w:val="single"/>
              </w:rPr>
            </w:pPr>
            <w:r>
              <w:rPr>
                <w:rFonts w:hint="eastAsia"/>
                <w:u w:val="single"/>
              </w:rPr>
              <w:t>0.052</w:t>
            </w:r>
          </w:p>
        </w:tc>
        <w:tc>
          <w:tcPr>
            <w:tcW w:w="1249" w:type="dxa"/>
            <w:vAlign w:val="center"/>
          </w:tcPr>
          <w:p w14:paraId="7D72A022">
            <w:pPr>
              <w:widowControl/>
              <w:spacing w:line="300" w:lineRule="exact"/>
              <w:jc w:val="center"/>
              <w:textAlignment w:val="center"/>
              <w:rPr>
                <w:szCs w:val="21"/>
                <w:u w:val="single"/>
              </w:rPr>
            </w:pPr>
            <w:r>
              <w:rPr>
                <w:rFonts w:hint="eastAsia"/>
                <w:u w:val="single"/>
              </w:rPr>
              <w:t>0.022</w:t>
            </w:r>
          </w:p>
        </w:tc>
        <w:tc>
          <w:tcPr>
            <w:tcW w:w="535" w:type="pct"/>
            <w:vAlign w:val="center"/>
          </w:tcPr>
          <w:p w14:paraId="31764658">
            <w:pPr>
              <w:widowControl/>
              <w:spacing w:line="300" w:lineRule="exact"/>
              <w:jc w:val="center"/>
              <w:textAlignment w:val="center"/>
              <w:rPr>
                <w:szCs w:val="21"/>
                <w:u w:val="single"/>
              </w:rPr>
            </w:pPr>
            <w:r>
              <w:rPr>
                <w:rFonts w:hint="eastAsia"/>
                <w:color w:val="000000"/>
                <w:kern w:val="0"/>
                <w:szCs w:val="21"/>
                <w:u w:val="single"/>
                <w:lang w:bidi="ar"/>
              </w:rPr>
              <w:t>1.1</w:t>
            </w:r>
          </w:p>
        </w:tc>
        <w:tc>
          <w:tcPr>
            <w:tcW w:w="477" w:type="pct"/>
            <w:vAlign w:val="center"/>
          </w:tcPr>
          <w:p w14:paraId="2175598A">
            <w:pPr>
              <w:pStyle w:val="76"/>
              <w:autoSpaceDE w:val="0"/>
              <w:autoSpaceDN w:val="0"/>
              <w:jc w:val="center"/>
              <w:rPr>
                <w:rFonts w:ascii="Times New Roman" w:hAnsi="Times New Roman"/>
                <w:w w:val="99"/>
                <w:szCs w:val="21"/>
                <w:u w:val="single"/>
              </w:rPr>
            </w:pPr>
            <w:r>
              <w:rPr>
                <w:rFonts w:ascii="Times New Roman" w:hAnsi="Times New Roman"/>
                <w:w w:val="99"/>
                <w:szCs w:val="21"/>
                <w:u w:val="single"/>
              </w:rPr>
              <w:t>/</w:t>
            </w:r>
          </w:p>
        </w:tc>
        <w:tc>
          <w:tcPr>
            <w:tcW w:w="509" w:type="pct"/>
            <w:vAlign w:val="center"/>
          </w:tcPr>
          <w:p w14:paraId="2DF8C61F">
            <w:pPr>
              <w:pStyle w:val="76"/>
              <w:autoSpaceDE w:val="0"/>
              <w:autoSpaceDN w:val="0"/>
              <w:jc w:val="center"/>
              <w:rPr>
                <w:rFonts w:ascii="Times New Roman" w:hAnsi="Times New Roman"/>
                <w:szCs w:val="21"/>
                <w:u w:val="single"/>
              </w:rPr>
            </w:pPr>
            <w:r>
              <w:rPr>
                <w:rFonts w:hint="eastAsia" w:ascii="Times New Roman" w:hAnsi="Times New Roman"/>
                <w:szCs w:val="21"/>
                <w:u w:val="single"/>
              </w:rPr>
              <w:t>30</w:t>
            </w:r>
          </w:p>
        </w:tc>
      </w:tr>
    </w:tbl>
    <w:p w14:paraId="43F80357">
      <w:pPr>
        <w:pStyle w:val="38"/>
        <w:rPr>
          <w:rFonts w:ascii="Times New Roman" w:hAnsi="Times New Roman" w:cs="Times New Roman"/>
          <w:u w:val="single"/>
        </w:rPr>
        <w:sectPr>
          <w:pgSz w:w="16840" w:h="11907" w:orient="landscape"/>
          <w:pgMar w:top="1361" w:right="1701" w:bottom="1361" w:left="1899" w:header="851" w:footer="851" w:gutter="0"/>
          <w:cols w:space="720" w:num="1"/>
          <w:docGrid w:linePitch="312" w:charSpace="0"/>
        </w:sectPr>
      </w:pPr>
      <w:r>
        <w:rPr>
          <w:rFonts w:ascii="Times New Roman" w:hAnsi="Times New Roman" w:cs="Times New Roman"/>
          <w:u w:val="single"/>
        </w:rPr>
        <w:t>注：①排放废气为熔炼及造型/浇注工序废气，晚班运行；②排放废气为落砂、砂处理及抛丸工序废气，白班运行。风机分别独立</w:t>
      </w:r>
      <w:r>
        <w:rPr>
          <w:rFonts w:hint="eastAsia" w:ascii="Times New Roman" w:hAnsi="Times New Roman" w:cs="Times New Roman"/>
          <w:u w:val="single"/>
        </w:rPr>
        <w:t>运行</w:t>
      </w:r>
      <w:r>
        <w:rPr>
          <w:rFonts w:ascii="Times New Roman" w:hAnsi="Times New Roman" w:cs="Times New Roman"/>
          <w:u w:val="single"/>
        </w:rPr>
        <w:t>，熔炼及造型/浇注工序废气与落砂、砂处理及抛丸工序废气不会同时排放，仅共用1根排气筒</w:t>
      </w:r>
      <w:r>
        <w:rPr>
          <w:rFonts w:hint="eastAsia" w:ascii="Times New Roman" w:hAnsi="Times New Roman" w:cs="Times New Roman"/>
          <w:u w:val="single"/>
        </w:rPr>
        <w:t>DA003</w:t>
      </w:r>
      <w:r>
        <w:rPr>
          <w:rFonts w:ascii="Times New Roman" w:hAnsi="Times New Roman" w:cs="Times New Roman"/>
          <w:u w:val="single"/>
        </w:rPr>
        <w:t>。</w:t>
      </w:r>
    </w:p>
    <w:p w14:paraId="07FB86A0"/>
    <w:tbl>
      <w:tblPr>
        <w:tblStyle w:val="30"/>
        <w:tblW w:w="932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96"/>
        <w:gridCol w:w="9025"/>
      </w:tblGrid>
      <w:tr w14:paraId="058600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91" w:hRule="atLeast"/>
          <w:jc w:val="center"/>
        </w:trPr>
        <w:tc>
          <w:tcPr>
            <w:tcW w:w="296" w:type="dxa"/>
            <w:tcMar>
              <w:left w:w="28" w:type="dxa"/>
              <w:right w:w="28" w:type="dxa"/>
            </w:tcMar>
            <w:vAlign w:val="center"/>
          </w:tcPr>
          <w:p w14:paraId="57684D71">
            <w:pPr>
              <w:adjustRightInd w:val="0"/>
              <w:snapToGrid w:val="0"/>
              <w:jc w:val="center"/>
              <w:rPr>
                <w:bCs/>
                <w:color w:val="auto"/>
                <w:sz w:val="24"/>
              </w:rPr>
            </w:pPr>
            <w:r>
              <w:rPr>
                <w:bCs/>
                <w:color w:val="auto"/>
                <w:sz w:val="24"/>
              </w:rPr>
              <w:t>运营</w:t>
            </w:r>
          </w:p>
          <w:p w14:paraId="576FC40D">
            <w:pPr>
              <w:adjustRightInd w:val="0"/>
              <w:snapToGrid w:val="0"/>
              <w:jc w:val="center"/>
              <w:rPr>
                <w:bCs/>
                <w:color w:val="auto"/>
                <w:sz w:val="24"/>
              </w:rPr>
            </w:pPr>
            <w:r>
              <w:rPr>
                <w:bCs/>
                <w:color w:val="auto"/>
                <w:sz w:val="24"/>
              </w:rPr>
              <w:t>期环</w:t>
            </w:r>
          </w:p>
          <w:p w14:paraId="75C119BC">
            <w:pPr>
              <w:adjustRightInd w:val="0"/>
              <w:snapToGrid w:val="0"/>
              <w:jc w:val="center"/>
              <w:rPr>
                <w:bCs/>
                <w:color w:val="auto"/>
                <w:sz w:val="24"/>
              </w:rPr>
            </w:pPr>
            <w:r>
              <w:rPr>
                <w:bCs/>
                <w:color w:val="auto"/>
                <w:sz w:val="24"/>
              </w:rPr>
              <w:t>境影</w:t>
            </w:r>
          </w:p>
          <w:p w14:paraId="0C053A89">
            <w:pPr>
              <w:adjustRightInd w:val="0"/>
              <w:snapToGrid w:val="0"/>
              <w:jc w:val="center"/>
              <w:rPr>
                <w:bCs/>
                <w:color w:val="auto"/>
                <w:sz w:val="24"/>
              </w:rPr>
            </w:pPr>
            <w:r>
              <w:rPr>
                <w:bCs/>
                <w:color w:val="auto"/>
                <w:sz w:val="24"/>
              </w:rPr>
              <w:t>响和</w:t>
            </w:r>
          </w:p>
          <w:p w14:paraId="3FA34959">
            <w:pPr>
              <w:adjustRightInd w:val="0"/>
              <w:snapToGrid w:val="0"/>
              <w:jc w:val="center"/>
              <w:rPr>
                <w:bCs/>
                <w:color w:val="auto"/>
                <w:sz w:val="24"/>
              </w:rPr>
            </w:pPr>
            <w:r>
              <w:rPr>
                <w:bCs/>
                <w:color w:val="auto"/>
                <w:sz w:val="24"/>
              </w:rPr>
              <w:t>保护</w:t>
            </w:r>
          </w:p>
          <w:p w14:paraId="7641C248">
            <w:pPr>
              <w:adjustRightInd w:val="0"/>
              <w:snapToGrid w:val="0"/>
              <w:jc w:val="center"/>
              <w:rPr>
                <w:bCs/>
                <w:color w:val="auto"/>
                <w:sz w:val="24"/>
              </w:rPr>
            </w:pPr>
            <w:r>
              <w:rPr>
                <w:bCs/>
                <w:color w:val="auto"/>
                <w:sz w:val="24"/>
              </w:rPr>
              <w:t>措施</w:t>
            </w:r>
          </w:p>
        </w:tc>
        <w:tc>
          <w:tcPr>
            <w:tcW w:w="9025" w:type="dxa"/>
            <w:vAlign w:val="center"/>
          </w:tcPr>
          <w:p w14:paraId="53C73406">
            <w:pPr>
              <w:pStyle w:val="38"/>
              <w:spacing w:line="360" w:lineRule="auto"/>
              <w:ind w:firstLine="482" w:firstLineChars="200"/>
              <w:rPr>
                <w:rFonts w:ascii="Times New Roman" w:hAnsi="Times New Roman" w:cs="Times New Roman"/>
                <w:b/>
                <w:bCs/>
                <w:color w:val="auto"/>
                <w:u w:val="single"/>
              </w:rPr>
            </w:pPr>
            <w:r>
              <w:rPr>
                <w:rFonts w:ascii="Times New Roman" w:hAnsi="Times New Roman" w:cs="Times New Roman"/>
                <w:b/>
                <w:bCs/>
                <w:color w:val="auto"/>
                <w:u w:val="single"/>
              </w:rPr>
              <w:t>（2）项目废气治理措施可行性分析</w:t>
            </w:r>
          </w:p>
          <w:p w14:paraId="1C23AB5D">
            <w:pPr>
              <w:pStyle w:val="4"/>
              <w:numPr>
                <w:ilvl w:val="2"/>
                <w:numId w:val="0"/>
              </w:numPr>
              <w:tabs>
                <w:tab w:val="left" w:pos="2000"/>
                <w:tab w:val="clear" w:pos="1287"/>
              </w:tabs>
              <w:spacing w:before="0" w:line="360" w:lineRule="auto"/>
              <w:ind w:left="420" w:leftChars="200"/>
              <w:jc w:val="left"/>
              <w:rPr>
                <w:rFonts w:cs="宋体"/>
                <w:b w:val="0"/>
                <w:snapToGrid/>
                <w:color w:val="auto"/>
                <w:spacing w:val="8"/>
                <w:kern w:val="2"/>
                <w:sz w:val="24"/>
                <w:u w:val="single"/>
              </w:rPr>
            </w:pPr>
            <w:r>
              <w:rPr>
                <w:rFonts w:hint="eastAsia" w:cs="宋体"/>
                <w:b w:val="0"/>
                <w:snapToGrid/>
                <w:color w:val="auto"/>
                <w:spacing w:val="8"/>
                <w:kern w:val="2"/>
                <w:sz w:val="24"/>
                <w:u w:val="single"/>
              </w:rPr>
              <w:t xml:space="preserve"> 1）锅炉燃烧废气</w:t>
            </w:r>
          </w:p>
          <w:p w14:paraId="1F71D8D1">
            <w:pPr>
              <w:keepNext/>
              <w:keepLines/>
              <w:widowControl/>
              <w:tabs>
                <w:tab w:val="left" w:pos="720"/>
                <w:tab w:val="left" w:pos="2000"/>
              </w:tabs>
              <w:adjustRightInd w:val="0"/>
              <w:snapToGrid w:val="0"/>
              <w:spacing w:line="360" w:lineRule="auto"/>
              <w:ind w:firstLine="512" w:firstLineChars="200"/>
              <w:jc w:val="left"/>
              <w:rPr>
                <w:rFonts w:cs="宋体"/>
                <w:color w:val="auto"/>
                <w:spacing w:val="8"/>
                <w:sz w:val="24"/>
                <w:u w:val="single"/>
              </w:rPr>
            </w:pPr>
            <w:r>
              <w:rPr>
                <w:rFonts w:hint="eastAsia" w:cs="宋体"/>
                <w:color w:val="auto"/>
                <w:spacing w:val="8"/>
                <w:sz w:val="24"/>
                <w:u w:val="single"/>
              </w:rPr>
              <w:t>本项目锅炉采用天然气作为燃料，天然气属于清洁能源，本项目锅炉燃烧废气主要污染物为颗粒物、二氧化硫、氮氧化物，经低氮燃烧器燃烧后由15米高排气筒（DA001）高空排放。根据《排污许可证申请与核发技术规范 锅炉》（HJ 953-2018），本项目治理技术为可行技术，废气治理措施可行。</w:t>
            </w:r>
          </w:p>
          <w:p w14:paraId="6D978F15">
            <w:pPr>
              <w:pStyle w:val="4"/>
              <w:numPr>
                <w:ilvl w:val="2"/>
                <w:numId w:val="0"/>
              </w:numPr>
              <w:tabs>
                <w:tab w:val="left" w:pos="2000"/>
                <w:tab w:val="clear" w:pos="1287"/>
              </w:tabs>
              <w:spacing w:before="0" w:line="360" w:lineRule="auto"/>
              <w:ind w:left="420" w:leftChars="200"/>
              <w:jc w:val="left"/>
              <w:rPr>
                <w:rFonts w:cs="宋体"/>
                <w:b w:val="0"/>
                <w:snapToGrid/>
                <w:color w:val="auto"/>
                <w:spacing w:val="8"/>
                <w:kern w:val="2"/>
                <w:sz w:val="24"/>
                <w:u w:val="single"/>
              </w:rPr>
            </w:pPr>
            <w:r>
              <w:rPr>
                <w:rFonts w:hint="eastAsia" w:cs="宋体"/>
                <w:b w:val="0"/>
                <w:snapToGrid/>
                <w:color w:val="auto"/>
                <w:spacing w:val="8"/>
                <w:kern w:val="2"/>
                <w:sz w:val="24"/>
                <w:u w:val="single"/>
              </w:rPr>
              <w:t>2）发泡、切割废气</w:t>
            </w:r>
          </w:p>
          <w:p w14:paraId="6A590B91">
            <w:pPr>
              <w:pStyle w:val="12"/>
              <w:spacing w:before="0" w:after="0" w:line="360" w:lineRule="auto"/>
              <w:ind w:right="0" w:firstLine="512" w:firstLineChars="200"/>
              <w:rPr>
                <w:rFonts w:cs="宋体"/>
                <w:color w:val="auto"/>
                <w:spacing w:val="8"/>
                <w:kern w:val="2"/>
                <w:sz w:val="24"/>
                <w:szCs w:val="24"/>
                <w:u w:val="single"/>
              </w:rPr>
            </w:pPr>
            <w:r>
              <w:rPr>
                <w:rFonts w:hint="eastAsia" w:cs="宋体"/>
                <w:color w:val="auto"/>
                <w:spacing w:val="8"/>
                <w:kern w:val="2"/>
                <w:sz w:val="24"/>
                <w:szCs w:val="24"/>
                <w:u w:val="single"/>
              </w:rPr>
              <w:t>发泡和泡沫切割废气的主要污染物成分为非甲烷总烃和苯乙烯，经集气罩收集后由二级活性炭吸附处理后经15米高排气筒（DA002）高空排放。本项目使用二级活性炭吸附</w:t>
            </w:r>
            <w:r>
              <w:rPr>
                <w:rFonts w:hint="eastAsia" w:cs="宋体"/>
                <w:color w:val="auto"/>
                <w:spacing w:val="8"/>
                <w:kern w:val="2"/>
                <w:sz w:val="24"/>
                <w:szCs w:val="24"/>
                <w:u w:val="single"/>
                <w:lang w:val="en-US" w:eastAsia="zh-CN"/>
              </w:rPr>
              <w:t>挥发性有机物</w:t>
            </w:r>
            <w:r>
              <w:rPr>
                <w:rFonts w:hint="eastAsia" w:cs="宋体"/>
                <w:color w:val="auto"/>
                <w:spacing w:val="8"/>
                <w:kern w:val="2"/>
                <w:sz w:val="24"/>
                <w:szCs w:val="24"/>
                <w:u w:val="single"/>
              </w:rPr>
              <w:t>，</w:t>
            </w:r>
            <w:r>
              <w:rPr>
                <w:rFonts w:hint="eastAsia" w:cs="宋体"/>
                <w:color w:val="auto"/>
                <w:spacing w:val="8"/>
                <w:kern w:val="2"/>
                <w:sz w:val="24"/>
                <w:szCs w:val="24"/>
                <w:u w:val="single"/>
                <w:lang w:val="en-US" w:eastAsia="zh-CN"/>
              </w:rPr>
              <w:t>类比同类采用二级活性炭吸附处理有机废气项目的验收监测数据，本项目</w:t>
            </w:r>
            <w:r>
              <w:rPr>
                <w:rFonts w:hint="eastAsia" w:cs="宋体"/>
                <w:color w:val="auto"/>
                <w:spacing w:val="8"/>
                <w:kern w:val="2"/>
                <w:sz w:val="24"/>
                <w:szCs w:val="24"/>
                <w:u w:val="single"/>
              </w:rPr>
              <w:t>VOCs去除</w:t>
            </w:r>
            <w:r>
              <w:rPr>
                <w:rFonts w:hint="eastAsia" w:cs="宋体"/>
                <w:color w:val="auto"/>
                <w:spacing w:val="8"/>
                <w:kern w:val="2"/>
                <w:sz w:val="24"/>
                <w:szCs w:val="24"/>
                <w:u w:val="single"/>
                <w:lang w:val="en-US" w:eastAsia="zh-CN"/>
              </w:rPr>
              <w:t>效率保守取值</w:t>
            </w:r>
            <w:r>
              <w:rPr>
                <w:rFonts w:hint="eastAsia" w:cs="宋体"/>
                <w:color w:val="auto"/>
                <w:spacing w:val="8"/>
                <w:kern w:val="2"/>
                <w:sz w:val="24"/>
                <w:szCs w:val="24"/>
                <w:u w:val="single"/>
              </w:rPr>
              <w:t>为</w:t>
            </w:r>
            <w:r>
              <w:rPr>
                <w:rFonts w:hint="eastAsia" w:cs="宋体"/>
                <w:color w:val="auto"/>
                <w:spacing w:val="8"/>
                <w:kern w:val="2"/>
                <w:sz w:val="24"/>
                <w:szCs w:val="24"/>
                <w:u w:val="single"/>
                <w:lang w:val="en-US" w:eastAsia="zh-CN"/>
              </w:rPr>
              <w:t>7</w:t>
            </w:r>
            <w:r>
              <w:rPr>
                <w:rFonts w:hint="eastAsia" w:cs="宋体"/>
                <w:color w:val="auto"/>
                <w:spacing w:val="8"/>
                <w:kern w:val="2"/>
                <w:sz w:val="24"/>
                <w:szCs w:val="24"/>
                <w:u w:val="single"/>
              </w:rPr>
              <w:t>5%</w:t>
            </w:r>
            <w:r>
              <w:rPr>
                <w:rFonts w:hint="eastAsia" w:cs="宋体"/>
                <w:color w:val="auto"/>
                <w:spacing w:val="8"/>
                <w:kern w:val="2"/>
                <w:sz w:val="24"/>
                <w:szCs w:val="24"/>
                <w:u w:val="single"/>
                <w:lang w:eastAsia="zh-CN"/>
              </w:rPr>
              <w:t>，</w:t>
            </w:r>
            <w:r>
              <w:rPr>
                <w:rFonts w:hint="eastAsia" w:cs="宋体"/>
                <w:color w:val="auto"/>
                <w:spacing w:val="8"/>
                <w:kern w:val="2"/>
                <w:sz w:val="24"/>
                <w:szCs w:val="24"/>
                <w:u w:val="single"/>
              </w:rPr>
              <w:t>发泡和切割废气中非甲烷总烃和苯乙烯可满足《合成树脂工业污染物排放标准》(GB31572-2015)及其修改单中表4中排放限值标准。</w:t>
            </w:r>
          </w:p>
          <w:p w14:paraId="751DAC17">
            <w:pPr>
              <w:spacing w:line="360" w:lineRule="auto"/>
              <w:ind w:firstLine="420" w:firstLineChars="200"/>
              <w:rPr>
                <w:rFonts w:cs="宋体"/>
                <w:color w:val="auto"/>
                <w:spacing w:val="8"/>
                <w:sz w:val="24"/>
                <w:u w:val="single"/>
              </w:rPr>
            </w:pPr>
            <w:r>
              <w:rPr>
                <w:rFonts w:hint="eastAsia"/>
                <w:color w:val="auto"/>
                <w:u w:val="single"/>
              </w:rPr>
              <w:t xml:space="preserve"> </w:t>
            </w:r>
            <w:r>
              <w:rPr>
                <w:rFonts w:hint="eastAsia" w:cs="宋体"/>
                <w:color w:val="auto"/>
                <w:spacing w:val="8"/>
                <w:sz w:val="24"/>
                <w:u w:val="single"/>
              </w:rPr>
              <w:t>3）熔炼废气</w:t>
            </w:r>
          </w:p>
          <w:p w14:paraId="0E5FD636">
            <w:pPr>
              <w:pStyle w:val="12"/>
              <w:spacing w:before="0" w:after="0" w:line="360" w:lineRule="auto"/>
              <w:ind w:right="0" w:firstLine="512" w:firstLineChars="200"/>
              <w:rPr>
                <w:rFonts w:cs="宋体"/>
                <w:color w:val="auto"/>
                <w:spacing w:val="8"/>
                <w:sz w:val="24"/>
                <w:szCs w:val="24"/>
                <w:u w:val="single"/>
              </w:rPr>
            </w:pPr>
            <w:r>
              <w:rPr>
                <w:rFonts w:hint="eastAsia" w:cs="宋体"/>
                <w:color w:val="auto"/>
                <w:spacing w:val="8"/>
                <w:sz w:val="24"/>
                <w:szCs w:val="24"/>
                <w:u w:val="single"/>
              </w:rPr>
              <w:t>项目熔炼废气</w:t>
            </w:r>
            <w:r>
              <w:rPr>
                <w:rFonts w:hint="eastAsia" w:cs="宋体"/>
                <w:color w:val="auto"/>
                <w:spacing w:val="8"/>
                <w:sz w:val="24"/>
                <w:szCs w:val="24"/>
                <w:u w:val="single"/>
                <w:lang w:val="en-US" w:eastAsia="zh-CN"/>
              </w:rPr>
              <w:t>主要污染物为颗粒物，</w:t>
            </w:r>
            <w:r>
              <w:rPr>
                <w:rFonts w:hint="eastAsia" w:cs="宋体"/>
                <w:color w:val="auto"/>
                <w:spacing w:val="8"/>
                <w:sz w:val="24"/>
                <w:szCs w:val="24"/>
                <w:u w:val="single"/>
              </w:rPr>
              <w:t>熔炉设有保温盖，项目拟在每套电熔炉上方设置集气罩，通过钢丝吊装，集气罩距离电熔炉上方约30cm，大小以笼盖住电熔炉边缘10cm以外设计（以不影响设备操作为主设置），集气管道沿厂房顶吊装经厂房壁引入厂房南侧布袋除尘器，熔炼废气由集气罩收集经高温布袋除尘器处理通过 15m 高排气筒（DA003）排放。</w:t>
            </w:r>
          </w:p>
          <w:p w14:paraId="0DA97FCE">
            <w:pPr>
              <w:pStyle w:val="12"/>
              <w:spacing w:before="0" w:after="0" w:line="360" w:lineRule="auto"/>
              <w:ind w:right="0" w:firstLine="512" w:firstLineChars="200"/>
              <w:rPr>
                <w:rFonts w:cs="宋体"/>
                <w:color w:val="auto"/>
                <w:spacing w:val="8"/>
                <w:kern w:val="2"/>
                <w:sz w:val="24"/>
                <w:szCs w:val="24"/>
                <w:u w:val="single"/>
              </w:rPr>
            </w:pPr>
            <w:r>
              <w:rPr>
                <w:rFonts w:hint="eastAsia" w:cs="宋体"/>
                <w:color w:val="auto"/>
                <w:spacing w:val="8"/>
                <w:kern w:val="2"/>
                <w:sz w:val="24"/>
                <w:szCs w:val="24"/>
                <w:u w:val="single"/>
              </w:rPr>
              <w:t>4）造型/浇注废气</w:t>
            </w:r>
          </w:p>
          <w:p w14:paraId="3A98BF6D">
            <w:pPr>
              <w:spacing w:line="360" w:lineRule="auto"/>
              <w:ind w:firstLine="512" w:firstLineChars="200"/>
              <w:rPr>
                <w:rFonts w:cs="宋体"/>
                <w:color w:val="auto"/>
                <w:spacing w:val="8"/>
                <w:kern w:val="0"/>
                <w:sz w:val="24"/>
                <w:u w:val="single"/>
              </w:rPr>
            </w:pPr>
            <w:r>
              <w:rPr>
                <w:rFonts w:hint="eastAsia" w:cs="宋体"/>
                <w:color w:val="auto"/>
                <w:spacing w:val="8"/>
                <w:kern w:val="0"/>
                <w:sz w:val="24"/>
                <w:u w:val="single"/>
              </w:rPr>
              <w:t>对比《排污许可证申请与核发技术规范  金属铸造工业》（HJ1115-2020）附录A中废气和废水防治可行技术参考表，本项目在浇注时，砂箱内负压收集，经真空泵抽排接入管道，经布袋除尘和</w:t>
            </w:r>
            <w:r>
              <w:rPr>
                <w:rFonts w:hint="eastAsia" w:cs="宋体"/>
                <w:color w:val="auto"/>
                <w:spacing w:val="8"/>
                <w:kern w:val="0"/>
                <w:sz w:val="24"/>
                <w:u w:val="single"/>
                <w:lang w:val="en-US" w:eastAsia="zh-CN"/>
              </w:rPr>
              <w:t>二级</w:t>
            </w:r>
            <w:r>
              <w:rPr>
                <w:rFonts w:hint="eastAsia" w:cs="宋体"/>
                <w:color w:val="auto"/>
                <w:spacing w:val="8"/>
                <w:kern w:val="0"/>
                <w:sz w:val="24"/>
                <w:u w:val="single"/>
              </w:rPr>
              <w:t>活性炭吸附装置处理后</w:t>
            </w:r>
            <w:r>
              <w:rPr>
                <w:rFonts w:hint="eastAsia" w:cs="宋体"/>
                <w:color w:val="auto"/>
                <w:spacing w:val="8"/>
                <w:sz w:val="24"/>
                <w:u w:val="single"/>
              </w:rPr>
              <w:t>通过 15m 高排气筒（DA003）</w:t>
            </w:r>
            <w:r>
              <w:rPr>
                <w:rFonts w:hint="eastAsia" w:cs="宋体"/>
                <w:color w:val="auto"/>
                <w:spacing w:val="8"/>
                <w:kern w:val="0"/>
                <w:sz w:val="24"/>
                <w:u w:val="single"/>
              </w:rPr>
              <w:t>排放，属于可行性技术方案。</w:t>
            </w:r>
          </w:p>
          <w:p w14:paraId="10F49E47">
            <w:pPr>
              <w:pStyle w:val="12"/>
              <w:spacing w:before="0" w:after="0" w:line="360" w:lineRule="auto"/>
              <w:ind w:right="0" w:firstLine="512" w:firstLineChars="200"/>
              <w:rPr>
                <w:rFonts w:cs="宋体"/>
                <w:color w:val="auto"/>
                <w:spacing w:val="8"/>
                <w:sz w:val="24"/>
                <w:szCs w:val="24"/>
                <w:u w:val="single"/>
              </w:rPr>
            </w:pPr>
            <w:r>
              <w:rPr>
                <w:rFonts w:hint="eastAsia" w:cs="宋体"/>
                <w:color w:val="auto"/>
                <w:spacing w:val="8"/>
                <w:sz w:val="24"/>
                <w:szCs w:val="24"/>
                <w:u w:val="single"/>
              </w:rPr>
              <w:t>5）落砂、砂处理废气</w:t>
            </w:r>
          </w:p>
          <w:p w14:paraId="1368CFEE">
            <w:pPr>
              <w:pStyle w:val="12"/>
              <w:spacing w:before="0" w:after="0" w:line="360" w:lineRule="auto"/>
              <w:ind w:right="0" w:firstLine="512" w:firstLineChars="200"/>
              <w:rPr>
                <w:rFonts w:cs="宋体"/>
                <w:color w:val="auto"/>
                <w:spacing w:val="8"/>
                <w:kern w:val="2"/>
                <w:sz w:val="24"/>
                <w:szCs w:val="24"/>
                <w:u w:val="single"/>
              </w:rPr>
            </w:pPr>
            <w:r>
              <w:rPr>
                <w:rFonts w:hint="eastAsia" w:cs="宋体"/>
                <w:color w:val="auto"/>
                <w:spacing w:val="8"/>
                <w:kern w:val="2"/>
                <w:sz w:val="24"/>
                <w:szCs w:val="24"/>
                <w:u w:val="single"/>
              </w:rPr>
              <w:t>本项目落砂和砂处理废气主要污染物为颗粒物，经集气罩收集后分别由布袋除尘器处理后由15米高排气筒（DA003）高空排放，该废气治理措施可行。</w:t>
            </w:r>
          </w:p>
          <w:p w14:paraId="36FD9189">
            <w:pPr>
              <w:spacing w:line="360" w:lineRule="auto"/>
              <w:ind w:firstLine="512" w:firstLineChars="200"/>
              <w:rPr>
                <w:rFonts w:cs="宋体"/>
                <w:color w:val="auto"/>
                <w:spacing w:val="8"/>
                <w:sz w:val="24"/>
                <w:u w:val="single"/>
              </w:rPr>
            </w:pPr>
            <w:r>
              <w:rPr>
                <w:rFonts w:hint="eastAsia" w:cs="宋体"/>
                <w:color w:val="auto"/>
                <w:spacing w:val="8"/>
                <w:sz w:val="24"/>
                <w:u w:val="single"/>
              </w:rPr>
              <w:t>6）去冒口、打磨、焊接废气</w:t>
            </w:r>
          </w:p>
          <w:p w14:paraId="38C517D3">
            <w:pPr>
              <w:spacing w:line="360" w:lineRule="auto"/>
              <w:ind w:firstLine="512" w:firstLineChars="200"/>
              <w:rPr>
                <w:rFonts w:cs="宋体"/>
                <w:color w:val="auto"/>
                <w:spacing w:val="8"/>
                <w:sz w:val="24"/>
                <w:u w:val="single"/>
              </w:rPr>
            </w:pPr>
            <w:r>
              <w:rPr>
                <w:rFonts w:hint="eastAsia" w:cs="宋体"/>
                <w:color w:val="auto"/>
                <w:spacing w:val="8"/>
                <w:sz w:val="24"/>
                <w:u w:val="single"/>
              </w:rPr>
              <w:t>本项目在去冒口、打磨、焊接等工序会产生金属粉尘，</w:t>
            </w:r>
            <w:r>
              <w:rPr>
                <w:rFonts w:hint="eastAsia"/>
                <w:color w:val="auto"/>
                <w:kern w:val="18"/>
                <w:sz w:val="24"/>
                <w:u w:val="single"/>
              </w:rPr>
              <w:t>切割冒口、</w:t>
            </w:r>
            <w:r>
              <w:rPr>
                <w:rFonts w:hint="eastAsia" w:cs="宋体"/>
                <w:color w:val="auto"/>
                <w:spacing w:val="8"/>
                <w:sz w:val="24"/>
                <w:u w:val="single"/>
              </w:rPr>
              <w:t>打磨、焊接粉尘采用移动</w:t>
            </w:r>
            <w:r>
              <w:rPr>
                <w:color w:val="auto"/>
                <w:kern w:val="18"/>
                <w:sz w:val="24"/>
                <w:u w:val="single"/>
              </w:rPr>
              <w:t>式</w:t>
            </w:r>
            <w:r>
              <w:rPr>
                <w:rFonts w:hint="eastAsia"/>
                <w:color w:val="auto"/>
                <w:kern w:val="18"/>
                <w:sz w:val="24"/>
                <w:u w:val="single"/>
              </w:rPr>
              <w:t>除尘器收集处理。</w:t>
            </w:r>
            <w:r>
              <w:rPr>
                <w:rFonts w:hint="eastAsia" w:cs="宋体"/>
                <w:color w:val="auto"/>
                <w:spacing w:val="8"/>
                <w:sz w:val="24"/>
                <w:u w:val="single"/>
              </w:rPr>
              <w:t>移动式除尘器是专为治理打磨、切割、焊接等作业时产生的烟尘、粉尘、有毒气体而开发的一款工业环保设备，它广泛用于各种抛光、打磨、切割、焊接等工序中产生烟尘和粉尘的净化以及对稀有金属、贵重物料的回收，适用于除尘比较分散烟尘量也较大的工位。因此，本项目去冒口、打磨、焊接工序粉尘采用移动式除尘器处理是可行的。</w:t>
            </w:r>
          </w:p>
          <w:p w14:paraId="7C2FD86F">
            <w:pPr>
              <w:spacing w:line="360" w:lineRule="auto"/>
              <w:ind w:firstLine="512" w:firstLineChars="200"/>
              <w:rPr>
                <w:rFonts w:cs="宋体"/>
                <w:color w:val="auto"/>
                <w:spacing w:val="8"/>
                <w:sz w:val="24"/>
                <w:u w:val="single"/>
              </w:rPr>
            </w:pPr>
            <w:r>
              <w:rPr>
                <w:rFonts w:hint="eastAsia" w:cs="宋体"/>
                <w:color w:val="auto"/>
                <w:spacing w:val="8"/>
                <w:sz w:val="24"/>
                <w:u w:val="single"/>
              </w:rPr>
              <w:t>7）抛丸废气</w:t>
            </w:r>
          </w:p>
          <w:p w14:paraId="528F11E9">
            <w:pPr>
              <w:spacing w:line="360" w:lineRule="auto"/>
              <w:ind w:firstLine="512" w:firstLineChars="200"/>
              <w:rPr>
                <w:rFonts w:cs="宋体"/>
                <w:color w:val="auto"/>
                <w:spacing w:val="8"/>
                <w:sz w:val="24"/>
                <w:u w:val="single"/>
              </w:rPr>
            </w:pPr>
            <w:r>
              <w:rPr>
                <w:rFonts w:hint="eastAsia" w:cs="宋体"/>
                <w:color w:val="auto"/>
                <w:spacing w:val="8"/>
                <w:sz w:val="24"/>
                <w:u w:val="single"/>
              </w:rPr>
              <w:t>项目使用抛丸机，通过在抛丸机内密闭操作将工件进行表面清理，提高产品性能。抛丸过程会产生一定的粉尘，抛丸工序密闭，抛丸机自身配套设置1套</w:t>
            </w:r>
            <w:r>
              <w:rPr>
                <w:rFonts w:hint="eastAsia" w:cs="宋体"/>
                <w:color w:val="auto"/>
                <w:spacing w:val="8"/>
                <w:sz w:val="24"/>
                <w:u w:val="single"/>
                <w:lang w:val="en-US" w:eastAsia="zh-CN"/>
              </w:rPr>
              <w:t>布袋</w:t>
            </w:r>
            <w:r>
              <w:rPr>
                <w:rFonts w:hint="eastAsia" w:cs="宋体"/>
                <w:color w:val="auto"/>
                <w:spacing w:val="8"/>
                <w:sz w:val="24"/>
                <w:u w:val="single"/>
              </w:rPr>
              <w:t>除尘器收集处理抛丸过程产生的粉尘，处理后的粉尘经1根15m高排气筒（DA003）排放。</w:t>
            </w:r>
          </w:p>
          <w:p w14:paraId="55AEED96">
            <w:pPr>
              <w:spacing w:line="360" w:lineRule="auto"/>
              <w:ind w:firstLine="512" w:firstLineChars="200"/>
              <w:rPr>
                <w:rFonts w:cs="宋体"/>
                <w:color w:val="auto"/>
                <w:spacing w:val="8"/>
                <w:sz w:val="24"/>
                <w:u w:val="single"/>
              </w:rPr>
            </w:pPr>
            <w:r>
              <w:rPr>
                <w:rFonts w:hint="eastAsia" w:cs="宋体"/>
                <w:color w:val="auto"/>
                <w:spacing w:val="8"/>
                <w:sz w:val="24"/>
                <w:u w:val="single"/>
              </w:rPr>
              <w:t>8）喷漆废气</w:t>
            </w:r>
          </w:p>
          <w:p w14:paraId="32DD7A72">
            <w:pPr>
              <w:spacing w:line="360" w:lineRule="auto"/>
              <w:ind w:firstLine="480" w:firstLineChars="200"/>
              <w:rPr>
                <w:rFonts w:hint="default" w:eastAsia="宋体" w:cs="宋体"/>
                <w:color w:val="auto"/>
                <w:spacing w:val="8"/>
                <w:sz w:val="24"/>
                <w:u w:val="single"/>
                <w:lang w:val="en-US" w:eastAsia="zh-CN"/>
              </w:rPr>
            </w:pPr>
            <w:r>
              <w:rPr>
                <w:color w:val="auto"/>
                <w:sz w:val="24"/>
                <w:u w:val="single"/>
              </w:rPr>
              <w:t>本项目喷漆房为密闭车间，采用顶部送风，底部抽风的方式负压收集喷漆废气，</w:t>
            </w:r>
            <w:r>
              <w:rPr>
                <w:rFonts w:hint="eastAsia"/>
                <w:color w:val="auto"/>
                <w:sz w:val="24"/>
                <w:u w:val="single"/>
              </w:rPr>
              <w:t>废气经收集后</w:t>
            </w:r>
            <w:r>
              <w:rPr>
                <w:color w:val="auto"/>
                <w:sz w:val="24"/>
                <w:u w:val="single"/>
              </w:rPr>
              <w:t>引至1套“</w:t>
            </w:r>
            <w:r>
              <w:rPr>
                <w:rFonts w:hint="eastAsia"/>
                <w:color w:val="auto"/>
                <w:sz w:val="24"/>
                <w:u w:val="single"/>
              </w:rPr>
              <w:t>过滤棉</w:t>
            </w:r>
            <w:r>
              <w:rPr>
                <w:color w:val="auto"/>
                <w:sz w:val="24"/>
                <w:u w:val="single"/>
              </w:rPr>
              <w:t>+</w:t>
            </w:r>
            <w:r>
              <w:rPr>
                <w:rFonts w:hint="eastAsia"/>
                <w:color w:val="auto"/>
                <w:sz w:val="24"/>
                <w:u w:val="single"/>
              </w:rPr>
              <w:t>二级</w:t>
            </w:r>
            <w:r>
              <w:rPr>
                <w:color w:val="auto"/>
                <w:sz w:val="24"/>
                <w:u w:val="single"/>
              </w:rPr>
              <w:t>活性炭吸附”废气治理装置处理达标后引至</w:t>
            </w:r>
            <w:r>
              <w:rPr>
                <w:rFonts w:hint="eastAsia"/>
                <w:color w:val="auto"/>
                <w:sz w:val="24"/>
                <w:u w:val="single"/>
              </w:rPr>
              <w:t>15</w:t>
            </w:r>
            <w:r>
              <w:rPr>
                <w:color w:val="auto"/>
                <w:sz w:val="24"/>
                <w:u w:val="single"/>
              </w:rPr>
              <w:t>m高排气筒</w:t>
            </w:r>
            <w:r>
              <w:rPr>
                <w:rFonts w:hint="eastAsia"/>
                <w:color w:val="auto"/>
                <w:sz w:val="24"/>
                <w:u w:val="single"/>
              </w:rPr>
              <w:t>（DA004）</w:t>
            </w:r>
            <w:r>
              <w:rPr>
                <w:color w:val="auto"/>
                <w:sz w:val="24"/>
                <w:u w:val="single"/>
              </w:rPr>
              <w:t>排放</w:t>
            </w:r>
            <w:r>
              <w:rPr>
                <w:rFonts w:hint="eastAsia"/>
                <w:color w:val="auto"/>
                <w:sz w:val="24"/>
                <w:u w:val="single"/>
              </w:rPr>
              <w:t>。</w:t>
            </w:r>
            <w:r>
              <w:rPr>
                <w:rFonts w:hint="eastAsia"/>
                <w:color w:val="auto"/>
                <w:sz w:val="24"/>
                <w:u w:val="single"/>
                <w:lang w:val="en-US" w:eastAsia="zh-CN"/>
              </w:rPr>
              <w:t>类比同类项目，喷涂过程产生的有机废气经</w:t>
            </w:r>
            <w:r>
              <w:rPr>
                <w:color w:val="auto"/>
                <w:sz w:val="24"/>
                <w:u w:val="single"/>
              </w:rPr>
              <w:t>“</w:t>
            </w:r>
            <w:r>
              <w:rPr>
                <w:rFonts w:hint="eastAsia"/>
                <w:color w:val="auto"/>
                <w:sz w:val="24"/>
                <w:u w:val="single"/>
              </w:rPr>
              <w:t>过滤棉</w:t>
            </w:r>
            <w:r>
              <w:rPr>
                <w:color w:val="auto"/>
                <w:sz w:val="24"/>
                <w:u w:val="single"/>
              </w:rPr>
              <w:t>+</w:t>
            </w:r>
            <w:r>
              <w:rPr>
                <w:rFonts w:hint="eastAsia"/>
                <w:color w:val="auto"/>
                <w:sz w:val="24"/>
                <w:u w:val="single"/>
              </w:rPr>
              <w:t>二级</w:t>
            </w:r>
            <w:r>
              <w:rPr>
                <w:color w:val="auto"/>
                <w:sz w:val="24"/>
                <w:u w:val="single"/>
              </w:rPr>
              <w:t>活性炭吸附”</w:t>
            </w:r>
            <w:r>
              <w:rPr>
                <w:rFonts w:hint="eastAsia"/>
                <w:color w:val="auto"/>
                <w:sz w:val="24"/>
                <w:u w:val="single"/>
                <w:lang w:val="en-US" w:eastAsia="zh-CN"/>
              </w:rPr>
              <w:t>处理后可达标排放。</w:t>
            </w:r>
          </w:p>
          <w:p w14:paraId="75AF30EA">
            <w:pPr>
              <w:spacing w:line="360" w:lineRule="auto"/>
              <w:ind w:firstLine="512" w:firstLineChars="200"/>
              <w:rPr>
                <w:rFonts w:cs="宋体"/>
                <w:color w:val="auto"/>
                <w:spacing w:val="8"/>
                <w:sz w:val="24"/>
                <w:u w:val="single"/>
              </w:rPr>
            </w:pPr>
            <w:r>
              <w:rPr>
                <w:rFonts w:hint="eastAsia" w:cs="宋体"/>
                <w:color w:val="auto"/>
                <w:spacing w:val="8"/>
                <w:sz w:val="24"/>
                <w:u w:val="single"/>
              </w:rPr>
              <w:t>综上，项目含尘废气处理工艺为</w:t>
            </w:r>
            <w:r>
              <w:rPr>
                <w:rFonts w:hint="eastAsia" w:cs="宋体"/>
                <w:color w:val="auto"/>
                <w:spacing w:val="8"/>
                <w:sz w:val="24"/>
                <w:u w:val="single"/>
                <w:lang w:val="en-US" w:eastAsia="zh-CN"/>
              </w:rPr>
              <w:t>布袋</w:t>
            </w:r>
            <w:r>
              <w:rPr>
                <w:rFonts w:hint="eastAsia" w:cs="宋体"/>
                <w:color w:val="auto"/>
                <w:spacing w:val="8"/>
                <w:sz w:val="24"/>
                <w:u w:val="single"/>
              </w:rPr>
              <w:t>除尘，有机废气处理工艺为二级活性炭吸附技术，根据《排污许可证申请与核发技术规范 金属铸造工业》（HJ1115—2020），本项目废气污染治理设施均为技术规范中的可行技术。</w:t>
            </w:r>
          </w:p>
          <w:p w14:paraId="5CF4887A">
            <w:pPr>
              <w:spacing w:line="360" w:lineRule="auto"/>
              <w:ind w:firstLine="512" w:firstLineChars="200"/>
              <w:rPr>
                <w:rFonts w:cs="宋体"/>
                <w:color w:val="auto"/>
                <w:spacing w:val="8"/>
                <w:sz w:val="24"/>
                <w:u w:val="single"/>
              </w:rPr>
            </w:pPr>
            <w:r>
              <w:rPr>
                <w:rFonts w:hint="eastAsia" w:cs="宋体"/>
                <w:color w:val="auto"/>
                <w:spacing w:val="8"/>
                <w:sz w:val="24"/>
                <w:u w:val="single"/>
              </w:rPr>
              <w:t>项目采用布袋除尘器或移动式除尘器进行除尘，对照《排污许可证申请与核发技术规范 金属铸造工业》（HJ1115—2020）中“表 A.1 废气防治可行技术参考表”中可行技术，熔炼工序、浇注工序、砂处理工序、抛丸工序通过</w:t>
            </w:r>
            <w:r>
              <w:rPr>
                <w:rFonts w:hint="eastAsia" w:cs="宋体"/>
                <w:color w:val="auto"/>
                <w:spacing w:val="8"/>
                <w:sz w:val="24"/>
                <w:u w:val="single"/>
                <w:lang w:val="en-US" w:eastAsia="zh-CN"/>
              </w:rPr>
              <w:t>布袋</w:t>
            </w:r>
            <w:r>
              <w:rPr>
                <w:rFonts w:hint="eastAsia" w:cs="宋体"/>
                <w:color w:val="auto"/>
                <w:spacing w:val="8"/>
                <w:sz w:val="24"/>
                <w:u w:val="single"/>
              </w:rPr>
              <w:t>除尘器进行除尘属于颗粒物废气防治可行技术参考表中可行技术；去冒口工序、打磨工序采用移动式除尘器，属于废气防治可行技术。参考《排放源统计调查产排污核算方法和系数手册》（生态环境部公告2021 年第 24 号）中“33 金属制品业行业系数手册”，末端治理技术为袋式除尘的处理效率可达95%，各工序废气中颗粒物均可满足</w:t>
            </w:r>
            <w:r>
              <w:rPr>
                <w:color w:val="auto"/>
                <w:kern w:val="0"/>
                <w:sz w:val="24"/>
                <w:u w:val="single"/>
              </w:rPr>
              <w:t>《铸造工业大气污染物排放标准》（GB39726-2020）表1排放标准</w:t>
            </w:r>
            <w:r>
              <w:rPr>
                <w:rFonts w:hint="eastAsia" w:cs="宋体"/>
                <w:color w:val="auto"/>
                <w:spacing w:val="8"/>
                <w:sz w:val="24"/>
                <w:u w:val="single"/>
              </w:rPr>
              <w:t>。</w:t>
            </w:r>
          </w:p>
          <w:p w14:paraId="2C2499BF">
            <w:pPr>
              <w:spacing w:line="360" w:lineRule="auto"/>
              <w:ind w:firstLine="480" w:firstLineChars="200"/>
              <w:rPr>
                <w:rFonts w:cs="宋体"/>
                <w:color w:val="auto"/>
                <w:spacing w:val="8"/>
                <w:sz w:val="24"/>
                <w:u w:val="single"/>
              </w:rPr>
            </w:pPr>
            <w:r>
              <w:rPr>
                <w:rFonts w:hint="eastAsia"/>
                <w:b w:val="0"/>
                <w:bCs w:val="0"/>
                <w:color w:val="auto"/>
                <w:sz w:val="24"/>
                <w:u w:val="single"/>
                <w:lang w:val="en-US" w:eastAsia="zh-CN"/>
              </w:rPr>
              <w:t>布袋</w:t>
            </w:r>
            <w:r>
              <w:rPr>
                <w:b w:val="0"/>
                <w:bCs w:val="0"/>
                <w:color w:val="auto"/>
                <w:sz w:val="24"/>
                <w:u w:val="single"/>
              </w:rPr>
              <w:t>除尘器工艺原理：</w:t>
            </w:r>
            <w:r>
              <w:rPr>
                <w:rFonts w:hint="eastAsia" w:cs="宋体"/>
                <w:color w:val="auto"/>
                <w:spacing w:val="8"/>
                <w:sz w:val="24"/>
                <w:u w:val="single"/>
              </w:rPr>
              <w:t>布袋除尘器采用负压式设计，含尘气流通过风机产生的负压气流进入集气管道，后经管道进入</w:t>
            </w:r>
            <w:r>
              <w:rPr>
                <w:rFonts w:hint="eastAsia" w:cs="宋体"/>
                <w:color w:val="auto"/>
                <w:spacing w:val="8"/>
                <w:sz w:val="24"/>
                <w:u w:val="single"/>
                <w:lang w:val="en-US" w:eastAsia="zh-CN"/>
              </w:rPr>
              <w:t>袋式</w:t>
            </w:r>
            <w:r>
              <w:rPr>
                <w:rFonts w:hint="eastAsia" w:cs="宋体"/>
                <w:color w:val="auto"/>
                <w:spacing w:val="8"/>
                <w:sz w:val="24"/>
                <w:u w:val="single"/>
              </w:rPr>
              <w:t>除尘器。袋式除尘器主要由上箱体、中箱体、灰斗、卸灰系统和控制系统等几部分组成，并采用下进气分室结构。除尘器利用有机纤维或无机纤维织物做成的滤袋作过滤层。含尘烟气由进风口经中箱体下部进入灰斗，部分较大的尘粒由于惯性碰撞、自然沉降等作用直接落入灰斗，其他尘粒随气流上升进入各个袋室。经滤袋过滤后粉尘被阻留在滤袋外表面，净化后的气体从滤袋内部经过袋口、上箱体、出风口，由15m高排气筒排入大气。灰斗中的粉尘定时由输送系统卸出。</w:t>
            </w:r>
            <w:r>
              <w:rPr>
                <w:color w:val="auto"/>
                <w:sz w:val="24"/>
                <w:u w:val="single"/>
              </w:rPr>
              <w:t>含尘</w:t>
            </w:r>
            <w:r>
              <w:rPr>
                <w:rFonts w:hint="eastAsia"/>
                <w:color w:val="auto"/>
                <w:sz w:val="24"/>
                <w:u w:val="single"/>
              </w:rPr>
              <w:t>废气</w:t>
            </w:r>
            <w:r>
              <w:rPr>
                <w:color w:val="auto"/>
                <w:sz w:val="24"/>
                <w:u w:val="single"/>
              </w:rPr>
              <w:t>通过过滤材料，尘粒被过滤下来，过滤材料捕集粗粒粉尘主要靠惯性碰撞作用，捕集细粒粉尘主要靠扩散和筛分作用。滤料的粉尘层也有一定的过滤作用。</w:t>
            </w:r>
            <w:r>
              <w:rPr>
                <w:rFonts w:hint="eastAsia" w:cs="宋体"/>
                <w:color w:val="auto"/>
                <w:spacing w:val="8"/>
                <w:sz w:val="24"/>
                <w:u w:val="single"/>
              </w:rPr>
              <w:t>袋式除尘器具有除尘效率高，处理风量的范围广，结构简单，维护操作方便，造价低等优点。</w:t>
            </w:r>
          </w:p>
          <w:p w14:paraId="132AFDAB">
            <w:pPr>
              <w:spacing w:line="360" w:lineRule="auto"/>
              <w:ind w:firstLine="512" w:firstLineChars="200"/>
              <w:rPr>
                <w:color w:val="auto"/>
                <w:sz w:val="24"/>
                <w:szCs w:val="32"/>
                <w:u w:val="single"/>
              </w:rPr>
            </w:pPr>
            <w:r>
              <w:rPr>
                <w:rFonts w:hint="eastAsia" w:cs="宋体"/>
                <w:color w:val="auto"/>
                <w:spacing w:val="8"/>
                <w:sz w:val="24"/>
                <w:u w:val="single"/>
              </w:rPr>
              <w:t>本项目造型浇注废气污染物还包括非甲烷总烃，发泡工序和喷涂过程会产生有机废气，分别经集气罩收集后由二级活性炭吸附处理，根据《排污许可证申请与核发技术规范 金属铸造工业》（HJ1115-2020），本项目采用活性炭吸附为有机废气治理可行技术。本项目使用二级活性炭吸附，</w:t>
            </w:r>
            <w:r>
              <w:rPr>
                <w:rFonts w:hint="eastAsia" w:cs="宋体"/>
                <w:color w:val="auto"/>
                <w:spacing w:val="8"/>
                <w:sz w:val="24"/>
                <w:u w:val="single"/>
                <w:lang w:val="en-US" w:eastAsia="zh-CN"/>
              </w:rPr>
              <w:t>类比同类项目的验收监测数据，有机废气</w:t>
            </w:r>
            <w:r>
              <w:rPr>
                <w:rFonts w:hint="eastAsia" w:cs="宋体"/>
                <w:color w:val="auto"/>
                <w:spacing w:val="8"/>
                <w:sz w:val="24"/>
                <w:u w:val="single"/>
              </w:rPr>
              <w:t>处理效率按</w:t>
            </w:r>
            <w:r>
              <w:rPr>
                <w:rFonts w:hint="eastAsia" w:cs="宋体"/>
                <w:color w:val="auto"/>
                <w:spacing w:val="8"/>
                <w:sz w:val="24"/>
                <w:u w:val="single"/>
                <w:lang w:val="en-US" w:eastAsia="zh-CN"/>
              </w:rPr>
              <w:t>75</w:t>
            </w:r>
            <w:r>
              <w:rPr>
                <w:rFonts w:hint="eastAsia" w:cs="宋体"/>
                <w:color w:val="auto"/>
                <w:spacing w:val="8"/>
                <w:sz w:val="24"/>
                <w:u w:val="single"/>
              </w:rPr>
              <w:t>%计，根据前文源强核算，本项目发泡废气、造型浇注废气、以及喷涂废气中非甲烷总烃均可满足</w:t>
            </w:r>
            <w:r>
              <w:rPr>
                <w:color w:val="auto"/>
                <w:kern w:val="0"/>
                <w:sz w:val="24"/>
                <w:u w:val="single"/>
              </w:rPr>
              <w:t>《铸造工业大气污染物排放标准》（GB39726-2020）表1排放标准</w:t>
            </w:r>
            <w:r>
              <w:rPr>
                <w:rFonts w:hint="eastAsia" w:cs="宋体"/>
                <w:color w:val="auto"/>
                <w:spacing w:val="8"/>
                <w:sz w:val="24"/>
                <w:u w:val="single"/>
              </w:rPr>
              <w:t>。</w:t>
            </w:r>
            <w:r>
              <w:rPr>
                <w:rFonts w:hint="eastAsia"/>
                <w:color w:val="auto"/>
                <w:sz w:val="24"/>
                <w:szCs w:val="32"/>
                <w:u w:val="single"/>
              </w:rPr>
              <w:t>因此，本项目采取的废气治理措施可行。</w:t>
            </w:r>
          </w:p>
          <w:p w14:paraId="73525552">
            <w:pPr>
              <w:spacing w:line="360" w:lineRule="auto"/>
              <w:ind w:firstLine="480" w:firstLineChars="200"/>
              <w:rPr>
                <w:rFonts w:cs="宋体"/>
                <w:color w:val="auto"/>
                <w:spacing w:val="8"/>
                <w:sz w:val="24"/>
                <w:u w:val="single"/>
              </w:rPr>
            </w:pPr>
            <w:r>
              <w:rPr>
                <w:rFonts w:hint="eastAsia"/>
                <w:b w:val="0"/>
                <w:bCs w:val="0"/>
                <w:color w:val="auto"/>
                <w:sz w:val="24"/>
                <w:szCs w:val="32"/>
                <w:u w:val="single"/>
              </w:rPr>
              <w:t>活性炭吸附工艺原理：</w:t>
            </w:r>
            <w:r>
              <w:rPr>
                <w:rFonts w:hint="eastAsia" w:cs="宋体"/>
                <w:color w:val="auto"/>
                <w:spacing w:val="8"/>
                <w:sz w:val="24"/>
                <w:u w:val="single"/>
              </w:rPr>
              <w:t>活性炭是一种具有非极性表面、疏水性、亲有机物的吸附剂，所以活性炭常常被用来吸附回收空气中的有机溶剂和恶臭物质，它可以根据需要制成不同性状和粒度，如粉末活性炭、颗粒活性炭及柱状活性炭。活性炭是由各种含碳物质（如木材、泥煤、果核、椰壳等原料）在高温下炭化后，再用水蒸气或化学药品（如氯化锌、氯化锰、氯化钙和磷酸等）进行活化处理，然后制成的孔隙十分丰富的吸附剂，其孔径平均为（10～40）×10</w:t>
            </w:r>
            <w:r>
              <w:rPr>
                <w:rFonts w:hint="eastAsia" w:cs="宋体"/>
                <w:color w:val="auto"/>
                <w:spacing w:val="8"/>
                <w:sz w:val="24"/>
                <w:u w:val="single"/>
                <w:vertAlign w:val="superscript"/>
              </w:rPr>
              <w:t>-8</w:t>
            </w:r>
            <w:r>
              <w:rPr>
                <w:rFonts w:hint="eastAsia" w:cs="宋体"/>
                <w:color w:val="auto"/>
                <w:spacing w:val="8"/>
                <w:sz w:val="24"/>
                <w:u w:val="single"/>
              </w:rPr>
              <w:t>cm，比表面积一般在600～1500m</w:t>
            </w:r>
            <w:r>
              <w:rPr>
                <w:rFonts w:hint="eastAsia" w:cs="宋体"/>
                <w:color w:val="auto"/>
                <w:spacing w:val="8"/>
                <w:sz w:val="24"/>
                <w:u w:val="single"/>
                <w:vertAlign w:val="superscript"/>
              </w:rPr>
              <w:t>2</w:t>
            </w:r>
            <w:r>
              <w:rPr>
                <w:rFonts w:hint="eastAsia" w:cs="宋体"/>
                <w:color w:val="auto"/>
                <w:spacing w:val="8"/>
                <w:sz w:val="24"/>
                <w:u w:val="single"/>
              </w:rPr>
              <w:t>/g范围内，有很强的吸附能力，能在它的表面上吸附气体、液体或胶态固体，由于活性炭固体表面上存在着未平衡和未饱和的分子引力或化学健力，因此当其与气体接触时，就能吸引气体分子，使其浓聚并保持在固体表面，污染物质从而被吸附，使废气得到净化。活性炭吸附是目前使用最广泛的有机废气净化处理技术，为有机废气处理可行技术，运行费用较低，因此活性炭吸附技术经济可行。</w:t>
            </w:r>
          </w:p>
          <w:p w14:paraId="38A02094">
            <w:pPr>
              <w:spacing w:line="360" w:lineRule="auto"/>
              <w:ind w:firstLine="512" w:firstLineChars="200"/>
              <w:rPr>
                <w:rFonts w:cs="宋体"/>
                <w:color w:val="auto"/>
                <w:spacing w:val="8"/>
                <w:sz w:val="24"/>
                <w:u w:val="single"/>
              </w:rPr>
            </w:pPr>
            <w:r>
              <w:rPr>
                <w:rFonts w:hint="eastAsia" w:cs="宋体"/>
                <w:color w:val="auto"/>
                <w:spacing w:val="8"/>
                <w:sz w:val="24"/>
                <w:u w:val="single"/>
              </w:rPr>
              <w:t>为了加大对有机气体的吸附效率，按照《吸附法工业有机废气治理工程技术规范》，项目采用二级活性炭吸附装置，即在一级吸附的基础上再加一道活性炭吸附装置。其主要工作原理是：当一级活性炭吸附趋于饱和时，原二级吸附变更为一级吸附，并且更新的吸附装置重新添加新活性炭作为二级吸附，这样可确保废气最大量的吸收，同时也降低事故排放的风险。根据《排污许可证申请与核发技术规范 金属铸造工业》（HJ1115-2020），本项目采用二级活性炭吸附为废气治理可行技术，对照《国家污染防治技术指导目录》（2024 年，限制类和淘汰类），活性炭吸附有机废气不属于目录中的限制类及淘汰类技术。</w:t>
            </w:r>
          </w:p>
          <w:p w14:paraId="720E95EB">
            <w:pPr>
              <w:spacing w:line="360" w:lineRule="auto"/>
              <w:ind w:firstLine="512" w:firstLineChars="200"/>
              <w:rPr>
                <w:rFonts w:cs="宋体"/>
                <w:color w:val="auto"/>
                <w:spacing w:val="8"/>
                <w:sz w:val="24"/>
                <w:u w:val="single"/>
              </w:rPr>
            </w:pPr>
            <w:r>
              <w:rPr>
                <w:rFonts w:hint="eastAsia" w:cs="宋体"/>
                <w:color w:val="auto"/>
                <w:spacing w:val="8"/>
                <w:sz w:val="24"/>
                <w:u w:val="single"/>
              </w:rPr>
              <w:t>活性炭吸附饱和后，应及时更换饱和的活性炭，补充新鲜的活性炭，这样才能保证有机废气的稳定达标排放。同时，建设单位也应定期对集气罩进行检查维护，确保废气收集效率。</w:t>
            </w:r>
          </w:p>
          <w:p w14:paraId="349A5581">
            <w:pPr>
              <w:pStyle w:val="12"/>
              <w:spacing w:before="0" w:after="0" w:line="360" w:lineRule="auto"/>
              <w:ind w:right="0" w:firstLine="512" w:firstLineChars="200"/>
              <w:rPr>
                <w:rFonts w:cs="宋体"/>
                <w:color w:val="auto"/>
                <w:spacing w:val="8"/>
                <w:kern w:val="2"/>
                <w:sz w:val="24"/>
                <w:szCs w:val="24"/>
                <w:u w:val="single"/>
              </w:rPr>
            </w:pPr>
            <w:r>
              <w:rPr>
                <w:rFonts w:hint="eastAsia" w:cs="宋体"/>
                <w:color w:val="auto"/>
                <w:spacing w:val="8"/>
                <w:kern w:val="2"/>
                <w:sz w:val="24"/>
                <w:szCs w:val="24"/>
                <w:u w:val="single"/>
              </w:rPr>
              <w:t xml:space="preserve">6）无组织废气污染防治措施可行性 </w:t>
            </w:r>
          </w:p>
          <w:p w14:paraId="1FCEF687">
            <w:pPr>
              <w:pStyle w:val="12"/>
              <w:spacing w:before="0" w:after="0" w:line="360" w:lineRule="auto"/>
              <w:ind w:right="0" w:firstLine="512" w:firstLineChars="200"/>
              <w:rPr>
                <w:rFonts w:cs="宋体"/>
                <w:color w:val="auto"/>
                <w:spacing w:val="8"/>
                <w:kern w:val="2"/>
                <w:sz w:val="24"/>
                <w:szCs w:val="24"/>
                <w:u w:val="single"/>
              </w:rPr>
            </w:pPr>
            <w:r>
              <w:rPr>
                <w:rFonts w:hint="eastAsia" w:cs="宋体"/>
                <w:color w:val="auto"/>
                <w:spacing w:val="8"/>
                <w:kern w:val="2"/>
                <w:sz w:val="24"/>
                <w:szCs w:val="24"/>
                <w:u w:val="single"/>
              </w:rPr>
              <w:t>建设单位通过以下措施加强以上无组织废气控制：①提高生产车间密闭程度，尽量将车间门窗密闭，正常生产过程中严禁开窗通风。②合理设计送排风系统，尽量将废气收集集中处置、排放，减少无组织排放废气的产生量，减少其环境影响。③结合车间生产现场的实际工况，尽最大程度包围废气溢散点，防止车间横向气流的干扰，将废气重点挥发源进行区域性的密闭。集气罩控制风速不应低于0.3 m/s，考虑到收集效率，提高废气捕集率，尽量控制不低于0.5 m/s。④加强生产管理，规范操作，使设备处于正常工作状态，减少生产、控制、输送等过程中的有机废气散发。</w:t>
            </w:r>
          </w:p>
          <w:p w14:paraId="61D46984">
            <w:pPr>
              <w:spacing w:line="360" w:lineRule="auto"/>
              <w:ind w:firstLine="514" w:firstLineChars="200"/>
              <w:rPr>
                <w:rFonts w:cs="宋体"/>
                <w:b/>
                <w:bCs/>
                <w:color w:val="auto"/>
                <w:spacing w:val="8"/>
                <w:sz w:val="24"/>
              </w:rPr>
            </w:pPr>
            <w:r>
              <w:rPr>
                <w:rFonts w:hint="eastAsia" w:cs="宋体"/>
                <w:b/>
                <w:bCs/>
                <w:color w:val="auto"/>
                <w:spacing w:val="8"/>
                <w:sz w:val="24"/>
              </w:rPr>
              <w:t>（3）排气筒高度合理性论证</w:t>
            </w:r>
          </w:p>
          <w:p w14:paraId="2CE0C9F1">
            <w:pPr>
              <w:spacing w:line="360" w:lineRule="auto"/>
              <w:ind w:firstLine="512" w:firstLineChars="200"/>
              <w:rPr>
                <w:rFonts w:cs="宋体"/>
                <w:color w:val="auto"/>
                <w:spacing w:val="8"/>
                <w:sz w:val="24"/>
              </w:rPr>
            </w:pPr>
            <w:r>
              <w:rPr>
                <w:rFonts w:hint="eastAsia" w:cs="宋体"/>
                <w:color w:val="auto"/>
                <w:spacing w:val="8"/>
                <w:sz w:val="24"/>
              </w:rPr>
              <w:t>根据《铸造工业大气污染物排放标准》（GB39726-2020）“4.7 除移动式除尘设备外，其他车间或生产设施排气筒高度不低于15 m。”本项目排气筒均为15m，可以满足《铸造工业大气污染物排放标准》（GB39726-2020）要求。</w:t>
            </w:r>
          </w:p>
          <w:p w14:paraId="46AFE5FC">
            <w:pPr>
              <w:spacing w:line="360" w:lineRule="auto"/>
              <w:ind w:firstLine="514" w:firstLineChars="200"/>
              <w:rPr>
                <w:rFonts w:cs="宋体"/>
                <w:b/>
                <w:bCs/>
                <w:color w:val="auto"/>
                <w:spacing w:val="8"/>
                <w:sz w:val="24"/>
              </w:rPr>
            </w:pPr>
            <w:r>
              <w:rPr>
                <w:rFonts w:hint="eastAsia" w:cs="宋体"/>
                <w:b/>
                <w:bCs/>
                <w:color w:val="auto"/>
                <w:spacing w:val="8"/>
                <w:sz w:val="24"/>
              </w:rPr>
              <w:t>（4）废气排放口基本情况</w:t>
            </w:r>
          </w:p>
          <w:p w14:paraId="6516E0AB">
            <w:pPr>
              <w:pStyle w:val="38"/>
              <w:ind w:firstLine="512" w:firstLineChars="200"/>
              <w:rPr>
                <w:rFonts w:ascii="Times New Roman" w:hAnsi="Times New Roman"/>
                <w:color w:val="auto"/>
                <w:spacing w:val="8"/>
              </w:rPr>
            </w:pPr>
            <w:r>
              <w:rPr>
                <w:rFonts w:hint="eastAsia" w:ascii="Times New Roman" w:hAnsi="Times New Roman"/>
                <w:color w:val="auto"/>
                <w:spacing w:val="8"/>
              </w:rPr>
              <w:t>项目废气排放口基本情况见下表。</w:t>
            </w:r>
          </w:p>
          <w:p w14:paraId="39B5DE15">
            <w:pPr>
              <w:jc w:val="center"/>
              <w:rPr>
                <w:b/>
                <w:bCs/>
                <w:color w:val="auto"/>
                <w:szCs w:val="21"/>
              </w:rPr>
            </w:pPr>
            <w:r>
              <w:rPr>
                <w:b/>
                <w:bCs/>
                <w:color w:val="auto"/>
                <w:szCs w:val="21"/>
              </w:rPr>
              <w:t>表4-</w:t>
            </w:r>
            <w:r>
              <w:rPr>
                <w:rFonts w:hint="eastAsia"/>
                <w:b/>
                <w:bCs/>
                <w:color w:val="auto"/>
                <w:szCs w:val="21"/>
              </w:rPr>
              <w:t>7</w:t>
            </w:r>
            <w:r>
              <w:rPr>
                <w:b/>
                <w:bCs/>
                <w:color w:val="auto"/>
                <w:szCs w:val="21"/>
              </w:rPr>
              <w:t xml:space="preserve"> 大气排放口基本信息</w:t>
            </w:r>
          </w:p>
          <w:tbl>
            <w:tblPr>
              <w:tblStyle w:val="30"/>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1"/>
              <w:gridCol w:w="934"/>
              <w:gridCol w:w="1446"/>
              <w:gridCol w:w="1139"/>
              <w:gridCol w:w="1169"/>
              <w:gridCol w:w="1054"/>
              <w:gridCol w:w="1944"/>
            </w:tblGrid>
            <w:tr w14:paraId="6D9B7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14:paraId="11159CEE">
                  <w:pPr>
                    <w:pStyle w:val="78"/>
                    <w:rPr>
                      <w:color w:val="auto"/>
                      <w:szCs w:val="21"/>
                    </w:rPr>
                  </w:pPr>
                  <w:r>
                    <w:rPr>
                      <w:color w:val="auto"/>
                      <w:szCs w:val="21"/>
                    </w:rPr>
                    <w:t>排放口编号</w:t>
                  </w:r>
                </w:p>
              </w:tc>
              <w:tc>
                <w:tcPr>
                  <w:tcW w:w="934" w:type="dxa"/>
                  <w:vAlign w:val="center"/>
                </w:tcPr>
                <w:p w14:paraId="05320D03">
                  <w:pPr>
                    <w:pStyle w:val="78"/>
                    <w:rPr>
                      <w:color w:val="auto"/>
                      <w:szCs w:val="21"/>
                    </w:rPr>
                  </w:pPr>
                  <w:r>
                    <w:rPr>
                      <w:color w:val="auto"/>
                      <w:szCs w:val="21"/>
                    </w:rPr>
                    <w:t>排放口</w:t>
                  </w:r>
                </w:p>
                <w:p w14:paraId="6C29E88E">
                  <w:pPr>
                    <w:pStyle w:val="78"/>
                    <w:rPr>
                      <w:color w:val="auto"/>
                      <w:szCs w:val="21"/>
                    </w:rPr>
                  </w:pPr>
                  <w:r>
                    <w:rPr>
                      <w:rFonts w:hint="eastAsia"/>
                      <w:color w:val="auto"/>
                      <w:szCs w:val="21"/>
                    </w:rPr>
                    <w:t>类型</w:t>
                  </w:r>
                </w:p>
              </w:tc>
              <w:tc>
                <w:tcPr>
                  <w:tcW w:w="1446" w:type="dxa"/>
                  <w:vAlign w:val="center"/>
                </w:tcPr>
                <w:p w14:paraId="1ECB7FD5">
                  <w:pPr>
                    <w:pStyle w:val="78"/>
                    <w:rPr>
                      <w:color w:val="auto"/>
                      <w:szCs w:val="21"/>
                    </w:rPr>
                  </w:pPr>
                  <w:r>
                    <w:rPr>
                      <w:color w:val="auto"/>
                      <w:szCs w:val="21"/>
                    </w:rPr>
                    <w:t>排放口地理</w:t>
                  </w:r>
                </w:p>
                <w:p w14:paraId="7FF3C5BF">
                  <w:pPr>
                    <w:pStyle w:val="78"/>
                    <w:rPr>
                      <w:color w:val="auto"/>
                      <w:szCs w:val="21"/>
                    </w:rPr>
                  </w:pPr>
                  <w:r>
                    <w:rPr>
                      <w:color w:val="auto"/>
                      <w:szCs w:val="21"/>
                    </w:rPr>
                    <w:t>坐标</w:t>
                  </w:r>
                </w:p>
              </w:tc>
              <w:tc>
                <w:tcPr>
                  <w:tcW w:w="1139" w:type="dxa"/>
                  <w:vAlign w:val="center"/>
                </w:tcPr>
                <w:p w14:paraId="45F63981">
                  <w:pPr>
                    <w:pStyle w:val="78"/>
                    <w:rPr>
                      <w:color w:val="auto"/>
                      <w:szCs w:val="21"/>
                    </w:rPr>
                  </w:pPr>
                  <w:r>
                    <w:rPr>
                      <w:color w:val="auto"/>
                      <w:szCs w:val="21"/>
                    </w:rPr>
                    <w:t>排气筒高度（m）</w:t>
                  </w:r>
                </w:p>
              </w:tc>
              <w:tc>
                <w:tcPr>
                  <w:tcW w:w="1169" w:type="dxa"/>
                  <w:vAlign w:val="center"/>
                </w:tcPr>
                <w:p w14:paraId="1208F34A">
                  <w:pPr>
                    <w:pStyle w:val="78"/>
                    <w:rPr>
                      <w:color w:val="auto"/>
                      <w:szCs w:val="21"/>
                    </w:rPr>
                  </w:pPr>
                  <w:r>
                    <w:rPr>
                      <w:color w:val="auto"/>
                      <w:szCs w:val="21"/>
                    </w:rPr>
                    <w:t>排气筒出口内径（m）</w:t>
                  </w:r>
                </w:p>
              </w:tc>
              <w:tc>
                <w:tcPr>
                  <w:tcW w:w="1054" w:type="dxa"/>
                  <w:vAlign w:val="center"/>
                </w:tcPr>
                <w:p w14:paraId="7C6A2729">
                  <w:pPr>
                    <w:pStyle w:val="78"/>
                    <w:rPr>
                      <w:color w:val="auto"/>
                      <w:szCs w:val="21"/>
                    </w:rPr>
                  </w:pPr>
                  <w:r>
                    <w:rPr>
                      <w:color w:val="auto"/>
                      <w:szCs w:val="21"/>
                    </w:rPr>
                    <w:t>排气筒温度（℃）</w:t>
                  </w:r>
                </w:p>
              </w:tc>
              <w:tc>
                <w:tcPr>
                  <w:tcW w:w="1944" w:type="dxa"/>
                  <w:vAlign w:val="center"/>
                </w:tcPr>
                <w:p w14:paraId="0F6D4277">
                  <w:pPr>
                    <w:pStyle w:val="78"/>
                    <w:rPr>
                      <w:color w:val="auto"/>
                      <w:szCs w:val="21"/>
                    </w:rPr>
                  </w:pPr>
                  <w:r>
                    <w:rPr>
                      <w:color w:val="auto"/>
                      <w:szCs w:val="21"/>
                    </w:rPr>
                    <w:t>排放标准</w:t>
                  </w:r>
                </w:p>
              </w:tc>
            </w:tr>
            <w:tr w14:paraId="73659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14:paraId="00657D47">
                  <w:pPr>
                    <w:pStyle w:val="78"/>
                    <w:rPr>
                      <w:color w:val="auto"/>
                      <w:szCs w:val="21"/>
                    </w:rPr>
                  </w:pPr>
                  <w:r>
                    <w:rPr>
                      <w:rFonts w:hint="eastAsia"/>
                      <w:color w:val="auto"/>
                      <w:szCs w:val="21"/>
                    </w:rPr>
                    <w:t>DA001</w:t>
                  </w:r>
                </w:p>
              </w:tc>
              <w:tc>
                <w:tcPr>
                  <w:tcW w:w="934" w:type="dxa"/>
                  <w:vAlign w:val="center"/>
                </w:tcPr>
                <w:p w14:paraId="5083B913">
                  <w:pPr>
                    <w:pStyle w:val="78"/>
                    <w:rPr>
                      <w:color w:val="auto"/>
                      <w:szCs w:val="21"/>
                    </w:rPr>
                  </w:pPr>
                  <w:r>
                    <w:rPr>
                      <w:rFonts w:hint="eastAsia"/>
                      <w:color w:val="auto"/>
                      <w:szCs w:val="21"/>
                    </w:rPr>
                    <w:t>一般排放口</w:t>
                  </w:r>
                </w:p>
              </w:tc>
              <w:tc>
                <w:tcPr>
                  <w:tcW w:w="1446" w:type="dxa"/>
                  <w:vAlign w:val="center"/>
                </w:tcPr>
                <w:p w14:paraId="685FF527">
                  <w:pPr>
                    <w:pStyle w:val="78"/>
                    <w:rPr>
                      <w:color w:val="auto"/>
                      <w:szCs w:val="21"/>
                    </w:rPr>
                  </w:pPr>
                  <w:r>
                    <w:rPr>
                      <w:rFonts w:hint="eastAsia"/>
                      <w:color w:val="auto"/>
                      <w:szCs w:val="21"/>
                    </w:rPr>
                    <w:t>E 112.962722</w:t>
                  </w:r>
                </w:p>
                <w:p w14:paraId="444CCCEF">
                  <w:pPr>
                    <w:pStyle w:val="78"/>
                    <w:rPr>
                      <w:color w:val="auto"/>
                      <w:szCs w:val="21"/>
                    </w:rPr>
                  </w:pPr>
                  <w:r>
                    <w:rPr>
                      <w:rFonts w:hint="eastAsia"/>
                      <w:color w:val="auto"/>
                      <w:szCs w:val="21"/>
                    </w:rPr>
                    <w:t>N27.763831</w:t>
                  </w:r>
                </w:p>
              </w:tc>
              <w:tc>
                <w:tcPr>
                  <w:tcW w:w="1139" w:type="dxa"/>
                  <w:vAlign w:val="center"/>
                </w:tcPr>
                <w:p w14:paraId="515EB8A7">
                  <w:pPr>
                    <w:pStyle w:val="78"/>
                    <w:rPr>
                      <w:color w:val="auto"/>
                      <w:szCs w:val="21"/>
                    </w:rPr>
                  </w:pPr>
                  <w:r>
                    <w:rPr>
                      <w:rFonts w:hint="eastAsia"/>
                      <w:color w:val="auto"/>
                      <w:szCs w:val="21"/>
                    </w:rPr>
                    <w:t>15</w:t>
                  </w:r>
                </w:p>
              </w:tc>
              <w:tc>
                <w:tcPr>
                  <w:tcW w:w="1169" w:type="dxa"/>
                  <w:vAlign w:val="center"/>
                </w:tcPr>
                <w:p w14:paraId="39DEB19D">
                  <w:pPr>
                    <w:pStyle w:val="78"/>
                    <w:rPr>
                      <w:color w:val="auto"/>
                      <w:szCs w:val="21"/>
                    </w:rPr>
                  </w:pPr>
                  <w:r>
                    <w:rPr>
                      <w:rFonts w:hint="eastAsia"/>
                      <w:color w:val="auto"/>
                      <w:szCs w:val="21"/>
                    </w:rPr>
                    <w:t>0.15</w:t>
                  </w:r>
                </w:p>
              </w:tc>
              <w:tc>
                <w:tcPr>
                  <w:tcW w:w="1054" w:type="dxa"/>
                  <w:vAlign w:val="center"/>
                </w:tcPr>
                <w:p w14:paraId="2F50B0CC">
                  <w:pPr>
                    <w:pStyle w:val="78"/>
                    <w:rPr>
                      <w:color w:val="auto"/>
                      <w:szCs w:val="21"/>
                    </w:rPr>
                  </w:pPr>
                  <w:r>
                    <w:rPr>
                      <w:rFonts w:hint="eastAsia"/>
                      <w:color w:val="auto"/>
                      <w:szCs w:val="21"/>
                    </w:rPr>
                    <w:t>100</w:t>
                  </w:r>
                </w:p>
              </w:tc>
              <w:tc>
                <w:tcPr>
                  <w:tcW w:w="1944" w:type="dxa"/>
                  <w:vAlign w:val="center"/>
                </w:tcPr>
                <w:p w14:paraId="459B5701">
                  <w:pPr>
                    <w:pStyle w:val="78"/>
                    <w:rPr>
                      <w:color w:val="auto"/>
                      <w:szCs w:val="21"/>
                    </w:rPr>
                  </w:pPr>
                  <w:r>
                    <w:rPr>
                      <w:color w:val="auto"/>
                      <w:szCs w:val="21"/>
                    </w:rPr>
                    <w:t>《铸造工业大气污染物排放标准》（GB39726-2020）</w:t>
                  </w:r>
                </w:p>
              </w:tc>
            </w:tr>
            <w:tr w14:paraId="575A5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14:paraId="1AD7D8E3">
                  <w:pPr>
                    <w:pStyle w:val="78"/>
                    <w:rPr>
                      <w:color w:val="auto"/>
                      <w:szCs w:val="21"/>
                    </w:rPr>
                  </w:pPr>
                  <w:r>
                    <w:rPr>
                      <w:rFonts w:hint="eastAsia"/>
                      <w:color w:val="auto"/>
                      <w:szCs w:val="21"/>
                    </w:rPr>
                    <w:t>DA002</w:t>
                  </w:r>
                </w:p>
              </w:tc>
              <w:tc>
                <w:tcPr>
                  <w:tcW w:w="934" w:type="dxa"/>
                  <w:vAlign w:val="center"/>
                </w:tcPr>
                <w:p w14:paraId="65A83209">
                  <w:pPr>
                    <w:pStyle w:val="78"/>
                    <w:rPr>
                      <w:color w:val="auto"/>
                      <w:szCs w:val="21"/>
                    </w:rPr>
                  </w:pPr>
                  <w:r>
                    <w:rPr>
                      <w:rFonts w:hint="eastAsia"/>
                      <w:color w:val="auto"/>
                      <w:szCs w:val="21"/>
                    </w:rPr>
                    <w:t>一般排放口</w:t>
                  </w:r>
                </w:p>
              </w:tc>
              <w:tc>
                <w:tcPr>
                  <w:tcW w:w="1446" w:type="dxa"/>
                  <w:vAlign w:val="center"/>
                </w:tcPr>
                <w:p w14:paraId="00947E9B">
                  <w:pPr>
                    <w:pStyle w:val="78"/>
                    <w:rPr>
                      <w:color w:val="auto"/>
                      <w:szCs w:val="21"/>
                    </w:rPr>
                  </w:pPr>
                  <w:r>
                    <w:rPr>
                      <w:rFonts w:hint="eastAsia"/>
                      <w:color w:val="auto"/>
                      <w:szCs w:val="21"/>
                    </w:rPr>
                    <w:t>E 112.962608</w:t>
                  </w:r>
                </w:p>
                <w:p w14:paraId="5BC9B309">
                  <w:pPr>
                    <w:pStyle w:val="78"/>
                    <w:rPr>
                      <w:color w:val="auto"/>
                      <w:szCs w:val="21"/>
                    </w:rPr>
                  </w:pPr>
                  <w:r>
                    <w:rPr>
                      <w:rFonts w:hint="eastAsia"/>
                      <w:color w:val="auto"/>
                      <w:szCs w:val="21"/>
                    </w:rPr>
                    <w:t>N27.763881</w:t>
                  </w:r>
                </w:p>
              </w:tc>
              <w:tc>
                <w:tcPr>
                  <w:tcW w:w="1139" w:type="dxa"/>
                  <w:vAlign w:val="center"/>
                </w:tcPr>
                <w:p w14:paraId="63E638FC">
                  <w:pPr>
                    <w:pStyle w:val="78"/>
                    <w:rPr>
                      <w:color w:val="auto"/>
                      <w:szCs w:val="21"/>
                    </w:rPr>
                  </w:pPr>
                  <w:r>
                    <w:rPr>
                      <w:rFonts w:hint="eastAsia"/>
                      <w:color w:val="auto"/>
                      <w:szCs w:val="21"/>
                    </w:rPr>
                    <w:t>15</w:t>
                  </w:r>
                </w:p>
              </w:tc>
              <w:tc>
                <w:tcPr>
                  <w:tcW w:w="1169" w:type="dxa"/>
                  <w:vAlign w:val="center"/>
                </w:tcPr>
                <w:p w14:paraId="12250340">
                  <w:pPr>
                    <w:pStyle w:val="78"/>
                    <w:rPr>
                      <w:color w:val="auto"/>
                      <w:szCs w:val="21"/>
                    </w:rPr>
                  </w:pPr>
                  <w:r>
                    <w:rPr>
                      <w:rFonts w:hint="eastAsia"/>
                      <w:color w:val="auto"/>
                      <w:szCs w:val="21"/>
                    </w:rPr>
                    <w:t>0.3</w:t>
                  </w:r>
                </w:p>
              </w:tc>
              <w:tc>
                <w:tcPr>
                  <w:tcW w:w="1054" w:type="dxa"/>
                  <w:vAlign w:val="center"/>
                </w:tcPr>
                <w:p w14:paraId="30FA70B6">
                  <w:pPr>
                    <w:pStyle w:val="78"/>
                    <w:rPr>
                      <w:color w:val="auto"/>
                      <w:szCs w:val="21"/>
                    </w:rPr>
                  </w:pPr>
                  <w:r>
                    <w:rPr>
                      <w:rFonts w:hint="eastAsia"/>
                      <w:color w:val="auto"/>
                      <w:szCs w:val="21"/>
                    </w:rPr>
                    <w:t>35</w:t>
                  </w:r>
                </w:p>
              </w:tc>
              <w:tc>
                <w:tcPr>
                  <w:tcW w:w="1944" w:type="dxa"/>
                  <w:vAlign w:val="center"/>
                </w:tcPr>
                <w:p w14:paraId="12C2D461">
                  <w:pPr>
                    <w:pStyle w:val="78"/>
                    <w:rPr>
                      <w:color w:val="auto"/>
                      <w:szCs w:val="21"/>
                    </w:rPr>
                  </w:pPr>
                  <w:r>
                    <w:rPr>
                      <w:color w:val="auto"/>
                      <w:szCs w:val="21"/>
                    </w:rPr>
                    <w:t>《铸造工业大气污染物排放标准》（GB39726-2020）</w:t>
                  </w:r>
                </w:p>
              </w:tc>
            </w:tr>
            <w:tr w14:paraId="0D841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14:paraId="3F571CC9">
                  <w:pPr>
                    <w:pStyle w:val="78"/>
                    <w:rPr>
                      <w:color w:val="auto"/>
                      <w:szCs w:val="21"/>
                    </w:rPr>
                  </w:pPr>
                  <w:r>
                    <w:rPr>
                      <w:rFonts w:hint="eastAsia"/>
                      <w:color w:val="auto"/>
                      <w:szCs w:val="21"/>
                    </w:rPr>
                    <w:t>DA003</w:t>
                  </w:r>
                </w:p>
              </w:tc>
              <w:tc>
                <w:tcPr>
                  <w:tcW w:w="934" w:type="dxa"/>
                  <w:vAlign w:val="center"/>
                </w:tcPr>
                <w:p w14:paraId="0BF82F5A">
                  <w:pPr>
                    <w:pStyle w:val="78"/>
                    <w:rPr>
                      <w:color w:val="auto"/>
                      <w:szCs w:val="21"/>
                    </w:rPr>
                  </w:pPr>
                  <w:r>
                    <w:rPr>
                      <w:rFonts w:hint="eastAsia"/>
                      <w:color w:val="auto"/>
                      <w:szCs w:val="21"/>
                    </w:rPr>
                    <w:t>一般排放口</w:t>
                  </w:r>
                </w:p>
              </w:tc>
              <w:tc>
                <w:tcPr>
                  <w:tcW w:w="1446" w:type="dxa"/>
                  <w:vAlign w:val="center"/>
                </w:tcPr>
                <w:p w14:paraId="4B3D4B7D">
                  <w:pPr>
                    <w:pStyle w:val="78"/>
                    <w:rPr>
                      <w:color w:val="auto"/>
                      <w:szCs w:val="21"/>
                    </w:rPr>
                  </w:pPr>
                  <w:r>
                    <w:rPr>
                      <w:rFonts w:hint="eastAsia"/>
                      <w:color w:val="auto"/>
                      <w:szCs w:val="21"/>
                    </w:rPr>
                    <w:t>E 112.961736</w:t>
                  </w:r>
                </w:p>
                <w:p w14:paraId="0985D24E">
                  <w:pPr>
                    <w:pStyle w:val="78"/>
                    <w:rPr>
                      <w:color w:val="auto"/>
                      <w:szCs w:val="21"/>
                    </w:rPr>
                  </w:pPr>
                  <w:r>
                    <w:rPr>
                      <w:rFonts w:hint="eastAsia"/>
                      <w:color w:val="auto"/>
                      <w:szCs w:val="21"/>
                    </w:rPr>
                    <w:t>N27.763642</w:t>
                  </w:r>
                </w:p>
              </w:tc>
              <w:tc>
                <w:tcPr>
                  <w:tcW w:w="1139" w:type="dxa"/>
                  <w:vAlign w:val="center"/>
                </w:tcPr>
                <w:p w14:paraId="6DE1B048">
                  <w:pPr>
                    <w:pStyle w:val="78"/>
                    <w:rPr>
                      <w:color w:val="auto"/>
                      <w:szCs w:val="21"/>
                    </w:rPr>
                  </w:pPr>
                  <w:r>
                    <w:rPr>
                      <w:rFonts w:hint="eastAsia"/>
                      <w:color w:val="auto"/>
                      <w:szCs w:val="21"/>
                    </w:rPr>
                    <w:t>15</w:t>
                  </w:r>
                </w:p>
              </w:tc>
              <w:tc>
                <w:tcPr>
                  <w:tcW w:w="1169" w:type="dxa"/>
                  <w:vAlign w:val="center"/>
                </w:tcPr>
                <w:p w14:paraId="0634B1F8">
                  <w:pPr>
                    <w:pStyle w:val="78"/>
                    <w:rPr>
                      <w:color w:val="auto"/>
                      <w:szCs w:val="21"/>
                    </w:rPr>
                  </w:pPr>
                  <w:r>
                    <w:rPr>
                      <w:rFonts w:hint="eastAsia"/>
                      <w:color w:val="auto"/>
                      <w:szCs w:val="21"/>
                    </w:rPr>
                    <w:t>1.0</w:t>
                  </w:r>
                </w:p>
              </w:tc>
              <w:tc>
                <w:tcPr>
                  <w:tcW w:w="1054" w:type="dxa"/>
                  <w:vAlign w:val="center"/>
                </w:tcPr>
                <w:p w14:paraId="2E9C3BA8">
                  <w:pPr>
                    <w:pStyle w:val="78"/>
                    <w:rPr>
                      <w:color w:val="auto"/>
                      <w:szCs w:val="21"/>
                    </w:rPr>
                  </w:pPr>
                  <w:r>
                    <w:rPr>
                      <w:rFonts w:hint="eastAsia"/>
                      <w:color w:val="auto"/>
                      <w:szCs w:val="21"/>
                    </w:rPr>
                    <w:t>70</w:t>
                  </w:r>
                </w:p>
              </w:tc>
              <w:tc>
                <w:tcPr>
                  <w:tcW w:w="1944" w:type="dxa"/>
                  <w:vAlign w:val="center"/>
                </w:tcPr>
                <w:p w14:paraId="3AA9573A">
                  <w:pPr>
                    <w:pStyle w:val="78"/>
                    <w:rPr>
                      <w:color w:val="auto"/>
                      <w:szCs w:val="21"/>
                    </w:rPr>
                  </w:pPr>
                  <w:r>
                    <w:rPr>
                      <w:color w:val="auto"/>
                      <w:szCs w:val="21"/>
                    </w:rPr>
                    <w:t>《铸造工业大气污染物排放标准》（GB39726-2020）</w:t>
                  </w:r>
                </w:p>
              </w:tc>
            </w:tr>
            <w:tr w14:paraId="0B661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14:paraId="1EC98EAF">
                  <w:pPr>
                    <w:pStyle w:val="78"/>
                    <w:rPr>
                      <w:color w:val="auto"/>
                      <w:szCs w:val="21"/>
                    </w:rPr>
                  </w:pPr>
                  <w:r>
                    <w:rPr>
                      <w:rFonts w:hint="eastAsia"/>
                      <w:color w:val="auto"/>
                      <w:szCs w:val="21"/>
                    </w:rPr>
                    <w:t>DA004</w:t>
                  </w:r>
                </w:p>
              </w:tc>
              <w:tc>
                <w:tcPr>
                  <w:tcW w:w="934" w:type="dxa"/>
                  <w:vAlign w:val="center"/>
                </w:tcPr>
                <w:p w14:paraId="35739E06">
                  <w:pPr>
                    <w:pStyle w:val="78"/>
                    <w:rPr>
                      <w:color w:val="auto"/>
                      <w:szCs w:val="21"/>
                    </w:rPr>
                  </w:pPr>
                  <w:r>
                    <w:rPr>
                      <w:rFonts w:hint="eastAsia"/>
                      <w:color w:val="auto"/>
                      <w:szCs w:val="21"/>
                    </w:rPr>
                    <w:t>一般排放口</w:t>
                  </w:r>
                </w:p>
              </w:tc>
              <w:tc>
                <w:tcPr>
                  <w:tcW w:w="1446" w:type="dxa"/>
                  <w:vAlign w:val="center"/>
                </w:tcPr>
                <w:p w14:paraId="2F822CD7">
                  <w:pPr>
                    <w:pStyle w:val="78"/>
                    <w:rPr>
                      <w:color w:val="auto"/>
                      <w:szCs w:val="21"/>
                    </w:rPr>
                  </w:pPr>
                  <w:r>
                    <w:rPr>
                      <w:rFonts w:hint="eastAsia"/>
                      <w:color w:val="auto"/>
                      <w:szCs w:val="21"/>
                    </w:rPr>
                    <w:t>E 112.961584</w:t>
                  </w:r>
                </w:p>
                <w:p w14:paraId="2FFEF3B9">
                  <w:pPr>
                    <w:pStyle w:val="78"/>
                    <w:rPr>
                      <w:color w:val="auto"/>
                      <w:szCs w:val="21"/>
                    </w:rPr>
                  </w:pPr>
                  <w:r>
                    <w:rPr>
                      <w:rFonts w:hint="eastAsia"/>
                      <w:color w:val="auto"/>
                      <w:szCs w:val="21"/>
                    </w:rPr>
                    <w:t>N27.763646</w:t>
                  </w:r>
                </w:p>
              </w:tc>
              <w:tc>
                <w:tcPr>
                  <w:tcW w:w="1139" w:type="dxa"/>
                  <w:vAlign w:val="center"/>
                </w:tcPr>
                <w:p w14:paraId="62D8BBD9">
                  <w:pPr>
                    <w:pStyle w:val="78"/>
                    <w:rPr>
                      <w:color w:val="auto"/>
                      <w:szCs w:val="21"/>
                    </w:rPr>
                  </w:pPr>
                  <w:r>
                    <w:rPr>
                      <w:rFonts w:hint="eastAsia"/>
                      <w:color w:val="auto"/>
                      <w:szCs w:val="21"/>
                    </w:rPr>
                    <w:t>15</w:t>
                  </w:r>
                </w:p>
              </w:tc>
              <w:tc>
                <w:tcPr>
                  <w:tcW w:w="1169" w:type="dxa"/>
                  <w:vAlign w:val="center"/>
                </w:tcPr>
                <w:p w14:paraId="2FAB6427">
                  <w:pPr>
                    <w:pStyle w:val="78"/>
                    <w:rPr>
                      <w:color w:val="auto"/>
                      <w:szCs w:val="21"/>
                    </w:rPr>
                  </w:pPr>
                  <w:r>
                    <w:rPr>
                      <w:rFonts w:hint="eastAsia"/>
                      <w:color w:val="auto"/>
                      <w:szCs w:val="21"/>
                    </w:rPr>
                    <w:t>0.8</w:t>
                  </w:r>
                </w:p>
              </w:tc>
              <w:tc>
                <w:tcPr>
                  <w:tcW w:w="1054" w:type="dxa"/>
                  <w:vAlign w:val="center"/>
                </w:tcPr>
                <w:p w14:paraId="5D2DEA5B">
                  <w:pPr>
                    <w:pStyle w:val="78"/>
                    <w:rPr>
                      <w:color w:val="auto"/>
                      <w:szCs w:val="21"/>
                    </w:rPr>
                  </w:pPr>
                  <w:r>
                    <w:rPr>
                      <w:rFonts w:hint="eastAsia"/>
                      <w:color w:val="auto"/>
                      <w:szCs w:val="21"/>
                    </w:rPr>
                    <w:t>25</w:t>
                  </w:r>
                </w:p>
              </w:tc>
              <w:tc>
                <w:tcPr>
                  <w:tcW w:w="1944" w:type="dxa"/>
                  <w:vAlign w:val="center"/>
                </w:tcPr>
                <w:p w14:paraId="45849C1F">
                  <w:pPr>
                    <w:pStyle w:val="78"/>
                    <w:rPr>
                      <w:color w:val="auto"/>
                      <w:szCs w:val="21"/>
                    </w:rPr>
                  </w:pPr>
                  <w:r>
                    <w:rPr>
                      <w:color w:val="auto"/>
                      <w:szCs w:val="21"/>
                    </w:rPr>
                    <w:t>《铸造工业大气污染物排放标准》（GB39726-2020）</w:t>
                  </w:r>
                </w:p>
              </w:tc>
            </w:tr>
          </w:tbl>
          <w:p w14:paraId="676B4ED1">
            <w:pPr>
              <w:rPr>
                <w:color w:val="auto"/>
              </w:rPr>
            </w:pPr>
          </w:p>
          <w:p w14:paraId="1ABB952D">
            <w:pPr>
              <w:adjustRightInd w:val="0"/>
              <w:snapToGrid w:val="0"/>
              <w:spacing w:line="360" w:lineRule="auto"/>
              <w:ind w:firstLine="482" w:firstLineChars="200"/>
              <w:jc w:val="left"/>
              <w:rPr>
                <w:rFonts w:cs="宋体"/>
                <w:b/>
                <w:bCs/>
                <w:color w:val="auto"/>
                <w:sz w:val="24"/>
              </w:rPr>
            </w:pPr>
            <w:r>
              <w:rPr>
                <w:rFonts w:hint="eastAsia" w:cs="宋体"/>
                <w:b/>
                <w:bCs/>
                <w:color w:val="auto"/>
                <w:sz w:val="24"/>
              </w:rPr>
              <w:t>（5）非正常情况下废气排放情况</w:t>
            </w:r>
          </w:p>
          <w:p w14:paraId="29568C62">
            <w:pPr>
              <w:adjustRightInd w:val="0"/>
              <w:snapToGrid w:val="0"/>
              <w:spacing w:line="360" w:lineRule="auto"/>
              <w:ind w:firstLine="480" w:firstLineChars="200"/>
              <w:jc w:val="left"/>
              <w:rPr>
                <w:rFonts w:cs="宋体"/>
                <w:color w:val="auto"/>
                <w:sz w:val="24"/>
              </w:rPr>
            </w:pPr>
            <w:r>
              <w:rPr>
                <w:rFonts w:hint="eastAsia" w:cs="宋体"/>
                <w:color w:val="auto"/>
                <w:sz w:val="24"/>
              </w:rPr>
              <w:t>本项目所涉及的非正常情况主要包括以下几种情况：</w:t>
            </w:r>
          </w:p>
          <w:p w14:paraId="78544571">
            <w:pPr>
              <w:adjustRightInd w:val="0"/>
              <w:snapToGrid w:val="0"/>
              <w:spacing w:line="360" w:lineRule="auto"/>
              <w:ind w:firstLine="480" w:firstLineChars="200"/>
              <w:jc w:val="left"/>
              <w:rPr>
                <w:rFonts w:cs="宋体"/>
                <w:color w:val="auto"/>
                <w:sz w:val="24"/>
              </w:rPr>
            </w:pPr>
            <w:r>
              <w:rPr>
                <w:rFonts w:hint="eastAsia" w:cs="宋体"/>
                <w:color w:val="auto"/>
                <w:sz w:val="24"/>
              </w:rPr>
              <w:t>①开停机时，环保设施未运转或未达到应有的治理效率等情况，废气未得到有效处置，车间无组织排放。按照未处理直接无组织排放计。</w:t>
            </w:r>
          </w:p>
          <w:p w14:paraId="53F908F2">
            <w:pPr>
              <w:adjustRightInd w:val="0"/>
              <w:snapToGrid w:val="0"/>
              <w:spacing w:line="360" w:lineRule="auto"/>
              <w:ind w:firstLine="480" w:firstLineChars="200"/>
              <w:jc w:val="left"/>
              <w:rPr>
                <w:rFonts w:cs="宋体"/>
                <w:color w:val="auto"/>
                <w:sz w:val="24"/>
              </w:rPr>
            </w:pPr>
            <w:r>
              <w:rPr>
                <w:rFonts w:hint="eastAsia" w:cs="宋体"/>
                <w:color w:val="auto"/>
                <w:sz w:val="24"/>
              </w:rPr>
              <w:t>②废气治理设施故障（风机损坏、除尘器损坏等），废气未得到有效净化而由排气筒排放至大气；颗粒物由车间无组织排放。</w:t>
            </w:r>
          </w:p>
          <w:p w14:paraId="13D9005C">
            <w:pPr>
              <w:adjustRightInd w:val="0"/>
              <w:snapToGrid w:val="0"/>
              <w:spacing w:line="360" w:lineRule="auto"/>
              <w:ind w:firstLine="480" w:firstLineChars="200"/>
              <w:jc w:val="left"/>
              <w:rPr>
                <w:rFonts w:cs="宋体"/>
                <w:color w:val="auto"/>
                <w:sz w:val="24"/>
              </w:rPr>
            </w:pPr>
            <w:r>
              <w:rPr>
                <w:rFonts w:hint="eastAsia" w:cs="宋体"/>
                <w:color w:val="auto"/>
                <w:sz w:val="24"/>
              </w:rPr>
              <w:t>本次评价考虑废气处理设施非正常运行条件下废气排放情况，详见下表。</w:t>
            </w:r>
          </w:p>
          <w:p w14:paraId="06EF981A">
            <w:pPr>
              <w:jc w:val="center"/>
              <w:rPr>
                <w:b/>
                <w:bCs/>
                <w:color w:val="auto"/>
                <w:szCs w:val="21"/>
              </w:rPr>
            </w:pPr>
            <w:r>
              <w:rPr>
                <w:b/>
                <w:bCs/>
                <w:color w:val="auto"/>
                <w:szCs w:val="21"/>
              </w:rPr>
              <w:t>表 4-</w:t>
            </w:r>
            <w:r>
              <w:rPr>
                <w:rFonts w:hint="eastAsia"/>
                <w:b/>
                <w:bCs/>
                <w:color w:val="auto"/>
                <w:szCs w:val="21"/>
              </w:rPr>
              <w:t>8</w:t>
            </w:r>
            <w:r>
              <w:rPr>
                <w:b/>
                <w:bCs/>
                <w:color w:val="auto"/>
                <w:szCs w:val="21"/>
              </w:rPr>
              <w:t xml:space="preserve">  非正常情况下污染物排放情况表</w:t>
            </w:r>
          </w:p>
          <w:tbl>
            <w:tblPr>
              <w:tblStyle w:val="3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1084"/>
              <w:gridCol w:w="1667"/>
              <w:gridCol w:w="1617"/>
              <w:gridCol w:w="1367"/>
              <w:gridCol w:w="1095"/>
              <w:gridCol w:w="1244"/>
            </w:tblGrid>
            <w:tr w14:paraId="69858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9" w:type="pct"/>
                  <w:vAlign w:val="center"/>
                </w:tcPr>
                <w:p w14:paraId="30AAC648">
                  <w:pPr>
                    <w:pStyle w:val="78"/>
                    <w:rPr>
                      <w:color w:val="auto"/>
                      <w:szCs w:val="21"/>
                    </w:rPr>
                  </w:pPr>
                  <w:r>
                    <w:rPr>
                      <w:color w:val="auto"/>
                      <w:szCs w:val="21"/>
                    </w:rPr>
                    <w:t>序号</w:t>
                  </w:r>
                </w:p>
              </w:tc>
              <w:tc>
                <w:tcPr>
                  <w:tcW w:w="616" w:type="pct"/>
                  <w:vAlign w:val="center"/>
                </w:tcPr>
                <w:p w14:paraId="228591C6">
                  <w:pPr>
                    <w:pStyle w:val="78"/>
                    <w:rPr>
                      <w:color w:val="auto"/>
                      <w:szCs w:val="21"/>
                    </w:rPr>
                  </w:pPr>
                  <w:r>
                    <w:rPr>
                      <w:color w:val="auto"/>
                      <w:szCs w:val="21"/>
                    </w:rPr>
                    <w:t>污染</w:t>
                  </w:r>
                  <w:r>
                    <w:rPr>
                      <w:rFonts w:hint="eastAsia"/>
                      <w:color w:val="auto"/>
                      <w:szCs w:val="21"/>
                    </w:rPr>
                    <w:t>源</w:t>
                  </w:r>
                </w:p>
              </w:tc>
              <w:tc>
                <w:tcPr>
                  <w:tcW w:w="947" w:type="pct"/>
                  <w:vAlign w:val="center"/>
                </w:tcPr>
                <w:p w14:paraId="793615B2">
                  <w:pPr>
                    <w:pStyle w:val="78"/>
                    <w:rPr>
                      <w:color w:val="auto"/>
                      <w:szCs w:val="21"/>
                    </w:rPr>
                  </w:pPr>
                  <w:r>
                    <w:rPr>
                      <w:color w:val="auto"/>
                      <w:szCs w:val="21"/>
                    </w:rPr>
                    <w:t>非正常排放原因</w:t>
                  </w:r>
                </w:p>
              </w:tc>
              <w:tc>
                <w:tcPr>
                  <w:tcW w:w="919" w:type="pct"/>
                  <w:vAlign w:val="center"/>
                </w:tcPr>
                <w:p w14:paraId="2AEB336B">
                  <w:pPr>
                    <w:pStyle w:val="78"/>
                    <w:rPr>
                      <w:color w:val="auto"/>
                      <w:szCs w:val="21"/>
                    </w:rPr>
                  </w:pPr>
                  <w:r>
                    <w:rPr>
                      <w:rFonts w:hint="eastAsia"/>
                      <w:color w:val="auto"/>
                      <w:szCs w:val="21"/>
                    </w:rPr>
                    <w:t>污染物</w:t>
                  </w:r>
                </w:p>
              </w:tc>
              <w:tc>
                <w:tcPr>
                  <w:tcW w:w="777" w:type="pct"/>
                  <w:vAlign w:val="center"/>
                </w:tcPr>
                <w:p w14:paraId="1C205D20">
                  <w:pPr>
                    <w:pStyle w:val="78"/>
                    <w:rPr>
                      <w:color w:val="auto"/>
                      <w:szCs w:val="21"/>
                    </w:rPr>
                  </w:pPr>
                  <w:r>
                    <w:rPr>
                      <w:color w:val="auto"/>
                      <w:szCs w:val="21"/>
                    </w:rPr>
                    <w:t>非正常排放速率kg/h</w:t>
                  </w:r>
                </w:p>
              </w:tc>
              <w:tc>
                <w:tcPr>
                  <w:tcW w:w="622" w:type="pct"/>
                  <w:vAlign w:val="center"/>
                </w:tcPr>
                <w:p w14:paraId="20A15285">
                  <w:pPr>
                    <w:pStyle w:val="78"/>
                    <w:rPr>
                      <w:color w:val="auto"/>
                      <w:szCs w:val="21"/>
                    </w:rPr>
                  </w:pPr>
                  <w:r>
                    <w:rPr>
                      <w:color w:val="auto"/>
                      <w:szCs w:val="21"/>
                    </w:rPr>
                    <w:t>单次持续时间（h）</w:t>
                  </w:r>
                </w:p>
              </w:tc>
              <w:tc>
                <w:tcPr>
                  <w:tcW w:w="707" w:type="pct"/>
                  <w:vAlign w:val="center"/>
                </w:tcPr>
                <w:p w14:paraId="67E76D24">
                  <w:pPr>
                    <w:pStyle w:val="78"/>
                    <w:rPr>
                      <w:color w:val="auto"/>
                      <w:szCs w:val="21"/>
                    </w:rPr>
                  </w:pPr>
                  <w:r>
                    <w:rPr>
                      <w:color w:val="auto"/>
                      <w:szCs w:val="21"/>
                    </w:rPr>
                    <w:t>年发生</w:t>
                  </w:r>
                </w:p>
                <w:p w14:paraId="3452DA17">
                  <w:pPr>
                    <w:pStyle w:val="78"/>
                    <w:rPr>
                      <w:color w:val="auto"/>
                      <w:szCs w:val="21"/>
                    </w:rPr>
                  </w:pPr>
                  <w:r>
                    <w:rPr>
                      <w:color w:val="auto"/>
                      <w:szCs w:val="21"/>
                    </w:rPr>
                    <w:t>频次</w:t>
                  </w:r>
                </w:p>
              </w:tc>
            </w:tr>
            <w:tr w14:paraId="05075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9" w:type="pct"/>
                  <w:vMerge w:val="restart"/>
                  <w:vAlign w:val="center"/>
                </w:tcPr>
                <w:p w14:paraId="41979237">
                  <w:pPr>
                    <w:pStyle w:val="78"/>
                    <w:rPr>
                      <w:color w:val="auto"/>
                      <w:szCs w:val="21"/>
                    </w:rPr>
                  </w:pPr>
                  <w:r>
                    <w:rPr>
                      <w:rFonts w:hint="eastAsia"/>
                      <w:color w:val="auto"/>
                      <w:szCs w:val="21"/>
                    </w:rPr>
                    <w:t>1</w:t>
                  </w:r>
                </w:p>
              </w:tc>
              <w:tc>
                <w:tcPr>
                  <w:tcW w:w="616" w:type="pct"/>
                  <w:vMerge w:val="restart"/>
                  <w:vAlign w:val="center"/>
                </w:tcPr>
                <w:p w14:paraId="6ED12111">
                  <w:pPr>
                    <w:pStyle w:val="78"/>
                    <w:rPr>
                      <w:color w:val="auto"/>
                      <w:szCs w:val="21"/>
                    </w:rPr>
                  </w:pPr>
                  <w:r>
                    <w:rPr>
                      <w:rFonts w:hint="eastAsia"/>
                      <w:color w:val="auto"/>
                      <w:szCs w:val="21"/>
                    </w:rPr>
                    <w:t>发泡、切割废气</w:t>
                  </w:r>
                </w:p>
              </w:tc>
              <w:tc>
                <w:tcPr>
                  <w:tcW w:w="947" w:type="pct"/>
                  <w:vMerge w:val="restart"/>
                  <w:vAlign w:val="center"/>
                </w:tcPr>
                <w:p w14:paraId="67EE8841">
                  <w:pPr>
                    <w:pStyle w:val="78"/>
                    <w:rPr>
                      <w:color w:val="auto"/>
                      <w:szCs w:val="21"/>
                    </w:rPr>
                  </w:pPr>
                  <w:r>
                    <w:rPr>
                      <w:rFonts w:hint="eastAsia"/>
                      <w:color w:val="auto"/>
                      <w:szCs w:val="21"/>
                    </w:rPr>
                    <w:t>处理设施故障</w:t>
                  </w:r>
                </w:p>
              </w:tc>
              <w:tc>
                <w:tcPr>
                  <w:tcW w:w="919" w:type="pct"/>
                  <w:vAlign w:val="center"/>
                </w:tcPr>
                <w:p w14:paraId="44EE01DA">
                  <w:pPr>
                    <w:pStyle w:val="78"/>
                    <w:rPr>
                      <w:color w:val="auto"/>
                      <w:szCs w:val="21"/>
                    </w:rPr>
                  </w:pPr>
                  <w:r>
                    <w:rPr>
                      <w:rFonts w:hint="eastAsia"/>
                      <w:color w:val="auto"/>
                      <w:szCs w:val="21"/>
                    </w:rPr>
                    <w:t>VOC</w:t>
                  </w:r>
                  <w:r>
                    <w:rPr>
                      <w:rFonts w:hint="eastAsia"/>
                      <w:color w:val="auto"/>
                      <w:szCs w:val="21"/>
                      <w:vertAlign w:val="subscript"/>
                    </w:rPr>
                    <w:t>S</w:t>
                  </w:r>
                </w:p>
              </w:tc>
              <w:tc>
                <w:tcPr>
                  <w:tcW w:w="777" w:type="pct"/>
                  <w:vAlign w:val="center"/>
                </w:tcPr>
                <w:p w14:paraId="79C9D2AC">
                  <w:pPr>
                    <w:jc w:val="center"/>
                    <w:rPr>
                      <w:rFonts w:hint="default" w:eastAsia="宋体"/>
                      <w:color w:val="auto"/>
                      <w:szCs w:val="21"/>
                      <w:lang w:val="en-US" w:eastAsia="zh-CN"/>
                    </w:rPr>
                  </w:pPr>
                  <w:r>
                    <w:rPr>
                      <w:rFonts w:hint="eastAsia"/>
                      <w:color w:val="auto"/>
                      <w:szCs w:val="21"/>
                    </w:rPr>
                    <w:t>0.</w:t>
                  </w:r>
                  <w:r>
                    <w:rPr>
                      <w:rFonts w:hint="eastAsia"/>
                      <w:color w:val="auto"/>
                      <w:szCs w:val="21"/>
                      <w:lang w:val="en-US" w:eastAsia="zh-CN"/>
                    </w:rPr>
                    <w:t>2703</w:t>
                  </w:r>
                </w:p>
              </w:tc>
              <w:tc>
                <w:tcPr>
                  <w:tcW w:w="622" w:type="pct"/>
                  <w:vMerge w:val="restart"/>
                  <w:vAlign w:val="center"/>
                </w:tcPr>
                <w:p w14:paraId="4EA3FF74">
                  <w:pPr>
                    <w:pStyle w:val="78"/>
                    <w:rPr>
                      <w:color w:val="auto"/>
                      <w:szCs w:val="21"/>
                    </w:rPr>
                  </w:pPr>
                  <w:r>
                    <w:rPr>
                      <w:rFonts w:hint="eastAsia"/>
                      <w:color w:val="auto"/>
                      <w:szCs w:val="21"/>
                    </w:rPr>
                    <w:t>0.5</w:t>
                  </w:r>
                </w:p>
              </w:tc>
              <w:tc>
                <w:tcPr>
                  <w:tcW w:w="707" w:type="pct"/>
                  <w:vMerge w:val="restart"/>
                  <w:vAlign w:val="center"/>
                </w:tcPr>
                <w:p w14:paraId="048BDF6F">
                  <w:pPr>
                    <w:pStyle w:val="78"/>
                    <w:rPr>
                      <w:color w:val="auto"/>
                      <w:szCs w:val="21"/>
                    </w:rPr>
                  </w:pPr>
                  <w:r>
                    <w:rPr>
                      <w:rFonts w:hint="eastAsia"/>
                      <w:color w:val="auto"/>
                      <w:szCs w:val="21"/>
                    </w:rPr>
                    <w:t>≤2</w:t>
                  </w:r>
                </w:p>
              </w:tc>
            </w:tr>
            <w:tr w14:paraId="7DFF1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9" w:type="pct"/>
                  <w:vMerge w:val="continue"/>
                  <w:vAlign w:val="center"/>
                </w:tcPr>
                <w:p w14:paraId="05316A4C">
                  <w:pPr>
                    <w:pStyle w:val="78"/>
                    <w:rPr>
                      <w:color w:val="auto"/>
                      <w:szCs w:val="21"/>
                    </w:rPr>
                  </w:pPr>
                </w:p>
              </w:tc>
              <w:tc>
                <w:tcPr>
                  <w:tcW w:w="616" w:type="pct"/>
                  <w:vMerge w:val="continue"/>
                  <w:vAlign w:val="center"/>
                </w:tcPr>
                <w:p w14:paraId="53C78FB8">
                  <w:pPr>
                    <w:pStyle w:val="78"/>
                    <w:rPr>
                      <w:color w:val="auto"/>
                      <w:szCs w:val="21"/>
                    </w:rPr>
                  </w:pPr>
                </w:p>
              </w:tc>
              <w:tc>
                <w:tcPr>
                  <w:tcW w:w="947" w:type="pct"/>
                  <w:vMerge w:val="continue"/>
                  <w:vAlign w:val="center"/>
                </w:tcPr>
                <w:p w14:paraId="29E162D5">
                  <w:pPr>
                    <w:pStyle w:val="78"/>
                    <w:rPr>
                      <w:color w:val="auto"/>
                      <w:szCs w:val="21"/>
                    </w:rPr>
                  </w:pPr>
                </w:p>
              </w:tc>
              <w:tc>
                <w:tcPr>
                  <w:tcW w:w="919" w:type="pct"/>
                  <w:vAlign w:val="center"/>
                </w:tcPr>
                <w:p w14:paraId="469948D0">
                  <w:pPr>
                    <w:pStyle w:val="78"/>
                    <w:rPr>
                      <w:color w:val="auto"/>
                      <w:szCs w:val="21"/>
                    </w:rPr>
                  </w:pPr>
                  <w:r>
                    <w:rPr>
                      <w:rFonts w:hint="eastAsia"/>
                      <w:color w:val="auto"/>
                      <w:szCs w:val="21"/>
                    </w:rPr>
                    <w:t>苯乙烯</w:t>
                  </w:r>
                </w:p>
              </w:tc>
              <w:tc>
                <w:tcPr>
                  <w:tcW w:w="777" w:type="pct"/>
                  <w:vAlign w:val="center"/>
                </w:tcPr>
                <w:p w14:paraId="018B3FB0">
                  <w:pPr>
                    <w:jc w:val="center"/>
                    <w:rPr>
                      <w:rFonts w:hint="default" w:eastAsia="宋体"/>
                      <w:color w:val="auto"/>
                      <w:szCs w:val="21"/>
                      <w:lang w:val="en-US" w:eastAsia="zh-CN"/>
                    </w:rPr>
                  </w:pPr>
                  <w:r>
                    <w:rPr>
                      <w:rFonts w:hint="eastAsia"/>
                      <w:color w:val="auto"/>
                      <w:szCs w:val="21"/>
                    </w:rPr>
                    <w:t>0.</w:t>
                  </w:r>
                  <w:r>
                    <w:rPr>
                      <w:rFonts w:hint="eastAsia"/>
                      <w:color w:val="auto"/>
                      <w:szCs w:val="21"/>
                      <w:lang w:val="en-US" w:eastAsia="zh-CN"/>
                    </w:rPr>
                    <w:t>054</w:t>
                  </w:r>
                </w:p>
              </w:tc>
              <w:tc>
                <w:tcPr>
                  <w:tcW w:w="622" w:type="pct"/>
                  <w:vMerge w:val="continue"/>
                  <w:vAlign w:val="center"/>
                </w:tcPr>
                <w:p w14:paraId="5616FA89">
                  <w:pPr>
                    <w:pStyle w:val="78"/>
                    <w:rPr>
                      <w:color w:val="auto"/>
                      <w:szCs w:val="21"/>
                    </w:rPr>
                  </w:pPr>
                </w:p>
              </w:tc>
              <w:tc>
                <w:tcPr>
                  <w:tcW w:w="707" w:type="pct"/>
                  <w:vMerge w:val="continue"/>
                  <w:vAlign w:val="center"/>
                </w:tcPr>
                <w:p w14:paraId="4A962B11">
                  <w:pPr>
                    <w:pStyle w:val="78"/>
                    <w:rPr>
                      <w:color w:val="auto"/>
                      <w:szCs w:val="21"/>
                    </w:rPr>
                  </w:pPr>
                </w:p>
              </w:tc>
            </w:tr>
            <w:tr w14:paraId="15B41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9" w:type="pct"/>
                  <w:vAlign w:val="center"/>
                </w:tcPr>
                <w:p w14:paraId="3D9DE309">
                  <w:pPr>
                    <w:pStyle w:val="78"/>
                    <w:rPr>
                      <w:color w:val="auto"/>
                      <w:szCs w:val="21"/>
                    </w:rPr>
                  </w:pPr>
                  <w:r>
                    <w:rPr>
                      <w:rFonts w:hint="eastAsia"/>
                      <w:color w:val="auto"/>
                      <w:szCs w:val="21"/>
                    </w:rPr>
                    <w:t>2</w:t>
                  </w:r>
                </w:p>
              </w:tc>
              <w:tc>
                <w:tcPr>
                  <w:tcW w:w="616" w:type="pct"/>
                  <w:vAlign w:val="center"/>
                </w:tcPr>
                <w:p w14:paraId="6D1BAFCD">
                  <w:pPr>
                    <w:pStyle w:val="78"/>
                    <w:rPr>
                      <w:color w:val="auto"/>
                      <w:szCs w:val="21"/>
                    </w:rPr>
                  </w:pPr>
                  <w:r>
                    <w:rPr>
                      <w:rFonts w:hint="eastAsia"/>
                      <w:color w:val="auto"/>
                      <w:szCs w:val="21"/>
                    </w:rPr>
                    <w:t>熔炼废气</w:t>
                  </w:r>
                </w:p>
              </w:tc>
              <w:tc>
                <w:tcPr>
                  <w:tcW w:w="947" w:type="pct"/>
                  <w:vAlign w:val="center"/>
                </w:tcPr>
                <w:p w14:paraId="5A343C04">
                  <w:pPr>
                    <w:pStyle w:val="78"/>
                    <w:rPr>
                      <w:color w:val="auto"/>
                      <w:szCs w:val="21"/>
                    </w:rPr>
                  </w:pPr>
                  <w:r>
                    <w:rPr>
                      <w:rFonts w:hint="eastAsia"/>
                      <w:color w:val="auto"/>
                      <w:szCs w:val="21"/>
                    </w:rPr>
                    <w:t>处理设施故障</w:t>
                  </w:r>
                </w:p>
              </w:tc>
              <w:tc>
                <w:tcPr>
                  <w:tcW w:w="919" w:type="pct"/>
                  <w:vAlign w:val="center"/>
                </w:tcPr>
                <w:p w14:paraId="20EF38B3">
                  <w:pPr>
                    <w:pStyle w:val="78"/>
                    <w:rPr>
                      <w:color w:val="auto"/>
                      <w:szCs w:val="21"/>
                    </w:rPr>
                  </w:pPr>
                  <w:r>
                    <w:rPr>
                      <w:rFonts w:hint="eastAsia"/>
                      <w:color w:val="auto"/>
                      <w:szCs w:val="21"/>
                    </w:rPr>
                    <w:t>颗粒物</w:t>
                  </w:r>
                </w:p>
              </w:tc>
              <w:tc>
                <w:tcPr>
                  <w:tcW w:w="777" w:type="pct"/>
                  <w:vAlign w:val="center"/>
                </w:tcPr>
                <w:p w14:paraId="145EFD4D">
                  <w:pPr>
                    <w:jc w:val="center"/>
                    <w:rPr>
                      <w:color w:val="auto"/>
                      <w:szCs w:val="21"/>
                    </w:rPr>
                  </w:pPr>
                  <w:r>
                    <w:rPr>
                      <w:rFonts w:hint="eastAsia"/>
                      <w:color w:val="auto"/>
                      <w:szCs w:val="21"/>
                    </w:rPr>
                    <w:t>0.7984</w:t>
                  </w:r>
                </w:p>
              </w:tc>
              <w:tc>
                <w:tcPr>
                  <w:tcW w:w="622" w:type="pct"/>
                  <w:vAlign w:val="center"/>
                </w:tcPr>
                <w:p w14:paraId="1B283762">
                  <w:pPr>
                    <w:pStyle w:val="78"/>
                    <w:rPr>
                      <w:color w:val="auto"/>
                      <w:szCs w:val="21"/>
                    </w:rPr>
                  </w:pPr>
                  <w:r>
                    <w:rPr>
                      <w:rFonts w:hint="eastAsia"/>
                      <w:color w:val="auto"/>
                      <w:szCs w:val="21"/>
                    </w:rPr>
                    <w:t>0.5</w:t>
                  </w:r>
                </w:p>
              </w:tc>
              <w:tc>
                <w:tcPr>
                  <w:tcW w:w="707" w:type="pct"/>
                  <w:vAlign w:val="center"/>
                </w:tcPr>
                <w:p w14:paraId="70E17E38">
                  <w:pPr>
                    <w:pStyle w:val="78"/>
                    <w:rPr>
                      <w:color w:val="auto"/>
                      <w:szCs w:val="21"/>
                    </w:rPr>
                  </w:pPr>
                  <w:r>
                    <w:rPr>
                      <w:rFonts w:hint="eastAsia"/>
                      <w:color w:val="auto"/>
                      <w:szCs w:val="21"/>
                    </w:rPr>
                    <w:t>≤2</w:t>
                  </w:r>
                </w:p>
              </w:tc>
            </w:tr>
            <w:tr w14:paraId="0C467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9" w:type="pct"/>
                  <w:vMerge w:val="restart"/>
                  <w:vAlign w:val="center"/>
                </w:tcPr>
                <w:p w14:paraId="3A27A1BF">
                  <w:pPr>
                    <w:pStyle w:val="78"/>
                    <w:rPr>
                      <w:color w:val="auto"/>
                      <w:szCs w:val="21"/>
                    </w:rPr>
                  </w:pPr>
                  <w:r>
                    <w:rPr>
                      <w:rFonts w:hint="eastAsia"/>
                      <w:color w:val="auto"/>
                      <w:szCs w:val="21"/>
                    </w:rPr>
                    <w:t>3</w:t>
                  </w:r>
                </w:p>
              </w:tc>
              <w:tc>
                <w:tcPr>
                  <w:tcW w:w="616" w:type="pct"/>
                  <w:vMerge w:val="restart"/>
                  <w:vAlign w:val="center"/>
                </w:tcPr>
                <w:p w14:paraId="1D74F8DA">
                  <w:pPr>
                    <w:pStyle w:val="78"/>
                    <w:rPr>
                      <w:color w:val="auto"/>
                      <w:szCs w:val="21"/>
                    </w:rPr>
                  </w:pPr>
                  <w:r>
                    <w:rPr>
                      <w:rFonts w:hint="eastAsia"/>
                      <w:color w:val="auto"/>
                      <w:szCs w:val="21"/>
                    </w:rPr>
                    <w:t>造型浇铸</w:t>
                  </w:r>
                </w:p>
              </w:tc>
              <w:tc>
                <w:tcPr>
                  <w:tcW w:w="947" w:type="pct"/>
                  <w:vMerge w:val="restart"/>
                  <w:vAlign w:val="center"/>
                </w:tcPr>
                <w:p w14:paraId="2B7B7C38">
                  <w:pPr>
                    <w:pStyle w:val="78"/>
                    <w:rPr>
                      <w:color w:val="auto"/>
                      <w:szCs w:val="21"/>
                    </w:rPr>
                  </w:pPr>
                  <w:r>
                    <w:rPr>
                      <w:rFonts w:hint="eastAsia"/>
                      <w:color w:val="auto"/>
                      <w:szCs w:val="21"/>
                    </w:rPr>
                    <w:t>处理设施故障</w:t>
                  </w:r>
                </w:p>
              </w:tc>
              <w:tc>
                <w:tcPr>
                  <w:tcW w:w="919" w:type="pct"/>
                  <w:vAlign w:val="center"/>
                </w:tcPr>
                <w:p w14:paraId="3B592C96">
                  <w:pPr>
                    <w:pStyle w:val="78"/>
                    <w:rPr>
                      <w:color w:val="auto"/>
                      <w:szCs w:val="21"/>
                    </w:rPr>
                  </w:pPr>
                  <w:r>
                    <w:rPr>
                      <w:rFonts w:hint="eastAsia"/>
                      <w:color w:val="auto"/>
                      <w:szCs w:val="21"/>
                    </w:rPr>
                    <w:t>VOC</w:t>
                  </w:r>
                  <w:r>
                    <w:rPr>
                      <w:rFonts w:hint="eastAsia"/>
                      <w:color w:val="auto"/>
                      <w:szCs w:val="21"/>
                      <w:vertAlign w:val="subscript"/>
                    </w:rPr>
                    <w:t>S</w:t>
                  </w:r>
                </w:p>
              </w:tc>
              <w:tc>
                <w:tcPr>
                  <w:tcW w:w="777" w:type="pct"/>
                  <w:vAlign w:val="center"/>
                </w:tcPr>
                <w:p w14:paraId="671051D4">
                  <w:pPr>
                    <w:jc w:val="center"/>
                    <w:rPr>
                      <w:color w:val="auto"/>
                      <w:szCs w:val="21"/>
                    </w:rPr>
                  </w:pPr>
                  <w:r>
                    <w:rPr>
                      <w:rFonts w:hint="eastAsia"/>
                      <w:color w:val="auto"/>
                      <w:szCs w:val="21"/>
                    </w:rPr>
                    <w:t>0.7096</w:t>
                  </w:r>
                </w:p>
              </w:tc>
              <w:tc>
                <w:tcPr>
                  <w:tcW w:w="622" w:type="pct"/>
                  <w:vMerge w:val="restart"/>
                  <w:vAlign w:val="center"/>
                </w:tcPr>
                <w:p w14:paraId="78201BF6">
                  <w:pPr>
                    <w:pStyle w:val="78"/>
                    <w:rPr>
                      <w:color w:val="auto"/>
                      <w:szCs w:val="21"/>
                    </w:rPr>
                  </w:pPr>
                  <w:r>
                    <w:rPr>
                      <w:rFonts w:hint="eastAsia"/>
                      <w:color w:val="auto"/>
                      <w:szCs w:val="21"/>
                    </w:rPr>
                    <w:t>0.5</w:t>
                  </w:r>
                </w:p>
              </w:tc>
              <w:tc>
                <w:tcPr>
                  <w:tcW w:w="707" w:type="pct"/>
                  <w:vMerge w:val="restart"/>
                  <w:vAlign w:val="center"/>
                </w:tcPr>
                <w:p w14:paraId="02DDA66E">
                  <w:pPr>
                    <w:pStyle w:val="78"/>
                    <w:rPr>
                      <w:color w:val="auto"/>
                      <w:szCs w:val="21"/>
                    </w:rPr>
                  </w:pPr>
                  <w:r>
                    <w:rPr>
                      <w:rFonts w:hint="eastAsia"/>
                      <w:color w:val="auto"/>
                      <w:szCs w:val="21"/>
                    </w:rPr>
                    <w:t>≤2</w:t>
                  </w:r>
                </w:p>
              </w:tc>
            </w:tr>
            <w:tr w14:paraId="43771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9" w:type="pct"/>
                  <w:vMerge w:val="continue"/>
                  <w:vAlign w:val="center"/>
                </w:tcPr>
                <w:p w14:paraId="06ABCA59">
                  <w:pPr>
                    <w:jc w:val="center"/>
                    <w:rPr>
                      <w:color w:val="auto"/>
                    </w:rPr>
                  </w:pPr>
                </w:p>
              </w:tc>
              <w:tc>
                <w:tcPr>
                  <w:tcW w:w="616" w:type="pct"/>
                  <w:vMerge w:val="continue"/>
                  <w:vAlign w:val="center"/>
                </w:tcPr>
                <w:p w14:paraId="077E7AB7">
                  <w:pPr>
                    <w:jc w:val="center"/>
                    <w:rPr>
                      <w:color w:val="auto"/>
                    </w:rPr>
                  </w:pPr>
                </w:p>
              </w:tc>
              <w:tc>
                <w:tcPr>
                  <w:tcW w:w="947" w:type="pct"/>
                  <w:vMerge w:val="continue"/>
                  <w:vAlign w:val="center"/>
                </w:tcPr>
                <w:p w14:paraId="1A366027">
                  <w:pPr>
                    <w:jc w:val="center"/>
                    <w:rPr>
                      <w:color w:val="auto"/>
                    </w:rPr>
                  </w:pPr>
                </w:p>
              </w:tc>
              <w:tc>
                <w:tcPr>
                  <w:tcW w:w="919" w:type="pct"/>
                  <w:vAlign w:val="center"/>
                </w:tcPr>
                <w:p w14:paraId="33138868">
                  <w:pPr>
                    <w:pStyle w:val="78"/>
                    <w:rPr>
                      <w:color w:val="auto"/>
                      <w:szCs w:val="21"/>
                    </w:rPr>
                  </w:pPr>
                  <w:r>
                    <w:rPr>
                      <w:rFonts w:hint="eastAsia"/>
                      <w:color w:val="auto"/>
                      <w:szCs w:val="21"/>
                    </w:rPr>
                    <w:t>颗粒物</w:t>
                  </w:r>
                </w:p>
              </w:tc>
              <w:tc>
                <w:tcPr>
                  <w:tcW w:w="777" w:type="pct"/>
                  <w:vAlign w:val="center"/>
                </w:tcPr>
                <w:p w14:paraId="0F64DCFB">
                  <w:pPr>
                    <w:jc w:val="center"/>
                    <w:rPr>
                      <w:color w:val="auto"/>
                      <w:szCs w:val="21"/>
                    </w:rPr>
                  </w:pPr>
                  <w:r>
                    <w:rPr>
                      <w:rFonts w:hint="eastAsia"/>
                      <w:color w:val="auto"/>
                      <w:szCs w:val="21"/>
                    </w:rPr>
                    <w:t>1.5712</w:t>
                  </w:r>
                </w:p>
              </w:tc>
              <w:tc>
                <w:tcPr>
                  <w:tcW w:w="622" w:type="pct"/>
                  <w:vMerge w:val="continue"/>
                  <w:vAlign w:val="center"/>
                </w:tcPr>
                <w:p w14:paraId="2B7E4730">
                  <w:pPr>
                    <w:jc w:val="center"/>
                    <w:rPr>
                      <w:color w:val="auto"/>
                      <w:szCs w:val="21"/>
                    </w:rPr>
                  </w:pPr>
                </w:p>
              </w:tc>
              <w:tc>
                <w:tcPr>
                  <w:tcW w:w="707" w:type="pct"/>
                  <w:vMerge w:val="continue"/>
                  <w:vAlign w:val="center"/>
                </w:tcPr>
                <w:p w14:paraId="267DCEE6">
                  <w:pPr>
                    <w:jc w:val="center"/>
                    <w:rPr>
                      <w:color w:val="auto"/>
                      <w:szCs w:val="21"/>
                    </w:rPr>
                  </w:pPr>
                </w:p>
              </w:tc>
            </w:tr>
            <w:tr w14:paraId="09D89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9" w:type="pct"/>
                  <w:vAlign w:val="center"/>
                </w:tcPr>
                <w:p w14:paraId="49B57764">
                  <w:pPr>
                    <w:pStyle w:val="78"/>
                    <w:rPr>
                      <w:color w:val="auto"/>
                      <w:szCs w:val="21"/>
                    </w:rPr>
                  </w:pPr>
                  <w:r>
                    <w:rPr>
                      <w:rFonts w:hint="eastAsia"/>
                      <w:color w:val="auto"/>
                      <w:szCs w:val="21"/>
                    </w:rPr>
                    <w:t>4</w:t>
                  </w:r>
                </w:p>
              </w:tc>
              <w:tc>
                <w:tcPr>
                  <w:tcW w:w="616" w:type="pct"/>
                  <w:vAlign w:val="center"/>
                </w:tcPr>
                <w:p w14:paraId="51B2070D">
                  <w:pPr>
                    <w:pStyle w:val="78"/>
                    <w:rPr>
                      <w:color w:val="auto"/>
                      <w:szCs w:val="21"/>
                    </w:rPr>
                  </w:pPr>
                  <w:r>
                    <w:rPr>
                      <w:rFonts w:hint="eastAsia"/>
                      <w:color w:val="auto"/>
                      <w:szCs w:val="21"/>
                    </w:rPr>
                    <w:t>落砂</w:t>
                  </w:r>
                </w:p>
              </w:tc>
              <w:tc>
                <w:tcPr>
                  <w:tcW w:w="947" w:type="pct"/>
                  <w:vAlign w:val="center"/>
                </w:tcPr>
                <w:p w14:paraId="35C561C1">
                  <w:pPr>
                    <w:pStyle w:val="78"/>
                    <w:rPr>
                      <w:color w:val="auto"/>
                      <w:szCs w:val="21"/>
                    </w:rPr>
                  </w:pPr>
                  <w:r>
                    <w:rPr>
                      <w:rFonts w:hint="eastAsia"/>
                      <w:color w:val="auto"/>
                      <w:szCs w:val="21"/>
                    </w:rPr>
                    <w:t>处理设施故障</w:t>
                  </w:r>
                </w:p>
              </w:tc>
              <w:tc>
                <w:tcPr>
                  <w:tcW w:w="919" w:type="pct"/>
                  <w:vAlign w:val="center"/>
                </w:tcPr>
                <w:p w14:paraId="7043EF65">
                  <w:pPr>
                    <w:pStyle w:val="78"/>
                    <w:rPr>
                      <w:color w:val="auto"/>
                      <w:szCs w:val="21"/>
                    </w:rPr>
                  </w:pPr>
                  <w:r>
                    <w:rPr>
                      <w:rFonts w:hint="eastAsia"/>
                      <w:color w:val="auto"/>
                      <w:szCs w:val="21"/>
                    </w:rPr>
                    <w:t>颗粒物</w:t>
                  </w:r>
                </w:p>
              </w:tc>
              <w:tc>
                <w:tcPr>
                  <w:tcW w:w="777" w:type="pct"/>
                  <w:vAlign w:val="center"/>
                </w:tcPr>
                <w:p w14:paraId="7943DE10">
                  <w:pPr>
                    <w:jc w:val="center"/>
                    <w:rPr>
                      <w:color w:val="auto"/>
                      <w:szCs w:val="21"/>
                    </w:rPr>
                  </w:pPr>
                  <w:r>
                    <w:rPr>
                      <w:rFonts w:hint="eastAsia"/>
                      <w:color w:val="auto"/>
                      <w:szCs w:val="21"/>
                    </w:rPr>
                    <w:t>1.0</w:t>
                  </w:r>
                </w:p>
              </w:tc>
              <w:tc>
                <w:tcPr>
                  <w:tcW w:w="622" w:type="pct"/>
                  <w:vAlign w:val="center"/>
                </w:tcPr>
                <w:p w14:paraId="3BAB0D10">
                  <w:pPr>
                    <w:pStyle w:val="78"/>
                    <w:rPr>
                      <w:color w:val="auto"/>
                      <w:szCs w:val="21"/>
                    </w:rPr>
                  </w:pPr>
                  <w:r>
                    <w:rPr>
                      <w:rFonts w:hint="eastAsia"/>
                      <w:color w:val="auto"/>
                      <w:szCs w:val="21"/>
                    </w:rPr>
                    <w:t>0.5</w:t>
                  </w:r>
                </w:p>
              </w:tc>
              <w:tc>
                <w:tcPr>
                  <w:tcW w:w="707" w:type="pct"/>
                  <w:vAlign w:val="center"/>
                </w:tcPr>
                <w:p w14:paraId="2C210564">
                  <w:pPr>
                    <w:pStyle w:val="78"/>
                    <w:rPr>
                      <w:color w:val="auto"/>
                      <w:szCs w:val="21"/>
                    </w:rPr>
                  </w:pPr>
                  <w:r>
                    <w:rPr>
                      <w:rFonts w:hint="eastAsia"/>
                      <w:color w:val="auto"/>
                      <w:szCs w:val="21"/>
                    </w:rPr>
                    <w:t>≤2</w:t>
                  </w:r>
                </w:p>
              </w:tc>
            </w:tr>
            <w:tr w14:paraId="7FDE8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9" w:type="pct"/>
                  <w:vAlign w:val="center"/>
                </w:tcPr>
                <w:p w14:paraId="55A66468">
                  <w:pPr>
                    <w:pStyle w:val="78"/>
                    <w:rPr>
                      <w:color w:val="auto"/>
                      <w:szCs w:val="21"/>
                    </w:rPr>
                  </w:pPr>
                  <w:r>
                    <w:rPr>
                      <w:rFonts w:hint="eastAsia"/>
                      <w:color w:val="auto"/>
                      <w:szCs w:val="21"/>
                    </w:rPr>
                    <w:t>5</w:t>
                  </w:r>
                </w:p>
              </w:tc>
              <w:tc>
                <w:tcPr>
                  <w:tcW w:w="616" w:type="pct"/>
                  <w:vAlign w:val="center"/>
                </w:tcPr>
                <w:p w14:paraId="6B66D154">
                  <w:pPr>
                    <w:pStyle w:val="78"/>
                    <w:rPr>
                      <w:color w:val="auto"/>
                      <w:szCs w:val="21"/>
                    </w:rPr>
                  </w:pPr>
                  <w:r>
                    <w:rPr>
                      <w:rFonts w:hint="eastAsia"/>
                      <w:color w:val="auto"/>
                      <w:szCs w:val="21"/>
                    </w:rPr>
                    <w:t>砂处理</w:t>
                  </w:r>
                </w:p>
              </w:tc>
              <w:tc>
                <w:tcPr>
                  <w:tcW w:w="947" w:type="pct"/>
                  <w:vAlign w:val="center"/>
                </w:tcPr>
                <w:p w14:paraId="627984C4">
                  <w:pPr>
                    <w:pStyle w:val="78"/>
                    <w:rPr>
                      <w:color w:val="auto"/>
                      <w:szCs w:val="21"/>
                    </w:rPr>
                  </w:pPr>
                  <w:r>
                    <w:rPr>
                      <w:rFonts w:hint="eastAsia"/>
                      <w:color w:val="auto"/>
                      <w:szCs w:val="21"/>
                    </w:rPr>
                    <w:t>处理设施故障</w:t>
                  </w:r>
                </w:p>
              </w:tc>
              <w:tc>
                <w:tcPr>
                  <w:tcW w:w="919" w:type="pct"/>
                  <w:vAlign w:val="center"/>
                </w:tcPr>
                <w:p w14:paraId="6AE739C7">
                  <w:pPr>
                    <w:pStyle w:val="78"/>
                    <w:rPr>
                      <w:color w:val="auto"/>
                      <w:szCs w:val="21"/>
                    </w:rPr>
                  </w:pPr>
                  <w:r>
                    <w:rPr>
                      <w:rFonts w:hint="eastAsia"/>
                      <w:color w:val="auto"/>
                      <w:szCs w:val="21"/>
                    </w:rPr>
                    <w:t>颗粒物</w:t>
                  </w:r>
                </w:p>
              </w:tc>
              <w:tc>
                <w:tcPr>
                  <w:tcW w:w="777" w:type="pct"/>
                  <w:vAlign w:val="center"/>
                </w:tcPr>
                <w:p w14:paraId="43A07AAF">
                  <w:pPr>
                    <w:jc w:val="center"/>
                    <w:rPr>
                      <w:color w:val="auto"/>
                      <w:szCs w:val="21"/>
                    </w:rPr>
                  </w:pPr>
                  <w:r>
                    <w:rPr>
                      <w:rFonts w:hint="eastAsia"/>
                      <w:color w:val="auto"/>
                      <w:szCs w:val="21"/>
                    </w:rPr>
                    <w:t>15.906</w:t>
                  </w:r>
                </w:p>
              </w:tc>
              <w:tc>
                <w:tcPr>
                  <w:tcW w:w="622" w:type="pct"/>
                  <w:vAlign w:val="center"/>
                </w:tcPr>
                <w:p w14:paraId="7E8F5AEB">
                  <w:pPr>
                    <w:pStyle w:val="78"/>
                    <w:rPr>
                      <w:color w:val="auto"/>
                      <w:szCs w:val="21"/>
                    </w:rPr>
                  </w:pPr>
                  <w:r>
                    <w:rPr>
                      <w:rFonts w:hint="eastAsia"/>
                      <w:color w:val="auto"/>
                      <w:szCs w:val="21"/>
                    </w:rPr>
                    <w:t>0.5</w:t>
                  </w:r>
                </w:p>
              </w:tc>
              <w:tc>
                <w:tcPr>
                  <w:tcW w:w="707" w:type="pct"/>
                  <w:vAlign w:val="center"/>
                </w:tcPr>
                <w:p w14:paraId="5C9FF749">
                  <w:pPr>
                    <w:pStyle w:val="78"/>
                    <w:rPr>
                      <w:color w:val="auto"/>
                      <w:szCs w:val="21"/>
                    </w:rPr>
                  </w:pPr>
                  <w:r>
                    <w:rPr>
                      <w:rFonts w:hint="eastAsia"/>
                      <w:color w:val="auto"/>
                      <w:szCs w:val="21"/>
                    </w:rPr>
                    <w:t>≤2</w:t>
                  </w:r>
                </w:p>
              </w:tc>
            </w:tr>
            <w:tr w14:paraId="16762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9" w:type="pct"/>
                  <w:vAlign w:val="center"/>
                </w:tcPr>
                <w:p w14:paraId="16DCEA07">
                  <w:pPr>
                    <w:pStyle w:val="78"/>
                    <w:rPr>
                      <w:color w:val="auto"/>
                      <w:szCs w:val="21"/>
                    </w:rPr>
                  </w:pPr>
                  <w:r>
                    <w:rPr>
                      <w:rFonts w:hint="eastAsia"/>
                      <w:color w:val="auto"/>
                      <w:szCs w:val="21"/>
                    </w:rPr>
                    <w:t>6</w:t>
                  </w:r>
                </w:p>
              </w:tc>
              <w:tc>
                <w:tcPr>
                  <w:tcW w:w="616" w:type="pct"/>
                  <w:vAlign w:val="center"/>
                </w:tcPr>
                <w:p w14:paraId="340ACC82">
                  <w:pPr>
                    <w:pStyle w:val="78"/>
                    <w:rPr>
                      <w:color w:val="auto"/>
                      <w:szCs w:val="21"/>
                    </w:rPr>
                  </w:pPr>
                  <w:r>
                    <w:rPr>
                      <w:rFonts w:hint="eastAsia"/>
                      <w:color w:val="auto"/>
                      <w:szCs w:val="21"/>
                    </w:rPr>
                    <w:t>去冒口</w:t>
                  </w:r>
                </w:p>
              </w:tc>
              <w:tc>
                <w:tcPr>
                  <w:tcW w:w="947" w:type="pct"/>
                  <w:vAlign w:val="center"/>
                </w:tcPr>
                <w:p w14:paraId="1D547963">
                  <w:pPr>
                    <w:pStyle w:val="78"/>
                    <w:rPr>
                      <w:color w:val="auto"/>
                      <w:szCs w:val="21"/>
                    </w:rPr>
                  </w:pPr>
                  <w:r>
                    <w:rPr>
                      <w:rFonts w:hint="eastAsia"/>
                      <w:color w:val="auto"/>
                      <w:szCs w:val="21"/>
                    </w:rPr>
                    <w:t>处理设施故障</w:t>
                  </w:r>
                </w:p>
              </w:tc>
              <w:tc>
                <w:tcPr>
                  <w:tcW w:w="919" w:type="pct"/>
                  <w:vAlign w:val="center"/>
                </w:tcPr>
                <w:p w14:paraId="4CC17C7E">
                  <w:pPr>
                    <w:pStyle w:val="78"/>
                    <w:rPr>
                      <w:color w:val="auto"/>
                      <w:szCs w:val="21"/>
                    </w:rPr>
                  </w:pPr>
                  <w:r>
                    <w:rPr>
                      <w:rFonts w:hint="eastAsia"/>
                      <w:color w:val="auto"/>
                      <w:szCs w:val="21"/>
                    </w:rPr>
                    <w:t>颗粒物</w:t>
                  </w:r>
                </w:p>
              </w:tc>
              <w:tc>
                <w:tcPr>
                  <w:tcW w:w="777" w:type="pct"/>
                  <w:vAlign w:val="center"/>
                </w:tcPr>
                <w:p w14:paraId="35D1CA16">
                  <w:pPr>
                    <w:jc w:val="center"/>
                    <w:rPr>
                      <w:color w:val="auto"/>
                      <w:szCs w:val="21"/>
                    </w:rPr>
                  </w:pPr>
                  <w:r>
                    <w:rPr>
                      <w:rFonts w:hint="eastAsia"/>
                      <w:color w:val="auto"/>
                      <w:szCs w:val="21"/>
                    </w:rPr>
                    <w:t>0.625</w:t>
                  </w:r>
                </w:p>
              </w:tc>
              <w:tc>
                <w:tcPr>
                  <w:tcW w:w="622" w:type="pct"/>
                  <w:vAlign w:val="center"/>
                </w:tcPr>
                <w:p w14:paraId="4C427F70">
                  <w:pPr>
                    <w:pStyle w:val="78"/>
                    <w:rPr>
                      <w:color w:val="auto"/>
                      <w:szCs w:val="21"/>
                    </w:rPr>
                  </w:pPr>
                  <w:r>
                    <w:rPr>
                      <w:rFonts w:hint="eastAsia"/>
                      <w:color w:val="auto"/>
                      <w:szCs w:val="21"/>
                    </w:rPr>
                    <w:t>0.5</w:t>
                  </w:r>
                </w:p>
              </w:tc>
              <w:tc>
                <w:tcPr>
                  <w:tcW w:w="707" w:type="pct"/>
                  <w:vAlign w:val="center"/>
                </w:tcPr>
                <w:p w14:paraId="2E1FD689">
                  <w:pPr>
                    <w:pStyle w:val="78"/>
                    <w:rPr>
                      <w:color w:val="auto"/>
                      <w:szCs w:val="21"/>
                    </w:rPr>
                  </w:pPr>
                  <w:r>
                    <w:rPr>
                      <w:rFonts w:hint="eastAsia"/>
                      <w:color w:val="auto"/>
                      <w:szCs w:val="21"/>
                    </w:rPr>
                    <w:t>≤2</w:t>
                  </w:r>
                </w:p>
              </w:tc>
            </w:tr>
            <w:tr w14:paraId="0DDD3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9" w:type="pct"/>
                  <w:vAlign w:val="center"/>
                </w:tcPr>
                <w:p w14:paraId="4CC4340D">
                  <w:pPr>
                    <w:pStyle w:val="78"/>
                    <w:rPr>
                      <w:color w:val="auto"/>
                      <w:szCs w:val="21"/>
                    </w:rPr>
                  </w:pPr>
                  <w:r>
                    <w:rPr>
                      <w:rFonts w:hint="eastAsia"/>
                      <w:color w:val="auto"/>
                      <w:szCs w:val="21"/>
                    </w:rPr>
                    <w:t>7</w:t>
                  </w:r>
                </w:p>
              </w:tc>
              <w:tc>
                <w:tcPr>
                  <w:tcW w:w="616" w:type="pct"/>
                  <w:vAlign w:val="center"/>
                </w:tcPr>
                <w:p w14:paraId="1E0DAD44">
                  <w:pPr>
                    <w:pStyle w:val="78"/>
                    <w:rPr>
                      <w:color w:val="auto"/>
                      <w:szCs w:val="21"/>
                    </w:rPr>
                  </w:pPr>
                  <w:r>
                    <w:rPr>
                      <w:rFonts w:hint="eastAsia"/>
                      <w:color w:val="auto"/>
                      <w:szCs w:val="21"/>
                    </w:rPr>
                    <w:t>打磨</w:t>
                  </w:r>
                </w:p>
              </w:tc>
              <w:tc>
                <w:tcPr>
                  <w:tcW w:w="947" w:type="pct"/>
                  <w:vAlign w:val="center"/>
                </w:tcPr>
                <w:p w14:paraId="0DBCDBAE">
                  <w:pPr>
                    <w:pStyle w:val="78"/>
                    <w:rPr>
                      <w:color w:val="auto"/>
                      <w:szCs w:val="21"/>
                    </w:rPr>
                  </w:pPr>
                  <w:r>
                    <w:rPr>
                      <w:rFonts w:hint="eastAsia"/>
                      <w:color w:val="auto"/>
                      <w:szCs w:val="21"/>
                    </w:rPr>
                    <w:t>处理设施故障</w:t>
                  </w:r>
                </w:p>
              </w:tc>
              <w:tc>
                <w:tcPr>
                  <w:tcW w:w="919" w:type="pct"/>
                  <w:vAlign w:val="center"/>
                </w:tcPr>
                <w:p w14:paraId="21444AC0">
                  <w:pPr>
                    <w:pStyle w:val="78"/>
                    <w:rPr>
                      <w:color w:val="auto"/>
                      <w:szCs w:val="21"/>
                    </w:rPr>
                  </w:pPr>
                  <w:r>
                    <w:rPr>
                      <w:rFonts w:hint="eastAsia"/>
                      <w:color w:val="auto"/>
                      <w:szCs w:val="21"/>
                    </w:rPr>
                    <w:t>颗粒物</w:t>
                  </w:r>
                </w:p>
              </w:tc>
              <w:tc>
                <w:tcPr>
                  <w:tcW w:w="777" w:type="pct"/>
                  <w:vAlign w:val="center"/>
                </w:tcPr>
                <w:p w14:paraId="53F4657D">
                  <w:pPr>
                    <w:jc w:val="center"/>
                    <w:rPr>
                      <w:color w:val="auto"/>
                      <w:szCs w:val="21"/>
                    </w:rPr>
                  </w:pPr>
                  <w:r>
                    <w:rPr>
                      <w:rFonts w:hint="eastAsia"/>
                      <w:color w:val="auto"/>
                      <w:szCs w:val="21"/>
                    </w:rPr>
                    <w:t>0.913</w:t>
                  </w:r>
                </w:p>
              </w:tc>
              <w:tc>
                <w:tcPr>
                  <w:tcW w:w="622" w:type="pct"/>
                  <w:vAlign w:val="center"/>
                </w:tcPr>
                <w:p w14:paraId="61E66006">
                  <w:pPr>
                    <w:pStyle w:val="78"/>
                    <w:rPr>
                      <w:color w:val="auto"/>
                      <w:szCs w:val="21"/>
                    </w:rPr>
                  </w:pPr>
                  <w:r>
                    <w:rPr>
                      <w:rFonts w:hint="eastAsia"/>
                      <w:color w:val="auto"/>
                      <w:szCs w:val="21"/>
                    </w:rPr>
                    <w:t>0.5</w:t>
                  </w:r>
                </w:p>
              </w:tc>
              <w:tc>
                <w:tcPr>
                  <w:tcW w:w="707" w:type="pct"/>
                  <w:vAlign w:val="center"/>
                </w:tcPr>
                <w:p w14:paraId="5DFEAA6F">
                  <w:pPr>
                    <w:pStyle w:val="78"/>
                    <w:rPr>
                      <w:color w:val="auto"/>
                      <w:szCs w:val="21"/>
                    </w:rPr>
                  </w:pPr>
                  <w:r>
                    <w:rPr>
                      <w:rFonts w:hint="eastAsia"/>
                      <w:color w:val="auto"/>
                      <w:szCs w:val="21"/>
                    </w:rPr>
                    <w:t>≤2</w:t>
                  </w:r>
                </w:p>
              </w:tc>
            </w:tr>
            <w:tr w14:paraId="042AB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9" w:type="pct"/>
                  <w:vAlign w:val="center"/>
                </w:tcPr>
                <w:p w14:paraId="7BDA6099">
                  <w:pPr>
                    <w:pStyle w:val="78"/>
                    <w:rPr>
                      <w:color w:val="auto"/>
                      <w:szCs w:val="21"/>
                    </w:rPr>
                  </w:pPr>
                  <w:r>
                    <w:rPr>
                      <w:rFonts w:hint="eastAsia"/>
                      <w:color w:val="auto"/>
                      <w:szCs w:val="21"/>
                    </w:rPr>
                    <w:t>8</w:t>
                  </w:r>
                </w:p>
              </w:tc>
              <w:tc>
                <w:tcPr>
                  <w:tcW w:w="616" w:type="pct"/>
                  <w:vAlign w:val="center"/>
                </w:tcPr>
                <w:p w14:paraId="03B8CFE3">
                  <w:pPr>
                    <w:pStyle w:val="78"/>
                    <w:rPr>
                      <w:color w:val="auto"/>
                      <w:szCs w:val="21"/>
                    </w:rPr>
                  </w:pPr>
                  <w:r>
                    <w:rPr>
                      <w:rFonts w:hint="eastAsia"/>
                      <w:color w:val="auto"/>
                      <w:szCs w:val="21"/>
                    </w:rPr>
                    <w:t>抛丸</w:t>
                  </w:r>
                </w:p>
              </w:tc>
              <w:tc>
                <w:tcPr>
                  <w:tcW w:w="947" w:type="pct"/>
                  <w:vAlign w:val="center"/>
                </w:tcPr>
                <w:p w14:paraId="640BE625">
                  <w:pPr>
                    <w:pStyle w:val="78"/>
                    <w:rPr>
                      <w:color w:val="auto"/>
                      <w:szCs w:val="21"/>
                    </w:rPr>
                  </w:pPr>
                  <w:r>
                    <w:rPr>
                      <w:rFonts w:hint="eastAsia"/>
                      <w:color w:val="auto"/>
                      <w:szCs w:val="21"/>
                    </w:rPr>
                    <w:t>处理设施故障</w:t>
                  </w:r>
                </w:p>
              </w:tc>
              <w:tc>
                <w:tcPr>
                  <w:tcW w:w="919" w:type="pct"/>
                  <w:vAlign w:val="center"/>
                </w:tcPr>
                <w:p w14:paraId="3788F980">
                  <w:pPr>
                    <w:pStyle w:val="78"/>
                    <w:rPr>
                      <w:color w:val="auto"/>
                      <w:szCs w:val="21"/>
                    </w:rPr>
                  </w:pPr>
                  <w:r>
                    <w:rPr>
                      <w:rFonts w:hint="eastAsia"/>
                      <w:color w:val="auto"/>
                      <w:szCs w:val="21"/>
                    </w:rPr>
                    <w:t>颗粒物</w:t>
                  </w:r>
                </w:p>
              </w:tc>
              <w:tc>
                <w:tcPr>
                  <w:tcW w:w="777" w:type="pct"/>
                  <w:vAlign w:val="center"/>
                </w:tcPr>
                <w:p w14:paraId="1CD87819">
                  <w:pPr>
                    <w:jc w:val="center"/>
                    <w:rPr>
                      <w:color w:val="auto"/>
                      <w:szCs w:val="21"/>
                    </w:rPr>
                  </w:pPr>
                  <w:r>
                    <w:rPr>
                      <w:rFonts w:hint="eastAsia"/>
                      <w:color w:val="auto"/>
                      <w:szCs w:val="21"/>
                    </w:rPr>
                    <w:t>5.019</w:t>
                  </w:r>
                </w:p>
              </w:tc>
              <w:tc>
                <w:tcPr>
                  <w:tcW w:w="622" w:type="pct"/>
                  <w:vAlign w:val="center"/>
                </w:tcPr>
                <w:p w14:paraId="37840D55">
                  <w:pPr>
                    <w:pStyle w:val="78"/>
                    <w:rPr>
                      <w:color w:val="auto"/>
                      <w:szCs w:val="21"/>
                    </w:rPr>
                  </w:pPr>
                  <w:r>
                    <w:rPr>
                      <w:rFonts w:hint="eastAsia"/>
                      <w:color w:val="auto"/>
                      <w:szCs w:val="21"/>
                    </w:rPr>
                    <w:t>0.5</w:t>
                  </w:r>
                </w:p>
              </w:tc>
              <w:tc>
                <w:tcPr>
                  <w:tcW w:w="707" w:type="pct"/>
                  <w:vAlign w:val="center"/>
                </w:tcPr>
                <w:p w14:paraId="60003CD6">
                  <w:pPr>
                    <w:pStyle w:val="78"/>
                    <w:rPr>
                      <w:color w:val="auto"/>
                      <w:szCs w:val="21"/>
                    </w:rPr>
                  </w:pPr>
                  <w:r>
                    <w:rPr>
                      <w:rFonts w:hint="eastAsia"/>
                      <w:color w:val="auto"/>
                      <w:szCs w:val="21"/>
                    </w:rPr>
                    <w:t>≤2</w:t>
                  </w:r>
                </w:p>
              </w:tc>
            </w:tr>
            <w:tr w14:paraId="20253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9" w:type="pct"/>
                  <w:vAlign w:val="center"/>
                </w:tcPr>
                <w:p w14:paraId="75E5BFE4">
                  <w:pPr>
                    <w:pStyle w:val="78"/>
                    <w:rPr>
                      <w:color w:val="auto"/>
                      <w:szCs w:val="21"/>
                    </w:rPr>
                  </w:pPr>
                  <w:r>
                    <w:rPr>
                      <w:rFonts w:hint="eastAsia"/>
                      <w:color w:val="auto"/>
                      <w:szCs w:val="21"/>
                    </w:rPr>
                    <w:t>9</w:t>
                  </w:r>
                </w:p>
              </w:tc>
              <w:tc>
                <w:tcPr>
                  <w:tcW w:w="616" w:type="pct"/>
                  <w:vAlign w:val="center"/>
                </w:tcPr>
                <w:p w14:paraId="09FF971A">
                  <w:pPr>
                    <w:pStyle w:val="78"/>
                    <w:rPr>
                      <w:color w:val="auto"/>
                      <w:szCs w:val="21"/>
                    </w:rPr>
                  </w:pPr>
                  <w:r>
                    <w:rPr>
                      <w:rFonts w:hint="eastAsia"/>
                      <w:color w:val="auto"/>
                      <w:szCs w:val="21"/>
                    </w:rPr>
                    <w:t>焊接</w:t>
                  </w:r>
                </w:p>
              </w:tc>
              <w:tc>
                <w:tcPr>
                  <w:tcW w:w="947" w:type="pct"/>
                  <w:vAlign w:val="center"/>
                </w:tcPr>
                <w:p w14:paraId="2D546AEE">
                  <w:pPr>
                    <w:pStyle w:val="78"/>
                    <w:rPr>
                      <w:color w:val="auto"/>
                      <w:szCs w:val="21"/>
                    </w:rPr>
                  </w:pPr>
                  <w:r>
                    <w:rPr>
                      <w:rFonts w:hint="eastAsia"/>
                      <w:color w:val="auto"/>
                      <w:szCs w:val="21"/>
                    </w:rPr>
                    <w:t>处理设施故障</w:t>
                  </w:r>
                </w:p>
              </w:tc>
              <w:tc>
                <w:tcPr>
                  <w:tcW w:w="919" w:type="pct"/>
                  <w:vAlign w:val="center"/>
                </w:tcPr>
                <w:p w14:paraId="1A9705EE">
                  <w:pPr>
                    <w:pStyle w:val="78"/>
                    <w:rPr>
                      <w:color w:val="auto"/>
                      <w:szCs w:val="21"/>
                    </w:rPr>
                  </w:pPr>
                  <w:r>
                    <w:rPr>
                      <w:rFonts w:hint="eastAsia"/>
                      <w:color w:val="auto"/>
                      <w:szCs w:val="21"/>
                    </w:rPr>
                    <w:t>颗粒物</w:t>
                  </w:r>
                </w:p>
              </w:tc>
              <w:tc>
                <w:tcPr>
                  <w:tcW w:w="777" w:type="pct"/>
                  <w:vAlign w:val="center"/>
                </w:tcPr>
                <w:p w14:paraId="2ECB2A4B">
                  <w:pPr>
                    <w:jc w:val="center"/>
                    <w:rPr>
                      <w:color w:val="auto"/>
                      <w:szCs w:val="21"/>
                    </w:rPr>
                  </w:pPr>
                  <w:r>
                    <w:rPr>
                      <w:rFonts w:hint="eastAsia"/>
                      <w:color w:val="auto"/>
                      <w:szCs w:val="21"/>
                    </w:rPr>
                    <w:t>0.008</w:t>
                  </w:r>
                </w:p>
              </w:tc>
              <w:tc>
                <w:tcPr>
                  <w:tcW w:w="622" w:type="pct"/>
                  <w:vAlign w:val="center"/>
                </w:tcPr>
                <w:p w14:paraId="432246E1">
                  <w:pPr>
                    <w:pStyle w:val="78"/>
                    <w:rPr>
                      <w:color w:val="auto"/>
                      <w:szCs w:val="21"/>
                    </w:rPr>
                  </w:pPr>
                  <w:r>
                    <w:rPr>
                      <w:rFonts w:hint="eastAsia"/>
                      <w:color w:val="auto"/>
                      <w:szCs w:val="21"/>
                    </w:rPr>
                    <w:t>0.5</w:t>
                  </w:r>
                </w:p>
              </w:tc>
              <w:tc>
                <w:tcPr>
                  <w:tcW w:w="707" w:type="pct"/>
                  <w:vAlign w:val="center"/>
                </w:tcPr>
                <w:p w14:paraId="1505F218">
                  <w:pPr>
                    <w:pStyle w:val="78"/>
                    <w:rPr>
                      <w:color w:val="auto"/>
                      <w:szCs w:val="21"/>
                    </w:rPr>
                  </w:pPr>
                  <w:r>
                    <w:rPr>
                      <w:rFonts w:hint="eastAsia"/>
                      <w:color w:val="auto"/>
                      <w:szCs w:val="21"/>
                    </w:rPr>
                    <w:t>≤2</w:t>
                  </w:r>
                </w:p>
              </w:tc>
            </w:tr>
            <w:tr w14:paraId="699C3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9" w:type="pct"/>
                  <w:vMerge w:val="restart"/>
                  <w:vAlign w:val="center"/>
                </w:tcPr>
                <w:p w14:paraId="4F2407C2">
                  <w:pPr>
                    <w:pStyle w:val="78"/>
                    <w:rPr>
                      <w:color w:val="auto"/>
                      <w:szCs w:val="21"/>
                    </w:rPr>
                  </w:pPr>
                  <w:r>
                    <w:rPr>
                      <w:rFonts w:hint="eastAsia"/>
                      <w:color w:val="auto"/>
                      <w:szCs w:val="21"/>
                    </w:rPr>
                    <w:t>10</w:t>
                  </w:r>
                </w:p>
              </w:tc>
              <w:tc>
                <w:tcPr>
                  <w:tcW w:w="616" w:type="pct"/>
                  <w:vMerge w:val="restart"/>
                  <w:vAlign w:val="center"/>
                </w:tcPr>
                <w:p w14:paraId="344A74FE">
                  <w:pPr>
                    <w:pStyle w:val="78"/>
                    <w:rPr>
                      <w:color w:val="auto"/>
                      <w:szCs w:val="21"/>
                    </w:rPr>
                  </w:pPr>
                  <w:r>
                    <w:rPr>
                      <w:rFonts w:hint="eastAsia"/>
                      <w:color w:val="auto"/>
                      <w:szCs w:val="21"/>
                    </w:rPr>
                    <w:t>喷涂</w:t>
                  </w:r>
                </w:p>
              </w:tc>
              <w:tc>
                <w:tcPr>
                  <w:tcW w:w="947" w:type="pct"/>
                  <w:vMerge w:val="restart"/>
                  <w:vAlign w:val="center"/>
                </w:tcPr>
                <w:p w14:paraId="2777141C">
                  <w:pPr>
                    <w:pStyle w:val="78"/>
                    <w:rPr>
                      <w:color w:val="auto"/>
                      <w:szCs w:val="21"/>
                    </w:rPr>
                  </w:pPr>
                  <w:r>
                    <w:rPr>
                      <w:rFonts w:hint="eastAsia"/>
                      <w:color w:val="auto"/>
                      <w:szCs w:val="21"/>
                    </w:rPr>
                    <w:t>处理设施故障</w:t>
                  </w:r>
                </w:p>
              </w:tc>
              <w:tc>
                <w:tcPr>
                  <w:tcW w:w="919" w:type="pct"/>
                  <w:vAlign w:val="center"/>
                </w:tcPr>
                <w:p w14:paraId="1E4B35DD">
                  <w:pPr>
                    <w:pStyle w:val="78"/>
                    <w:rPr>
                      <w:color w:val="auto"/>
                      <w:szCs w:val="21"/>
                    </w:rPr>
                  </w:pPr>
                  <w:r>
                    <w:rPr>
                      <w:rFonts w:hint="eastAsia"/>
                      <w:color w:val="auto"/>
                      <w:szCs w:val="21"/>
                    </w:rPr>
                    <w:t>VOC</w:t>
                  </w:r>
                  <w:r>
                    <w:rPr>
                      <w:rFonts w:hint="eastAsia"/>
                      <w:color w:val="auto"/>
                      <w:szCs w:val="21"/>
                      <w:vertAlign w:val="subscript"/>
                    </w:rPr>
                    <w:t>S</w:t>
                  </w:r>
                </w:p>
              </w:tc>
              <w:tc>
                <w:tcPr>
                  <w:tcW w:w="777" w:type="pct"/>
                  <w:vAlign w:val="center"/>
                </w:tcPr>
                <w:p w14:paraId="465E21E5">
                  <w:pPr>
                    <w:jc w:val="center"/>
                    <w:rPr>
                      <w:color w:val="auto"/>
                      <w:szCs w:val="21"/>
                    </w:rPr>
                  </w:pPr>
                  <w:r>
                    <w:rPr>
                      <w:rFonts w:hint="eastAsia"/>
                      <w:color w:val="auto"/>
                      <w:szCs w:val="21"/>
                    </w:rPr>
                    <w:t>0.8478</w:t>
                  </w:r>
                </w:p>
              </w:tc>
              <w:tc>
                <w:tcPr>
                  <w:tcW w:w="622" w:type="pct"/>
                  <w:vMerge w:val="restart"/>
                  <w:vAlign w:val="center"/>
                </w:tcPr>
                <w:p w14:paraId="24473A64">
                  <w:pPr>
                    <w:pStyle w:val="78"/>
                    <w:rPr>
                      <w:color w:val="auto"/>
                      <w:szCs w:val="21"/>
                    </w:rPr>
                  </w:pPr>
                  <w:r>
                    <w:rPr>
                      <w:rFonts w:hint="eastAsia"/>
                      <w:color w:val="auto"/>
                      <w:szCs w:val="21"/>
                    </w:rPr>
                    <w:t>0.5</w:t>
                  </w:r>
                </w:p>
              </w:tc>
              <w:tc>
                <w:tcPr>
                  <w:tcW w:w="707" w:type="pct"/>
                  <w:vMerge w:val="restart"/>
                  <w:vAlign w:val="center"/>
                </w:tcPr>
                <w:p w14:paraId="5B97CCE4">
                  <w:pPr>
                    <w:pStyle w:val="78"/>
                    <w:rPr>
                      <w:color w:val="auto"/>
                      <w:szCs w:val="21"/>
                    </w:rPr>
                  </w:pPr>
                  <w:r>
                    <w:rPr>
                      <w:rFonts w:hint="eastAsia"/>
                      <w:color w:val="auto"/>
                      <w:szCs w:val="21"/>
                    </w:rPr>
                    <w:t>≤2</w:t>
                  </w:r>
                </w:p>
              </w:tc>
            </w:tr>
            <w:tr w14:paraId="2CE70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9" w:type="pct"/>
                  <w:vMerge w:val="continue"/>
                  <w:vAlign w:val="center"/>
                </w:tcPr>
                <w:p w14:paraId="29780570">
                  <w:pPr>
                    <w:jc w:val="center"/>
                    <w:rPr>
                      <w:color w:val="auto"/>
                    </w:rPr>
                  </w:pPr>
                </w:p>
              </w:tc>
              <w:tc>
                <w:tcPr>
                  <w:tcW w:w="616" w:type="pct"/>
                  <w:vMerge w:val="continue"/>
                  <w:vAlign w:val="center"/>
                </w:tcPr>
                <w:p w14:paraId="7C7552A1">
                  <w:pPr>
                    <w:jc w:val="center"/>
                    <w:rPr>
                      <w:color w:val="auto"/>
                    </w:rPr>
                  </w:pPr>
                </w:p>
              </w:tc>
              <w:tc>
                <w:tcPr>
                  <w:tcW w:w="947" w:type="pct"/>
                  <w:vMerge w:val="continue"/>
                  <w:vAlign w:val="center"/>
                </w:tcPr>
                <w:p w14:paraId="3BEFEC7D">
                  <w:pPr>
                    <w:jc w:val="center"/>
                    <w:rPr>
                      <w:color w:val="auto"/>
                    </w:rPr>
                  </w:pPr>
                </w:p>
              </w:tc>
              <w:tc>
                <w:tcPr>
                  <w:tcW w:w="919" w:type="pct"/>
                  <w:vAlign w:val="center"/>
                </w:tcPr>
                <w:p w14:paraId="7E5056F1">
                  <w:pPr>
                    <w:pStyle w:val="78"/>
                    <w:rPr>
                      <w:color w:val="auto"/>
                      <w:szCs w:val="21"/>
                    </w:rPr>
                  </w:pPr>
                  <w:r>
                    <w:rPr>
                      <w:rFonts w:hint="eastAsia"/>
                      <w:color w:val="auto"/>
                      <w:szCs w:val="21"/>
                    </w:rPr>
                    <w:t>二甲苯</w:t>
                  </w:r>
                </w:p>
              </w:tc>
              <w:tc>
                <w:tcPr>
                  <w:tcW w:w="777" w:type="pct"/>
                  <w:vAlign w:val="center"/>
                </w:tcPr>
                <w:p w14:paraId="6B244C17">
                  <w:pPr>
                    <w:jc w:val="center"/>
                    <w:rPr>
                      <w:color w:val="auto"/>
                      <w:szCs w:val="21"/>
                    </w:rPr>
                  </w:pPr>
                  <w:r>
                    <w:rPr>
                      <w:rFonts w:hint="eastAsia"/>
                      <w:color w:val="auto"/>
                      <w:szCs w:val="21"/>
                    </w:rPr>
                    <w:t>0.5553</w:t>
                  </w:r>
                </w:p>
              </w:tc>
              <w:tc>
                <w:tcPr>
                  <w:tcW w:w="622" w:type="pct"/>
                  <w:vMerge w:val="continue"/>
                  <w:vAlign w:val="center"/>
                </w:tcPr>
                <w:p w14:paraId="6A8807F6">
                  <w:pPr>
                    <w:jc w:val="center"/>
                    <w:rPr>
                      <w:color w:val="auto"/>
                      <w:szCs w:val="21"/>
                    </w:rPr>
                  </w:pPr>
                </w:p>
              </w:tc>
              <w:tc>
                <w:tcPr>
                  <w:tcW w:w="707" w:type="pct"/>
                  <w:vMerge w:val="continue"/>
                  <w:vAlign w:val="center"/>
                </w:tcPr>
                <w:p w14:paraId="7FA66113">
                  <w:pPr>
                    <w:jc w:val="center"/>
                    <w:rPr>
                      <w:color w:val="auto"/>
                      <w:szCs w:val="21"/>
                    </w:rPr>
                  </w:pPr>
                </w:p>
              </w:tc>
            </w:tr>
            <w:tr w14:paraId="52854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9" w:type="pct"/>
                  <w:vMerge w:val="continue"/>
                  <w:vAlign w:val="center"/>
                </w:tcPr>
                <w:p w14:paraId="361D1497">
                  <w:pPr>
                    <w:jc w:val="center"/>
                    <w:rPr>
                      <w:color w:val="auto"/>
                      <w:szCs w:val="21"/>
                    </w:rPr>
                  </w:pPr>
                </w:p>
              </w:tc>
              <w:tc>
                <w:tcPr>
                  <w:tcW w:w="616" w:type="pct"/>
                  <w:vMerge w:val="continue"/>
                  <w:vAlign w:val="center"/>
                </w:tcPr>
                <w:p w14:paraId="14ABC1EB">
                  <w:pPr>
                    <w:jc w:val="center"/>
                    <w:rPr>
                      <w:color w:val="auto"/>
                      <w:szCs w:val="21"/>
                    </w:rPr>
                  </w:pPr>
                </w:p>
              </w:tc>
              <w:tc>
                <w:tcPr>
                  <w:tcW w:w="947" w:type="pct"/>
                  <w:vMerge w:val="continue"/>
                  <w:vAlign w:val="center"/>
                </w:tcPr>
                <w:p w14:paraId="1C3B1EC7">
                  <w:pPr>
                    <w:jc w:val="center"/>
                    <w:rPr>
                      <w:color w:val="auto"/>
                      <w:szCs w:val="21"/>
                    </w:rPr>
                  </w:pPr>
                </w:p>
              </w:tc>
              <w:tc>
                <w:tcPr>
                  <w:tcW w:w="919" w:type="pct"/>
                  <w:vAlign w:val="center"/>
                </w:tcPr>
                <w:p w14:paraId="231879EF">
                  <w:pPr>
                    <w:jc w:val="center"/>
                    <w:rPr>
                      <w:color w:val="auto"/>
                      <w:szCs w:val="21"/>
                    </w:rPr>
                  </w:pPr>
                  <w:r>
                    <w:rPr>
                      <w:rFonts w:hint="eastAsia"/>
                      <w:color w:val="auto"/>
                      <w:szCs w:val="21"/>
                    </w:rPr>
                    <w:t>漆雾（颗粒物）</w:t>
                  </w:r>
                </w:p>
              </w:tc>
              <w:tc>
                <w:tcPr>
                  <w:tcW w:w="777" w:type="pct"/>
                  <w:vAlign w:val="center"/>
                </w:tcPr>
                <w:p w14:paraId="7D0A7DCB">
                  <w:pPr>
                    <w:jc w:val="center"/>
                    <w:rPr>
                      <w:color w:val="auto"/>
                      <w:szCs w:val="21"/>
                    </w:rPr>
                  </w:pPr>
                  <w:r>
                    <w:rPr>
                      <w:rFonts w:hint="eastAsia"/>
                      <w:color w:val="auto"/>
                      <w:szCs w:val="21"/>
                    </w:rPr>
                    <w:t>0.45</w:t>
                  </w:r>
                </w:p>
              </w:tc>
              <w:tc>
                <w:tcPr>
                  <w:tcW w:w="622" w:type="pct"/>
                  <w:vMerge w:val="continue"/>
                  <w:vAlign w:val="center"/>
                </w:tcPr>
                <w:p w14:paraId="1688C8E3">
                  <w:pPr>
                    <w:jc w:val="center"/>
                    <w:rPr>
                      <w:color w:val="auto"/>
                      <w:szCs w:val="21"/>
                    </w:rPr>
                  </w:pPr>
                </w:p>
              </w:tc>
              <w:tc>
                <w:tcPr>
                  <w:tcW w:w="707" w:type="pct"/>
                  <w:vMerge w:val="continue"/>
                  <w:vAlign w:val="center"/>
                </w:tcPr>
                <w:p w14:paraId="188F74EC">
                  <w:pPr>
                    <w:jc w:val="center"/>
                    <w:rPr>
                      <w:color w:val="auto"/>
                      <w:szCs w:val="21"/>
                    </w:rPr>
                  </w:pPr>
                </w:p>
              </w:tc>
            </w:tr>
          </w:tbl>
          <w:p w14:paraId="5F0E9F7B">
            <w:pPr>
              <w:pStyle w:val="28"/>
              <w:ind w:firstLine="480"/>
              <w:rPr>
                <w:color w:val="auto"/>
              </w:rPr>
            </w:pPr>
            <w:r>
              <w:rPr>
                <w:color w:val="auto"/>
              </w:rPr>
              <w:t>经上表可知，非正常工况下厂区内废气无组织排放量</w:t>
            </w:r>
            <w:r>
              <w:rPr>
                <w:rFonts w:hint="eastAsia"/>
                <w:color w:val="auto"/>
              </w:rPr>
              <w:t>会</w:t>
            </w:r>
            <w:r>
              <w:rPr>
                <w:color w:val="auto"/>
              </w:rPr>
              <w:t>增加，为确保企业废气做到达标排放，项目运行后，企业应加强在岗人员培训和对工艺设备运行的管理，尽量降低、避免非正常情况的发生；在废气处理设备停止运行或出现故障时，产生废气的各工序也必须相应停止生产。为杜绝废气非正常排放，本评价建议建设单位应采取以下措施确保废气达标排放：</w:t>
            </w:r>
          </w:p>
          <w:p w14:paraId="4F091C15">
            <w:pPr>
              <w:pStyle w:val="28"/>
              <w:ind w:firstLine="480"/>
              <w:rPr>
                <w:color w:val="auto"/>
              </w:rPr>
            </w:pPr>
            <w:r>
              <w:rPr>
                <w:color w:val="auto"/>
              </w:rPr>
              <w:t>①排查废气处理设备的隐患，确保废气处理系统正常运行；</w:t>
            </w:r>
          </w:p>
          <w:p w14:paraId="2B8728C6">
            <w:pPr>
              <w:pStyle w:val="28"/>
              <w:ind w:firstLine="480"/>
              <w:rPr>
                <w:color w:val="auto"/>
              </w:rPr>
            </w:pPr>
            <w:r>
              <w:rPr>
                <w:color w:val="auto"/>
              </w:rPr>
              <w:t>②建立健全的环保管理机构，对环保管理人员和技术人员进行岗位培训，委托具有专业资质的环境监测单位对项目排放的各类污染物进行定期监测；</w:t>
            </w:r>
          </w:p>
          <w:p w14:paraId="7B33F0EB">
            <w:pPr>
              <w:pStyle w:val="28"/>
              <w:ind w:firstLine="480"/>
              <w:rPr>
                <w:color w:val="auto"/>
              </w:rPr>
            </w:pPr>
            <w:r>
              <w:rPr>
                <w:color w:val="auto"/>
              </w:rPr>
              <w:t>③应定期维护、检修废气</w:t>
            </w:r>
            <w:r>
              <w:rPr>
                <w:rFonts w:hint="eastAsia"/>
                <w:color w:val="auto"/>
              </w:rPr>
              <w:t>处理</w:t>
            </w:r>
            <w:r>
              <w:rPr>
                <w:color w:val="auto"/>
              </w:rPr>
              <w:t>装置，以保持废气处理装置的净化能力和净化容量；</w:t>
            </w:r>
          </w:p>
          <w:p w14:paraId="12AE6208">
            <w:pPr>
              <w:pStyle w:val="28"/>
              <w:ind w:firstLine="480"/>
              <w:rPr>
                <w:rFonts w:cs="宋体"/>
                <w:b/>
                <w:bCs/>
                <w:color w:val="auto"/>
              </w:rPr>
            </w:pPr>
            <w:r>
              <w:rPr>
                <w:color w:val="auto"/>
              </w:rPr>
              <w:t>④专人负责环保设备的日常维护和管理，每个固定时间检查、汇报情况，及时发现故障。</w:t>
            </w:r>
          </w:p>
          <w:p w14:paraId="46F38DB8">
            <w:pPr>
              <w:adjustRightInd w:val="0"/>
              <w:snapToGrid w:val="0"/>
              <w:spacing w:line="360" w:lineRule="auto"/>
              <w:ind w:firstLine="480" w:firstLineChars="200"/>
              <w:jc w:val="left"/>
              <w:rPr>
                <w:rFonts w:cs="宋体"/>
                <w:color w:val="auto"/>
                <w:sz w:val="24"/>
              </w:rPr>
            </w:pPr>
            <w:r>
              <w:rPr>
                <w:rFonts w:hint="eastAsia" w:cs="宋体"/>
                <w:color w:val="auto"/>
                <w:sz w:val="24"/>
              </w:rPr>
              <w:t>⑤按照监测要求对项目废气定期进行检测，防止废气超标排放。</w:t>
            </w:r>
          </w:p>
          <w:p w14:paraId="0890AA42">
            <w:pPr>
              <w:adjustRightInd w:val="0"/>
              <w:snapToGrid w:val="0"/>
              <w:spacing w:line="360" w:lineRule="auto"/>
              <w:ind w:firstLine="482" w:firstLineChars="200"/>
              <w:jc w:val="left"/>
              <w:rPr>
                <w:rFonts w:cs="宋体"/>
                <w:b/>
                <w:bCs/>
                <w:color w:val="auto"/>
                <w:sz w:val="24"/>
              </w:rPr>
            </w:pPr>
            <w:r>
              <w:rPr>
                <w:rFonts w:hint="eastAsia" w:cs="宋体"/>
                <w:b/>
                <w:bCs/>
                <w:color w:val="auto"/>
                <w:sz w:val="24"/>
              </w:rPr>
              <w:t>（6）废气排放监测要求</w:t>
            </w:r>
          </w:p>
          <w:p w14:paraId="30E0545C">
            <w:pPr>
              <w:autoSpaceDE w:val="0"/>
              <w:autoSpaceDN w:val="0"/>
              <w:adjustRightInd w:val="0"/>
              <w:spacing w:line="360" w:lineRule="auto"/>
              <w:ind w:firstLine="480" w:firstLineChars="200"/>
              <w:rPr>
                <w:rFonts w:cs="宋体"/>
                <w:color w:val="auto"/>
                <w:sz w:val="24"/>
              </w:rPr>
            </w:pPr>
            <w:r>
              <w:rPr>
                <w:rFonts w:hint="eastAsia" w:cs="宋体"/>
                <w:color w:val="auto"/>
                <w:sz w:val="24"/>
              </w:rPr>
              <w:t>根据《排污单位自行监测技术指南 火力发电及锅炉》（HJ820-2017）和《排污许可证申请与核发技术规范 金属铸造工业》（HJ1115-2020）、《排污单位自行监测技术指南 金属铸造工业》（HJ1251-2022），并结合项目运营期间污染物排放特点，制定本项目的污染源监测计划，建议建设单位按监测计划实施。监测分析方法按照现行国家、部颁标准和有关规定执行。本项目运营期环境自行监测内容如下。</w:t>
            </w:r>
          </w:p>
          <w:p w14:paraId="2911119C">
            <w:pPr>
              <w:autoSpaceDE w:val="0"/>
              <w:autoSpaceDN w:val="0"/>
              <w:adjustRightInd w:val="0"/>
              <w:jc w:val="center"/>
              <w:rPr>
                <w:rFonts w:cs="宋体"/>
                <w:b/>
                <w:bCs/>
                <w:color w:val="auto"/>
                <w:szCs w:val="21"/>
                <w:u w:val="single"/>
              </w:rPr>
            </w:pPr>
            <w:r>
              <w:rPr>
                <w:rFonts w:hint="eastAsia" w:cs="宋体"/>
                <w:b/>
                <w:bCs/>
                <w:color w:val="auto"/>
                <w:szCs w:val="21"/>
                <w:u w:val="single"/>
              </w:rPr>
              <w:t>表4-9 项目废气检测计划一览表</w:t>
            </w:r>
          </w:p>
          <w:tbl>
            <w:tblPr>
              <w:tblStyle w:val="31"/>
              <w:tblW w:w="4976"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46"/>
              <w:gridCol w:w="975"/>
              <w:gridCol w:w="798"/>
              <w:gridCol w:w="1300"/>
              <w:gridCol w:w="1231"/>
              <w:gridCol w:w="4017"/>
            </w:tblGrid>
            <w:tr w14:paraId="7CD052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tcBorders>
                    <w:tl2br w:val="nil"/>
                    <w:tr2bl w:val="nil"/>
                  </w:tcBorders>
                  <w:vAlign w:val="center"/>
                </w:tcPr>
                <w:p w14:paraId="0EDD4C64">
                  <w:pPr>
                    <w:jc w:val="center"/>
                    <w:rPr>
                      <w:color w:val="auto"/>
                      <w:szCs w:val="21"/>
                      <w:u w:val="single"/>
                    </w:rPr>
                  </w:pPr>
                  <w:r>
                    <w:rPr>
                      <w:rFonts w:hint="eastAsia"/>
                      <w:color w:val="auto"/>
                      <w:szCs w:val="21"/>
                      <w:u w:val="single"/>
                    </w:rPr>
                    <w:t>类型</w:t>
                  </w:r>
                </w:p>
              </w:tc>
              <w:tc>
                <w:tcPr>
                  <w:tcW w:w="556" w:type="pct"/>
                  <w:tcBorders>
                    <w:tl2br w:val="nil"/>
                    <w:tr2bl w:val="nil"/>
                  </w:tcBorders>
                  <w:vAlign w:val="center"/>
                </w:tcPr>
                <w:p w14:paraId="5AC84D14">
                  <w:pPr>
                    <w:jc w:val="center"/>
                    <w:rPr>
                      <w:color w:val="auto"/>
                      <w:szCs w:val="21"/>
                      <w:u w:val="single"/>
                    </w:rPr>
                  </w:pPr>
                  <w:r>
                    <w:rPr>
                      <w:rFonts w:hint="eastAsia"/>
                      <w:color w:val="auto"/>
                      <w:szCs w:val="21"/>
                      <w:u w:val="single"/>
                    </w:rPr>
                    <w:t>污染源</w:t>
                  </w:r>
                </w:p>
              </w:tc>
              <w:tc>
                <w:tcPr>
                  <w:tcW w:w="455" w:type="pct"/>
                  <w:tcBorders>
                    <w:tl2br w:val="nil"/>
                    <w:tr2bl w:val="nil"/>
                  </w:tcBorders>
                  <w:vAlign w:val="center"/>
                </w:tcPr>
                <w:p w14:paraId="5141CD4F">
                  <w:pPr>
                    <w:jc w:val="center"/>
                    <w:rPr>
                      <w:color w:val="auto"/>
                      <w:szCs w:val="21"/>
                      <w:u w:val="single"/>
                    </w:rPr>
                  </w:pPr>
                  <w:r>
                    <w:rPr>
                      <w:rFonts w:hint="eastAsia"/>
                      <w:color w:val="auto"/>
                      <w:szCs w:val="21"/>
                      <w:u w:val="single"/>
                    </w:rPr>
                    <w:t>监测</w:t>
                  </w:r>
                </w:p>
                <w:p w14:paraId="646E2FC1">
                  <w:pPr>
                    <w:jc w:val="center"/>
                    <w:rPr>
                      <w:color w:val="auto"/>
                      <w:szCs w:val="21"/>
                      <w:u w:val="single"/>
                    </w:rPr>
                  </w:pPr>
                  <w:r>
                    <w:rPr>
                      <w:rFonts w:hint="eastAsia"/>
                      <w:color w:val="auto"/>
                      <w:szCs w:val="21"/>
                      <w:u w:val="single"/>
                    </w:rPr>
                    <w:t>点位</w:t>
                  </w:r>
                </w:p>
              </w:tc>
              <w:tc>
                <w:tcPr>
                  <w:tcW w:w="741" w:type="pct"/>
                  <w:tcBorders>
                    <w:tl2br w:val="nil"/>
                    <w:tr2bl w:val="nil"/>
                  </w:tcBorders>
                  <w:vAlign w:val="center"/>
                </w:tcPr>
                <w:p w14:paraId="722AFA11">
                  <w:pPr>
                    <w:jc w:val="center"/>
                    <w:rPr>
                      <w:rFonts w:cs="宋体"/>
                      <w:color w:val="auto"/>
                      <w:kern w:val="0"/>
                      <w:szCs w:val="21"/>
                      <w:u w:val="single"/>
                    </w:rPr>
                  </w:pPr>
                  <w:r>
                    <w:rPr>
                      <w:rFonts w:hint="eastAsia" w:cs="宋体"/>
                      <w:color w:val="auto"/>
                      <w:kern w:val="0"/>
                      <w:szCs w:val="21"/>
                      <w:u w:val="single"/>
                    </w:rPr>
                    <w:t>监测</w:t>
                  </w:r>
                </w:p>
                <w:p w14:paraId="75C86126">
                  <w:pPr>
                    <w:jc w:val="center"/>
                    <w:rPr>
                      <w:rFonts w:cs="宋体"/>
                      <w:color w:val="auto"/>
                      <w:spacing w:val="8"/>
                      <w:szCs w:val="21"/>
                      <w:u w:val="single"/>
                    </w:rPr>
                  </w:pPr>
                  <w:r>
                    <w:rPr>
                      <w:rFonts w:hint="eastAsia" w:cs="宋体"/>
                      <w:color w:val="auto"/>
                      <w:kern w:val="0"/>
                      <w:szCs w:val="21"/>
                      <w:u w:val="single"/>
                    </w:rPr>
                    <w:t>指标</w:t>
                  </w:r>
                </w:p>
              </w:tc>
              <w:tc>
                <w:tcPr>
                  <w:tcW w:w="702" w:type="pct"/>
                  <w:tcBorders>
                    <w:tl2br w:val="nil"/>
                    <w:tr2bl w:val="nil"/>
                  </w:tcBorders>
                  <w:vAlign w:val="center"/>
                </w:tcPr>
                <w:p w14:paraId="2343DC21">
                  <w:pPr>
                    <w:jc w:val="center"/>
                    <w:rPr>
                      <w:rFonts w:cs="宋体"/>
                      <w:color w:val="auto"/>
                      <w:spacing w:val="8"/>
                      <w:szCs w:val="21"/>
                      <w:u w:val="single"/>
                    </w:rPr>
                  </w:pPr>
                  <w:r>
                    <w:rPr>
                      <w:rFonts w:hint="eastAsia" w:cs="宋体"/>
                      <w:color w:val="auto"/>
                      <w:kern w:val="0"/>
                      <w:szCs w:val="21"/>
                      <w:u w:val="single"/>
                    </w:rPr>
                    <w:t>监测频次</w:t>
                  </w:r>
                </w:p>
              </w:tc>
              <w:tc>
                <w:tcPr>
                  <w:tcW w:w="2290" w:type="pct"/>
                  <w:tcBorders>
                    <w:tl2br w:val="nil"/>
                    <w:tr2bl w:val="nil"/>
                  </w:tcBorders>
                  <w:vAlign w:val="center"/>
                </w:tcPr>
                <w:p w14:paraId="7D60920F">
                  <w:pPr>
                    <w:jc w:val="center"/>
                    <w:rPr>
                      <w:rFonts w:cs="宋体"/>
                      <w:color w:val="auto"/>
                      <w:spacing w:val="8"/>
                      <w:szCs w:val="21"/>
                      <w:u w:val="single"/>
                    </w:rPr>
                  </w:pPr>
                  <w:r>
                    <w:rPr>
                      <w:rFonts w:hint="eastAsia" w:cs="宋体"/>
                      <w:color w:val="auto"/>
                      <w:kern w:val="0"/>
                      <w:szCs w:val="21"/>
                      <w:u w:val="single"/>
                    </w:rPr>
                    <w:t>执行排放标准</w:t>
                  </w:r>
                </w:p>
              </w:tc>
            </w:tr>
            <w:tr w14:paraId="2D9F03C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restart"/>
                  <w:tcBorders>
                    <w:tl2br w:val="nil"/>
                    <w:tr2bl w:val="nil"/>
                  </w:tcBorders>
                  <w:vAlign w:val="center"/>
                </w:tcPr>
                <w:p w14:paraId="5F07ED95">
                  <w:pPr>
                    <w:jc w:val="center"/>
                    <w:rPr>
                      <w:color w:val="auto"/>
                      <w:szCs w:val="21"/>
                      <w:u w:val="single"/>
                    </w:rPr>
                  </w:pPr>
                  <w:r>
                    <w:rPr>
                      <w:rFonts w:hint="eastAsia"/>
                      <w:color w:val="auto"/>
                      <w:szCs w:val="21"/>
                      <w:u w:val="single"/>
                    </w:rPr>
                    <w:t>废气</w:t>
                  </w:r>
                </w:p>
              </w:tc>
              <w:tc>
                <w:tcPr>
                  <w:tcW w:w="556" w:type="pct"/>
                  <w:vMerge w:val="restart"/>
                  <w:tcBorders>
                    <w:tl2br w:val="nil"/>
                    <w:tr2bl w:val="nil"/>
                  </w:tcBorders>
                  <w:vAlign w:val="center"/>
                </w:tcPr>
                <w:p w14:paraId="4E324C5D">
                  <w:pPr>
                    <w:jc w:val="center"/>
                    <w:rPr>
                      <w:color w:val="auto"/>
                      <w:szCs w:val="21"/>
                      <w:u w:val="single"/>
                    </w:rPr>
                  </w:pPr>
                  <w:r>
                    <w:rPr>
                      <w:rFonts w:hint="eastAsia"/>
                      <w:color w:val="auto"/>
                      <w:szCs w:val="21"/>
                      <w:u w:val="single"/>
                    </w:rPr>
                    <w:t>DA001</w:t>
                  </w:r>
                </w:p>
              </w:tc>
              <w:tc>
                <w:tcPr>
                  <w:tcW w:w="455" w:type="pct"/>
                  <w:vMerge w:val="restart"/>
                  <w:tcBorders>
                    <w:tl2br w:val="nil"/>
                    <w:tr2bl w:val="nil"/>
                  </w:tcBorders>
                  <w:vAlign w:val="center"/>
                </w:tcPr>
                <w:p w14:paraId="7AA86073">
                  <w:pPr>
                    <w:jc w:val="center"/>
                    <w:rPr>
                      <w:color w:val="auto"/>
                      <w:szCs w:val="21"/>
                      <w:u w:val="single"/>
                    </w:rPr>
                  </w:pPr>
                  <w:r>
                    <w:rPr>
                      <w:rFonts w:hint="eastAsia"/>
                      <w:color w:val="auto"/>
                      <w:szCs w:val="21"/>
                      <w:u w:val="single"/>
                    </w:rPr>
                    <w:t>排放口</w:t>
                  </w:r>
                </w:p>
              </w:tc>
              <w:tc>
                <w:tcPr>
                  <w:tcW w:w="741" w:type="pct"/>
                  <w:tcBorders>
                    <w:tl2br w:val="nil"/>
                    <w:tr2bl w:val="nil"/>
                  </w:tcBorders>
                  <w:vAlign w:val="center"/>
                </w:tcPr>
                <w:p w14:paraId="288925B9">
                  <w:pPr>
                    <w:jc w:val="center"/>
                    <w:rPr>
                      <w:rFonts w:cs="宋体"/>
                      <w:color w:val="auto"/>
                      <w:spacing w:val="8"/>
                      <w:szCs w:val="21"/>
                      <w:u w:val="single"/>
                    </w:rPr>
                  </w:pPr>
                  <w:r>
                    <w:rPr>
                      <w:rFonts w:hint="eastAsia"/>
                      <w:color w:val="auto"/>
                      <w:szCs w:val="21"/>
                      <w:u w:val="single"/>
                    </w:rPr>
                    <w:t>氮氧化物</w:t>
                  </w:r>
                </w:p>
              </w:tc>
              <w:tc>
                <w:tcPr>
                  <w:tcW w:w="702" w:type="pct"/>
                  <w:tcBorders>
                    <w:tl2br w:val="nil"/>
                    <w:tr2bl w:val="nil"/>
                  </w:tcBorders>
                  <w:vAlign w:val="center"/>
                </w:tcPr>
                <w:p w14:paraId="3078ED1F">
                  <w:pPr>
                    <w:jc w:val="center"/>
                    <w:rPr>
                      <w:rFonts w:cs="宋体"/>
                      <w:color w:val="auto"/>
                      <w:spacing w:val="8"/>
                      <w:szCs w:val="21"/>
                      <w:u w:val="single"/>
                    </w:rPr>
                  </w:pPr>
                  <w:r>
                    <w:rPr>
                      <w:rFonts w:hint="eastAsia"/>
                      <w:color w:val="auto"/>
                      <w:szCs w:val="21"/>
                      <w:u w:val="single"/>
                    </w:rPr>
                    <w:t>每月一次</w:t>
                  </w:r>
                </w:p>
              </w:tc>
              <w:tc>
                <w:tcPr>
                  <w:tcW w:w="2290" w:type="pct"/>
                  <w:vMerge w:val="restart"/>
                  <w:tcBorders>
                    <w:tl2br w:val="nil"/>
                    <w:tr2bl w:val="nil"/>
                  </w:tcBorders>
                  <w:vAlign w:val="center"/>
                </w:tcPr>
                <w:p w14:paraId="2A2D799B">
                  <w:pPr>
                    <w:jc w:val="center"/>
                    <w:rPr>
                      <w:color w:val="auto"/>
                      <w:szCs w:val="21"/>
                      <w:u w:val="single"/>
                    </w:rPr>
                  </w:pPr>
                  <w:r>
                    <w:rPr>
                      <w:rFonts w:hint="eastAsia"/>
                      <w:color w:val="auto"/>
                      <w:szCs w:val="21"/>
                      <w:u w:val="single"/>
                    </w:rPr>
                    <w:t>《锅炉大气污染物排放标准》（GB13271-2014）表3</w:t>
                  </w:r>
                  <w:r>
                    <w:rPr>
                      <w:rFonts w:hint="eastAsia"/>
                      <w:color w:val="auto"/>
                      <w:u w:val="single"/>
                    </w:rPr>
                    <w:t>燃气锅炉限值</w:t>
                  </w:r>
                  <w:r>
                    <w:rPr>
                      <w:rFonts w:hint="eastAsia"/>
                      <w:color w:val="auto"/>
                      <w:szCs w:val="21"/>
                      <w:u w:val="single"/>
                    </w:rPr>
                    <w:t>要求</w:t>
                  </w:r>
                </w:p>
              </w:tc>
            </w:tr>
            <w:tr w14:paraId="3866050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tcBorders>
                    <w:tl2br w:val="nil"/>
                    <w:tr2bl w:val="nil"/>
                  </w:tcBorders>
                  <w:vAlign w:val="center"/>
                </w:tcPr>
                <w:p w14:paraId="485FD1CA">
                  <w:pPr>
                    <w:jc w:val="center"/>
                    <w:rPr>
                      <w:color w:val="auto"/>
                      <w:szCs w:val="21"/>
                      <w:u w:val="single"/>
                    </w:rPr>
                  </w:pPr>
                </w:p>
              </w:tc>
              <w:tc>
                <w:tcPr>
                  <w:tcW w:w="556" w:type="pct"/>
                  <w:vMerge w:val="continue"/>
                  <w:tcBorders>
                    <w:tl2br w:val="nil"/>
                    <w:tr2bl w:val="nil"/>
                  </w:tcBorders>
                  <w:vAlign w:val="center"/>
                </w:tcPr>
                <w:p w14:paraId="1F000196">
                  <w:pPr>
                    <w:jc w:val="center"/>
                    <w:rPr>
                      <w:color w:val="auto"/>
                      <w:szCs w:val="21"/>
                      <w:u w:val="single"/>
                    </w:rPr>
                  </w:pPr>
                </w:p>
              </w:tc>
              <w:tc>
                <w:tcPr>
                  <w:tcW w:w="455" w:type="pct"/>
                  <w:vMerge w:val="continue"/>
                  <w:tcBorders>
                    <w:tl2br w:val="nil"/>
                    <w:tr2bl w:val="nil"/>
                  </w:tcBorders>
                  <w:vAlign w:val="center"/>
                </w:tcPr>
                <w:p w14:paraId="5E498ABE">
                  <w:pPr>
                    <w:jc w:val="center"/>
                    <w:rPr>
                      <w:color w:val="auto"/>
                      <w:szCs w:val="21"/>
                      <w:u w:val="single"/>
                    </w:rPr>
                  </w:pPr>
                </w:p>
              </w:tc>
              <w:tc>
                <w:tcPr>
                  <w:tcW w:w="741" w:type="pct"/>
                  <w:tcBorders>
                    <w:tl2br w:val="nil"/>
                    <w:tr2bl w:val="nil"/>
                  </w:tcBorders>
                  <w:vAlign w:val="center"/>
                </w:tcPr>
                <w:p w14:paraId="465C7E27">
                  <w:pPr>
                    <w:jc w:val="center"/>
                    <w:rPr>
                      <w:color w:val="auto"/>
                      <w:szCs w:val="21"/>
                      <w:u w:val="single"/>
                    </w:rPr>
                  </w:pPr>
                  <w:r>
                    <w:rPr>
                      <w:rFonts w:hint="eastAsia"/>
                      <w:color w:val="auto"/>
                      <w:szCs w:val="21"/>
                      <w:u w:val="single"/>
                    </w:rPr>
                    <w:t>颗粒物、二氧化硫、林格曼黑度</w:t>
                  </w:r>
                </w:p>
              </w:tc>
              <w:tc>
                <w:tcPr>
                  <w:tcW w:w="702" w:type="pct"/>
                  <w:tcBorders>
                    <w:tl2br w:val="nil"/>
                    <w:tr2bl w:val="nil"/>
                  </w:tcBorders>
                  <w:vAlign w:val="center"/>
                </w:tcPr>
                <w:p w14:paraId="656083EB">
                  <w:pPr>
                    <w:jc w:val="center"/>
                    <w:rPr>
                      <w:color w:val="auto"/>
                      <w:szCs w:val="21"/>
                      <w:u w:val="single"/>
                    </w:rPr>
                  </w:pPr>
                  <w:r>
                    <w:rPr>
                      <w:rFonts w:hint="eastAsia"/>
                      <w:color w:val="auto"/>
                      <w:szCs w:val="21"/>
                      <w:u w:val="single"/>
                    </w:rPr>
                    <w:t>每年一次</w:t>
                  </w:r>
                </w:p>
              </w:tc>
              <w:tc>
                <w:tcPr>
                  <w:tcW w:w="2290" w:type="pct"/>
                  <w:vMerge w:val="continue"/>
                  <w:tcBorders>
                    <w:tl2br w:val="nil"/>
                    <w:tr2bl w:val="nil"/>
                  </w:tcBorders>
                  <w:vAlign w:val="center"/>
                </w:tcPr>
                <w:p w14:paraId="42B1C1D6">
                  <w:pPr>
                    <w:jc w:val="center"/>
                    <w:rPr>
                      <w:color w:val="auto"/>
                      <w:szCs w:val="21"/>
                      <w:u w:val="single"/>
                    </w:rPr>
                  </w:pPr>
                </w:p>
              </w:tc>
            </w:tr>
            <w:tr w14:paraId="56941D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tcBorders>
                    <w:tl2br w:val="nil"/>
                    <w:tr2bl w:val="nil"/>
                  </w:tcBorders>
                  <w:vAlign w:val="center"/>
                </w:tcPr>
                <w:p w14:paraId="3CDCF3E1">
                  <w:pPr>
                    <w:jc w:val="center"/>
                    <w:rPr>
                      <w:color w:val="auto"/>
                      <w:szCs w:val="21"/>
                      <w:u w:val="single"/>
                    </w:rPr>
                  </w:pPr>
                </w:p>
              </w:tc>
              <w:tc>
                <w:tcPr>
                  <w:tcW w:w="556" w:type="pct"/>
                  <w:vMerge w:val="restart"/>
                  <w:tcBorders>
                    <w:tl2br w:val="nil"/>
                    <w:tr2bl w:val="nil"/>
                  </w:tcBorders>
                  <w:vAlign w:val="center"/>
                </w:tcPr>
                <w:p w14:paraId="0384DA01">
                  <w:pPr>
                    <w:jc w:val="center"/>
                    <w:rPr>
                      <w:color w:val="auto"/>
                      <w:szCs w:val="21"/>
                      <w:u w:val="single"/>
                    </w:rPr>
                  </w:pPr>
                  <w:r>
                    <w:rPr>
                      <w:rFonts w:hint="eastAsia"/>
                      <w:color w:val="auto"/>
                      <w:szCs w:val="21"/>
                      <w:u w:val="single"/>
                    </w:rPr>
                    <w:t>DA002</w:t>
                  </w:r>
                </w:p>
              </w:tc>
              <w:tc>
                <w:tcPr>
                  <w:tcW w:w="455" w:type="pct"/>
                  <w:vMerge w:val="restart"/>
                  <w:tcBorders>
                    <w:tl2br w:val="nil"/>
                    <w:tr2bl w:val="nil"/>
                  </w:tcBorders>
                  <w:vAlign w:val="center"/>
                </w:tcPr>
                <w:p w14:paraId="1AAC14FC">
                  <w:pPr>
                    <w:jc w:val="center"/>
                    <w:rPr>
                      <w:color w:val="auto"/>
                      <w:szCs w:val="21"/>
                      <w:u w:val="single"/>
                    </w:rPr>
                  </w:pPr>
                  <w:r>
                    <w:rPr>
                      <w:rFonts w:hint="eastAsia"/>
                      <w:color w:val="auto"/>
                      <w:szCs w:val="21"/>
                      <w:u w:val="single"/>
                    </w:rPr>
                    <w:t>排放口</w:t>
                  </w:r>
                </w:p>
              </w:tc>
              <w:tc>
                <w:tcPr>
                  <w:tcW w:w="741" w:type="pct"/>
                  <w:tcBorders>
                    <w:tl2br w:val="nil"/>
                    <w:tr2bl w:val="nil"/>
                  </w:tcBorders>
                  <w:vAlign w:val="center"/>
                </w:tcPr>
                <w:p w14:paraId="56ADB900">
                  <w:pPr>
                    <w:jc w:val="center"/>
                    <w:rPr>
                      <w:color w:val="auto"/>
                      <w:szCs w:val="21"/>
                      <w:u w:val="single"/>
                    </w:rPr>
                  </w:pPr>
                  <w:r>
                    <w:rPr>
                      <w:rFonts w:hint="eastAsia"/>
                      <w:color w:val="auto"/>
                      <w:szCs w:val="21"/>
                      <w:u w:val="single"/>
                    </w:rPr>
                    <w:t>NMHC</w:t>
                  </w:r>
                </w:p>
              </w:tc>
              <w:tc>
                <w:tcPr>
                  <w:tcW w:w="702" w:type="pct"/>
                  <w:tcBorders>
                    <w:tl2br w:val="nil"/>
                    <w:tr2bl w:val="nil"/>
                  </w:tcBorders>
                  <w:vAlign w:val="center"/>
                </w:tcPr>
                <w:p w14:paraId="619F0A57">
                  <w:pPr>
                    <w:jc w:val="center"/>
                    <w:rPr>
                      <w:color w:val="auto"/>
                      <w:szCs w:val="21"/>
                      <w:u w:val="single"/>
                    </w:rPr>
                  </w:pPr>
                  <w:r>
                    <w:rPr>
                      <w:rFonts w:hint="eastAsia"/>
                      <w:color w:val="auto"/>
                      <w:szCs w:val="21"/>
                      <w:u w:val="single"/>
                    </w:rPr>
                    <w:t>每年一次</w:t>
                  </w:r>
                </w:p>
              </w:tc>
              <w:tc>
                <w:tcPr>
                  <w:tcW w:w="2290" w:type="pct"/>
                  <w:vMerge w:val="restart"/>
                  <w:tcBorders>
                    <w:tl2br w:val="nil"/>
                    <w:tr2bl w:val="nil"/>
                  </w:tcBorders>
                  <w:vAlign w:val="center"/>
                </w:tcPr>
                <w:p w14:paraId="2D5CA78A">
                  <w:pPr>
                    <w:jc w:val="center"/>
                    <w:rPr>
                      <w:color w:val="auto"/>
                      <w:szCs w:val="21"/>
                      <w:u w:val="single"/>
                    </w:rPr>
                  </w:pPr>
                  <w:r>
                    <w:rPr>
                      <w:rFonts w:hint="eastAsia"/>
                      <w:color w:val="auto"/>
                      <w:szCs w:val="21"/>
                      <w:u w:val="single"/>
                    </w:rPr>
                    <w:t>《合成树脂工业污染物排放标准》(GB31572-2015)及其修改单中表4中排放限值</w:t>
                  </w:r>
                </w:p>
              </w:tc>
            </w:tr>
            <w:tr w14:paraId="05914F2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tcBorders>
                    <w:tl2br w:val="nil"/>
                    <w:tr2bl w:val="nil"/>
                  </w:tcBorders>
                  <w:vAlign w:val="center"/>
                </w:tcPr>
                <w:p w14:paraId="0B32B1A3">
                  <w:pPr>
                    <w:jc w:val="center"/>
                    <w:rPr>
                      <w:color w:val="auto"/>
                      <w:szCs w:val="21"/>
                      <w:u w:val="single"/>
                    </w:rPr>
                  </w:pPr>
                </w:p>
              </w:tc>
              <w:tc>
                <w:tcPr>
                  <w:tcW w:w="556" w:type="pct"/>
                  <w:vMerge w:val="continue"/>
                  <w:tcBorders>
                    <w:tl2br w:val="nil"/>
                    <w:tr2bl w:val="nil"/>
                  </w:tcBorders>
                  <w:vAlign w:val="center"/>
                </w:tcPr>
                <w:p w14:paraId="32D57316">
                  <w:pPr>
                    <w:jc w:val="center"/>
                    <w:rPr>
                      <w:color w:val="auto"/>
                      <w:szCs w:val="21"/>
                      <w:u w:val="single"/>
                    </w:rPr>
                  </w:pPr>
                </w:p>
              </w:tc>
              <w:tc>
                <w:tcPr>
                  <w:tcW w:w="455" w:type="pct"/>
                  <w:vMerge w:val="continue"/>
                  <w:tcBorders>
                    <w:tl2br w:val="nil"/>
                    <w:tr2bl w:val="nil"/>
                  </w:tcBorders>
                  <w:vAlign w:val="center"/>
                </w:tcPr>
                <w:p w14:paraId="41ACE7A9">
                  <w:pPr>
                    <w:jc w:val="center"/>
                    <w:rPr>
                      <w:color w:val="auto"/>
                      <w:szCs w:val="21"/>
                      <w:u w:val="single"/>
                    </w:rPr>
                  </w:pPr>
                </w:p>
              </w:tc>
              <w:tc>
                <w:tcPr>
                  <w:tcW w:w="741" w:type="pct"/>
                  <w:tcBorders>
                    <w:tl2br w:val="nil"/>
                    <w:tr2bl w:val="nil"/>
                  </w:tcBorders>
                  <w:vAlign w:val="center"/>
                </w:tcPr>
                <w:p w14:paraId="214021FA">
                  <w:pPr>
                    <w:jc w:val="center"/>
                    <w:rPr>
                      <w:color w:val="auto"/>
                      <w:szCs w:val="21"/>
                      <w:u w:val="single"/>
                    </w:rPr>
                  </w:pPr>
                  <w:r>
                    <w:rPr>
                      <w:rFonts w:hint="eastAsia"/>
                      <w:color w:val="auto"/>
                      <w:szCs w:val="21"/>
                      <w:u w:val="single"/>
                    </w:rPr>
                    <w:t>苯乙烯</w:t>
                  </w:r>
                </w:p>
              </w:tc>
              <w:tc>
                <w:tcPr>
                  <w:tcW w:w="702" w:type="pct"/>
                  <w:tcBorders>
                    <w:tl2br w:val="nil"/>
                    <w:tr2bl w:val="nil"/>
                  </w:tcBorders>
                  <w:vAlign w:val="center"/>
                </w:tcPr>
                <w:p w14:paraId="346436A8">
                  <w:pPr>
                    <w:jc w:val="center"/>
                    <w:rPr>
                      <w:color w:val="auto"/>
                      <w:szCs w:val="21"/>
                      <w:u w:val="single"/>
                    </w:rPr>
                  </w:pPr>
                  <w:r>
                    <w:rPr>
                      <w:rFonts w:hint="eastAsia"/>
                      <w:color w:val="auto"/>
                      <w:szCs w:val="21"/>
                      <w:u w:val="single"/>
                    </w:rPr>
                    <w:t>每年一次</w:t>
                  </w:r>
                </w:p>
              </w:tc>
              <w:tc>
                <w:tcPr>
                  <w:tcW w:w="2290" w:type="pct"/>
                  <w:vMerge w:val="continue"/>
                  <w:tcBorders>
                    <w:tl2br w:val="nil"/>
                    <w:tr2bl w:val="nil"/>
                  </w:tcBorders>
                  <w:vAlign w:val="center"/>
                </w:tcPr>
                <w:p w14:paraId="0391A5C6">
                  <w:pPr>
                    <w:jc w:val="center"/>
                    <w:rPr>
                      <w:color w:val="auto"/>
                      <w:szCs w:val="21"/>
                      <w:u w:val="single"/>
                    </w:rPr>
                  </w:pPr>
                </w:p>
              </w:tc>
            </w:tr>
            <w:tr w14:paraId="06A162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tcBorders>
                    <w:tl2br w:val="nil"/>
                    <w:tr2bl w:val="nil"/>
                  </w:tcBorders>
                  <w:vAlign w:val="center"/>
                </w:tcPr>
                <w:p w14:paraId="329599A7">
                  <w:pPr>
                    <w:jc w:val="center"/>
                    <w:rPr>
                      <w:color w:val="auto"/>
                      <w:szCs w:val="21"/>
                      <w:u w:val="single"/>
                    </w:rPr>
                  </w:pPr>
                </w:p>
              </w:tc>
              <w:tc>
                <w:tcPr>
                  <w:tcW w:w="556" w:type="pct"/>
                  <w:vMerge w:val="continue"/>
                  <w:tcBorders>
                    <w:tl2br w:val="nil"/>
                    <w:tr2bl w:val="nil"/>
                  </w:tcBorders>
                  <w:vAlign w:val="center"/>
                </w:tcPr>
                <w:p w14:paraId="30346E64">
                  <w:pPr>
                    <w:jc w:val="center"/>
                    <w:rPr>
                      <w:color w:val="auto"/>
                      <w:szCs w:val="21"/>
                      <w:u w:val="single"/>
                    </w:rPr>
                  </w:pPr>
                </w:p>
              </w:tc>
              <w:tc>
                <w:tcPr>
                  <w:tcW w:w="455" w:type="pct"/>
                  <w:vMerge w:val="continue"/>
                  <w:tcBorders>
                    <w:tl2br w:val="nil"/>
                    <w:tr2bl w:val="nil"/>
                  </w:tcBorders>
                  <w:vAlign w:val="center"/>
                </w:tcPr>
                <w:p w14:paraId="667BBA2F">
                  <w:pPr>
                    <w:jc w:val="center"/>
                    <w:rPr>
                      <w:color w:val="auto"/>
                      <w:szCs w:val="21"/>
                      <w:u w:val="single"/>
                    </w:rPr>
                  </w:pPr>
                </w:p>
              </w:tc>
              <w:tc>
                <w:tcPr>
                  <w:tcW w:w="741" w:type="pct"/>
                  <w:tcBorders>
                    <w:tl2br w:val="nil"/>
                    <w:tr2bl w:val="nil"/>
                  </w:tcBorders>
                  <w:vAlign w:val="center"/>
                </w:tcPr>
                <w:p w14:paraId="33A27E55">
                  <w:pPr>
                    <w:jc w:val="center"/>
                    <w:rPr>
                      <w:color w:val="auto"/>
                      <w:szCs w:val="21"/>
                      <w:u w:val="single"/>
                    </w:rPr>
                  </w:pPr>
                  <w:r>
                    <w:rPr>
                      <w:rFonts w:hint="eastAsia"/>
                      <w:color w:val="auto"/>
                      <w:szCs w:val="21"/>
                      <w:u w:val="single"/>
                    </w:rPr>
                    <w:t>臭气浓度</w:t>
                  </w:r>
                </w:p>
              </w:tc>
              <w:tc>
                <w:tcPr>
                  <w:tcW w:w="702" w:type="pct"/>
                  <w:tcBorders>
                    <w:tl2br w:val="nil"/>
                    <w:tr2bl w:val="nil"/>
                  </w:tcBorders>
                  <w:vAlign w:val="center"/>
                </w:tcPr>
                <w:p w14:paraId="7BD553E0">
                  <w:pPr>
                    <w:jc w:val="center"/>
                    <w:rPr>
                      <w:color w:val="auto"/>
                      <w:szCs w:val="21"/>
                      <w:u w:val="single"/>
                    </w:rPr>
                  </w:pPr>
                  <w:r>
                    <w:rPr>
                      <w:rFonts w:hint="eastAsia"/>
                      <w:color w:val="auto"/>
                      <w:szCs w:val="21"/>
                      <w:u w:val="single"/>
                    </w:rPr>
                    <w:t>每年一次</w:t>
                  </w:r>
                </w:p>
              </w:tc>
              <w:tc>
                <w:tcPr>
                  <w:tcW w:w="2290" w:type="pct"/>
                  <w:tcBorders>
                    <w:tl2br w:val="nil"/>
                    <w:tr2bl w:val="nil"/>
                  </w:tcBorders>
                  <w:vAlign w:val="center"/>
                </w:tcPr>
                <w:p w14:paraId="41FF9FC7">
                  <w:pPr>
                    <w:jc w:val="center"/>
                    <w:rPr>
                      <w:rFonts w:hint="default" w:eastAsia="宋体"/>
                      <w:color w:val="auto"/>
                      <w:szCs w:val="21"/>
                      <w:u w:val="single"/>
                      <w:lang w:val="en-US" w:eastAsia="zh-CN"/>
                    </w:rPr>
                  </w:pPr>
                  <w:r>
                    <w:rPr>
                      <w:rFonts w:hint="eastAsia"/>
                      <w:color w:val="auto"/>
                      <w:szCs w:val="21"/>
                      <w:u w:val="single"/>
                    </w:rPr>
                    <w:t>《恶臭污染物排放标准》（GB14554-93）</w:t>
                  </w:r>
                  <w:r>
                    <w:rPr>
                      <w:rFonts w:hint="eastAsia"/>
                      <w:color w:val="auto"/>
                      <w:szCs w:val="21"/>
                      <w:u w:val="single"/>
                      <w:lang w:val="en-US" w:eastAsia="zh-CN"/>
                    </w:rPr>
                    <w:t>表2标准限值</w:t>
                  </w:r>
                </w:p>
              </w:tc>
            </w:tr>
            <w:tr w14:paraId="519271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tcBorders>
                    <w:tl2br w:val="nil"/>
                    <w:tr2bl w:val="nil"/>
                  </w:tcBorders>
                  <w:vAlign w:val="center"/>
                </w:tcPr>
                <w:p w14:paraId="7842D344">
                  <w:pPr>
                    <w:jc w:val="center"/>
                    <w:rPr>
                      <w:color w:val="auto"/>
                      <w:szCs w:val="21"/>
                      <w:u w:val="single"/>
                    </w:rPr>
                  </w:pPr>
                </w:p>
              </w:tc>
              <w:tc>
                <w:tcPr>
                  <w:tcW w:w="556" w:type="pct"/>
                  <w:vMerge w:val="restart"/>
                  <w:tcBorders>
                    <w:tl2br w:val="nil"/>
                    <w:tr2bl w:val="nil"/>
                  </w:tcBorders>
                  <w:vAlign w:val="center"/>
                </w:tcPr>
                <w:p w14:paraId="36AFC360">
                  <w:pPr>
                    <w:jc w:val="center"/>
                    <w:rPr>
                      <w:color w:val="auto"/>
                      <w:szCs w:val="21"/>
                      <w:u w:val="single"/>
                    </w:rPr>
                  </w:pPr>
                  <w:r>
                    <w:rPr>
                      <w:rFonts w:hint="eastAsia"/>
                      <w:color w:val="auto"/>
                      <w:szCs w:val="21"/>
                      <w:u w:val="single"/>
                    </w:rPr>
                    <w:t>DA003</w:t>
                  </w:r>
                </w:p>
              </w:tc>
              <w:tc>
                <w:tcPr>
                  <w:tcW w:w="455" w:type="pct"/>
                  <w:vMerge w:val="restart"/>
                  <w:tcBorders>
                    <w:tl2br w:val="nil"/>
                    <w:tr2bl w:val="nil"/>
                  </w:tcBorders>
                  <w:vAlign w:val="center"/>
                </w:tcPr>
                <w:p w14:paraId="0FE71477">
                  <w:pPr>
                    <w:jc w:val="center"/>
                    <w:rPr>
                      <w:color w:val="auto"/>
                      <w:szCs w:val="21"/>
                      <w:u w:val="single"/>
                    </w:rPr>
                  </w:pPr>
                  <w:r>
                    <w:rPr>
                      <w:rFonts w:hint="eastAsia"/>
                      <w:color w:val="auto"/>
                      <w:szCs w:val="21"/>
                      <w:u w:val="single"/>
                    </w:rPr>
                    <w:t>排放口</w:t>
                  </w:r>
                </w:p>
              </w:tc>
              <w:tc>
                <w:tcPr>
                  <w:tcW w:w="741" w:type="pct"/>
                  <w:tcBorders>
                    <w:tl2br w:val="nil"/>
                    <w:tr2bl w:val="nil"/>
                  </w:tcBorders>
                  <w:vAlign w:val="center"/>
                </w:tcPr>
                <w:p w14:paraId="2F08E3DC">
                  <w:pPr>
                    <w:jc w:val="center"/>
                    <w:rPr>
                      <w:color w:val="auto"/>
                      <w:szCs w:val="21"/>
                      <w:u w:val="single"/>
                    </w:rPr>
                  </w:pPr>
                  <w:r>
                    <w:rPr>
                      <w:rFonts w:hint="eastAsia"/>
                      <w:color w:val="auto"/>
                      <w:szCs w:val="21"/>
                      <w:u w:val="single"/>
                    </w:rPr>
                    <w:t>颗粒物</w:t>
                  </w:r>
                </w:p>
              </w:tc>
              <w:tc>
                <w:tcPr>
                  <w:tcW w:w="702" w:type="pct"/>
                  <w:tcBorders>
                    <w:tl2br w:val="nil"/>
                    <w:tr2bl w:val="nil"/>
                  </w:tcBorders>
                  <w:vAlign w:val="center"/>
                </w:tcPr>
                <w:p w14:paraId="031A4578">
                  <w:pPr>
                    <w:jc w:val="center"/>
                    <w:rPr>
                      <w:color w:val="auto"/>
                      <w:szCs w:val="21"/>
                      <w:u w:val="single"/>
                    </w:rPr>
                  </w:pPr>
                  <w:r>
                    <w:rPr>
                      <w:rFonts w:hint="eastAsia"/>
                      <w:color w:val="auto"/>
                      <w:szCs w:val="21"/>
                      <w:u w:val="single"/>
                    </w:rPr>
                    <w:t>每年一次</w:t>
                  </w:r>
                </w:p>
              </w:tc>
              <w:tc>
                <w:tcPr>
                  <w:tcW w:w="2290" w:type="pct"/>
                  <w:vMerge w:val="restart"/>
                  <w:tcBorders>
                    <w:tl2br w:val="nil"/>
                    <w:tr2bl w:val="nil"/>
                  </w:tcBorders>
                  <w:vAlign w:val="center"/>
                </w:tcPr>
                <w:p w14:paraId="21E7B834">
                  <w:pPr>
                    <w:jc w:val="center"/>
                    <w:rPr>
                      <w:color w:val="auto"/>
                      <w:szCs w:val="21"/>
                      <w:u w:val="single"/>
                    </w:rPr>
                  </w:pPr>
                  <w:r>
                    <w:rPr>
                      <w:rFonts w:hint="eastAsia"/>
                      <w:color w:val="auto"/>
                      <w:szCs w:val="21"/>
                      <w:u w:val="single"/>
                    </w:rPr>
                    <w:t>《铸造工业大气污染物排放标准》（GB 39726-2020）表1大气污染物排放限值</w:t>
                  </w:r>
                </w:p>
              </w:tc>
            </w:tr>
            <w:tr w14:paraId="68259D2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tcBorders>
                    <w:tl2br w:val="nil"/>
                    <w:tr2bl w:val="nil"/>
                  </w:tcBorders>
                  <w:vAlign w:val="center"/>
                </w:tcPr>
                <w:p w14:paraId="7A244D7D">
                  <w:pPr>
                    <w:jc w:val="center"/>
                    <w:rPr>
                      <w:color w:val="auto"/>
                      <w:szCs w:val="21"/>
                      <w:u w:val="single"/>
                    </w:rPr>
                  </w:pPr>
                </w:p>
              </w:tc>
              <w:tc>
                <w:tcPr>
                  <w:tcW w:w="556" w:type="pct"/>
                  <w:vMerge w:val="continue"/>
                  <w:tcBorders>
                    <w:tl2br w:val="nil"/>
                    <w:tr2bl w:val="nil"/>
                  </w:tcBorders>
                  <w:vAlign w:val="center"/>
                </w:tcPr>
                <w:p w14:paraId="5DBD9EF5">
                  <w:pPr>
                    <w:jc w:val="center"/>
                    <w:rPr>
                      <w:color w:val="auto"/>
                      <w:szCs w:val="21"/>
                      <w:u w:val="single"/>
                    </w:rPr>
                  </w:pPr>
                </w:p>
              </w:tc>
              <w:tc>
                <w:tcPr>
                  <w:tcW w:w="455" w:type="pct"/>
                  <w:vMerge w:val="continue"/>
                  <w:tcBorders>
                    <w:tl2br w:val="nil"/>
                    <w:tr2bl w:val="nil"/>
                  </w:tcBorders>
                  <w:vAlign w:val="center"/>
                </w:tcPr>
                <w:p w14:paraId="4E88023B">
                  <w:pPr>
                    <w:jc w:val="center"/>
                    <w:rPr>
                      <w:color w:val="auto"/>
                      <w:szCs w:val="21"/>
                      <w:u w:val="single"/>
                    </w:rPr>
                  </w:pPr>
                </w:p>
              </w:tc>
              <w:tc>
                <w:tcPr>
                  <w:tcW w:w="741" w:type="pct"/>
                  <w:tcBorders>
                    <w:tl2br w:val="nil"/>
                    <w:tr2bl w:val="nil"/>
                  </w:tcBorders>
                  <w:vAlign w:val="center"/>
                </w:tcPr>
                <w:p w14:paraId="52CA7A7B">
                  <w:pPr>
                    <w:jc w:val="center"/>
                    <w:rPr>
                      <w:color w:val="auto"/>
                      <w:szCs w:val="21"/>
                      <w:u w:val="single"/>
                    </w:rPr>
                  </w:pPr>
                  <w:r>
                    <w:rPr>
                      <w:rFonts w:hint="eastAsia"/>
                      <w:color w:val="auto"/>
                      <w:szCs w:val="21"/>
                      <w:u w:val="single"/>
                    </w:rPr>
                    <w:t>NMHC</w:t>
                  </w:r>
                </w:p>
              </w:tc>
              <w:tc>
                <w:tcPr>
                  <w:tcW w:w="702" w:type="pct"/>
                  <w:tcBorders>
                    <w:tl2br w:val="nil"/>
                    <w:tr2bl w:val="nil"/>
                  </w:tcBorders>
                  <w:vAlign w:val="center"/>
                </w:tcPr>
                <w:p w14:paraId="3CC9B3D9">
                  <w:pPr>
                    <w:jc w:val="center"/>
                    <w:rPr>
                      <w:color w:val="auto"/>
                      <w:szCs w:val="21"/>
                      <w:u w:val="single"/>
                    </w:rPr>
                  </w:pPr>
                  <w:r>
                    <w:rPr>
                      <w:rFonts w:hint="eastAsia"/>
                      <w:color w:val="auto"/>
                      <w:szCs w:val="21"/>
                      <w:u w:val="single"/>
                    </w:rPr>
                    <w:t>每年一次</w:t>
                  </w:r>
                </w:p>
              </w:tc>
              <w:tc>
                <w:tcPr>
                  <w:tcW w:w="2290" w:type="pct"/>
                  <w:vMerge w:val="continue"/>
                  <w:tcBorders>
                    <w:tl2br w:val="nil"/>
                    <w:tr2bl w:val="nil"/>
                  </w:tcBorders>
                  <w:vAlign w:val="center"/>
                </w:tcPr>
                <w:p w14:paraId="21056CA4">
                  <w:pPr>
                    <w:jc w:val="center"/>
                    <w:rPr>
                      <w:color w:val="auto"/>
                      <w:szCs w:val="21"/>
                      <w:u w:val="single"/>
                    </w:rPr>
                  </w:pPr>
                </w:p>
              </w:tc>
            </w:tr>
            <w:tr w14:paraId="46CA10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tcBorders>
                    <w:tl2br w:val="nil"/>
                    <w:tr2bl w:val="nil"/>
                  </w:tcBorders>
                  <w:vAlign w:val="center"/>
                </w:tcPr>
                <w:p w14:paraId="0609D4C2">
                  <w:pPr>
                    <w:jc w:val="center"/>
                    <w:rPr>
                      <w:color w:val="auto"/>
                      <w:szCs w:val="21"/>
                      <w:u w:val="single"/>
                    </w:rPr>
                  </w:pPr>
                </w:p>
              </w:tc>
              <w:tc>
                <w:tcPr>
                  <w:tcW w:w="556" w:type="pct"/>
                  <w:vMerge w:val="restart"/>
                  <w:tcBorders>
                    <w:tl2br w:val="nil"/>
                    <w:tr2bl w:val="nil"/>
                  </w:tcBorders>
                  <w:vAlign w:val="center"/>
                </w:tcPr>
                <w:p w14:paraId="4233BAD1">
                  <w:pPr>
                    <w:jc w:val="center"/>
                    <w:rPr>
                      <w:color w:val="auto"/>
                      <w:szCs w:val="21"/>
                      <w:u w:val="single"/>
                    </w:rPr>
                  </w:pPr>
                  <w:r>
                    <w:rPr>
                      <w:rFonts w:hint="eastAsia"/>
                      <w:color w:val="auto"/>
                      <w:szCs w:val="21"/>
                      <w:u w:val="single"/>
                    </w:rPr>
                    <w:t>DA004</w:t>
                  </w:r>
                </w:p>
              </w:tc>
              <w:tc>
                <w:tcPr>
                  <w:tcW w:w="455" w:type="pct"/>
                  <w:vMerge w:val="restart"/>
                  <w:tcBorders>
                    <w:tl2br w:val="nil"/>
                    <w:tr2bl w:val="nil"/>
                  </w:tcBorders>
                  <w:vAlign w:val="center"/>
                </w:tcPr>
                <w:p w14:paraId="5592C16F">
                  <w:pPr>
                    <w:jc w:val="center"/>
                    <w:rPr>
                      <w:color w:val="auto"/>
                      <w:szCs w:val="21"/>
                      <w:u w:val="single"/>
                    </w:rPr>
                  </w:pPr>
                  <w:r>
                    <w:rPr>
                      <w:rFonts w:hint="eastAsia"/>
                      <w:color w:val="auto"/>
                      <w:szCs w:val="21"/>
                      <w:u w:val="single"/>
                    </w:rPr>
                    <w:t>排放口</w:t>
                  </w:r>
                </w:p>
              </w:tc>
              <w:tc>
                <w:tcPr>
                  <w:tcW w:w="741" w:type="pct"/>
                  <w:tcBorders>
                    <w:tl2br w:val="nil"/>
                    <w:tr2bl w:val="nil"/>
                  </w:tcBorders>
                  <w:vAlign w:val="center"/>
                </w:tcPr>
                <w:p w14:paraId="7A13B389">
                  <w:pPr>
                    <w:jc w:val="center"/>
                    <w:rPr>
                      <w:color w:val="auto"/>
                      <w:szCs w:val="21"/>
                      <w:u w:val="single"/>
                    </w:rPr>
                  </w:pPr>
                  <w:r>
                    <w:rPr>
                      <w:rFonts w:hint="eastAsia"/>
                      <w:color w:val="auto"/>
                      <w:szCs w:val="21"/>
                      <w:u w:val="single"/>
                    </w:rPr>
                    <w:t>颗粒物</w:t>
                  </w:r>
                </w:p>
              </w:tc>
              <w:tc>
                <w:tcPr>
                  <w:tcW w:w="702" w:type="pct"/>
                  <w:tcBorders>
                    <w:tl2br w:val="nil"/>
                    <w:tr2bl w:val="nil"/>
                  </w:tcBorders>
                  <w:vAlign w:val="center"/>
                </w:tcPr>
                <w:p w14:paraId="60DB8468">
                  <w:pPr>
                    <w:jc w:val="center"/>
                    <w:rPr>
                      <w:color w:val="auto"/>
                      <w:szCs w:val="21"/>
                      <w:u w:val="single"/>
                    </w:rPr>
                  </w:pPr>
                  <w:r>
                    <w:rPr>
                      <w:rFonts w:hint="eastAsia"/>
                      <w:color w:val="auto"/>
                      <w:szCs w:val="21"/>
                      <w:u w:val="single"/>
                    </w:rPr>
                    <w:t>每年一次</w:t>
                  </w:r>
                </w:p>
              </w:tc>
              <w:tc>
                <w:tcPr>
                  <w:tcW w:w="2290" w:type="pct"/>
                  <w:vMerge w:val="restart"/>
                  <w:tcBorders>
                    <w:tl2br w:val="nil"/>
                    <w:tr2bl w:val="nil"/>
                  </w:tcBorders>
                  <w:vAlign w:val="center"/>
                </w:tcPr>
                <w:p w14:paraId="60736A83">
                  <w:pPr>
                    <w:jc w:val="center"/>
                    <w:rPr>
                      <w:color w:val="auto"/>
                      <w:szCs w:val="21"/>
                      <w:u w:val="single"/>
                    </w:rPr>
                  </w:pPr>
                  <w:r>
                    <w:rPr>
                      <w:rFonts w:hint="eastAsia"/>
                      <w:color w:val="auto"/>
                      <w:szCs w:val="21"/>
                      <w:u w:val="single"/>
                    </w:rPr>
                    <w:t>《铸造工业大气污染物排放标准》（GB 39726-2020）表1大气污染物排放限值</w:t>
                  </w:r>
                </w:p>
              </w:tc>
            </w:tr>
            <w:tr w14:paraId="175708B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tcBorders>
                    <w:tl2br w:val="nil"/>
                    <w:tr2bl w:val="nil"/>
                  </w:tcBorders>
                  <w:vAlign w:val="center"/>
                </w:tcPr>
                <w:p w14:paraId="50E935A7">
                  <w:pPr>
                    <w:jc w:val="center"/>
                    <w:rPr>
                      <w:color w:val="auto"/>
                      <w:szCs w:val="21"/>
                      <w:u w:val="single"/>
                    </w:rPr>
                  </w:pPr>
                </w:p>
              </w:tc>
              <w:tc>
                <w:tcPr>
                  <w:tcW w:w="556" w:type="pct"/>
                  <w:vMerge w:val="continue"/>
                  <w:tcBorders>
                    <w:tl2br w:val="nil"/>
                    <w:tr2bl w:val="nil"/>
                  </w:tcBorders>
                  <w:vAlign w:val="center"/>
                </w:tcPr>
                <w:p w14:paraId="1DBC385D">
                  <w:pPr>
                    <w:jc w:val="center"/>
                    <w:rPr>
                      <w:color w:val="auto"/>
                      <w:szCs w:val="21"/>
                      <w:u w:val="single"/>
                    </w:rPr>
                  </w:pPr>
                </w:p>
              </w:tc>
              <w:tc>
                <w:tcPr>
                  <w:tcW w:w="455" w:type="pct"/>
                  <w:vMerge w:val="continue"/>
                  <w:tcBorders>
                    <w:tl2br w:val="nil"/>
                    <w:tr2bl w:val="nil"/>
                  </w:tcBorders>
                  <w:vAlign w:val="center"/>
                </w:tcPr>
                <w:p w14:paraId="58CB0274">
                  <w:pPr>
                    <w:jc w:val="center"/>
                    <w:rPr>
                      <w:color w:val="auto"/>
                      <w:szCs w:val="21"/>
                      <w:u w:val="single"/>
                    </w:rPr>
                  </w:pPr>
                </w:p>
              </w:tc>
              <w:tc>
                <w:tcPr>
                  <w:tcW w:w="741" w:type="pct"/>
                  <w:tcBorders>
                    <w:tl2br w:val="nil"/>
                    <w:tr2bl w:val="nil"/>
                  </w:tcBorders>
                  <w:vAlign w:val="center"/>
                </w:tcPr>
                <w:p w14:paraId="7F29FE98">
                  <w:pPr>
                    <w:jc w:val="center"/>
                    <w:rPr>
                      <w:color w:val="auto"/>
                      <w:szCs w:val="21"/>
                      <w:u w:val="single"/>
                    </w:rPr>
                  </w:pPr>
                  <w:r>
                    <w:rPr>
                      <w:rFonts w:hint="eastAsia"/>
                      <w:color w:val="auto"/>
                      <w:szCs w:val="21"/>
                      <w:u w:val="single"/>
                    </w:rPr>
                    <w:t>NMHC</w:t>
                  </w:r>
                </w:p>
              </w:tc>
              <w:tc>
                <w:tcPr>
                  <w:tcW w:w="702" w:type="pct"/>
                  <w:tcBorders>
                    <w:tl2br w:val="nil"/>
                    <w:tr2bl w:val="nil"/>
                  </w:tcBorders>
                  <w:vAlign w:val="center"/>
                </w:tcPr>
                <w:p w14:paraId="091900FD">
                  <w:pPr>
                    <w:jc w:val="center"/>
                    <w:rPr>
                      <w:color w:val="auto"/>
                      <w:szCs w:val="21"/>
                      <w:u w:val="single"/>
                    </w:rPr>
                  </w:pPr>
                  <w:r>
                    <w:rPr>
                      <w:rFonts w:hint="eastAsia"/>
                      <w:color w:val="auto"/>
                      <w:szCs w:val="21"/>
                      <w:u w:val="single"/>
                    </w:rPr>
                    <w:t>每年一次</w:t>
                  </w:r>
                </w:p>
              </w:tc>
              <w:tc>
                <w:tcPr>
                  <w:tcW w:w="2290" w:type="pct"/>
                  <w:vMerge w:val="continue"/>
                  <w:tcBorders>
                    <w:tl2br w:val="nil"/>
                    <w:tr2bl w:val="nil"/>
                  </w:tcBorders>
                  <w:vAlign w:val="center"/>
                </w:tcPr>
                <w:p w14:paraId="1F478F74">
                  <w:pPr>
                    <w:jc w:val="center"/>
                    <w:rPr>
                      <w:color w:val="auto"/>
                      <w:szCs w:val="21"/>
                      <w:u w:val="single"/>
                    </w:rPr>
                  </w:pPr>
                </w:p>
              </w:tc>
            </w:tr>
            <w:tr w14:paraId="0068405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tcBorders>
                    <w:tl2br w:val="nil"/>
                    <w:tr2bl w:val="nil"/>
                  </w:tcBorders>
                  <w:vAlign w:val="center"/>
                </w:tcPr>
                <w:p w14:paraId="00F546F2">
                  <w:pPr>
                    <w:jc w:val="center"/>
                    <w:rPr>
                      <w:color w:val="auto"/>
                      <w:szCs w:val="21"/>
                      <w:u w:val="single"/>
                    </w:rPr>
                  </w:pPr>
                </w:p>
              </w:tc>
              <w:tc>
                <w:tcPr>
                  <w:tcW w:w="556" w:type="pct"/>
                  <w:vMerge w:val="continue"/>
                  <w:tcBorders>
                    <w:tl2br w:val="nil"/>
                    <w:tr2bl w:val="nil"/>
                  </w:tcBorders>
                  <w:vAlign w:val="center"/>
                </w:tcPr>
                <w:p w14:paraId="5CAF60D1">
                  <w:pPr>
                    <w:jc w:val="center"/>
                    <w:rPr>
                      <w:color w:val="auto"/>
                      <w:szCs w:val="21"/>
                      <w:u w:val="single"/>
                    </w:rPr>
                  </w:pPr>
                </w:p>
              </w:tc>
              <w:tc>
                <w:tcPr>
                  <w:tcW w:w="455" w:type="pct"/>
                  <w:vMerge w:val="continue"/>
                  <w:tcBorders>
                    <w:tl2br w:val="nil"/>
                    <w:tr2bl w:val="nil"/>
                  </w:tcBorders>
                  <w:vAlign w:val="center"/>
                </w:tcPr>
                <w:p w14:paraId="4F2226E4">
                  <w:pPr>
                    <w:jc w:val="center"/>
                    <w:rPr>
                      <w:color w:val="auto"/>
                      <w:szCs w:val="21"/>
                      <w:u w:val="single"/>
                    </w:rPr>
                  </w:pPr>
                </w:p>
              </w:tc>
              <w:tc>
                <w:tcPr>
                  <w:tcW w:w="741" w:type="pct"/>
                  <w:tcBorders>
                    <w:tl2br w:val="nil"/>
                    <w:tr2bl w:val="nil"/>
                  </w:tcBorders>
                  <w:vAlign w:val="center"/>
                </w:tcPr>
                <w:p w14:paraId="6C3ACC85">
                  <w:pPr>
                    <w:jc w:val="center"/>
                    <w:rPr>
                      <w:color w:val="auto"/>
                      <w:szCs w:val="21"/>
                      <w:u w:val="single"/>
                    </w:rPr>
                  </w:pPr>
                  <w:r>
                    <w:rPr>
                      <w:rFonts w:hint="eastAsia"/>
                      <w:color w:val="auto"/>
                      <w:szCs w:val="21"/>
                      <w:u w:val="single"/>
                    </w:rPr>
                    <w:t>二甲苯</w:t>
                  </w:r>
                </w:p>
              </w:tc>
              <w:tc>
                <w:tcPr>
                  <w:tcW w:w="702" w:type="pct"/>
                  <w:tcBorders>
                    <w:tl2br w:val="nil"/>
                    <w:tr2bl w:val="nil"/>
                  </w:tcBorders>
                  <w:vAlign w:val="center"/>
                </w:tcPr>
                <w:p w14:paraId="26C50666">
                  <w:pPr>
                    <w:jc w:val="center"/>
                    <w:rPr>
                      <w:color w:val="auto"/>
                      <w:szCs w:val="21"/>
                      <w:u w:val="single"/>
                    </w:rPr>
                  </w:pPr>
                  <w:r>
                    <w:rPr>
                      <w:rFonts w:hint="eastAsia"/>
                      <w:color w:val="auto"/>
                      <w:szCs w:val="21"/>
                      <w:u w:val="single"/>
                    </w:rPr>
                    <w:t>每年一次</w:t>
                  </w:r>
                </w:p>
              </w:tc>
              <w:tc>
                <w:tcPr>
                  <w:tcW w:w="2290" w:type="pct"/>
                  <w:vMerge w:val="continue"/>
                  <w:tcBorders>
                    <w:tl2br w:val="nil"/>
                    <w:tr2bl w:val="nil"/>
                  </w:tcBorders>
                  <w:vAlign w:val="center"/>
                </w:tcPr>
                <w:p w14:paraId="6F934919">
                  <w:pPr>
                    <w:jc w:val="center"/>
                    <w:rPr>
                      <w:color w:val="auto"/>
                      <w:szCs w:val="21"/>
                      <w:u w:val="single"/>
                    </w:rPr>
                  </w:pPr>
                </w:p>
              </w:tc>
            </w:tr>
            <w:tr w14:paraId="499C88A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tcBorders>
                    <w:tl2br w:val="nil"/>
                    <w:tr2bl w:val="nil"/>
                  </w:tcBorders>
                  <w:vAlign w:val="center"/>
                </w:tcPr>
                <w:p w14:paraId="3A781D32">
                  <w:pPr>
                    <w:jc w:val="center"/>
                    <w:rPr>
                      <w:color w:val="auto"/>
                      <w:szCs w:val="21"/>
                      <w:u w:val="single"/>
                    </w:rPr>
                  </w:pPr>
                </w:p>
              </w:tc>
              <w:tc>
                <w:tcPr>
                  <w:tcW w:w="556" w:type="pct"/>
                  <w:vMerge w:val="restart"/>
                  <w:tcBorders>
                    <w:tl2br w:val="nil"/>
                    <w:tr2bl w:val="nil"/>
                  </w:tcBorders>
                  <w:vAlign w:val="center"/>
                </w:tcPr>
                <w:p w14:paraId="2D04E2BB">
                  <w:pPr>
                    <w:jc w:val="center"/>
                    <w:rPr>
                      <w:color w:val="auto"/>
                      <w:szCs w:val="21"/>
                      <w:u w:val="single"/>
                    </w:rPr>
                  </w:pPr>
                  <w:r>
                    <w:rPr>
                      <w:rFonts w:hint="eastAsia"/>
                      <w:color w:val="auto"/>
                      <w:szCs w:val="21"/>
                      <w:u w:val="single"/>
                    </w:rPr>
                    <w:t>无组织</w:t>
                  </w:r>
                </w:p>
              </w:tc>
              <w:tc>
                <w:tcPr>
                  <w:tcW w:w="455" w:type="pct"/>
                  <w:vMerge w:val="restart"/>
                  <w:tcBorders>
                    <w:tl2br w:val="nil"/>
                    <w:tr2bl w:val="nil"/>
                  </w:tcBorders>
                  <w:vAlign w:val="center"/>
                </w:tcPr>
                <w:p w14:paraId="2F7AE073">
                  <w:pPr>
                    <w:jc w:val="center"/>
                    <w:rPr>
                      <w:color w:val="auto"/>
                      <w:szCs w:val="21"/>
                      <w:u w:val="single"/>
                    </w:rPr>
                  </w:pPr>
                  <w:r>
                    <w:rPr>
                      <w:rFonts w:hint="eastAsia"/>
                      <w:color w:val="auto"/>
                      <w:szCs w:val="21"/>
                      <w:u w:val="single"/>
                    </w:rPr>
                    <w:t>厂区</w:t>
                  </w:r>
                </w:p>
              </w:tc>
              <w:tc>
                <w:tcPr>
                  <w:tcW w:w="741" w:type="pct"/>
                  <w:tcBorders>
                    <w:tl2br w:val="nil"/>
                    <w:tr2bl w:val="nil"/>
                  </w:tcBorders>
                  <w:vAlign w:val="center"/>
                </w:tcPr>
                <w:p w14:paraId="18015E51">
                  <w:pPr>
                    <w:jc w:val="center"/>
                    <w:rPr>
                      <w:color w:val="auto"/>
                      <w:szCs w:val="21"/>
                      <w:u w:val="single"/>
                    </w:rPr>
                  </w:pPr>
                  <w:r>
                    <w:rPr>
                      <w:rFonts w:hint="eastAsia"/>
                      <w:color w:val="auto"/>
                      <w:szCs w:val="21"/>
                      <w:u w:val="single"/>
                    </w:rPr>
                    <w:t>颗粒物</w:t>
                  </w:r>
                </w:p>
              </w:tc>
              <w:tc>
                <w:tcPr>
                  <w:tcW w:w="702" w:type="pct"/>
                  <w:tcBorders>
                    <w:tl2br w:val="nil"/>
                    <w:tr2bl w:val="nil"/>
                  </w:tcBorders>
                  <w:vAlign w:val="center"/>
                </w:tcPr>
                <w:p w14:paraId="078C084B">
                  <w:pPr>
                    <w:jc w:val="center"/>
                    <w:rPr>
                      <w:color w:val="auto"/>
                      <w:szCs w:val="21"/>
                      <w:u w:val="single"/>
                    </w:rPr>
                  </w:pPr>
                  <w:r>
                    <w:rPr>
                      <w:rFonts w:hint="eastAsia"/>
                      <w:color w:val="auto"/>
                      <w:szCs w:val="21"/>
                      <w:u w:val="single"/>
                    </w:rPr>
                    <w:t>每年一次</w:t>
                  </w:r>
                </w:p>
              </w:tc>
              <w:tc>
                <w:tcPr>
                  <w:tcW w:w="2290" w:type="pct"/>
                  <w:vMerge w:val="restart"/>
                  <w:tcBorders>
                    <w:tl2br w:val="nil"/>
                    <w:tr2bl w:val="nil"/>
                  </w:tcBorders>
                  <w:vAlign w:val="center"/>
                </w:tcPr>
                <w:p w14:paraId="2226E7EF">
                  <w:pPr>
                    <w:jc w:val="center"/>
                    <w:rPr>
                      <w:color w:val="auto"/>
                      <w:szCs w:val="21"/>
                      <w:u w:val="single"/>
                    </w:rPr>
                  </w:pPr>
                  <w:r>
                    <w:rPr>
                      <w:rFonts w:hint="eastAsia"/>
                      <w:color w:val="auto"/>
                      <w:szCs w:val="21"/>
                      <w:u w:val="single"/>
                    </w:rPr>
                    <w:t>《铸造工业大气污染物排放标准》（GB39726-2020）表A.1厂区内无组织排放限值</w:t>
                  </w:r>
                </w:p>
              </w:tc>
            </w:tr>
            <w:tr w14:paraId="405061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tcBorders>
                    <w:tl2br w:val="nil"/>
                    <w:tr2bl w:val="nil"/>
                  </w:tcBorders>
                  <w:vAlign w:val="center"/>
                </w:tcPr>
                <w:p w14:paraId="153242EF">
                  <w:pPr>
                    <w:jc w:val="center"/>
                    <w:rPr>
                      <w:color w:val="auto"/>
                      <w:szCs w:val="21"/>
                      <w:u w:val="single"/>
                    </w:rPr>
                  </w:pPr>
                </w:p>
              </w:tc>
              <w:tc>
                <w:tcPr>
                  <w:tcW w:w="556" w:type="pct"/>
                  <w:vMerge w:val="continue"/>
                  <w:tcBorders>
                    <w:tl2br w:val="nil"/>
                    <w:tr2bl w:val="nil"/>
                  </w:tcBorders>
                  <w:vAlign w:val="center"/>
                </w:tcPr>
                <w:p w14:paraId="443E9860">
                  <w:pPr>
                    <w:jc w:val="center"/>
                    <w:rPr>
                      <w:color w:val="auto"/>
                      <w:szCs w:val="21"/>
                      <w:u w:val="single"/>
                    </w:rPr>
                  </w:pPr>
                </w:p>
              </w:tc>
              <w:tc>
                <w:tcPr>
                  <w:tcW w:w="455" w:type="pct"/>
                  <w:vMerge w:val="continue"/>
                  <w:tcBorders>
                    <w:tl2br w:val="nil"/>
                    <w:tr2bl w:val="nil"/>
                  </w:tcBorders>
                  <w:vAlign w:val="center"/>
                </w:tcPr>
                <w:p w14:paraId="306874A4">
                  <w:pPr>
                    <w:jc w:val="center"/>
                    <w:rPr>
                      <w:color w:val="auto"/>
                      <w:szCs w:val="21"/>
                      <w:u w:val="single"/>
                    </w:rPr>
                  </w:pPr>
                </w:p>
              </w:tc>
              <w:tc>
                <w:tcPr>
                  <w:tcW w:w="741" w:type="pct"/>
                  <w:tcBorders>
                    <w:tl2br w:val="nil"/>
                    <w:tr2bl w:val="nil"/>
                  </w:tcBorders>
                  <w:vAlign w:val="center"/>
                </w:tcPr>
                <w:p w14:paraId="324F8248">
                  <w:pPr>
                    <w:jc w:val="center"/>
                    <w:rPr>
                      <w:color w:val="auto"/>
                      <w:szCs w:val="21"/>
                      <w:u w:val="single"/>
                    </w:rPr>
                  </w:pPr>
                  <w:r>
                    <w:rPr>
                      <w:rFonts w:hint="eastAsia"/>
                      <w:color w:val="auto"/>
                      <w:szCs w:val="21"/>
                      <w:u w:val="single"/>
                    </w:rPr>
                    <w:t>NMHC</w:t>
                  </w:r>
                </w:p>
              </w:tc>
              <w:tc>
                <w:tcPr>
                  <w:tcW w:w="702" w:type="pct"/>
                  <w:tcBorders>
                    <w:tl2br w:val="nil"/>
                    <w:tr2bl w:val="nil"/>
                  </w:tcBorders>
                  <w:vAlign w:val="center"/>
                </w:tcPr>
                <w:p w14:paraId="2F45E1AB">
                  <w:pPr>
                    <w:jc w:val="center"/>
                    <w:rPr>
                      <w:color w:val="auto"/>
                      <w:szCs w:val="21"/>
                      <w:u w:val="single"/>
                    </w:rPr>
                  </w:pPr>
                  <w:r>
                    <w:rPr>
                      <w:rFonts w:hint="eastAsia"/>
                      <w:color w:val="auto"/>
                      <w:szCs w:val="21"/>
                      <w:u w:val="single"/>
                    </w:rPr>
                    <w:t>每年一次</w:t>
                  </w:r>
                </w:p>
              </w:tc>
              <w:tc>
                <w:tcPr>
                  <w:tcW w:w="2290" w:type="pct"/>
                  <w:vMerge w:val="continue"/>
                  <w:tcBorders>
                    <w:tl2br w:val="nil"/>
                    <w:tr2bl w:val="nil"/>
                  </w:tcBorders>
                  <w:vAlign w:val="center"/>
                </w:tcPr>
                <w:p w14:paraId="26EF2AF9">
                  <w:pPr>
                    <w:jc w:val="center"/>
                    <w:rPr>
                      <w:color w:val="auto"/>
                      <w:szCs w:val="21"/>
                      <w:u w:val="single"/>
                    </w:rPr>
                  </w:pPr>
                </w:p>
              </w:tc>
            </w:tr>
            <w:tr w14:paraId="48DF196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tcBorders>
                    <w:tl2br w:val="nil"/>
                    <w:tr2bl w:val="nil"/>
                  </w:tcBorders>
                  <w:vAlign w:val="center"/>
                </w:tcPr>
                <w:p w14:paraId="66C22384">
                  <w:pPr>
                    <w:jc w:val="center"/>
                    <w:rPr>
                      <w:color w:val="auto"/>
                      <w:szCs w:val="21"/>
                      <w:u w:val="single"/>
                    </w:rPr>
                  </w:pPr>
                </w:p>
              </w:tc>
              <w:tc>
                <w:tcPr>
                  <w:tcW w:w="556" w:type="pct"/>
                  <w:vMerge w:val="continue"/>
                  <w:tcBorders>
                    <w:tl2br w:val="nil"/>
                    <w:tr2bl w:val="nil"/>
                  </w:tcBorders>
                  <w:vAlign w:val="center"/>
                </w:tcPr>
                <w:p w14:paraId="40D95DF6">
                  <w:pPr>
                    <w:jc w:val="center"/>
                    <w:rPr>
                      <w:color w:val="auto"/>
                      <w:szCs w:val="21"/>
                      <w:u w:val="single"/>
                    </w:rPr>
                  </w:pPr>
                </w:p>
              </w:tc>
              <w:tc>
                <w:tcPr>
                  <w:tcW w:w="455" w:type="pct"/>
                  <w:vMerge w:val="restart"/>
                  <w:tcBorders>
                    <w:tl2br w:val="nil"/>
                    <w:tr2bl w:val="nil"/>
                  </w:tcBorders>
                  <w:vAlign w:val="center"/>
                </w:tcPr>
                <w:p w14:paraId="6DF68C7E">
                  <w:pPr>
                    <w:jc w:val="center"/>
                    <w:rPr>
                      <w:color w:val="auto"/>
                      <w:szCs w:val="21"/>
                      <w:u w:val="single"/>
                    </w:rPr>
                  </w:pPr>
                  <w:r>
                    <w:rPr>
                      <w:rFonts w:hint="eastAsia"/>
                      <w:color w:val="auto"/>
                      <w:szCs w:val="21"/>
                      <w:u w:val="single"/>
                    </w:rPr>
                    <w:t>厂界</w:t>
                  </w:r>
                </w:p>
              </w:tc>
              <w:tc>
                <w:tcPr>
                  <w:tcW w:w="741" w:type="pct"/>
                  <w:tcBorders>
                    <w:tl2br w:val="nil"/>
                    <w:tr2bl w:val="nil"/>
                  </w:tcBorders>
                  <w:vAlign w:val="center"/>
                </w:tcPr>
                <w:p w14:paraId="2678ADB8">
                  <w:pPr>
                    <w:jc w:val="center"/>
                    <w:rPr>
                      <w:color w:val="auto"/>
                      <w:szCs w:val="21"/>
                      <w:u w:val="single"/>
                    </w:rPr>
                  </w:pPr>
                  <w:r>
                    <w:rPr>
                      <w:rFonts w:hint="eastAsia"/>
                      <w:color w:val="auto"/>
                      <w:szCs w:val="21"/>
                      <w:u w:val="single"/>
                    </w:rPr>
                    <w:t>颗粒物</w:t>
                  </w:r>
                </w:p>
              </w:tc>
              <w:tc>
                <w:tcPr>
                  <w:tcW w:w="702" w:type="pct"/>
                  <w:tcBorders>
                    <w:tl2br w:val="nil"/>
                    <w:tr2bl w:val="nil"/>
                  </w:tcBorders>
                  <w:vAlign w:val="center"/>
                </w:tcPr>
                <w:p w14:paraId="7EAD2DB4">
                  <w:pPr>
                    <w:jc w:val="center"/>
                    <w:rPr>
                      <w:color w:val="auto"/>
                      <w:szCs w:val="21"/>
                      <w:u w:val="single"/>
                    </w:rPr>
                  </w:pPr>
                  <w:r>
                    <w:rPr>
                      <w:rFonts w:hint="eastAsia"/>
                      <w:color w:val="auto"/>
                      <w:szCs w:val="21"/>
                      <w:u w:val="single"/>
                    </w:rPr>
                    <w:t>每年一次</w:t>
                  </w:r>
                </w:p>
              </w:tc>
              <w:tc>
                <w:tcPr>
                  <w:tcW w:w="2290" w:type="pct"/>
                  <w:vMerge w:val="restart"/>
                  <w:tcBorders>
                    <w:tl2br w:val="nil"/>
                    <w:tr2bl w:val="nil"/>
                  </w:tcBorders>
                  <w:vAlign w:val="center"/>
                </w:tcPr>
                <w:p w14:paraId="54BF45A1">
                  <w:pPr>
                    <w:jc w:val="center"/>
                    <w:rPr>
                      <w:color w:val="auto"/>
                      <w:szCs w:val="21"/>
                      <w:u w:val="single"/>
                    </w:rPr>
                  </w:pPr>
                  <w:r>
                    <w:rPr>
                      <w:rFonts w:hint="eastAsia"/>
                      <w:color w:val="auto"/>
                      <w:szCs w:val="21"/>
                      <w:u w:val="single"/>
                    </w:rPr>
                    <w:t>《大气污染物综合排放标准》 （GB16297-1996）</w:t>
                  </w:r>
                </w:p>
              </w:tc>
            </w:tr>
            <w:tr w14:paraId="663E04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254" w:type="pct"/>
                  <w:vMerge w:val="continue"/>
                  <w:tcBorders>
                    <w:tl2br w:val="nil"/>
                    <w:tr2bl w:val="nil"/>
                  </w:tcBorders>
                  <w:vAlign w:val="center"/>
                </w:tcPr>
                <w:p w14:paraId="31DECEE0">
                  <w:pPr>
                    <w:jc w:val="center"/>
                    <w:rPr>
                      <w:color w:val="auto"/>
                      <w:szCs w:val="21"/>
                      <w:u w:val="single"/>
                    </w:rPr>
                  </w:pPr>
                </w:p>
              </w:tc>
              <w:tc>
                <w:tcPr>
                  <w:tcW w:w="556" w:type="pct"/>
                  <w:vMerge w:val="continue"/>
                  <w:tcBorders>
                    <w:tl2br w:val="nil"/>
                    <w:tr2bl w:val="nil"/>
                  </w:tcBorders>
                  <w:vAlign w:val="center"/>
                </w:tcPr>
                <w:p w14:paraId="4BB33945">
                  <w:pPr>
                    <w:jc w:val="center"/>
                    <w:rPr>
                      <w:color w:val="auto"/>
                      <w:szCs w:val="21"/>
                      <w:u w:val="single"/>
                    </w:rPr>
                  </w:pPr>
                </w:p>
              </w:tc>
              <w:tc>
                <w:tcPr>
                  <w:tcW w:w="455" w:type="pct"/>
                  <w:vMerge w:val="continue"/>
                  <w:tcBorders>
                    <w:tl2br w:val="nil"/>
                    <w:tr2bl w:val="nil"/>
                  </w:tcBorders>
                  <w:vAlign w:val="center"/>
                </w:tcPr>
                <w:p w14:paraId="35A8FA5D">
                  <w:pPr>
                    <w:jc w:val="center"/>
                    <w:rPr>
                      <w:color w:val="auto"/>
                      <w:szCs w:val="21"/>
                      <w:u w:val="single"/>
                    </w:rPr>
                  </w:pPr>
                </w:p>
              </w:tc>
              <w:tc>
                <w:tcPr>
                  <w:tcW w:w="741" w:type="pct"/>
                  <w:tcBorders>
                    <w:tl2br w:val="nil"/>
                    <w:tr2bl w:val="nil"/>
                  </w:tcBorders>
                  <w:vAlign w:val="center"/>
                </w:tcPr>
                <w:p w14:paraId="2E9983A6">
                  <w:pPr>
                    <w:jc w:val="center"/>
                    <w:rPr>
                      <w:color w:val="auto"/>
                      <w:szCs w:val="21"/>
                      <w:u w:val="single"/>
                    </w:rPr>
                  </w:pPr>
                  <w:r>
                    <w:rPr>
                      <w:rFonts w:hint="eastAsia"/>
                      <w:color w:val="auto"/>
                      <w:szCs w:val="21"/>
                      <w:u w:val="single"/>
                    </w:rPr>
                    <w:t>NMHC</w:t>
                  </w:r>
                </w:p>
              </w:tc>
              <w:tc>
                <w:tcPr>
                  <w:tcW w:w="702" w:type="pct"/>
                  <w:tcBorders>
                    <w:tl2br w:val="nil"/>
                    <w:tr2bl w:val="nil"/>
                  </w:tcBorders>
                  <w:vAlign w:val="center"/>
                </w:tcPr>
                <w:p w14:paraId="525C442E">
                  <w:pPr>
                    <w:jc w:val="center"/>
                    <w:rPr>
                      <w:color w:val="auto"/>
                      <w:szCs w:val="21"/>
                      <w:u w:val="single"/>
                    </w:rPr>
                  </w:pPr>
                  <w:r>
                    <w:rPr>
                      <w:rFonts w:hint="eastAsia"/>
                      <w:color w:val="auto"/>
                      <w:szCs w:val="21"/>
                      <w:u w:val="single"/>
                    </w:rPr>
                    <w:t>每年一次</w:t>
                  </w:r>
                </w:p>
              </w:tc>
              <w:tc>
                <w:tcPr>
                  <w:tcW w:w="2290" w:type="pct"/>
                  <w:vMerge w:val="continue"/>
                  <w:tcBorders>
                    <w:tl2br w:val="nil"/>
                    <w:tr2bl w:val="nil"/>
                  </w:tcBorders>
                  <w:vAlign w:val="center"/>
                </w:tcPr>
                <w:p w14:paraId="38B0807D">
                  <w:pPr>
                    <w:jc w:val="center"/>
                    <w:rPr>
                      <w:color w:val="auto"/>
                      <w:szCs w:val="21"/>
                      <w:u w:val="single"/>
                    </w:rPr>
                  </w:pPr>
                </w:p>
              </w:tc>
            </w:tr>
            <w:tr w14:paraId="1C6F6C3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tcBorders>
                    <w:tl2br w:val="nil"/>
                    <w:tr2bl w:val="nil"/>
                  </w:tcBorders>
                  <w:vAlign w:val="center"/>
                </w:tcPr>
                <w:p w14:paraId="744C863E">
                  <w:pPr>
                    <w:jc w:val="center"/>
                    <w:rPr>
                      <w:color w:val="auto"/>
                      <w:szCs w:val="21"/>
                      <w:u w:val="single"/>
                    </w:rPr>
                  </w:pPr>
                </w:p>
              </w:tc>
              <w:tc>
                <w:tcPr>
                  <w:tcW w:w="556" w:type="pct"/>
                  <w:vMerge w:val="continue"/>
                  <w:tcBorders>
                    <w:tl2br w:val="nil"/>
                    <w:tr2bl w:val="nil"/>
                  </w:tcBorders>
                  <w:vAlign w:val="center"/>
                </w:tcPr>
                <w:p w14:paraId="36C6E612">
                  <w:pPr>
                    <w:jc w:val="center"/>
                    <w:rPr>
                      <w:color w:val="auto"/>
                      <w:szCs w:val="21"/>
                      <w:u w:val="single"/>
                    </w:rPr>
                  </w:pPr>
                </w:p>
              </w:tc>
              <w:tc>
                <w:tcPr>
                  <w:tcW w:w="455" w:type="pct"/>
                  <w:vMerge w:val="continue"/>
                  <w:tcBorders>
                    <w:tl2br w:val="nil"/>
                    <w:tr2bl w:val="nil"/>
                  </w:tcBorders>
                  <w:vAlign w:val="center"/>
                </w:tcPr>
                <w:p w14:paraId="07750999">
                  <w:pPr>
                    <w:jc w:val="center"/>
                    <w:rPr>
                      <w:color w:val="auto"/>
                      <w:szCs w:val="21"/>
                      <w:u w:val="single"/>
                    </w:rPr>
                  </w:pPr>
                </w:p>
              </w:tc>
              <w:tc>
                <w:tcPr>
                  <w:tcW w:w="741" w:type="pct"/>
                  <w:tcBorders>
                    <w:tl2br w:val="nil"/>
                    <w:tr2bl w:val="nil"/>
                  </w:tcBorders>
                  <w:vAlign w:val="center"/>
                </w:tcPr>
                <w:p w14:paraId="2FFDE9E1">
                  <w:pPr>
                    <w:jc w:val="center"/>
                    <w:rPr>
                      <w:color w:val="auto"/>
                      <w:szCs w:val="21"/>
                      <w:u w:val="single"/>
                    </w:rPr>
                  </w:pPr>
                  <w:r>
                    <w:rPr>
                      <w:rFonts w:hint="eastAsia"/>
                      <w:color w:val="auto"/>
                      <w:szCs w:val="21"/>
                      <w:u w:val="single"/>
                    </w:rPr>
                    <w:t>二甲苯</w:t>
                  </w:r>
                </w:p>
              </w:tc>
              <w:tc>
                <w:tcPr>
                  <w:tcW w:w="702" w:type="pct"/>
                  <w:tcBorders>
                    <w:tl2br w:val="nil"/>
                    <w:tr2bl w:val="nil"/>
                  </w:tcBorders>
                  <w:shd w:val="clear" w:color="auto" w:fill="auto"/>
                  <w:vAlign w:val="center"/>
                </w:tcPr>
                <w:p w14:paraId="3B023887">
                  <w:pPr>
                    <w:jc w:val="center"/>
                    <w:rPr>
                      <w:color w:val="auto"/>
                      <w:szCs w:val="21"/>
                      <w:u w:val="single"/>
                    </w:rPr>
                  </w:pPr>
                  <w:r>
                    <w:rPr>
                      <w:rFonts w:hint="eastAsia"/>
                      <w:color w:val="auto"/>
                      <w:szCs w:val="21"/>
                      <w:u w:val="single"/>
                    </w:rPr>
                    <w:t>每年一次</w:t>
                  </w:r>
                </w:p>
              </w:tc>
              <w:tc>
                <w:tcPr>
                  <w:tcW w:w="2290" w:type="pct"/>
                  <w:vMerge w:val="continue"/>
                  <w:tcBorders>
                    <w:tl2br w:val="nil"/>
                    <w:tr2bl w:val="nil"/>
                  </w:tcBorders>
                  <w:vAlign w:val="center"/>
                </w:tcPr>
                <w:p w14:paraId="5F3F5A13">
                  <w:pPr>
                    <w:jc w:val="center"/>
                    <w:rPr>
                      <w:color w:val="auto"/>
                      <w:szCs w:val="21"/>
                      <w:u w:val="single"/>
                    </w:rPr>
                  </w:pPr>
                </w:p>
              </w:tc>
            </w:tr>
            <w:tr w14:paraId="34EA76D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tcBorders>
                    <w:tl2br w:val="nil"/>
                    <w:tr2bl w:val="nil"/>
                  </w:tcBorders>
                  <w:vAlign w:val="center"/>
                </w:tcPr>
                <w:p w14:paraId="799811C2">
                  <w:pPr>
                    <w:jc w:val="center"/>
                    <w:rPr>
                      <w:color w:val="auto"/>
                      <w:szCs w:val="21"/>
                      <w:u w:val="single"/>
                    </w:rPr>
                  </w:pPr>
                </w:p>
              </w:tc>
              <w:tc>
                <w:tcPr>
                  <w:tcW w:w="556" w:type="pct"/>
                  <w:vMerge w:val="continue"/>
                  <w:tcBorders>
                    <w:tl2br w:val="nil"/>
                    <w:tr2bl w:val="nil"/>
                  </w:tcBorders>
                  <w:vAlign w:val="center"/>
                </w:tcPr>
                <w:p w14:paraId="59EE491E">
                  <w:pPr>
                    <w:jc w:val="center"/>
                    <w:rPr>
                      <w:color w:val="auto"/>
                      <w:szCs w:val="21"/>
                      <w:u w:val="single"/>
                    </w:rPr>
                  </w:pPr>
                </w:p>
              </w:tc>
              <w:tc>
                <w:tcPr>
                  <w:tcW w:w="455" w:type="pct"/>
                  <w:vMerge w:val="continue"/>
                  <w:tcBorders>
                    <w:tl2br w:val="nil"/>
                    <w:tr2bl w:val="nil"/>
                  </w:tcBorders>
                  <w:shd w:val="clear" w:color="auto" w:fill="auto"/>
                  <w:vAlign w:val="center"/>
                </w:tcPr>
                <w:p w14:paraId="2577F7AA">
                  <w:pPr>
                    <w:jc w:val="center"/>
                    <w:rPr>
                      <w:color w:val="auto"/>
                      <w:szCs w:val="21"/>
                      <w:u w:val="single"/>
                    </w:rPr>
                  </w:pPr>
                </w:p>
              </w:tc>
              <w:tc>
                <w:tcPr>
                  <w:tcW w:w="741" w:type="pct"/>
                  <w:tcBorders>
                    <w:tl2br w:val="nil"/>
                    <w:tr2bl w:val="nil"/>
                  </w:tcBorders>
                  <w:vAlign w:val="center"/>
                </w:tcPr>
                <w:p w14:paraId="06650097">
                  <w:pPr>
                    <w:jc w:val="center"/>
                    <w:rPr>
                      <w:color w:val="auto"/>
                      <w:szCs w:val="21"/>
                      <w:u w:val="single"/>
                    </w:rPr>
                  </w:pPr>
                  <w:r>
                    <w:rPr>
                      <w:rFonts w:hint="eastAsia"/>
                      <w:color w:val="auto"/>
                      <w:szCs w:val="21"/>
                      <w:u w:val="single"/>
                    </w:rPr>
                    <w:t>苯乙烯</w:t>
                  </w:r>
                </w:p>
              </w:tc>
              <w:tc>
                <w:tcPr>
                  <w:tcW w:w="702" w:type="pct"/>
                  <w:tcBorders>
                    <w:tl2br w:val="nil"/>
                    <w:tr2bl w:val="nil"/>
                  </w:tcBorders>
                  <w:shd w:val="clear" w:color="auto" w:fill="auto"/>
                  <w:vAlign w:val="center"/>
                </w:tcPr>
                <w:p w14:paraId="6BD44D6F">
                  <w:pPr>
                    <w:jc w:val="center"/>
                    <w:rPr>
                      <w:color w:val="auto"/>
                      <w:szCs w:val="21"/>
                      <w:u w:val="single"/>
                    </w:rPr>
                  </w:pPr>
                  <w:r>
                    <w:rPr>
                      <w:rFonts w:hint="eastAsia"/>
                      <w:color w:val="auto"/>
                      <w:szCs w:val="21"/>
                      <w:u w:val="single"/>
                    </w:rPr>
                    <w:t>每年一次</w:t>
                  </w:r>
                </w:p>
              </w:tc>
              <w:tc>
                <w:tcPr>
                  <w:tcW w:w="2290" w:type="pct"/>
                  <w:vMerge w:val="restart"/>
                  <w:tcBorders>
                    <w:tl2br w:val="nil"/>
                    <w:tr2bl w:val="nil"/>
                  </w:tcBorders>
                  <w:vAlign w:val="center"/>
                </w:tcPr>
                <w:p w14:paraId="4AAB9E73">
                  <w:pPr>
                    <w:jc w:val="center"/>
                    <w:rPr>
                      <w:rFonts w:hint="default" w:eastAsia="宋体"/>
                      <w:color w:val="auto"/>
                      <w:szCs w:val="21"/>
                      <w:u w:val="single"/>
                      <w:lang w:val="en-US" w:eastAsia="zh-CN"/>
                    </w:rPr>
                  </w:pPr>
                  <w:r>
                    <w:rPr>
                      <w:rFonts w:hint="eastAsia"/>
                      <w:color w:val="auto"/>
                      <w:szCs w:val="21"/>
                      <w:u w:val="single"/>
                    </w:rPr>
                    <w:t>《恶臭污染物排放标准》（GB14554-93）</w:t>
                  </w:r>
                  <w:r>
                    <w:rPr>
                      <w:rFonts w:hint="eastAsia"/>
                      <w:color w:val="auto"/>
                      <w:szCs w:val="21"/>
                      <w:u w:val="single"/>
                      <w:lang w:val="en-US" w:eastAsia="zh-CN"/>
                    </w:rPr>
                    <w:t>表1标准限值</w:t>
                  </w:r>
                </w:p>
              </w:tc>
            </w:tr>
            <w:tr w14:paraId="6666D8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tcBorders>
                    <w:tl2br w:val="nil"/>
                    <w:tr2bl w:val="nil"/>
                  </w:tcBorders>
                  <w:vAlign w:val="center"/>
                </w:tcPr>
                <w:p w14:paraId="21DD3659">
                  <w:pPr>
                    <w:jc w:val="center"/>
                    <w:rPr>
                      <w:color w:val="auto"/>
                      <w:szCs w:val="21"/>
                      <w:u w:val="single"/>
                    </w:rPr>
                  </w:pPr>
                </w:p>
              </w:tc>
              <w:tc>
                <w:tcPr>
                  <w:tcW w:w="556" w:type="pct"/>
                  <w:vMerge w:val="continue"/>
                  <w:tcBorders>
                    <w:tl2br w:val="nil"/>
                    <w:tr2bl w:val="nil"/>
                  </w:tcBorders>
                  <w:vAlign w:val="center"/>
                </w:tcPr>
                <w:p w14:paraId="3E7AC8ED">
                  <w:pPr>
                    <w:jc w:val="center"/>
                    <w:rPr>
                      <w:color w:val="auto"/>
                      <w:szCs w:val="21"/>
                      <w:u w:val="single"/>
                    </w:rPr>
                  </w:pPr>
                </w:p>
              </w:tc>
              <w:tc>
                <w:tcPr>
                  <w:tcW w:w="455" w:type="pct"/>
                  <w:vMerge w:val="continue"/>
                  <w:tcBorders>
                    <w:tl2br w:val="nil"/>
                    <w:tr2bl w:val="nil"/>
                  </w:tcBorders>
                  <w:shd w:val="clear" w:color="auto" w:fill="auto"/>
                  <w:vAlign w:val="center"/>
                </w:tcPr>
                <w:p w14:paraId="077B08B6">
                  <w:pPr>
                    <w:jc w:val="center"/>
                    <w:rPr>
                      <w:color w:val="auto"/>
                      <w:szCs w:val="21"/>
                      <w:u w:val="single"/>
                    </w:rPr>
                  </w:pPr>
                </w:p>
              </w:tc>
              <w:tc>
                <w:tcPr>
                  <w:tcW w:w="741" w:type="pct"/>
                  <w:tcBorders>
                    <w:tl2br w:val="nil"/>
                    <w:tr2bl w:val="nil"/>
                  </w:tcBorders>
                  <w:vAlign w:val="center"/>
                </w:tcPr>
                <w:p w14:paraId="1609F514">
                  <w:pPr>
                    <w:jc w:val="center"/>
                    <w:rPr>
                      <w:color w:val="auto"/>
                      <w:szCs w:val="21"/>
                      <w:u w:val="single"/>
                    </w:rPr>
                  </w:pPr>
                  <w:r>
                    <w:rPr>
                      <w:rFonts w:hint="eastAsia"/>
                      <w:color w:val="auto"/>
                      <w:szCs w:val="21"/>
                      <w:u w:val="single"/>
                    </w:rPr>
                    <w:t>臭气浓度</w:t>
                  </w:r>
                </w:p>
              </w:tc>
              <w:tc>
                <w:tcPr>
                  <w:tcW w:w="702" w:type="pct"/>
                  <w:tcBorders>
                    <w:tl2br w:val="nil"/>
                    <w:tr2bl w:val="nil"/>
                  </w:tcBorders>
                  <w:shd w:val="clear" w:color="auto" w:fill="auto"/>
                  <w:vAlign w:val="center"/>
                </w:tcPr>
                <w:p w14:paraId="170BB445">
                  <w:pPr>
                    <w:jc w:val="center"/>
                    <w:rPr>
                      <w:color w:val="auto"/>
                      <w:szCs w:val="21"/>
                      <w:u w:val="single"/>
                    </w:rPr>
                  </w:pPr>
                  <w:r>
                    <w:rPr>
                      <w:rFonts w:hint="eastAsia"/>
                      <w:color w:val="auto"/>
                      <w:szCs w:val="21"/>
                      <w:u w:val="single"/>
                    </w:rPr>
                    <w:t>每年一次</w:t>
                  </w:r>
                </w:p>
              </w:tc>
              <w:tc>
                <w:tcPr>
                  <w:tcW w:w="2290" w:type="pct"/>
                  <w:vMerge w:val="continue"/>
                  <w:tcBorders>
                    <w:tl2br w:val="nil"/>
                    <w:tr2bl w:val="nil"/>
                  </w:tcBorders>
                  <w:vAlign w:val="center"/>
                </w:tcPr>
                <w:p w14:paraId="370F70CA">
                  <w:pPr>
                    <w:jc w:val="center"/>
                    <w:rPr>
                      <w:color w:val="auto"/>
                      <w:szCs w:val="21"/>
                      <w:u w:val="single"/>
                    </w:rPr>
                  </w:pPr>
                </w:p>
              </w:tc>
            </w:tr>
          </w:tbl>
          <w:p w14:paraId="12845FBC">
            <w:pPr>
              <w:autoSpaceDE w:val="0"/>
              <w:autoSpaceDN w:val="0"/>
              <w:adjustRightInd w:val="0"/>
              <w:spacing w:line="360" w:lineRule="auto"/>
              <w:ind w:firstLine="482" w:firstLineChars="200"/>
              <w:rPr>
                <w:rFonts w:cs="宋体"/>
                <w:b/>
                <w:bCs/>
                <w:color w:val="auto"/>
                <w:sz w:val="24"/>
              </w:rPr>
            </w:pPr>
            <w:r>
              <w:rPr>
                <w:rFonts w:hint="eastAsia" w:cs="宋体"/>
                <w:b/>
                <w:bCs/>
                <w:color w:val="auto"/>
                <w:sz w:val="24"/>
              </w:rPr>
              <w:t>（7）大气环境影响评价结论</w:t>
            </w:r>
          </w:p>
          <w:p w14:paraId="7B596265">
            <w:pPr>
              <w:widowControl/>
              <w:spacing w:line="360" w:lineRule="auto"/>
              <w:ind w:firstLine="480" w:firstLineChars="200"/>
              <w:textAlignment w:val="baseline"/>
              <w:rPr>
                <w:rFonts w:cs="宋体"/>
                <w:color w:val="auto"/>
                <w:sz w:val="24"/>
              </w:rPr>
            </w:pPr>
            <w:r>
              <w:rPr>
                <w:rFonts w:hint="eastAsia" w:cs="宋体"/>
                <w:color w:val="auto"/>
                <w:sz w:val="24"/>
              </w:rPr>
              <w:t>本项目位于</w:t>
            </w:r>
            <w:r>
              <w:rPr>
                <w:rFonts w:hint="eastAsia"/>
                <w:color w:val="auto"/>
                <w:sz w:val="24"/>
              </w:rPr>
              <w:t>湘潭天易经开区，区域空气环境质量较好。</w:t>
            </w:r>
            <w:r>
              <w:rPr>
                <w:rFonts w:hint="eastAsia" w:cs="宋体"/>
                <w:color w:val="auto"/>
                <w:sz w:val="24"/>
              </w:rPr>
              <w:t>项目发泡、切割、熔炼、浇注、落砂、砂处理及表面涂装等各废气经采取相应废气处理措施后均可做到达标排放，满足相应排放标准要求，对周边环境影响较小。</w:t>
            </w:r>
          </w:p>
          <w:p w14:paraId="2F20B840">
            <w:pPr>
              <w:widowControl/>
              <w:spacing w:line="360" w:lineRule="auto"/>
              <w:ind w:firstLine="480" w:firstLineChars="200"/>
              <w:textAlignment w:val="baseline"/>
              <w:rPr>
                <w:rFonts w:cs="宋体"/>
                <w:color w:val="auto"/>
                <w:sz w:val="24"/>
              </w:rPr>
            </w:pPr>
            <w:r>
              <w:rPr>
                <w:rFonts w:hint="eastAsia" w:cs="宋体"/>
                <w:color w:val="auto"/>
                <w:sz w:val="24"/>
              </w:rPr>
              <w:t>综上所述，本项目的建设对项目所在地大气环境质量影响较小。</w:t>
            </w:r>
          </w:p>
          <w:p w14:paraId="154936F6">
            <w:pPr>
              <w:adjustRightInd w:val="0"/>
              <w:snapToGrid w:val="0"/>
              <w:spacing w:line="360" w:lineRule="auto"/>
              <w:jc w:val="left"/>
              <w:rPr>
                <w:rFonts w:cs="宋体"/>
                <w:b/>
                <w:bCs/>
                <w:color w:val="auto"/>
                <w:sz w:val="24"/>
              </w:rPr>
            </w:pPr>
            <w:r>
              <w:rPr>
                <w:rFonts w:hint="eastAsia" w:cs="宋体"/>
                <w:b/>
                <w:bCs/>
                <w:color w:val="auto"/>
                <w:sz w:val="24"/>
              </w:rPr>
              <w:t>2、废水</w:t>
            </w:r>
          </w:p>
          <w:p w14:paraId="34CE2853">
            <w:pPr>
              <w:adjustRightInd w:val="0"/>
              <w:snapToGrid w:val="0"/>
              <w:spacing w:line="360" w:lineRule="auto"/>
              <w:ind w:firstLine="482" w:firstLineChars="200"/>
              <w:jc w:val="left"/>
              <w:rPr>
                <w:rFonts w:cs="宋体"/>
                <w:b/>
                <w:bCs/>
                <w:color w:val="auto"/>
                <w:sz w:val="24"/>
              </w:rPr>
            </w:pPr>
            <w:r>
              <w:rPr>
                <w:rFonts w:hint="eastAsia" w:cs="宋体"/>
                <w:b/>
                <w:bCs/>
                <w:color w:val="auto"/>
                <w:sz w:val="24"/>
              </w:rPr>
              <w:t>（1）废水污染源排放情况</w:t>
            </w:r>
          </w:p>
          <w:p w14:paraId="224C67D4">
            <w:pPr>
              <w:spacing w:line="360" w:lineRule="auto"/>
              <w:ind w:firstLine="480" w:firstLineChars="200"/>
              <w:rPr>
                <w:rFonts w:hint="eastAsia"/>
                <w:color w:val="auto"/>
                <w:sz w:val="24"/>
                <w:szCs w:val="32"/>
                <w:u w:val="single"/>
              </w:rPr>
            </w:pPr>
            <w:r>
              <w:rPr>
                <w:rFonts w:hint="eastAsia" w:cs="宋体"/>
                <w:color w:val="auto"/>
                <w:sz w:val="24"/>
                <w:u w:val="single"/>
              </w:rPr>
              <w:t>项目无生产废水外排</w:t>
            </w:r>
            <w:r>
              <w:rPr>
                <w:rFonts w:hint="eastAsia" w:cs="宋体"/>
                <w:color w:val="auto"/>
                <w:sz w:val="24"/>
                <w:u w:val="single"/>
                <w:lang w:eastAsia="zh-CN"/>
              </w:rPr>
              <w:t>。</w:t>
            </w:r>
            <w:r>
              <w:rPr>
                <w:rFonts w:hint="eastAsia" w:cs="宋体"/>
                <w:color w:val="auto"/>
                <w:sz w:val="24"/>
                <w:u w:val="single"/>
                <w:lang w:val="en-US" w:eastAsia="zh-CN"/>
              </w:rPr>
              <w:t>项目需要用水调配粉末耐火涂料，泡沫模具浸入</w:t>
            </w:r>
            <w:r>
              <w:rPr>
                <w:rFonts w:hint="eastAsia"/>
                <w:color w:val="auto"/>
                <w:sz w:val="24"/>
                <w:szCs w:val="32"/>
                <w:u w:val="single"/>
              </w:rPr>
              <w:t>涂料</w:t>
            </w:r>
            <w:r>
              <w:rPr>
                <w:rFonts w:hint="eastAsia"/>
                <w:color w:val="auto"/>
                <w:sz w:val="24"/>
                <w:szCs w:val="32"/>
                <w:u w:val="single"/>
                <w:lang w:val="en-US" w:eastAsia="zh-CN"/>
              </w:rPr>
              <w:t>后在进行烘干</w:t>
            </w:r>
            <w:r>
              <w:rPr>
                <w:rFonts w:hint="eastAsia"/>
                <w:color w:val="auto"/>
                <w:sz w:val="24"/>
                <w:szCs w:val="32"/>
                <w:u w:val="single"/>
                <w:lang w:eastAsia="zh-CN"/>
              </w:rPr>
              <w:t>，</w:t>
            </w:r>
            <w:r>
              <w:rPr>
                <w:rFonts w:hint="eastAsia"/>
                <w:color w:val="auto"/>
                <w:sz w:val="24"/>
                <w:szCs w:val="32"/>
                <w:u w:val="single"/>
                <w:lang w:val="en-US" w:eastAsia="zh-CN"/>
              </w:rPr>
              <w:t>模具烘干过程中涂料中的水分挥发，无废水产生</w:t>
            </w:r>
            <w:r>
              <w:rPr>
                <w:rFonts w:hint="eastAsia"/>
                <w:color w:val="auto"/>
                <w:sz w:val="24"/>
                <w:szCs w:val="32"/>
                <w:u w:val="single"/>
              </w:rPr>
              <w:t>。</w:t>
            </w:r>
            <w:r>
              <w:rPr>
                <w:rFonts w:hint="eastAsia"/>
                <w:color w:val="auto"/>
                <w:sz w:val="24"/>
                <w:szCs w:val="32"/>
                <w:u w:val="single"/>
                <w:lang w:val="en-US" w:eastAsia="zh-CN"/>
              </w:rPr>
              <w:t>项目使用</w:t>
            </w:r>
            <w:r>
              <w:rPr>
                <w:rFonts w:hint="eastAsia"/>
                <w:color w:val="auto"/>
                <w:sz w:val="24"/>
                <w:szCs w:val="32"/>
                <w:u w:val="single"/>
              </w:rPr>
              <w:t>水环真空泵</w:t>
            </w:r>
            <w:r>
              <w:rPr>
                <w:rFonts w:hint="eastAsia"/>
                <w:color w:val="auto"/>
                <w:sz w:val="24"/>
                <w:szCs w:val="32"/>
                <w:u w:val="single"/>
                <w:lang w:val="en-US" w:eastAsia="zh-CN"/>
              </w:rPr>
              <w:t>对消失模铸造砂箱抽真空，真空泵中</w:t>
            </w:r>
            <w:r>
              <w:rPr>
                <w:rFonts w:hint="eastAsia"/>
                <w:color w:val="auto"/>
                <w:sz w:val="24"/>
                <w:szCs w:val="32"/>
                <w:u w:val="single"/>
              </w:rPr>
              <w:t>水循环使用</w:t>
            </w:r>
            <w:r>
              <w:rPr>
                <w:rFonts w:hint="eastAsia"/>
                <w:color w:val="auto"/>
                <w:sz w:val="24"/>
                <w:szCs w:val="32"/>
                <w:u w:val="single"/>
                <w:lang w:val="en-US" w:eastAsia="zh-CN"/>
              </w:rPr>
              <w:t>不外排</w:t>
            </w:r>
            <w:r>
              <w:rPr>
                <w:rFonts w:hint="eastAsia"/>
                <w:color w:val="auto"/>
                <w:sz w:val="24"/>
                <w:szCs w:val="32"/>
                <w:u w:val="single"/>
              </w:rPr>
              <w:t>，每天</w:t>
            </w:r>
            <w:r>
              <w:rPr>
                <w:rFonts w:hint="eastAsia"/>
                <w:color w:val="auto"/>
                <w:sz w:val="24"/>
                <w:szCs w:val="32"/>
                <w:u w:val="single"/>
                <w:lang w:val="en-US" w:eastAsia="zh-CN"/>
              </w:rPr>
              <w:t>仅</w:t>
            </w:r>
            <w:r>
              <w:rPr>
                <w:rFonts w:hint="eastAsia"/>
                <w:color w:val="auto"/>
                <w:sz w:val="24"/>
                <w:szCs w:val="32"/>
                <w:u w:val="single"/>
              </w:rPr>
              <w:t>补充损耗量。</w:t>
            </w:r>
            <w:r>
              <w:rPr>
                <w:rFonts w:hint="eastAsia"/>
                <w:color w:val="auto"/>
                <w:sz w:val="24"/>
                <w:szCs w:val="32"/>
                <w:u w:val="single"/>
                <w:lang w:val="en-US" w:eastAsia="zh-CN"/>
              </w:rPr>
              <w:t>项目泡沫模具蒸压成型以及铸造过程中需要对模具和铸件进行冷却，采用水冷，</w:t>
            </w:r>
            <w:r>
              <w:rPr>
                <w:rFonts w:hint="eastAsia"/>
                <w:color w:val="auto"/>
                <w:sz w:val="24"/>
                <w:szCs w:val="32"/>
                <w:u w:val="single"/>
              </w:rPr>
              <w:t>冷却用水进入冷却池</w:t>
            </w:r>
            <w:r>
              <w:rPr>
                <w:rFonts w:hint="eastAsia"/>
                <w:color w:val="auto"/>
                <w:sz w:val="24"/>
                <w:szCs w:val="32"/>
                <w:u w:val="single"/>
                <w:lang w:val="en-US" w:eastAsia="zh-CN"/>
              </w:rPr>
              <w:t>循环使用不外排</w:t>
            </w:r>
            <w:r>
              <w:rPr>
                <w:rFonts w:hint="eastAsia"/>
                <w:color w:val="auto"/>
                <w:sz w:val="24"/>
                <w:szCs w:val="32"/>
                <w:u w:val="single"/>
              </w:rPr>
              <w:t>，冷却池定期补充损耗。</w:t>
            </w:r>
          </w:p>
          <w:p w14:paraId="3586CFFB">
            <w:pPr>
              <w:spacing w:line="360" w:lineRule="auto"/>
              <w:ind w:firstLine="480" w:firstLineChars="200"/>
              <w:rPr>
                <w:color w:val="auto"/>
              </w:rPr>
            </w:pPr>
            <w:r>
              <w:rPr>
                <w:rFonts w:hint="eastAsia" w:cs="宋体"/>
                <w:color w:val="auto"/>
                <w:sz w:val="24"/>
              </w:rPr>
              <w:t>废水主要为生活污水。项目员工人数25人，均不在厂区内食宿，员工在工作和生活期间会产生一定量生活污水，主要污染物为COD、BOD</w:t>
            </w:r>
            <w:r>
              <w:rPr>
                <w:rFonts w:hint="eastAsia" w:cs="宋体"/>
                <w:color w:val="auto"/>
                <w:sz w:val="24"/>
                <w:vertAlign w:val="subscript"/>
              </w:rPr>
              <w:t>5</w:t>
            </w:r>
            <w:r>
              <w:rPr>
                <w:rFonts w:hint="eastAsia" w:cs="宋体"/>
                <w:color w:val="auto"/>
                <w:sz w:val="24"/>
              </w:rPr>
              <w:t>、SS、NH</w:t>
            </w:r>
            <w:r>
              <w:rPr>
                <w:rFonts w:hint="eastAsia" w:cs="宋体"/>
                <w:color w:val="auto"/>
                <w:sz w:val="24"/>
                <w:vertAlign w:val="subscript"/>
              </w:rPr>
              <w:t>3</w:t>
            </w:r>
            <w:r>
              <w:rPr>
                <w:rFonts w:hint="eastAsia" w:cs="宋体"/>
                <w:color w:val="auto"/>
                <w:sz w:val="24"/>
              </w:rPr>
              <w:t>-N等。项目年工作日300天，根据湖南省地方标准《用水定额》（DB43/T 388-2020），</w:t>
            </w:r>
            <w:r>
              <w:rPr>
                <w:color w:val="auto"/>
                <w:sz w:val="24"/>
                <w:szCs w:val="32"/>
              </w:rPr>
              <w:t>用水定额</w:t>
            </w:r>
            <w:r>
              <w:rPr>
                <w:rFonts w:hint="eastAsia"/>
                <w:color w:val="auto"/>
                <w:sz w:val="24"/>
                <w:szCs w:val="32"/>
              </w:rPr>
              <w:t>取15m</w:t>
            </w:r>
            <w:r>
              <w:rPr>
                <w:rFonts w:hint="eastAsia"/>
                <w:color w:val="auto"/>
                <w:sz w:val="24"/>
                <w:szCs w:val="32"/>
                <w:vertAlign w:val="superscript"/>
              </w:rPr>
              <w:t>3</w:t>
            </w:r>
            <w:r>
              <w:rPr>
                <w:color w:val="auto"/>
                <w:sz w:val="24"/>
                <w:szCs w:val="32"/>
              </w:rPr>
              <w:t>/</w:t>
            </w:r>
            <w:r>
              <w:rPr>
                <w:rFonts w:hint="eastAsia"/>
                <w:color w:val="auto"/>
                <w:sz w:val="24"/>
                <w:szCs w:val="32"/>
              </w:rPr>
              <w:t>人.a</w:t>
            </w:r>
            <w:r>
              <w:rPr>
                <w:color w:val="auto"/>
                <w:sz w:val="24"/>
                <w:szCs w:val="32"/>
              </w:rPr>
              <w:t>计</w:t>
            </w:r>
            <w:r>
              <w:rPr>
                <w:rFonts w:ascii="宋体" w:hAnsi="宋体" w:cs="宋体"/>
                <w:color w:val="auto"/>
                <w:sz w:val="24"/>
              </w:rPr>
              <w:t>，</w:t>
            </w:r>
            <w:r>
              <w:rPr>
                <w:rFonts w:hint="eastAsia" w:cs="宋体"/>
                <w:color w:val="auto"/>
                <w:sz w:val="24"/>
              </w:rPr>
              <w:t>则本项目生活用水量为1.25t/d，即375t/a。生活污水排放系数取0.8，项目生活污水总量为1t/d，300t/a。</w:t>
            </w:r>
          </w:p>
          <w:p w14:paraId="0FE5A42E">
            <w:pPr>
              <w:spacing w:line="360" w:lineRule="auto"/>
              <w:ind w:firstLine="480" w:firstLineChars="200"/>
              <w:rPr>
                <w:rFonts w:cs="宋体"/>
                <w:color w:val="auto"/>
                <w:sz w:val="24"/>
              </w:rPr>
            </w:pPr>
            <w:r>
              <w:rPr>
                <w:rFonts w:hint="eastAsia" w:cs="宋体"/>
                <w:color w:val="auto"/>
                <w:sz w:val="24"/>
              </w:rPr>
              <w:t>生活污水近经园区化粪池预处理达到《污水综合排放标准》（GB3095-1996）表4中的三级标准及湘潭县第一污水处理厂接纳标准后，通过市政污水管网接入湘潭县第一污水处理厂处理，湘潭县第一污水处理厂出水水质标准执行《城镇污水处理厂污染物排放标准》（GB 18918-2002）的一级A标准。</w:t>
            </w:r>
          </w:p>
          <w:p w14:paraId="77D843F0">
            <w:pPr>
              <w:spacing w:line="360" w:lineRule="auto"/>
              <w:ind w:firstLine="480" w:firstLineChars="200"/>
              <w:rPr>
                <w:rFonts w:cs="宋体"/>
                <w:color w:val="auto"/>
                <w:sz w:val="24"/>
              </w:rPr>
            </w:pPr>
            <w:r>
              <w:rPr>
                <w:rFonts w:hint="eastAsia" w:cs="宋体"/>
                <w:color w:val="auto"/>
                <w:sz w:val="24"/>
              </w:rPr>
              <w:t>生活污水水质情况见下表4-10。</w:t>
            </w:r>
          </w:p>
          <w:p w14:paraId="3EB3361D">
            <w:pPr>
              <w:pStyle w:val="6"/>
              <w:numPr>
                <w:ilvl w:val="4"/>
                <w:numId w:val="0"/>
              </w:numPr>
              <w:tabs>
                <w:tab w:val="left" w:pos="420"/>
              </w:tabs>
              <w:spacing w:before="0" w:beforeLines="0" w:after="0" w:afterLines="0"/>
              <w:ind w:left="420" w:leftChars="200"/>
              <w:rPr>
                <w:rFonts w:ascii="Times New Roman" w:hAnsi="Times New Roman"/>
                <w:color w:val="auto"/>
                <w:kern w:val="0"/>
                <w:sz w:val="21"/>
                <w:szCs w:val="21"/>
              </w:rPr>
            </w:pPr>
            <w:r>
              <w:rPr>
                <w:rFonts w:hint="eastAsia" w:ascii="Times New Roman" w:hAnsi="Times New Roman"/>
                <w:color w:val="auto"/>
                <w:kern w:val="0"/>
                <w:sz w:val="21"/>
                <w:szCs w:val="21"/>
              </w:rPr>
              <w:t>表4-10  项目废水产排情况一览表</w:t>
            </w:r>
          </w:p>
          <w:tbl>
            <w:tblPr>
              <w:tblStyle w:val="31"/>
              <w:tblW w:w="86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1059"/>
              <w:gridCol w:w="1243"/>
              <w:gridCol w:w="940"/>
              <w:gridCol w:w="1216"/>
              <w:gridCol w:w="1098"/>
              <w:gridCol w:w="1209"/>
              <w:gridCol w:w="990"/>
            </w:tblGrid>
            <w:tr w14:paraId="1258E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940" w:type="dxa"/>
                  <w:vMerge w:val="restart"/>
                  <w:vAlign w:val="center"/>
                </w:tcPr>
                <w:p w14:paraId="7C2FCDF9">
                  <w:pPr>
                    <w:adjustRightInd w:val="0"/>
                    <w:snapToGrid w:val="0"/>
                    <w:jc w:val="center"/>
                    <w:rPr>
                      <w:color w:val="auto"/>
                      <w:szCs w:val="21"/>
                    </w:rPr>
                  </w:pPr>
                  <w:r>
                    <w:rPr>
                      <w:color w:val="auto"/>
                      <w:szCs w:val="21"/>
                    </w:rPr>
                    <w:t>污水量</w:t>
                  </w:r>
                </w:p>
                <w:p w14:paraId="50FDC8AF">
                  <w:pPr>
                    <w:adjustRightInd w:val="0"/>
                    <w:snapToGrid w:val="0"/>
                    <w:jc w:val="center"/>
                    <w:rPr>
                      <w:color w:val="auto"/>
                      <w:szCs w:val="21"/>
                    </w:rPr>
                  </w:pPr>
                  <w:r>
                    <w:rPr>
                      <w:color w:val="auto"/>
                      <w:szCs w:val="21"/>
                    </w:rPr>
                    <w:t>（t/a）</w:t>
                  </w:r>
                </w:p>
              </w:tc>
              <w:tc>
                <w:tcPr>
                  <w:tcW w:w="1059" w:type="dxa"/>
                  <w:vMerge w:val="restart"/>
                  <w:vAlign w:val="center"/>
                </w:tcPr>
                <w:p w14:paraId="3308CBE6">
                  <w:pPr>
                    <w:adjustRightInd w:val="0"/>
                    <w:snapToGrid w:val="0"/>
                    <w:jc w:val="center"/>
                    <w:rPr>
                      <w:color w:val="auto"/>
                      <w:szCs w:val="21"/>
                    </w:rPr>
                  </w:pPr>
                  <w:r>
                    <w:rPr>
                      <w:color w:val="auto"/>
                      <w:szCs w:val="21"/>
                    </w:rPr>
                    <w:t>污染物名称</w:t>
                  </w:r>
                </w:p>
              </w:tc>
              <w:tc>
                <w:tcPr>
                  <w:tcW w:w="2183" w:type="dxa"/>
                  <w:gridSpan w:val="2"/>
                  <w:vAlign w:val="center"/>
                </w:tcPr>
                <w:p w14:paraId="738306BA">
                  <w:pPr>
                    <w:widowControl/>
                    <w:jc w:val="center"/>
                    <w:textAlignment w:val="center"/>
                    <w:rPr>
                      <w:color w:val="auto"/>
                      <w:szCs w:val="21"/>
                    </w:rPr>
                  </w:pPr>
                  <w:r>
                    <w:rPr>
                      <w:color w:val="auto"/>
                      <w:szCs w:val="21"/>
                    </w:rPr>
                    <w:t>产生水质</w:t>
                  </w:r>
                </w:p>
              </w:tc>
              <w:tc>
                <w:tcPr>
                  <w:tcW w:w="2314" w:type="dxa"/>
                  <w:gridSpan w:val="2"/>
                  <w:vAlign w:val="center"/>
                </w:tcPr>
                <w:p w14:paraId="04A5F50D">
                  <w:pPr>
                    <w:widowControl/>
                    <w:jc w:val="center"/>
                    <w:textAlignment w:val="center"/>
                    <w:rPr>
                      <w:color w:val="auto"/>
                      <w:szCs w:val="21"/>
                    </w:rPr>
                  </w:pPr>
                  <w:r>
                    <w:rPr>
                      <w:color w:val="auto"/>
                      <w:szCs w:val="21"/>
                    </w:rPr>
                    <w:t>化粪池预处理后水质</w:t>
                  </w:r>
                </w:p>
              </w:tc>
              <w:tc>
                <w:tcPr>
                  <w:tcW w:w="2199" w:type="dxa"/>
                  <w:gridSpan w:val="2"/>
                  <w:vAlign w:val="center"/>
                </w:tcPr>
                <w:p w14:paraId="6DB6A15A">
                  <w:pPr>
                    <w:widowControl/>
                    <w:jc w:val="center"/>
                    <w:textAlignment w:val="center"/>
                    <w:rPr>
                      <w:color w:val="auto"/>
                      <w:szCs w:val="21"/>
                    </w:rPr>
                  </w:pPr>
                  <w:r>
                    <w:rPr>
                      <w:color w:val="auto"/>
                      <w:szCs w:val="21"/>
                    </w:rPr>
                    <w:t>湘潭县第一污水处理厂处理后排放水质</w:t>
                  </w:r>
                </w:p>
              </w:tc>
            </w:tr>
            <w:tr w14:paraId="31C58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940" w:type="dxa"/>
                  <w:vMerge w:val="continue"/>
                  <w:vAlign w:val="center"/>
                </w:tcPr>
                <w:p w14:paraId="78473771">
                  <w:pPr>
                    <w:adjustRightInd w:val="0"/>
                    <w:snapToGrid w:val="0"/>
                    <w:jc w:val="center"/>
                    <w:rPr>
                      <w:color w:val="auto"/>
                      <w:szCs w:val="21"/>
                    </w:rPr>
                  </w:pPr>
                </w:p>
              </w:tc>
              <w:tc>
                <w:tcPr>
                  <w:tcW w:w="1059" w:type="dxa"/>
                  <w:vMerge w:val="continue"/>
                  <w:vAlign w:val="center"/>
                </w:tcPr>
                <w:p w14:paraId="5F26E7C7">
                  <w:pPr>
                    <w:adjustRightInd w:val="0"/>
                    <w:snapToGrid w:val="0"/>
                    <w:jc w:val="center"/>
                    <w:rPr>
                      <w:color w:val="auto"/>
                      <w:szCs w:val="21"/>
                    </w:rPr>
                  </w:pPr>
                </w:p>
              </w:tc>
              <w:tc>
                <w:tcPr>
                  <w:tcW w:w="1243" w:type="dxa"/>
                  <w:vAlign w:val="center"/>
                </w:tcPr>
                <w:p w14:paraId="7296B5B3">
                  <w:pPr>
                    <w:widowControl/>
                    <w:jc w:val="center"/>
                    <w:textAlignment w:val="center"/>
                    <w:rPr>
                      <w:color w:val="auto"/>
                      <w:szCs w:val="21"/>
                    </w:rPr>
                  </w:pPr>
                  <w:r>
                    <w:rPr>
                      <w:color w:val="auto"/>
                      <w:szCs w:val="21"/>
                    </w:rPr>
                    <w:t>产生浓度（mg/L）</w:t>
                  </w:r>
                </w:p>
              </w:tc>
              <w:tc>
                <w:tcPr>
                  <w:tcW w:w="940" w:type="dxa"/>
                  <w:vAlign w:val="center"/>
                </w:tcPr>
                <w:p w14:paraId="1AC59043">
                  <w:pPr>
                    <w:widowControl/>
                    <w:jc w:val="center"/>
                    <w:textAlignment w:val="center"/>
                    <w:rPr>
                      <w:color w:val="auto"/>
                      <w:szCs w:val="21"/>
                    </w:rPr>
                  </w:pPr>
                  <w:r>
                    <w:rPr>
                      <w:color w:val="auto"/>
                      <w:szCs w:val="21"/>
                    </w:rPr>
                    <w:t>产生量</w:t>
                  </w:r>
                </w:p>
                <w:p w14:paraId="283C141D">
                  <w:pPr>
                    <w:widowControl/>
                    <w:jc w:val="center"/>
                    <w:textAlignment w:val="center"/>
                    <w:rPr>
                      <w:color w:val="auto"/>
                      <w:szCs w:val="21"/>
                    </w:rPr>
                  </w:pPr>
                  <w:r>
                    <w:rPr>
                      <w:color w:val="auto"/>
                      <w:szCs w:val="21"/>
                    </w:rPr>
                    <w:t>（t/a）</w:t>
                  </w:r>
                </w:p>
              </w:tc>
              <w:tc>
                <w:tcPr>
                  <w:tcW w:w="1216" w:type="dxa"/>
                  <w:vAlign w:val="center"/>
                </w:tcPr>
                <w:p w14:paraId="23DC51BC">
                  <w:pPr>
                    <w:widowControl/>
                    <w:jc w:val="center"/>
                    <w:textAlignment w:val="center"/>
                    <w:rPr>
                      <w:color w:val="auto"/>
                      <w:szCs w:val="21"/>
                    </w:rPr>
                  </w:pPr>
                  <w:r>
                    <w:rPr>
                      <w:color w:val="auto"/>
                      <w:szCs w:val="21"/>
                    </w:rPr>
                    <w:t>排放浓度（mg/L）</w:t>
                  </w:r>
                </w:p>
              </w:tc>
              <w:tc>
                <w:tcPr>
                  <w:tcW w:w="1098" w:type="dxa"/>
                  <w:vAlign w:val="center"/>
                </w:tcPr>
                <w:p w14:paraId="563871C9">
                  <w:pPr>
                    <w:widowControl/>
                    <w:jc w:val="center"/>
                    <w:textAlignment w:val="center"/>
                    <w:rPr>
                      <w:color w:val="auto"/>
                      <w:szCs w:val="21"/>
                    </w:rPr>
                  </w:pPr>
                  <w:r>
                    <w:rPr>
                      <w:color w:val="auto"/>
                      <w:szCs w:val="21"/>
                    </w:rPr>
                    <w:t>排放量</w:t>
                  </w:r>
                </w:p>
                <w:p w14:paraId="4E7219B7">
                  <w:pPr>
                    <w:widowControl/>
                    <w:jc w:val="center"/>
                    <w:textAlignment w:val="center"/>
                    <w:rPr>
                      <w:color w:val="auto"/>
                      <w:szCs w:val="21"/>
                    </w:rPr>
                  </w:pPr>
                  <w:r>
                    <w:rPr>
                      <w:color w:val="auto"/>
                      <w:szCs w:val="21"/>
                    </w:rPr>
                    <w:t>（t/a）</w:t>
                  </w:r>
                </w:p>
              </w:tc>
              <w:tc>
                <w:tcPr>
                  <w:tcW w:w="1209" w:type="dxa"/>
                  <w:vAlign w:val="center"/>
                </w:tcPr>
                <w:p w14:paraId="0A515853">
                  <w:pPr>
                    <w:widowControl/>
                    <w:jc w:val="center"/>
                    <w:textAlignment w:val="center"/>
                    <w:rPr>
                      <w:color w:val="auto"/>
                      <w:szCs w:val="21"/>
                    </w:rPr>
                  </w:pPr>
                  <w:r>
                    <w:rPr>
                      <w:color w:val="auto"/>
                      <w:szCs w:val="21"/>
                    </w:rPr>
                    <w:t>排放浓度（mg/L）</w:t>
                  </w:r>
                </w:p>
              </w:tc>
              <w:tc>
                <w:tcPr>
                  <w:tcW w:w="990" w:type="dxa"/>
                  <w:vAlign w:val="center"/>
                </w:tcPr>
                <w:p w14:paraId="6DB62FA2">
                  <w:pPr>
                    <w:widowControl/>
                    <w:jc w:val="center"/>
                    <w:textAlignment w:val="center"/>
                    <w:rPr>
                      <w:color w:val="auto"/>
                      <w:szCs w:val="21"/>
                    </w:rPr>
                  </w:pPr>
                  <w:r>
                    <w:rPr>
                      <w:color w:val="auto"/>
                      <w:szCs w:val="21"/>
                    </w:rPr>
                    <w:t>排放量</w:t>
                  </w:r>
                </w:p>
                <w:p w14:paraId="014E3EA2">
                  <w:pPr>
                    <w:widowControl/>
                    <w:jc w:val="center"/>
                    <w:textAlignment w:val="center"/>
                    <w:rPr>
                      <w:color w:val="auto"/>
                      <w:szCs w:val="21"/>
                    </w:rPr>
                  </w:pPr>
                  <w:r>
                    <w:rPr>
                      <w:color w:val="auto"/>
                      <w:szCs w:val="21"/>
                    </w:rPr>
                    <w:t>（t/a）</w:t>
                  </w:r>
                </w:p>
              </w:tc>
            </w:tr>
            <w:tr w14:paraId="43B50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940" w:type="dxa"/>
                  <w:vMerge w:val="restart"/>
                  <w:vAlign w:val="center"/>
                </w:tcPr>
                <w:p w14:paraId="029F13C2">
                  <w:pPr>
                    <w:adjustRightInd w:val="0"/>
                    <w:snapToGrid w:val="0"/>
                    <w:jc w:val="center"/>
                    <w:rPr>
                      <w:color w:val="auto"/>
                      <w:szCs w:val="21"/>
                    </w:rPr>
                  </w:pPr>
                  <w:r>
                    <w:rPr>
                      <w:color w:val="auto"/>
                      <w:szCs w:val="21"/>
                    </w:rPr>
                    <w:t>生活污水</w:t>
                  </w:r>
                </w:p>
                <w:p w14:paraId="2BC5B90E">
                  <w:pPr>
                    <w:adjustRightInd w:val="0"/>
                    <w:snapToGrid w:val="0"/>
                    <w:jc w:val="center"/>
                    <w:rPr>
                      <w:color w:val="auto"/>
                      <w:szCs w:val="21"/>
                    </w:rPr>
                  </w:pPr>
                  <w:r>
                    <w:rPr>
                      <w:rFonts w:hint="eastAsia"/>
                      <w:color w:val="auto"/>
                      <w:szCs w:val="21"/>
                    </w:rPr>
                    <w:t>300</w:t>
                  </w:r>
                </w:p>
              </w:tc>
              <w:tc>
                <w:tcPr>
                  <w:tcW w:w="1059" w:type="dxa"/>
                  <w:vAlign w:val="center"/>
                </w:tcPr>
                <w:p w14:paraId="5B59196D">
                  <w:pPr>
                    <w:adjustRightInd w:val="0"/>
                    <w:snapToGrid w:val="0"/>
                    <w:jc w:val="center"/>
                    <w:rPr>
                      <w:color w:val="auto"/>
                      <w:szCs w:val="21"/>
                    </w:rPr>
                  </w:pPr>
                  <w:r>
                    <w:rPr>
                      <w:color w:val="auto"/>
                      <w:szCs w:val="21"/>
                    </w:rPr>
                    <w:t>COD</w:t>
                  </w:r>
                </w:p>
              </w:tc>
              <w:tc>
                <w:tcPr>
                  <w:tcW w:w="1243" w:type="dxa"/>
                  <w:vAlign w:val="center"/>
                </w:tcPr>
                <w:p w14:paraId="043160CD">
                  <w:pPr>
                    <w:widowControl/>
                    <w:jc w:val="center"/>
                    <w:textAlignment w:val="center"/>
                    <w:rPr>
                      <w:color w:val="auto"/>
                      <w:szCs w:val="21"/>
                    </w:rPr>
                  </w:pPr>
                  <w:r>
                    <w:rPr>
                      <w:color w:val="auto"/>
                      <w:szCs w:val="21"/>
                    </w:rPr>
                    <w:t>280</w:t>
                  </w:r>
                </w:p>
              </w:tc>
              <w:tc>
                <w:tcPr>
                  <w:tcW w:w="940" w:type="dxa"/>
                  <w:vAlign w:val="center"/>
                </w:tcPr>
                <w:p w14:paraId="755B4D5E">
                  <w:pPr>
                    <w:widowControl/>
                    <w:jc w:val="center"/>
                    <w:textAlignment w:val="center"/>
                    <w:rPr>
                      <w:color w:val="auto"/>
                      <w:szCs w:val="21"/>
                    </w:rPr>
                  </w:pPr>
                  <w:r>
                    <w:rPr>
                      <w:color w:val="auto"/>
                      <w:szCs w:val="21"/>
                    </w:rPr>
                    <w:t>0.</w:t>
                  </w:r>
                  <w:r>
                    <w:rPr>
                      <w:rFonts w:hint="eastAsia"/>
                      <w:color w:val="auto"/>
                      <w:szCs w:val="21"/>
                    </w:rPr>
                    <w:t>084</w:t>
                  </w:r>
                </w:p>
              </w:tc>
              <w:tc>
                <w:tcPr>
                  <w:tcW w:w="1216" w:type="dxa"/>
                  <w:vAlign w:val="center"/>
                </w:tcPr>
                <w:p w14:paraId="4AB4187E">
                  <w:pPr>
                    <w:widowControl/>
                    <w:jc w:val="center"/>
                    <w:textAlignment w:val="center"/>
                    <w:rPr>
                      <w:color w:val="auto"/>
                      <w:szCs w:val="21"/>
                    </w:rPr>
                  </w:pPr>
                  <w:r>
                    <w:rPr>
                      <w:rFonts w:hint="eastAsia"/>
                      <w:color w:val="auto"/>
                      <w:szCs w:val="21"/>
                    </w:rPr>
                    <w:t>25</w:t>
                  </w:r>
                  <w:r>
                    <w:rPr>
                      <w:color w:val="auto"/>
                      <w:szCs w:val="21"/>
                    </w:rPr>
                    <w:t>0</w:t>
                  </w:r>
                </w:p>
              </w:tc>
              <w:tc>
                <w:tcPr>
                  <w:tcW w:w="1098" w:type="dxa"/>
                  <w:vAlign w:val="center"/>
                </w:tcPr>
                <w:p w14:paraId="7A1C71A9">
                  <w:pPr>
                    <w:widowControl/>
                    <w:jc w:val="center"/>
                    <w:textAlignment w:val="center"/>
                    <w:rPr>
                      <w:color w:val="auto"/>
                      <w:szCs w:val="21"/>
                    </w:rPr>
                  </w:pPr>
                  <w:r>
                    <w:rPr>
                      <w:color w:val="auto"/>
                      <w:szCs w:val="21"/>
                    </w:rPr>
                    <w:t>0.07</w:t>
                  </w:r>
                  <w:r>
                    <w:rPr>
                      <w:rFonts w:hint="eastAsia"/>
                      <w:color w:val="auto"/>
                      <w:szCs w:val="21"/>
                    </w:rPr>
                    <w:t>5</w:t>
                  </w:r>
                </w:p>
              </w:tc>
              <w:tc>
                <w:tcPr>
                  <w:tcW w:w="1209" w:type="dxa"/>
                  <w:vAlign w:val="center"/>
                </w:tcPr>
                <w:p w14:paraId="30416312">
                  <w:pPr>
                    <w:widowControl/>
                    <w:jc w:val="center"/>
                    <w:textAlignment w:val="center"/>
                    <w:rPr>
                      <w:color w:val="auto"/>
                      <w:szCs w:val="21"/>
                    </w:rPr>
                  </w:pPr>
                  <w:r>
                    <w:rPr>
                      <w:color w:val="auto"/>
                      <w:szCs w:val="21"/>
                    </w:rPr>
                    <w:t>50</w:t>
                  </w:r>
                </w:p>
              </w:tc>
              <w:tc>
                <w:tcPr>
                  <w:tcW w:w="990" w:type="dxa"/>
                  <w:vAlign w:val="center"/>
                </w:tcPr>
                <w:p w14:paraId="57827AFC">
                  <w:pPr>
                    <w:widowControl/>
                    <w:jc w:val="center"/>
                    <w:textAlignment w:val="center"/>
                    <w:rPr>
                      <w:color w:val="auto"/>
                      <w:szCs w:val="21"/>
                    </w:rPr>
                  </w:pPr>
                  <w:r>
                    <w:rPr>
                      <w:color w:val="auto"/>
                      <w:szCs w:val="21"/>
                    </w:rPr>
                    <w:t>0.0</w:t>
                  </w:r>
                  <w:r>
                    <w:rPr>
                      <w:rFonts w:hint="eastAsia"/>
                      <w:color w:val="auto"/>
                      <w:szCs w:val="21"/>
                    </w:rPr>
                    <w:t>15</w:t>
                  </w:r>
                  <w:r>
                    <w:rPr>
                      <w:color w:val="auto"/>
                      <w:szCs w:val="21"/>
                    </w:rPr>
                    <w:t xml:space="preserve"> </w:t>
                  </w:r>
                </w:p>
              </w:tc>
            </w:tr>
            <w:tr w14:paraId="47940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940" w:type="dxa"/>
                  <w:vMerge w:val="continue"/>
                  <w:vAlign w:val="center"/>
                </w:tcPr>
                <w:p w14:paraId="11DCFD48">
                  <w:pPr>
                    <w:adjustRightInd w:val="0"/>
                    <w:snapToGrid w:val="0"/>
                    <w:jc w:val="center"/>
                    <w:rPr>
                      <w:color w:val="auto"/>
                      <w:szCs w:val="21"/>
                    </w:rPr>
                  </w:pPr>
                </w:p>
              </w:tc>
              <w:tc>
                <w:tcPr>
                  <w:tcW w:w="1059" w:type="dxa"/>
                  <w:vAlign w:val="center"/>
                </w:tcPr>
                <w:p w14:paraId="65ED7DC8">
                  <w:pPr>
                    <w:adjustRightInd w:val="0"/>
                    <w:snapToGrid w:val="0"/>
                    <w:jc w:val="center"/>
                    <w:rPr>
                      <w:color w:val="auto"/>
                      <w:szCs w:val="21"/>
                    </w:rPr>
                  </w:pPr>
                  <w:r>
                    <w:rPr>
                      <w:color w:val="auto"/>
                      <w:szCs w:val="21"/>
                    </w:rPr>
                    <w:t>BOD</w:t>
                  </w:r>
                  <w:r>
                    <w:rPr>
                      <w:color w:val="auto"/>
                      <w:szCs w:val="21"/>
                      <w:vertAlign w:val="subscript"/>
                    </w:rPr>
                    <w:t>5</w:t>
                  </w:r>
                </w:p>
              </w:tc>
              <w:tc>
                <w:tcPr>
                  <w:tcW w:w="1243" w:type="dxa"/>
                  <w:vAlign w:val="center"/>
                </w:tcPr>
                <w:p w14:paraId="62FF5E8F">
                  <w:pPr>
                    <w:widowControl/>
                    <w:jc w:val="center"/>
                    <w:textAlignment w:val="center"/>
                    <w:rPr>
                      <w:color w:val="auto"/>
                      <w:szCs w:val="21"/>
                    </w:rPr>
                  </w:pPr>
                  <w:r>
                    <w:rPr>
                      <w:color w:val="auto"/>
                      <w:szCs w:val="21"/>
                    </w:rPr>
                    <w:t>160</w:t>
                  </w:r>
                </w:p>
              </w:tc>
              <w:tc>
                <w:tcPr>
                  <w:tcW w:w="940" w:type="dxa"/>
                  <w:vAlign w:val="center"/>
                </w:tcPr>
                <w:p w14:paraId="79DB8C48">
                  <w:pPr>
                    <w:widowControl/>
                    <w:jc w:val="center"/>
                    <w:textAlignment w:val="center"/>
                    <w:rPr>
                      <w:color w:val="auto"/>
                      <w:szCs w:val="21"/>
                    </w:rPr>
                  </w:pPr>
                  <w:r>
                    <w:rPr>
                      <w:color w:val="auto"/>
                      <w:szCs w:val="21"/>
                    </w:rPr>
                    <w:t>0.</w:t>
                  </w:r>
                  <w:r>
                    <w:rPr>
                      <w:rFonts w:hint="eastAsia"/>
                      <w:color w:val="auto"/>
                      <w:szCs w:val="21"/>
                    </w:rPr>
                    <w:t>048</w:t>
                  </w:r>
                </w:p>
              </w:tc>
              <w:tc>
                <w:tcPr>
                  <w:tcW w:w="1216" w:type="dxa"/>
                  <w:vAlign w:val="center"/>
                </w:tcPr>
                <w:p w14:paraId="76A19B6B">
                  <w:pPr>
                    <w:widowControl/>
                    <w:jc w:val="center"/>
                    <w:textAlignment w:val="center"/>
                    <w:rPr>
                      <w:color w:val="auto"/>
                      <w:szCs w:val="21"/>
                    </w:rPr>
                  </w:pPr>
                  <w:r>
                    <w:rPr>
                      <w:rFonts w:hint="eastAsia"/>
                      <w:color w:val="auto"/>
                      <w:szCs w:val="21"/>
                    </w:rPr>
                    <w:t>12</w:t>
                  </w:r>
                  <w:r>
                    <w:rPr>
                      <w:color w:val="auto"/>
                      <w:szCs w:val="21"/>
                    </w:rPr>
                    <w:t>0</w:t>
                  </w:r>
                </w:p>
              </w:tc>
              <w:tc>
                <w:tcPr>
                  <w:tcW w:w="1098" w:type="dxa"/>
                  <w:vAlign w:val="center"/>
                </w:tcPr>
                <w:p w14:paraId="30D43C0D">
                  <w:pPr>
                    <w:widowControl/>
                    <w:jc w:val="center"/>
                    <w:textAlignment w:val="center"/>
                    <w:rPr>
                      <w:color w:val="auto"/>
                      <w:szCs w:val="21"/>
                    </w:rPr>
                  </w:pPr>
                  <w:r>
                    <w:rPr>
                      <w:color w:val="auto"/>
                      <w:szCs w:val="21"/>
                    </w:rPr>
                    <w:t>0.03</w:t>
                  </w:r>
                  <w:r>
                    <w:rPr>
                      <w:rFonts w:hint="eastAsia"/>
                      <w:color w:val="auto"/>
                      <w:szCs w:val="21"/>
                    </w:rPr>
                    <w:t>6</w:t>
                  </w:r>
                  <w:r>
                    <w:rPr>
                      <w:color w:val="auto"/>
                      <w:szCs w:val="21"/>
                    </w:rPr>
                    <w:t xml:space="preserve"> </w:t>
                  </w:r>
                </w:p>
              </w:tc>
              <w:tc>
                <w:tcPr>
                  <w:tcW w:w="1209" w:type="dxa"/>
                  <w:vAlign w:val="center"/>
                </w:tcPr>
                <w:p w14:paraId="59109304">
                  <w:pPr>
                    <w:widowControl/>
                    <w:jc w:val="center"/>
                    <w:textAlignment w:val="center"/>
                    <w:rPr>
                      <w:color w:val="auto"/>
                      <w:szCs w:val="21"/>
                    </w:rPr>
                  </w:pPr>
                  <w:r>
                    <w:rPr>
                      <w:color w:val="auto"/>
                      <w:szCs w:val="21"/>
                    </w:rPr>
                    <w:t>10</w:t>
                  </w:r>
                </w:p>
              </w:tc>
              <w:tc>
                <w:tcPr>
                  <w:tcW w:w="990" w:type="dxa"/>
                  <w:vAlign w:val="center"/>
                </w:tcPr>
                <w:p w14:paraId="6BE4E78D">
                  <w:pPr>
                    <w:widowControl/>
                    <w:jc w:val="center"/>
                    <w:textAlignment w:val="center"/>
                    <w:rPr>
                      <w:color w:val="auto"/>
                      <w:szCs w:val="21"/>
                    </w:rPr>
                  </w:pPr>
                  <w:r>
                    <w:rPr>
                      <w:color w:val="auto"/>
                      <w:szCs w:val="21"/>
                    </w:rPr>
                    <w:t>0.00</w:t>
                  </w:r>
                  <w:r>
                    <w:rPr>
                      <w:rFonts w:hint="eastAsia"/>
                      <w:color w:val="auto"/>
                      <w:szCs w:val="21"/>
                    </w:rPr>
                    <w:t>3</w:t>
                  </w:r>
                </w:p>
              </w:tc>
            </w:tr>
            <w:tr w14:paraId="7BC82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940" w:type="dxa"/>
                  <w:vMerge w:val="continue"/>
                  <w:vAlign w:val="center"/>
                </w:tcPr>
                <w:p w14:paraId="1551877C">
                  <w:pPr>
                    <w:adjustRightInd w:val="0"/>
                    <w:snapToGrid w:val="0"/>
                    <w:jc w:val="center"/>
                    <w:rPr>
                      <w:color w:val="auto"/>
                      <w:szCs w:val="21"/>
                    </w:rPr>
                  </w:pPr>
                </w:p>
              </w:tc>
              <w:tc>
                <w:tcPr>
                  <w:tcW w:w="1059" w:type="dxa"/>
                  <w:vAlign w:val="center"/>
                </w:tcPr>
                <w:p w14:paraId="73C76AD3">
                  <w:pPr>
                    <w:adjustRightInd w:val="0"/>
                    <w:snapToGrid w:val="0"/>
                    <w:jc w:val="center"/>
                    <w:rPr>
                      <w:color w:val="auto"/>
                      <w:szCs w:val="21"/>
                    </w:rPr>
                  </w:pPr>
                  <w:r>
                    <w:rPr>
                      <w:color w:val="auto"/>
                      <w:szCs w:val="21"/>
                    </w:rPr>
                    <w:t>SS</w:t>
                  </w:r>
                </w:p>
              </w:tc>
              <w:tc>
                <w:tcPr>
                  <w:tcW w:w="1243" w:type="dxa"/>
                  <w:vAlign w:val="center"/>
                </w:tcPr>
                <w:p w14:paraId="445A0522">
                  <w:pPr>
                    <w:widowControl/>
                    <w:jc w:val="center"/>
                    <w:textAlignment w:val="center"/>
                    <w:rPr>
                      <w:color w:val="auto"/>
                      <w:szCs w:val="21"/>
                    </w:rPr>
                  </w:pPr>
                  <w:r>
                    <w:rPr>
                      <w:color w:val="auto"/>
                      <w:szCs w:val="21"/>
                    </w:rPr>
                    <w:t>150</w:t>
                  </w:r>
                </w:p>
              </w:tc>
              <w:tc>
                <w:tcPr>
                  <w:tcW w:w="940" w:type="dxa"/>
                  <w:vAlign w:val="center"/>
                </w:tcPr>
                <w:p w14:paraId="4C83B328">
                  <w:pPr>
                    <w:widowControl/>
                    <w:jc w:val="center"/>
                    <w:textAlignment w:val="center"/>
                    <w:rPr>
                      <w:color w:val="auto"/>
                      <w:szCs w:val="21"/>
                    </w:rPr>
                  </w:pPr>
                  <w:r>
                    <w:rPr>
                      <w:color w:val="auto"/>
                      <w:szCs w:val="21"/>
                    </w:rPr>
                    <w:t>0.</w:t>
                  </w:r>
                  <w:r>
                    <w:rPr>
                      <w:rFonts w:hint="eastAsia"/>
                      <w:color w:val="auto"/>
                      <w:szCs w:val="21"/>
                    </w:rPr>
                    <w:t>04</w:t>
                  </w:r>
                  <w:r>
                    <w:rPr>
                      <w:color w:val="auto"/>
                      <w:szCs w:val="21"/>
                    </w:rPr>
                    <w:t xml:space="preserve">5 </w:t>
                  </w:r>
                </w:p>
              </w:tc>
              <w:tc>
                <w:tcPr>
                  <w:tcW w:w="1216" w:type="dxa"/>
                  <w:vAlign w:val="center"/>
                </w:tcPr>
                <w:p w14:paraId="737CDC25">
                  <w:pPr>
                    <w:widowControl/>
                    <w:jc w:val="center"/>
                    <w:textAlignment w:val="center"/>
                    <w:rPr>
                      <w:color w:val="auto"/>
                      <w:szCs w:val="21"/>
                    </w:rPr>
                  </w:pPr>
                  <w:r>
                    <w:rPr>
                      <w:rFonts w:hint="eastAsia"/>
                      <w:color w:val="auto"/>
                      <w:szCs w:val="21"/>
                    </w:rPr>
                    <w:t>10</w:t>
                  </w:r>
                  <w:r>
                    <w:rPr>
                      <w:color w:val="auto"/>
                      <w:szCs w:val="21"/>
                    </w:rPr>
                    <w:t>0</w:t>
                  </w:r>
                </w:p>
              </w:tc>
              <w:tc>
                <w:tcPr>
                  <w:tcW w:w="1098" w:type="dxa"/>
                  <w:vAlign w:val="center"/>
                </w:tcPr>
                <w:p w14:paraId="181676BF">
                  <w:pPr>
                    <w:widowControl/>
                    <w:jc w:val="center"/>
                    <w:textAlignment w:val="center"/>
                    <w:rPr>
                      <w:color w:val="auto"/>
                      <w:szCs w:val="21"/>
                    </w:rPr>
                  </w:pPr>
                  <w:r>
                    <w:rPr>
                      <w:color w:val="auto"/>
                      <w:szCs w:val="21"/>
                    </w:rPr>
                    <w:t>0.0</w:t>
                  </w:r>
                  <w:r>
                    <w:rPr>
                      <w:rFonts w:hint="eastAsia"/>
                      <w:color w:val="auto"/>
                      <w:szCs w:val="21"/>
                    </w:rPr>
                    <w:t>30</w:t>
                  </w:r>
                  <w:r>
                    <w:rPr>
                      <w:color w:val="auto"/>
                      <w:szCs w:val="21"/>
                    </w:rPr>
                    <w:t xml:space="preserve"> </w:t>
                  </w:r>
                </w:p>
              </w:tc>
              <w:tc>
                <w:tcPr>
                  <w:tcW w:w="1209" w:type="dxa"/>
                  <w:vAlign w:val="center"/>
                </w:tcPr>
                <w:p w14:paraId="30D6483E">
                  <w:pPr>
                    <w:widowControl/>
                    <w:jc w:val="center"/>
                    <w:textAlignment w:val="center"/>
                    <w:rPr>
                      <w:color w:val="auto"/>
                      <w:szCs w:val="21"/>
                    </w:rPr>
                  </w:pPr>
                  <w:r>
                    <w:rPr>
                      <w:color w:val="auto"/>
                      <w:szCs w:val="21"/>
                    </w:rPr>
                    <w:t>10</w:t>
                  </w:r>
                </w:p>
              </w:tc>
              <w:tc>
                <w:tcPr>
                  <w:tcW w:w="990" w:type="dxa"/>
                  <w:vAlign w:val="center"/>
                </w:tcPr>
                <w:p w14:paraId="279E379C">
                  <w:pPr>
                    <w:widowControl/>
                    <w:jc w:val="center"/>
                    <w:textAlignment w:val="center"/>
                    <w:rPr>
                      <w:color w:val="auto"/>
                      <w:szCs w:val="21"/>
                    </w:rPr>
                  </w:pPr>
                  <w:r>
                    <w:rPr>
                      <w:color w:val="auto"/>
                      <w:szCs w:val="21"/>
                    </w:rPr>
                    <w:t>0.00</w:t>
                  </w:r>
                  <w:r>
                    <w:rPr>
                      <w:rFonts w:hint="eastAsia"/>
                      <w:color w:val="auto"/>
                      <w:szCs w:val="21"/>
                    </w:rPr>
                    <w:t>3</w:t>
                  </w:r>
                  <w:r>
                    <w:rPr>
                      <w:color w:val="auto"/>
                      <w:szCs w:val="21"/>
                    </w:rPr>
                    <w:t xml:space="preserve"> </w:t>
                  </w:r>
                </w:p>
              </w:tc>
            </w:tr>
            <w:tr w14:paraId="3CE42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940" w:type="dxa"/>
                  <w:vMerge w:val="continue"/>
                  <w:vAlign w:val="center"/>
                </w:tcPr>
                <w:p w14:paraId="47B1972E">
                  <w:pPr>
                    <w:adjustRightInd w:val="0"/>
                    <w:snapToGrid w:val="0"/>
                    <w:jc w:val="center"/>
                    <w:rPr>
                      <w:color w:val="auto"/>
                      <w:szCs w:val="21"/>
                    </w:rPr>
                  </w:pPr>
                </w:p>
              </w:tc>
              <w:tc>
                <w:tcPr>
                  <w:tcW w:w="1059" w:type="dxa"/>
                  <w:vAlign w:val="center"/>
                </w:tcPr>
                <w:p w14:paraId="03019941">
                  <w:pPr>
                    <w:adjustRightInd w:val="0"/>
                    <w:snapToGrid w:val="0"/>
                    <w:jc w:val="center"/>
                    <w:rPr>
                      <w:color w:val="auto"/>
                      <w:szCs w:val="21"/>
                    </w:rPr>
                  </w:pPr>
                  <w:r>
                    <w:rPr>
                      <w:color w:val="auto"/>
                      <w:szCs w:val="21"/>
                    </w:rPr>
                    <w:t>NH</w:t>
                  </w:r>
                  <w:r>
                    <w:rPr>
                      <w:color w:val="auto"/>
                      <w:szCs w:val="21"/>
                      <w:vertAlign w:val="subscript"/>
                    </w:rPr>
                    <w:t>3</w:t>
                  </w:r>
                  <w:r>
                    <w:rPr>
                      <w:color w:val="auto"/>
                      <w:szCs w:val="21"/>
                    </w:rPr>
                    <w:t>-N</w:t>
                  </w:r>
                </w:p>
              </w:tc>
              <w:tc>
                <w:tcPr>
                  <w:tcW w:w="1243" w:type="dxa"/>
                  <w:vAlign w:val="center"/>
                </w:tcPr>
                <w:p w14:paraId="6F610869">
                  <w:pPr>
                    <w:widowControl/>
                    <w:jc w:val="center"/>
                    <w:textAlignment w:val="center"/>
                    <w:rPr>
                      <w:color w:val="auto"/>
                      <w:szCs w:val="21"/>
                    </w:rPr>
                  </w:pPr>
                  <w:r>
                    <w:rPr>
                      <w:color w:val="auto"/>
                      <w:szCs w:val="21"/>
                    </w:rPr>
                    <w:t>30</w:t>
                  </w:r>
                </w:p>
              </w:tc>
              <w:tc>
                <w:tcPr>
                  <w:tcW w:w="940" w:type="dxa"/>
                  <w:vAlign w:val="center"/>
                </w:tcPr>
                <w:p w14:paraId="788C8E04">
                  <w:pPr>
                    <w:widowControl/>
                    <w:jc w:val="center"/>
                    <w:textAlignment w:val="center"/>
                    <w:rPr>
                      <w:color w:val="auto"/>
                      <w:szCs w:val="21"/>
                    </w:rPr>
                  </w:pPr>
                  <w:r>
                    <w:rPr>
                      <w:color w:val="auto"/>
                      <w:szCs w:val="21"/>
                    </w:rPr>
                    <w:t>0.0</w:t>
                  </w:r>
                  <w:r>
                    <w:rPr>
                      <w:rFonts w:hint="eastAsia"/>
                      <w:color w:val="auto"/>
                      <w:szCs w:val="21"/>
                    </w:rPr>
                    <w:t>09</w:t>
                  </w:r>
                  <w:r>
                    <w:rPr>
                      <w:color w:val="auto"/>
                      <w:szCs w:val="21"/>
                    </w:rPr>
                    <w:t xml:space="preserve"> </w:t>
                  </w:r>
                </w:p>
              </w:tc>
              <w:tc>
                <w:tcPr>
                  <w:tcW w:w="1216" w:type="dxa"/>
                  <w:vAlign w:val="center"/>
                </w:tcPr>
                <w:p w14:paraId="4331398C">
                  <w:pPr>
                    <w:widowControl/>
                    <w:jc w:val="center"/>
                    <w:textAlignment w:val="center"/>
                    <w:rPr>
                      <w:color w:val="auto"/>
                      <w:szCs w:val="21"/>
                    </w:rPr>
                  </w:pPr>
                  <w:r>
                    <w:rPr>
                      <w:rFonts w:hint="eastAsia"/>
                      <w:color w:val="auto"/>
                      <w:szCs w:val="21"/>
                    </w:rPr>
                    <w:t>25</w:t>
                  </w:r>
                </w:p>
              </w:tc>
              <w:tc>
                <w:tcPr>
                  <w:tcW w:w="1098" w:type="dxa"/>
                  <w:vAlign w:val="center"/>
                </w:tcPr>
                <w:p w14:paraId="527980B5">
                  <w:pPr>
                    <w:widowControl/>
                    <w:jc w:val="center"/>
                    <w:textAlignment w:val="center"/>
                    <w:rPr>
                      <w:color w:val="auto"/>
                      <w:szCs w:val="21"/>
                    </w:rPr>
                  </w:pPr>
                  <w:r>
                    <w:rPr>
                      <w:color w:val="auto"/>
                      <w:szCs w:val="21"/>
                    </w:rPr>
                    <w:t>0.0</w:t>
                  </w:r>
                  <w:r>
                    <w:rPr>
                      <w:rFonts w:hint="eastAsia"/>
                      <w:color w:val="auto"/>
                      <w:szCs w:val="21"/>
                    </w:rPr>
                    <w:t>08</w:t>
                  </w:r>
                </w:p>
              </w:tc>
              <w:tc>
                <w:tcPr>
                  <w:tcW w:w="1209" w:type="dxa"/>
                  <w:vAlign w:val="center"/>
                </w:tcPr>
                <w:p w14:paraId="1A4B7939">
                  <w:pPr>
                    <w:widowControl/>
                    <w:jc w:val="center"/>
                    <w:textAlignment w:val="center"/>
                    <w:rPr>
                      <w:color w:val="auto"/>
                      <w:szCs w:val="21"/>
                    </w:rPr>
                  </w:pPr>
                  <w:r>
                    <w:rPr>
                      <w:color w:val="auto"/>
                      <w:szCs w:val="21"/>
                    </w:rPr>
                    <w:t>5</w:t>
                  </w:r>
                </w:p>
              </w:tc>
              <w:tc>
                <w:tcPr>
                  <w:tcW w:w="990" w:type="dxa"/>
                  <w:vAlign w:val="center"/>
                </w:tcPr>
                <w:p w14:paraId="5C762E89">
                  <w:pPr>
                    <w:widowControl/>
                    <w:jc w:val="center"/>
                    <w:textAlignment w:val="center"/>
                    <w:rPr>
                      <w:color w:val="auto"/>
                      <w:szCs w:val="21"/>
                    </w:rPr>
                  </w:pPr>
                  <w:r>
                    <w:rPr>
                      <w:color w:val="auto"/>
                      <w:szCs w:val="21"/>
                    </w:rPr>
                    <w:t>0.00</w:t>
                  </w:r>
                  <w:r>
                    <w:rPr>
                      <w:rFonts w:hint="eastAsia"/>
                      <w:color w:val="auto"/>
                      <w:szCs w:val="21"/>
                    </w:rPr>
                    <w:t>2</w:t>
                  </w:r>
                </w:p>
              </w:tc>
            </w:tr>
          </w:tbl>
          <w:p w14:paraId="186FCA8F">
            <w:pPr>
              <w:pStyle w:val="6"/>
              <w:numPr>
                <w:ilvl w:val="4"/>
                <w:numId w:val="0"/>
              </w:numPr>
              <w:tabs>
                <w:tab w:val="left" w:pos="420"/>
              </w:tabs>
              <w:spacing w:before="72" w:after="48"/>
              <w:ind w:left="420" w:leftChars="200"/>
              <w:rPr>
                <w:rFonts w:ascii="Times New Roman" w:hAnsi="Times New Roman"/>
                <w:color w:val="auto"/>
                <w:kern w:val="0"/>
                <w:sz w:val="21"/>
                <w:szCs w:val="21"/>
              </w:rPr>
            </w:pPr>
            <w:r>
              <w:rPr>
                <w:rFonts w:hint="eastAsia" w:ascii="Times New Roman" w:hAnsi="Times New Roman"/>
                <w:color w:val="auto"/>
                <w:kern w:val="0"/>
                <w:sz w:val="21"/>
                <w:szCs w:val="21"/>
              </w:rPr>
              <w:t>表4</w:t>
            </w:r>
            <w:r>
              <w:rPr>
                <w:rFonts w:ascii="Times New Roman" w:hAnsi="Times New Roman"/>
                <w:color w:val="auto"/>
                <w:kern w:val="0"/>
                <w:sz w:val="21"/>
                <w:szCs w:val="21"/>
              </w:rPr>
              <w:t>-</w:t>
            </w:r>
            <w:r>
              <w:rPr>
                <w:rFonts w:hint="eastAsia" w:ascii="Times New Roman" w:hAnsi="Times New Roman"/>
                <w:color w:val="auto"/>
                <w:kern w:val="0"/>
                <w:sz w:val="21"/>
                <w:szCs w:val="21"/>
              </w:rPr>
              <w:t>11</w:t>
            </w:r>
            <w:r>
              <w:rPr>
                <w:rFonts w:ascii="Times New Roman" w:hAnsi="Times New Roman"/>
                <w:color w:val="auto"/>
                <w:kern w:val="0"/>
                <w:sz w:val="21"/>
                <w:szCs w:val="21"/>
              </w:rPr>
              <w:t xml:space="preserve"> </w:t>
            </w:r>
            <w:r>
              <w:rPr>
                <w:rFonts w:hint="eastAsia" w:ascii="Times New Roman" w:hAnsi="Times New Roman"/>
                <w:color w:val="auto"/>
                <w:kern w:val="0"/>
                <w:sz w:val="21"/>
                <w:szCs w:val="21"/>
              </w:rPr>
              <w:t>生活污水污染物及污染治理设施信息表</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9"/>
              <w:gridCol w:w="480"/>
              <w:gridCol w:w="873"/>
              <w:gridCol w:w="866"/>
              <w:gridCol w:w="1563"/>
              <w:gridCol w:w="516"/>
              <w:gridCol w:w="820"/>
              <w:gridCol w:w="825"/>
              <w:gridCol w:w="885"/>
              <w:gridCol w:w="887"/>
              <w:gridCol w:w="631"/>
            </w:tblGrid>
            <w:tr w14:paraId="6F09D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5" w:type="pct"/>
                  <w:vMerge w:val="restart"/>
                  <w:tcBorders>
                    <w:bottom w:val="single" w:color="auto" w:sz="4" w:space="0"/>
                    <w:right w:val="single" w:color="auto" w:sz="4" w:space="0"/>
                  </w:tcBorders>
                  <w:vAlign w:val="center"/>
                </w:tcPr>
                <w:p w14:paraId="13BA86F3">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序号</w:t>
                  </w:r>
                </w:p>
              </w:tc>
              <w:tc>
                <w:tcPr>
                  <w:tcW w:w="273" w:type="pct"/>
                  <w:vMerge w:val="restart"/>
                  <w:tcBorders>
                    <w:left w:val="single" w:color="auto" w:sz="4" w:space="0"/>
                    <w:bottom w:val="single" w:color="auto" w:sz="4" w:space="0"/>
                    <w:right w:val="single" w:color="auto" w:sz="4" w:space="0"/>
                  </w:tcBorders>
                  <w:vAlign w:val="center"/>
                </w:tcPr>
                <w:p w14:paraId="75D7D830">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废水类别</w:t>
                  </w:r>
                </w:p>
              </w:tc>
              <w:tc>
                <w:tcPr>
                  <w:tcW w:w="496" w:type="pct"/>
                  <w:vMerge w:val="restart"/>
                  <w:tcBorders>
                    <w:left w:val="single" w:color="auto" w:sz="4" w:space="0"/>
                    <w:bottom w:val="single" w:color="auto" w:sz="4" w:space="0"/>
                    <w:right w:val="single" w:color="auto" w:sz="4" w:space="0"/>
                  </w:tcBorders>
                  <w:vAlign w:val="center"/>
                </w:tcPr>
                <w:p w14:paraId="748DA750">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污染物种类</w:t>
                  </w:r>
                </w:p>
              </w:tc>
              <w:tc>
                <w:tcPr>
                  <w:tcW w:w="492" w:type="pct"/>
                  <w:vMerge w:val="restart"/>
                  <w:tcBorders>
                    <w:left w:val="single" w:color="auto" w:sz="4" w:space="0"/>
                    <w:bottom w:val="single" w:color="auto" w:sz="4" w:space="0"/>
                    <w:right w:val="single" w:color="auto" w:sz="4" w:space="0"/>
                  </w:tcBorders>
                  <w:vAlign w:val="center"/>
                </w:tcPr>
                <w:p w14:paraId="7958AE42">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排放去向</w:t>
                  </w:r>
                </w:p>
              </w:tc>
              <w:tc>
                <w:tcPr>
                  <w:tcW w:w="888" w:type="pct"/>
                  <w:vMerge w:val="restart"/>
                  <w:tcBorders>
                    <w:left w:val="single" w:color="auto" w:sz="4" w:space="0"/>
                    <w:bottom w:val="single" w:color="auto" w:sz="4" w:space="0"/>
                    <w:right w:val="single" w:color="auto" w:sz="4" w:space="0"/>
                  </w:tcBorders>
                  <w:vAlign w:val="center"/>
                </w:tcPr>
                <w:p w14:paraId="5A22001A">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排放规律</w:t>
                  </w:r>
                </w:p>
              </w:tc>
              <w:tc>
                <w:tcPr>
                  <w:tcW w:w="1228" w:type="pct"/>
                  <w:gridSpan w:val="3"/>
                  <w:tcBorders>
                    <w:left w:val="single" w:color="auto" w:sz="4" w:space="0"/>
                    <w:bottom w:val="single" w:color="auto" w:sz="4" w:space="0"/>
                    <w:right w:val="single" w:color="auto" w:sz="4" w:space="0"/>
                  </w:tcBorders>
                  <w:vAlign w:val="center"/>
                </w:tcPr>
                <w:p w14:paraId="656AD576">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污染治理设施</w:t>
                  </w:r>
                </w:p>
              </w:tc>
              <w:tc>
                <w:tcPr>
                  <w:tcW w:w="503" w:type="pct"/>
                  <w:vMerge w:val="restart"/>
                  <w:tcBorders>
                    <w:left w:val="single" w:color="auto" w:sz="4" w:space="0"/>
                    <w:bottom w:val="single" w:color="auto" w:sz="4" w:space="0"/>
                    <w:right w:val="single" w:color="auto" w:sz="4" w:space="0"/>
                  </w:tcBorders>
                  <w:vAlign w:val="center"/>
                </w:tcPr>
                <w:p w14:paraId="4E8BFEE9">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排放口编号</w:t>
                  </w:r>
                </w:p>
              </w:tc>
              <w:tc>
                <w:tcPr>
                  <w:tcW w:w="504" w:type="pct"/>
                  <w:vMerge w:val="restart"/>
                  <w:tcBorders>
                    <w:left w:val="single" w:color="auto" w:sz="4" w:space="0"/>
                    <w:bottom w:val="single" w:color="auto" w:sz="4" w:space="0"/>
                    <w:right w:val="single" w:color="auto" w:sz="4" w:space="0"/>
                  </w:tcBorders>
                  <w:vAlign w:val="center"/>
                </w:tcPr>
                <w:p w14:paraId="6BBF11D3">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排放口设置是否符合要求</w:t>
                  </w:r>
                </w:p>
              </w:tc>
              <w:tc>
                <w:tcPr>
                  <w:tcW w:w="358" w:type="pct"/>
                  <w:vMerge w:val="restart"/>
                  <w:tcBorders>
                    <w:left w:val="single" w:color="auto" w:sz="4" w:space="0"/>
                    <w:bottom w:val="single" w:color="auto" w:sz="4" w:space="0"/>
                  </w:tcBorders>
                  <w:vAlign w:val="center"/>
                </w:tcPr>
                <w:p w14:paraId="1C1BBC0C">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排放口类型</w:t>
                  </w:r>
                </w:p>
              </w:tc>
            </w:tr>
            <w:tr w14:paraId="1DD7D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255" w:type="pct"/>
                  <w:vMerge w:val="continue"/>
                  <w:tcBorders>
                    <w:top w:val="single" w:color="auto" w:sz="12" w:space="0"/>
                    <w:bottom w:val="single" w:color="auto" w:sz="4" w:space="0"/>
                    <w:right w:val="single" w:color="auto" w:sz="4" w:space="0"/>
                  </w:tcBorders>
                  <w:vAlign w:val="center"/>
                </w:tcPr>
                <w:p w14:paraId="688403E4">
                  <w:pPr>
                    <w:rPr>
                      <w:color w:val="auto"/>
                      <w:sz w:val="20"/>
                      <w:szCs w:val="20"/>
                    </w:rPr>
                  </w:pPr>
                </w:p>
              </w:tc>
              <w:tc>
                <w:tcPr>
                  <w:tcW w:w="273" w:type="pct"/>
                  <w:vMerge w:val="continue"/>
                  <w:tcBorders>
                    <w:top w:val="single" w:color="auto" w:sz="12" w:space="0"/>
                    <w:left w:val="single" w:color="auto" w:sz="4" w:space="0"/>
                    <w:bottom w:val="single" w:color="auto" w:sz="4" w:space="0"/>
                    <w:right w:val="single" w:color="auto" w:sz="4" w:space="0"/>
                  </w:tcBorders>
                  <w:vAlign w:val="center"/>
                </w:tcPr>
                <w:p w14:paraId="2B96343F">
                  <w:pPr>
                    <w:rPr>
                      <w:color w:val="auto"/>
                      <w:sz w:val="20"/>
                      <w:szCs w:val="20"/>
                    </w:rPr>
                  </w:pPr>
                </w:p>
              </w:tc>
              <w:tc>
                <w:tcPr>
                  <w:tcW w:w="496" w:type="pct"/>
                  <w:vMerge w:val="continue"/>
                  <w:tcBorders>
                    <w:top w:val="single" w:color="auto" w:sz="12" w:space="0"/>
                    <w:left w:val="single" w:color="auto" w:sz="4" w:space="0"/>
                    <w:bottom w:val="single" w:color="auto" w:sz="4" w:space="0"/>
                    <w:right w:val="single" w:color="auto" w:sz="4" w:space="0"/>
                  </w:tcBorders>
                  <w:vAlign w:val="center"/>
                </w:tcPr>
                <w:p w14:paraId="3C5F1660">
                  <w:pPr>
                    <w:rPr>
                      <w:color w:val="auto"/>
                      <w:sz w:val="20"/>
                      <w:szCs w:val="20"/>
                    </w:rPr>
                  </w:pPr>
                </w:p>
              </w:tc>
              <w:tc>
                <w:tcPr>
                  <w:tcW w:w="492" w:type="pct"/>
                  <w:vMerge w:val="continue"/>
                  <w:tcBorders>
                    <w:top w:val="single" w:color="auto" w:sz="12" w:space="0"/>
                    <w:left w:val="single" w:color="auto" w:sz="4" w:space="0"/>
                    <w:bottom w:val="single" w:color="auto" w:sz="4" w:space="0"/>
                    <w:right w:val="single" w:color="auto" w:sz="4" w:space="0"/>
                  </w:tcBorders>
                  <w:vAlign w:val="center"/>
                </w:tcPr>
                <w:p w14:paraId="26EA3146">
                  <w:pPr>
                    <w:rPr>
                      <w:color w:val="auto"/>
                      <w:sz w:val="20"/>
                      <w:szCs w:val="20"/>
                    </w:rPr>
                  </w:pPr>
                </w:p>
              </w:tc>
              <w:tc>
                <w:tcPr>
                  <w:tcW w:w="888" w:type="pct"/>
                  <w:vMerge w:val="continue"/>
                  <w:tcBorders>
                    <w:top w:val="single" w:color="auto" w:sz="12" w:space="0"/>
                    <w:left w:val="single" w:color="auto" w:sz="4" w:space="0"/>
                    <w:bottom w:val="single" w:color="auto" w:sz="4" w:space="0"/>
                    <w:right w:val="single" w:color="auto" w:sz="4" w:space="0"/>
                  </w:tcBorders>
                  <w:vAlign w:val="center"/>
                </w:tcPr>
                <w:p w14:paraId="01712074">
                  <w:pPr>
                    <w:rPr>
                      <w:color w:val="auto"/>
                      <w:sz w:val="20"/>
                      <w:szCs w:val="20"/>
                    </w:rPr>
                  </w:pPr>
                </w:p>
              </w:tc>
              <w:tc>
                <w:tcPr>
                  <w:tcW w:w="293" w:type="pct"/>
                  <w:tcBorders>
                    <w:top w:val="single" w:color="auto" w:sz="4" w:space="0"/>
                    <w:left w:val="single" w:color="auto" w:sz="4" w:space="0"/>
                    <w:bottom w:val="single" w:color="auto" w:sz="4" w:space="0"/>
                    <w:right w:val="single" w:color="auto" w:sz="4" w:space="0"/>
                  </w:tcBorders>
                  <w:vAlign w:val="center"/>
                </w:tcPr>
                <w:p w14:paraId="6BF6A355">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编号</w:t>
                  </w:r>
                </w:p>
              </w:tc>
              <w:tc>
                <w:tcPr>
                  <w:tcW w:w="466" w:type="pct"/>
                  <w:tcBorders>
                    <w:top w:val="single" w:color="auto" w:sz="4" w:space="0"/>
                    <w:left w:val="single" w:color="auto" w:sz="4" w:space="0"/>
                    <w:bottom w:val="single" w:color="auto" w:sz="4" w:space="0"/>
                    <w:right w:val="single" w:color="auto" w:sz="4" w:space="0"/>
                  </w:tcBorders>
                  <w:vAlign w:val="center"/>
                </w:tcPr>
                <w:p w14:paraId="6FE4DFA0">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名称</w:t>
                  </w:r>
                </w:p>
              </w:tc>
              <w:tc>
                <w:tcPr>
                  <w:tcW w:w="467" w:type="pct"/>
                  <w:tcBorders>
                    <w:top w:val="single" w:color="auto" w:sz="4" w:space="0"/>
                    <w:left w:val="single" w:color="auto" w:sz="4" w:space="0"/>
                    <w:bottom w:val="single" w:color="auto" w:sz="4" w:space="0"/>
                    <w:right w:val="single" w:color="auto" w:sz="4" w:space="0"/>
                  </w:tcBorders>
                  <w:vAlign w:val="center"/>
                </w:tcPr>
                <w:p w14:paraId="3A63EA25">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工艺</w:t>
                  </w:r>
                </w:p>
              </w:tc>
              <w:tc>
                <w:tcPr>
                  <w:tcW w:w="503" w:type="pct"/>
                  <w:vMerge w:val="continue"/>
                  <w:tcBorders>
                    <w:top w:val="single" w:color="auto" w:sz="12" w:space="0"/>
                    <w:left w:val="single" w:color="auto" w:sz="4" w:space="0"/>
                    <w:bottom w:val="single" w:color="auto" w:sz="4" w:space="0"/>
                    <w:right w:val="single" w:color="auto" w:sz="4" w:space="0"/>
                  </w:tcBorders>
                  <w:vAlign w:val="center"/>
                </w:tcPr>
                <w:p w14:paraId="261A725F">
                  <w:pPr>
                    <w:rPr>
                      <w:color w:val="auto"/>
                      <w:sz w:val="20"/>
                      <w:szCs w:val="20"/>
                    </w:rPr>
                  </w:pPr>
                </w:p>
              </w:tc>
              <w:tc>
                <w:tcPr>
                  <w:tcW w:w="504" w:type="pct"/>
                  <w:vMerge w:val="continue"/>
                  <w:tcBorders>
                    <w:top w:val="single" w:color="auto" w:sz="12" w:space="0"/>
                    <w:left w:val="single" w:color="auto" w:sz="4" w:space="0"/>
                    <w:bottom w:val="single" w:color="auto" w:sz="4" w:space="0"/>
                    <w:right w:val="single" w:color="auto" w:sz="4" w:space="0"/>
                  </w:tcBorders>
                  <w:vAlign w:val="center"/>
                </w:tcPr>
                <w:p w14:paraId="5FA273B0">
                  <w:pPr>
                    <w:rPr>
                      <w:color w:val="auto"/>
                      <w:sz w:val="20"/>
                      <w:szCs w:val="20"/>
                    </w:rPr>
                  </w:pPr>
                </w:p>
              </w:tc>
              <w:tc>
                <w:tcPr>
                  <w:tcW w:w="358" w:type="pct"/>
                  <w:vMerge w:val="continue"/>
                  <w:tcBorders>
                    <w:top w:val="single" w:color="auto" w:sz="12" w:space="0"/>
                    <w:left w:val="single" w:color="auto" w:sz="4" w:space="0"/>
                    <w:bottom w:val="single" w:color="auto" w:sz="4" w:space="0"/>
                  </w:tcBorders>
                  <w:vAlign w:val="center"/>
                </w:tcPr>
                <w:p w14:paraId="763D0438">
                  <w:pPr>
                    <w:rPr>
                      <w:color w:val="auto"/>
                      <w:sz w:val="20"/>
                      <w:szCs w:val="20"/>
                    </w:rPr>
                  </w:pPr>
                </w:p>
              </w:tc>
            </w:tr>
            <w:tr w14:paraId="5C2E9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5" w:type="pct"/>
                  <w:tcBorders>
                    <w:top w:val="single" w:color="auto" w:sz="4" w:space="0"/>
                    <w:right w:val="single" w:color="auto" w:sz="4" w:space="0"/>
                  </w:tcBorders>
                  <w:vAlign w:val="center"/>
                </w:tcPr>
                <w:p w14:paraId="7D6D1B16">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1</w:t>
                  </w:r>
                </w:p>
              </w:tc>
              <w:tc>
                <w:tcPr>
                  <w:tcW w:w="273" w:type="pct"/>
                  <w:tcBorders>
                    <w:top w:val="single" w:color="auto" w:sz="4" w:space="0"/>
                    <w:left w:val="single" w:color="auto" w:sz="4" w:space="0"/>
                    <w:right w:val="single" w:color="auto" w:sz="4" w:space="0"/>
                  </w:tcBorders>
                  <w:vAlign w:val="center"/>
                </w:tcPr>
                <w:p w14:paraId="5DB520D0">
                  <w:pPr>
                    <w:autoSpaceDE w:val="0"/>
                    <w:autoSpaceDN w:val="0"/>
                    <w:adjustRightInd w:val="0"/>
                    <w:snapToGrid w:val="0"/>
                    <w:jc w:val="center"/>
                    <w:textAlignment w:val="baseline"/>
                    <w:rPr>
                      <w:color w:val="auto"/>
                      <w:kern w:val="0"/>
                      <w:szCs w:val="21"/>
                    </w:rPr>
                  </w:pPr>
                  <w:r>
                    <w:rPr>
                      <w:rFonts w:hint="eastAsia" w:cs="宋体"/>
                      <w:color w:val="auto"/>
                      <w:kern w:val="0"/>
                      <w:position w:val="-6"/>
                      <w:szCs w:val="21"/>
                      <w:lang w:bidi="ar"/>
                    </w:rPr>
                    <w:t>生活污水</w:t>
                  </w:r>
                </w:p>
              </w:tc>
              <w:tc>
                <w:tcPr>
                  <w:tcW w:w="496" w:type="pct"/>
                  <w:tcBorders>
                    <w:top w:val="single" w:color="auto" w:sz="4" w:space="0"/>
                    <w:left w:val="single" w:color="auto" w:sz="4" w:space="0"/>
                    <w:right w:val="single" w:color="auto" w:sz="4" w:space="0"/>
                  </w:tcBorders>
                  <w:vAlign w:val="center"/>
                </w:tcPr>
                <w:p w14:paraId="08B8B54A">
                  <w:pPr>
                    <w:autoSpaceDE w:val="0"/>
                    <w:autoSpaceDN w:val="0"/>
                    <w:adjustRightInd w:val="0"/>
                    <w:snapToGrid w:val="0"/>
                    <w:jc w:val="center"/>
                    <w:textAlignment w:val="baseline"/>
                    <w:rPr>
                      <w:color w:val="auto"/>
                      <w:kern w:val="0"/>
                      <w:szCs w:val="21"/>
                    </w:rPr>
                  </w:pPr>
                  <w:r>
                    <w:rPr>
                      <w:color w:val="auto"/>
                      <w:kern w:val="0"/>
                      <w:position w:val="-6"/>
                      <w:szCs w:val="21"/>
                      <w:lang w:bidi="ar"/>
                    </w:rPr>
                    <w:t>COD</w:t>
                  </w:r>
                  <w:r>
                    <w:rPr>
                      <w:rFonts w:hint="eastAsia" w:cs="宋体"/>
                      <w:color w:val="auto"/>
                      <w:kern w:val="0"/>
                      <w:position w:val="-6"/>
                      <w:szCs w:val="21"/>
                      <w:lang w:bidi="ar"/>
                    </w:rPr>
                    <w:t>、</w:t>
                  </w:r>
                  <w:r>
                    <w:rPr>
                      <w:color w:val="auto"/>
                      <w:kern w:val="0"/>
                      <w:position w:val="-6"/>
                      <w:szCs w:val="21"/>
                      <w:lang w:bidi="ar"/>
                    </w:rPr>
                    <w:t>BOD</w:t>
                  </w:r>
                  <w:r>
                    <w:rPr>
                      <w:rFonts w:hint="eastAsia" w:cs="宋体"/>
                      <w:color w:val="auto"/>
                      <w:kern w:val="0"/>
                      <w:position w:val="-6"/>
                      <w:szCs w:val="21"/>
                      <w:lang w:bidi="ar"/>
                    </w:rPr>
                    <w:t>、</w:t>
                  </w:r>
                  <w:r>
                    <w:rPr>
                      <w:color w:val="auto"/>
                      <w:kern w:val="0"/>
                      <w:position w:val="-6"/>
                      <w:szCs w:val="21"/>
                      <w:lang w:bidi="ar"/>
                    </w:rPr>
                    <w:t>SS</w:t>
                  </w:r>
                  <w:r>
                    <w:rPr>
                      <w:rFonts w:hint="eastAsia" w:cs="宋体"/>
                      <w:color w:val="auto"/>
                      <w:kern w:val="0"/>
                      <w:position w:val="-6"/>
                      <w:szCs w:val="21"/>
                      <w:lang w:bidi="ar"/>
                    </w:rPr>
                    <w:t>、氨氮</w:t>
                  </w:r>
                </w:p>
              </w:tc>
              <w:tc>
                <w:tcPr>
                  <w:tcW w:w="492" w:type="pct"/>
                  <w:tcBorders>
                    <w:top w:val="single" w:color="auto" w:sz="4" w:space="0"/>
                    <w:left w:val="single" w:color="auto" w:sz="4" w:space="0"/>
                    <w:right w:val="single" w:color="auto" w:sz="4" w:space="0"/>
                  </w:tcBorders>
                  <w:vAlign w:val="center"/>
                </w:tcPr>
                <w:p w14:paraId="310F96AD">
                  <w:pPr>
                    <w:autoSpaceDE w:val="0"/>
                    <w:autoSpaceDN w:val="0"/>
                    <w:adjustRightInd w:val="0"/>
                    <w:snapToGrid w:val="0"/>
                    <w:jc w:val="center"/>
                    <w:textAlignment w:val="baseline"/>
                    <w:rPr>
                      <w:color w:val="auto"/>
                      <w:kern w:val="0"/>
                      <w:szCs w:val="21"/>
                    </w:rPr>
                  </w:pPr>
                  <w:r>
                    <w:rPr>
                      <w:rFonts w:hint="eastAsia"/>
                      <w:color w:val="auto"/>
                      <w:kern w:val="0"/>
                      <w:szCs w:val="21"/>
                    </w:rPr>
                    <w:t>湘潭县第一污水处理厂</w:t>
                  </w:r>
                </w:p>
              </w:tc>
              <w:tc>
                <w:tcPr>
                  <w:tcW w:w="888" w:type="pct"/>
                  <w:tcBorders>
                    <w:top w:val="single" w:color="auto" w:sz="4" w:space="0"/>
                    <w:left w:val="single" w:color="auto" w:sz="4" w:space="0"/>
                    <w:right w:val="single" w:color="auto" w:sz="4" w:space="0"/>
                  </w:tcBorders>
                  <w:vAlign w:val="center"/>
                </w:tcPr>
                <w:p w14:paraId="3E142691">
                  <w:pPr>
                    <w:autoSpaceDE w:val="0"/>
                    <w:autoSpaceDN w:val="0"/>
                    <w:adjustRightInd w:val="0"/>
                    <w:snapToGrid w:val="0"/>
                    <w:textAlignment w:val="baseline"/>
                    <w:rPr>
                      <w:color w:val="auto"/>
                      <w:kern w:val="0"/>
                      <w:szCs w:val="21"/>
                    </w:rPr>
                  </w:pPr>
                  <w:r>
                    <w:rPr>
                      <w:rFonts w:hint="eastAsia" w:cs="宋体"/>
                      <w:color w:val="auto"/>
                      <w:kern w:val="0"/>
                      <w:position w:val="-6"/>
                      <w:szCs w:val="21"/>
                      <w:lang w:bidi="ar"/>
                    </w:rPr>
                    <w:t>间断排放，排放期间流量不稳定且无规律，但不属于冲击型排放</w:t>
                  </w:r>
                </w:p>
              </w:tc>
              <w:tc>
                <w:tcPr>
                  <w:tcW w:w="293" w:type="pct"/>
                  <w:tcBorders>
                    <w:top w:val="single" w:color="auto" w:sz="4" w:space="0"/>
                    <w:left w:val="single" w:color="auto" w:sz="4" w:space="0"/>
                    <w:right w:val="single" w:color="auto" w:sz="4" w:space="0"/>
                  </w:tcBorders>
                  <w:vAlign w:val="center"/>
                </w:tcPr>
                <w:p w14:paraId="2618599A">
                  <w:pPr>
                    <w:autoSpaceDE w:val="0"/>
                    <w:autoSpaceDN w:val="0"/>
                    <w:adjustRightInd w:val="0"/>
                    <w:snapToGrid w:val="0"/>
                    <w:jc w:val="center"/>
                    <w:textAlignment w:val="baseline"/>
                    <w:rPr>
                      <w:color w:val="auto"/>
                      <w:kern w:val="0"/>
                      <w:szCs w:val="21"/>
                    </w:rPr>
                  </w:pPr>
                  <w:r>
                    <w:rPr>
                      <w:color w:val="auto"/>
                      <w:kern w:val="0"/>
                      <w:position w:val="-6"/>
                      <w:szCs w:val="21"/>
                      <w:lang w:bidi="ar"/>
                    </w:rPr>
                    <w:t>/</w:t>
                  </w:r>
                </w:p>
              </w:tc>
              <w:tc>
                <w:tcPr>
                  <w:tcW w:w="466" w:type="pct"/>
                  <w:tcBorders>
                    <w:top w:val="single" w:color="auto" w:sz="4" w:space="0"/>
                    <w:left w:val="single" w:color="auto" w:sz="4" w:space="0"/>
                    <w:right w:val="single" w:color="auto" w:sz="4" w:space="0"/>
                  </w:tcBorders>
                  <w:vAlign w:val="center"/>
                </w:tcPr>
                <w:p w14:paraId="0F322305">
                  <w:pPr>
                    <w:autoSpaceDE w:val="0"/>
                    <w:autoSpaceDN w:val="0"/>
                    <w:adjustRightInd w:val="0"/>
                    <w:snapToGrid w:val="0"/>
                    <w:jc w:val="center"/>
                    <w:textAlignment w:val="baseline"/>
                    <w:rPr>
                      <w:color w:val="auto"/>
                      <w:kern w:val="0"/>
                      <w:szCs w:val="21"/>
                    </w:rPr>
                  </w:pPr>
                  <w:r>
                    <w:rPr>
                      <w:rFonts w:hint="eastAsia" w:cs="宋体"/>
                      <w:color w:val="auto"/>
                      <w:kern w:val="0"/>
                      <w:position w:val="-6"/>
                      <w:szCs w:val="21"/>
                      <w:lang w:bidi="ar"/>
                    </w:rPr>
                    <w:t>生活污水处理系统</w:t>
                  </w:r>
                </w:p>
              </w:tc>
              <w:tc>
                <w:tcPr>
                  <w:tcW w:w="467" w:type="pct"/>
                  <w:tcBorders>
                    <w:top w:val="single" w:color="auto" w:sz="4" w:space="0"/>
                    <w:left w:val="single" w:color="auto" w:sz="4" w:space="0"/>
                    <w:right w:val="single" w:color="auto" w:sz="4" w:space="0"/>
                  </w:tcBorders>
                  <w:vAlign w:val="center"/>
                </w:tcPr>
                <w:p w14:paraId="11762187">
                  <w:pPr>
                    <w:autoSpaceDE w:val="0"/>
                    <w:autoSpaceDN w:val="0"/>
                    <w:adjustRightInd w:val="0"/>
                    <w:snapToGrid w:val="0"/>
                    <w:jc w:val="center"/>
                    <w:textAlignment w:val="baseline"/>
                    <w:rPr>
                      <w:color w:val="auto"/>
                      <w:kern w:val="0"/>
                      <w:szCs w:val="21"/>
                    </w:rPr>
                  </w:pPr>
                  <w:r>
                    <w:rPr>
                      <w:rFonts w:hint="eastAsia" w:cs="宋体"/>
                      <w:color w:val="auto"/>
                      <w:kern w:val="0"/>
                      <w:position w:val="-6"/>
                      <w:szCs w:val="21"/>
                      <w:lang w:bidi="ar"/>
                    </w:rPr>
                    <w:t>三级化粪池</w:t>
                  </w:r>
                </w:p>
              </w:tc>
              <w:tc>
                <w:tcPr>
                  <w:tcW w:w="503" w:type="pct"/>
                  <w:tcBorders>
                    <w:top w:val="single" w:color="auto" w:sz="4" w:space="0"/>
                    <w:left w:val="single" w:color="auto" w:sz="4" w:space="0"/>
                    <w:right w:val="single" w:color="auto" w:sz="4" w:space="0"/>
                  </w:tcBorders>
                  <w:vAlign w:val="center"/>
                </w:tcPr>
                <w:p w14:paraId="7BF1000C">
                  <w:pPr>
                    <w:autoSpaceDE w:val="0"/>
                    <w:autoSpaceDN w:val="0"/>
                    <w:adjustRightInd w:val="0"/>
                    <w:snapToGrid w:val="0"/>
                    <w:jc w:val="center"/>
                    <w:textAlignment w:val="baseline"/>
                    <w:rPr>
                      <w:color w:val="auto"/>
                      <w:kern w:val="0"/>
                      <w:szCs w:val="21"/>
                    </w:rPr>
                  </w:pPr>
                  <w:r>
                    <w:rPr>
                      <w:color w:val="auto"/>
                      <w:kern w:val="0"/>
                      <w:position w:val="-6"/>
                      <w:szCs w:val="21"/>
                      <w:lang w:bidi="ar"/>
                    </w:rPr>
                    <w:t>DW001</w:t>
                  </w:r>
                </w:p>
              </w:tc>
              <w:tc>
                <w:tcPr>
                  <w:tcW w:w="504" w:type="pct"/>
                  <w:tcBorders>
                    <w:top w:val="single" w:color="auto" w:sz="4" w:space="0"/>
                    <w:left w:val="single" w:color="auto" w:sz="4" w:space="0"/>
                    <w:right w:val="single" w:color="auto" w:sz="4" w:space="0"/>
                  </w:tcBorders>
                  <w:vAlign w:val="center"/>
                </w:tcPr>
                <w:p w14:paraId="679BBB8D">
                  <w:pPr>
                    <w:autoSpaceDE w:val="0"/>
                    <w:autoSpaceDN w:val="0"/>
                    <w:adjustRightInd w:val="0"/>
                    <w:snapToGrid w:val="0"/>
                    <w:jc w:val="center"/>
                    <w:textAlignment w:val="baseline"/>
                    <w:rPr>
                      <w:color w:val="auto"/>
                      <w:kern w:val="0"/>
                      <w:szCs w:val="21"/>
                    </w:rPr>
                  </w:pPr>
                  <w:r>
                    <w:rPr>
                      <w:rFonts w:hint="eastAsia" w:cs="宋体"/>
                      <w:color w:val="auto"/>
                      <w:kern w:val="0"/>
                      <w:position w:val="-6"/>
                      <w:szCs w:val="21"/>
                      <w:lang w:bidi="ar"/>
                    </w:rPr>
                    <w:t>是</w:t>
                  </w:r>
                </w:p>
              </w:tc>
              <w:tc>
                <w:tcPr>
                  <w:tcW w:w="358" w:type="pct"/>
                  <w:tcBorders>
                    <w:top w:val="single" w:color="auto" w:sz="4" w:space="0"/>
                    <w:left w:val="single" w:color="auto" w:sz="4" w:space="0"/>
                  </w:tcBorders>
                  <w:vAlign w:val="center"/>
                </w:tcPr>
                <w:p w14:paraId="5C76FF57">
                  <w:pPr>
                    <w:autoSpaceDE w:val="0"/>
                    <w:autoSpaceDN w:val="0"/>
                    <w:adjustRightInd w:val="0"/>
                    <w:snapToGrid w:val="0"/>
                    <w:jc w:val="center"/>
                    <w:textAlignment w:val="baseline"/>
                    <w:rPr>
                      <w:color w:val="auto"/>
                      <w:kern w:val="0"/>
                      <w:szCs w:val="21"/>
                    </w:rPr>
                  </w:pPr>
                  <w:r>
                    <w:rPr>
                      <w:rFonts w:hint="eastAsia" w:cs="宋体"/>
                      <w:color w:val="auto"/>
                      <w:kern w:val="0"/>
                      <w:position w:val="-6"/>
                      <w:szCs w:val="21"/>
                      <w:lang w:bidi="ar"/>
                    </w:rPr>
                    <w:t>企业总排</w:t>
                  </w:r>
                </w:p>
              </w:tc>
            </w:tr>
          </w:tbl>
          <w:p w14:paraId="020D9C64">
            <w:pPr>
              <w:adjustRightInd w:val="0"/>
              <w:spacing w:line="360" w:lineRule="auto"/>
              <w:ind w:left="420" w:leftChars="200"/>
              <w:rPr>
                <w:color w:val="auto"/>
                <w:sz w:val="24"/>
              </w:rPr>
            </w:pPr>
            <w:r>
              <w:rPr>
                <w:rFonts w:hint="eastAsia" w:cs="宋体"/>
                <w:color w:val="auto"/>
                <w:kern w:val="0"/>
                <w:position w:val="-6"/>
                <w:sz w:val="24"/>
                <w:lang w:bidi="ar"/>
              </w:rPr>
              <w:t>废水间接排放口基本情况如下表。</w:t>
            </w:r>
          </w:p>
          <w:p w14:paraId="5F35477F">
            <w:pPr>
              <w:pStyle w:val="6"/>
              <w:numPr>
                <w:ilvl w:val="4"/>
                <w:numId w:val="0"/>
              </w:numPr>
              <w:tabs>
                <w:tab w:val="left" w:pos="420"/>
              </w:tabs>
              <w:spacing w:before="0" w:beforeLines="0" w:after="0" w:afterLines="0"/>
              <w:ind w:left="420" w:leftChars="200"/>
              <w:rPr>
                <w:rFonts w:ascii="Times New Roman" w:hAnsi="Times New Roman"/>
                <w:color w:val="auto"/>
                <w:kern w:val="0"/>
                <w:sz w:val="21"/>
                <w:szCs w:val="21"/>
              </w:rPr>
            </w:pPr>
            <w:r>
              <w:rPr>
                <w:rFonts w:hint="eastAsia" w:ascii="Times New Roman" w:hAnsi="Times New Roman"/>
                <w:color w:val="auto"/>
                <w:kern w:val="0"/>
                <w:sz w:val="21"/>
                <w:szCs w:val="21"/>
              </w:rPr>
              <w:t>表4</w:t>
            </w:r>
            <w:r>
              <w:rPr>
                <w:rFonts w:ascii="Times New Roman" w:hAnsi="Times New Roman"/>
                <w:color w:val="auto"/>
                <w:kern w:val="0"/>
                <w:sz w:val="21"/>
                <w:szCs w:val="21"/>
              </w:rPr>
              <w:t>-</w:t>
            </w:r>
            <w:r>
              <w:rPr>
                <w:rFonts w:hint="eastAsia" w:ascii="Times New Roman" w:hAnsi="Times New Roman"/>
                <w:color w:val="auto"/>
                <w:kern w:val="0"/>
                <w:sz w:val="21"/>
                <w:szCs w:val="21"/>
              </w:rPr>
              <w:t>12</w:t>
            </w:r>
            <w:r>
              <w:rPr>
                <w:rFonts w:ascii="Times New Roman" w:hAnsi="Times New Roman"/>
                <w:color w:val="auto"/>
                <w:kern w:val="0"/>
                <w:sz w:val="21"/>
                <w:szCs w:val="21"/>
              </w:rPr>
              <w:t xml:space="preserve"> </w:t>
            </w:r>
            <w:r>
              <w:rPr>
                <w:rFonts w:hint="eastAsia" w:ascii="Times New Roman" w:hAnsi="Times New Roman"/>
                <w:color w:val="auto"/>
                <w:kern w:val="0"/>
                <w:sz w:val="21"/>
                <w:szCs w:val="21"/>
              </w:rPr>
              <w:t>生活污水间接排放口基本信息表</w:t>
            </w:r>
          </w:p>
          <w:tbl>
            <w:tblPr>
              <w:tblStyle w:val="31"/>
              <w:tblW w:w="49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881"/>
              <w:gridCol w:w="1214"/>
              <w:gridCol w:w="1109"/>
              <w:gridCol w:w="686"/>
              <w:gridCol w:w="679"/>
              <w:gridCol w:w="636"/>
              <w:gridCol w:w="633"/>
              <w:gridCol w:w="543"/>
              <w:gridCol w:w="810"/>
              <w:gridCol w:w="1092"/>
            </w:tblGrid>
            <w:tr w14:paraId="0C06D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3" w:type="pct"/>
                  <w:vMerge w:val="restart"/>
                  <w:tcBorders>
                    <w:bottom w:val="single" w:color="auto" w:sz="4" w:space="0"/>
                    <w:right w:val="single" w:color="auto" w:sz="4" w:space="0"/>
                  </w:tcBorders>
                  <w:vAlign w:val="center"/>
                </w:tcPr>
                <w:p w14:paraId="1A04C28F">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序号</w:t>
                  </w:r>
                </w:p>
              </w:tc>
              <w:tc>
                <w:tcPr>
                  <w:tcW w:w="501" w:type="pct"/>
                  <w:vMerge w:val="restart"/>
                  <w:tcBorders>
                    <w:left w:val="single" w:color="auto" w:sz="4" w:space="0"/>
                    <w:bottom w:val="single" w:color="auto" w:sz="4" w:space="0"/>
                    <w:right w:val="single" w:color="auto" w:sz="4" w:space="0"/>
                  </w:tcBorders>
                  <w:vAlign w:val="center"/>
                </w:tcPr>
                <w:p w14:paraId="43A8B640">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排放口编号</w:t>
                  </w:r>
                </w:p>
              </w:tc>
              <w:tc>
                <w:tcPr>
                  <w:tcW w:w="1013" w:type="pct"/>
                  <w:gridSpan w:val="2"/>
                  <w:tcBorders>
                    <w:left w:val="single" w:color="auto" w:sz="4" w:space="0"/>
                    <w:bottom w:val="single" w:color="auto" w:sz="4" w:space="0"/>
                    <w:right w:val="single" w:color="auto" w:sz="4" w:space="0"/>
                  </w:tcBorders>
                  <w:vAlign w:val="center"/>
                </w:tcPr>
                <w:p w14:paraId="3A6487F9">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排放口地理坐标</w:t>
                  </w:r>
                </w:p>
              </w:tc>
              <w:tc>
                <w:tcPr>
                  <w:tcW w:w="450" w:type="pct"/>
                  <w:vMerge w:val="restart"/>
                  <w:tcBorders>
                    <w:left w:val="single" w:color="auto" w:sz="4" w:space="0"/>
                    <w:bottom w:val="single" w:color="auto" w:sz="4" w:space="0"/>
                    <w:right w:val="single" w:color="auto" w:sz="4" w:space="0"/>
                  </w:tcBorders>
                  <w:vAlign w:val="center"/>
                </w:tcPr>
                <w:p w14:paraId="3DC12350">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废水排放量（万t/a）</w:t>
                  </w:r>
                </w:p>
              </w:tc>
              <w:tc>
                <w:tcPr>
                  <w:tcW w:w="446" w:type="pct"/>
                  <w:vMerge w:val="restart"/>
                  <w:tcBorders>
                    <w:left w:val="single" w:color="auto" w:sz="4" w:space="0"/>
                    <w:bottom w:val="single" w:color="auto" w:sz="4" w:space="0"/>
                    <w:right w:val="single" w:color="auto" w:sz="4" w:space="0"/>
                  </w:tcBorders>
                  <w:vAlign w:val="center"/>
                </w:tcPr>
                <w:p w14:paraId="35749552">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排放去向</w:t>
                  </w:r>
                </w:p>
                <w:p w14:paraId="54913BC9">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编号</w:t>
                  </w:r>
                </w:p>
              </w:tc>
              <w:tc>
                <w:tcPr>
                  <w:tcW w:w="414" w:type="pct"/>
                  <w:vMerge w:val="restart"/>
                  <w:tcBorders>
                    <w:left w:val="single" w:color="auto" w:sz="4" w:space="0"/>
                    <w:bottom w:val="single" w:color="auto" w:sz="4" w:space="0"/>
                    <w:right w:val="single" w:color="auto" w:sz="4" w:space="0"/>
                  </w:tcBorders>
                  <w:vAlign w:val="center"/>
                </w:tcPr>
                <w:p w14:paraId="62AF756B">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排放规律名称</w:t>
                  </w:r>
                </w:p>
              </w:tc>
              <w:tc>
                <w:tcPr>
                  <w:tcW w:w="426" w:type="pct"/>
                  <w:vMerge w:val="restart"/>
                  <w:tcBorders>
                    <w:left w:val="single" w:color="auto" w:sz="4" w:space="0"/>
                    <w:bottom w:val="single" w:color="auto" w:sz="4" w:space="0"/>
                    <w:right w:val="single" w:color="auto" w:sz="4" w:space="0"/>
                  </w:tcBorders>
                  <w:vAlign w:val="center"/>
                </w:tcPr>
                <w:p w14:paraId="00387D31">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间接排放时段工艺</w:t>
                  </w:r>
                </w:p>
              </w:tc>
              <w:tc>
                <w:tcPr>
                  <w:tcW w:w="1503" w:type="pct"/>
                  <w:gridSpan w:val="3"/>
                  <w:tcBorders>
                    <w:left w:val="single" w:color="auto" w:sz="4" w:space="0"/>
                    <w:bottom w:val="single" w:color="auto" w:sz="4" w:space="0"/>
                  </w:tcBorders>
                  <w:vAlign w:val="center"/>
                </w:tcPr>
                <w:p w14:paraId="122762D2">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受纳污水处理厂信息</w:t>
                  </w:r>
                </w:p>
              </w:tc>
            </w:tr>
            <w:tr w14:paraId="78C00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3" w:type="pct"/>
                  <w:vMerge w:val="continue"/>
                  <w:tcBorders>
                    <w:top w:val="single" w:color="auto" w:sz="12" w:space="0"/>
                    <w:bottom w:val="single" w:color="auto" w:sz="4" w:space="0"/>
                    <w:right w:val="single" w:color="auto" w:sz="4" w:space="0"/>
                  </w:tcBorders>
                  <w:vAlign w:val="center"/>
                </w:tcPr>
                <w:p w14:paraId="7D89F176">
                  <w:pPr>
                    <w:rPr>
                      <w:color w:val="auto"/>
                      <w:szCs w:val="21"/>
                    </w:rPr>
                  </w:pPr>
                </w:p>
              </w:tc>
              <w:tc>
                <w:tcPr>
                  <w:tcW w:w="501" w:type="pct"/>
                  <w:vMerge w:val="continue"/>
                  <w:tcBorders>
                    <w:top w:val="single" w:color="auto" w:sz="12" w:space="0"/>
                    <w:left w:val="single" w:color="auto" w:sz="4" w:space="0"/>
                    <w:bottom w:val="single" w:color="auto" w:sz="4" w:space="0"/>
                    <w:right w:val="single" w:color="auto" w:sz="4" w:space="0"/>
                  </w:tcBorders>
                  <w:vAlign w:val="center"/>
                </w:tcPr>
                <w:p w14:paraId="300128F2">
                  <w:pPr>
                    <w:rPr>
                      <w:color w:val="auto"/>
                      <w:szCs w:val="21"/>
                    </w:rPr>
                  </w:pPr>
                </w:p>
              </w:tc>
              <w:tc>
                <w:tcPr>
                  <w:tcW w:w="470" w:type="pct"/>
                  <w:tcBorders>
                    <w:top w:val="single" w:color="auto" w:sz="4" w:space="0"/>
                    <w:left w:val="single" w:color="auto" w:sz="4" w:space="0"/>
                    <w:bottom w:val="single" w:color="auto" w:sz="4" w:space="0"/>
                    <w:right w:val="single" w:color="auto" w:sz="4" w:space="0"/>
                  </w:tcBorders>
                  <w:vAlign w:val="center"/>
                </w:tcPr>
                <w:p w14:paraId="378C9951">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经度</w:t>
                  </w:r>
                </w:p>
              </w:tc>
              <w:tc>
                <w:tcPr>
                  <w:tcW w:w="543" w:type="pct"/>
                  <w:tcBorders>
                    <w:top w:val="single" w:color="auto" w:sz="4" w:space="0"/>
                    <w:left w:val="single" w:color="auto" w:sz="4" w:space="0"/>
                    <w:bottom w:val="single" w:color="auto" w:sz="4" w:space="0"/>
                    <w:right w:val="single" w:color="auto" w:sz="4" w:space="0"/>
                  </w:tcBorders>
                  <w:vAlign w:val="center"/>
                </w:tcPr>
                <w:p w14:paraId="27E28441">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纬度</w:t>
                  </w:r>
                </w:p>
              </w:tc>
              <w:tc>
                <w:tcPr>
                  <w:tcW w:w="450" w:type="pct"/>
                  <w:vMerge w:val="continue"/>
                  <w:tcBorders>
                    <w:top w:val="single" w:color="auto" w:sz="12" w:space="0"/>
                    <w:left w:val="single" w:color="auto" w:sz="4" w:space="0"/>
                    <w:bottom w:val="single" w:color="auto" w:sz="4" w:space="0"/>
                    <w:right w:val="single" w:color="auto" w:sz="4" w:space="0"/>
                  </w:tcBorders>
                  <w:vAlign w:val="center"/>
                </w:tcPr>
                <w:p w14:paraId="37F8848F">
                  <w:pPr>
                    <w:rPr>
                      <w:color w:val="auto"/>
                      <w:szCs w:val="21"/>
                    </w:rPr>
                  </w:pPr>
                </w:p>
              </w:tc>
              <w:tc>
                <w:tcPr>
                  <w:tcW w:w="446" w:type="pct"/>
                  <w:vMerge w:val="continue"/>
                  <w:tcBorders>
                    <w:top w:val="single" w:color="auto" w:sz="12" w:space="0"/>
                    <w:left w:val="single" w:color="auto" w:sz="4" w:space="0"/>
                    <w:bottom w:val="single" w:color="auto" w:sz="4" w:space="0"/>
                    <w:right w:val="single" w:color="auto" w:sz="4" w:space="0"/>
                  </w:tcBorders>
                  <w:vAlign w:val="center"/>
                </w:tcPr>
                <w:p w14:paraId="54023EB6">
                  <w:pPr>
                    <w:rPr>
                      <w:color w:val="auto"/>
                      <w:szCs w:val="21"/>
                    </w:rPr>
                  </w:pPr>
                </w:p>
              </w:tc>
              <w:tc>
                <w:tcPr>
                  <w:tcW w:w="414" w:type="pct"/>
                  <w:vMerge w:val="continue"/>
                  <w:tcBorders>
                    <w:top w:val="single" w:color="auto" w:sz="12" w:space="0"/>
                    <w:left w:val="single" w:color="auto" w:sz="4" w:space="0"/>
                    <w:bottom w:val="single" w:color="auto" w:sz="4" w:space="0"/>
                    <w:right w:val="single" w:color="auto" w:sz="4" w:space="0"/>
                  </w:tcBorders>
                  <w:vAlign w:val="center"/>
                </w:tcPr>
                <w:p w14:paraId="752CA102">
                  <w:pPr>
                    <w:rPr>
                      <w:color w:val="auto"/>
                      <w:szCs w:val="21"/>
                    </w:rPr>
                  </w:pPr>
                </w:p>
              </w:tc>
              <w:tc>
                <w:tcPr>
                  <w:tcW w:w="426" w:type="pct"/>
                  <w:vMerge w:val="continue"/>
                  <w:tcBorders>
                    <w:top w:val="single" w:color="auto" w:sz="12" w:space="0"/>
                    <w:left w:val="single" w:color="auto" w:sz="4" w:space="0"/>
                    <w:bottom w:val="single" w:color="auto" w:sz="4" w:space="0"/>
                    <w:right w:val="single" w:color="auto" w:sz="4" w:space="0"/>
                  </w:tcBorders>
                  <w:vAlign w:val="center"/>
                </w:tcPr>
                <w:p w14:paraId="4C29C236">
                  <w:pPr>
                    <w:rPr>
                      <w:color w:val="auto"/>
                      <w:szCs w:val="21"/>
                    </w:rPr>
                  </w:pPr>
                </w:p>
              </w:tc>
              <w:tc>
                <w:tcPr>
                  <w:tcW w:w="368" w:type="pct"/>
                  <w:tcBorders>
                    <w:top w:val="single" w:color="auto" w:sz="4" w:space="0"/>
                    <w:left w:val="single" w:color="auto" w:sz="4" w:space="0"/>
                    <w:bottom w:val="single" w:color="auto" w:sz="4" w:space="0"/>
                    <w:right w:val="single" w:color="auto" w:sz="4" w:space="0"/>
                  </w:tcBorders>
                  <w:vAlign w:val="center"/>
                </w:tcPr>
                <w:p w14:paraId="790C6E73">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名称</w:t>
                  </w:r>
                </w:p>
              </w:tc>
              <w:tc>
                <w:tcPr>
                  <w:tcW w:w="506" w:type="pct"/>
                  <w:tcBorders>
                    <w:top w:val="single" w:color="auto" w:sz="4" w:space="0"/>
                    <w:left w:val="single" w:color="auto" w:sz="4" w:space="0"/>
                    <w:bottom w:val="single" w:color="auto" w:sz="4" w:space="0"/>
                    <w:right w:val="single" w:color="auto" w:sz="4" w:space="0"/>
                  </w:tcBorders>
                  <w:vAlign w:val="center"/>
                </w:tcPr>
                <w:p w14:paraId="6CF63400">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污染物种类</w:t>
                  </w:r>
                </w:p>
              </w:tc>
              <w:tc>
                <w:tcPr>
                  <w:tcW w:w="628" w:type="pct"/>
                  <w:tcBorders>
                    <w:top w:val="single" w:color="auto" w:sz="4" w:space="0"/>
                    <w:left w:val="single" w:color="auto" w:sz="4" w:space="0"/>
                    <w:bottom w:val="single" w:color="auto" w:sz="4" w:space="0"/>
                  </w:tcBorders>
                  <w:vAlign w:val="center"/>
                </w:tcPr>
                <w:p w14:paraId="3C35D884">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国家或地方污染物排放标准限值（mg/L）</w:t>
                  </w:r>
                </w:p>
              </w:tc>
            </w:tr>
            <w:tr w14:paraId="302B6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3" w:type="pct"/>
                  <w:vMerge w:val="restart"/>
                  <w:tcBorders>
                    <w:top w:val="single" w:color="auto" w:sz="4" w:space="0"/>
                    <w:bottom w:val="single" w:color="auto" w:sz="12" w:space="0"/>
                    <w:right w:val="single" w:color="auto" w:sz="4" w:space="0"/>
                  </w:tcBorders>
                  <w:vAlign w:val="center"/>
                </w:tcPr>
                <w:p w14:paraId="798576A0">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1</w:t>
                  </w:r>
                </w:p>
              </w:tc>
              <w:tc>
                <w:tcPr>
                  <w:tcW w:w="501" w:type="pct"/>
                  <w:vMerge w:val="restart"/>
                  <w:tcBorders>
                    <w:top w:val="single" w:color="auto" w:sz="4" w:space="0"/>
                    <w:left w:val="single" w:color="auto" w:sz="4" w:space="0"/>
                    <w:bottom w:val="single" w:color="auto" w:sz="12" w:space="0"/>
                    <w:right w:val="single" w:color="auto" w:sz="4" w:space="0"/>
                  </w:tcBorders>
                  <w:vAlign w:val="center"/>
                </w:tcPr>
                <w:p w14:paraId="1024DB07">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DW001</w:t>
                  </w:r>
                </w:p>
              </w:tc>
              <w:tc>
                <w:tcPr>
                  <w:tcW w:w="470" w:type="pct"/>
                  <w:vMerge w:val="restart"/>
                  <w:tcBorders>
                    <w:top w:val="single" w:color="auto" w:sz="4" w:space="0"/>
                    <w:left w:val="single" w:color="auto" w:sz="4" w:space="0"/>
                    <w:bottom w:val="single" w:color="auto" w:sz="12" w:space="0"/>
                    <w:right w:val="single" w:color="auto" w:sz="4" w:space="0"/>
                  </w:tcBorders>
                  <w:vAlign w:val="center"/>
                </w:tcPr>
                <w:p w14:paraId="70F35B9B">
                  <w:pPr>
                    <w:pStyle w:val="26"/>
                    <w:widowControl w:val="0"/>
                    <w:autoSpaceDE w:val="0"/>
                    <w:autoSpaceDN w:val="0"/>
                    <w:adjustRightInd w:val="0"/>
                    <w:spacing w:before="0" w:beforeAutospacing="0" w:after="0" w:afterAutospacing="0"/>
                    <w:jc w:val="center"/>
                    <w:rPr>
                      <w:rFonts w:ascii="Times New Roman" w:hAnsi="Times New Roman"/>
                      <w:color w:val="auto"/>
                      <w:sz w:val="21"/>
                      <w:szCs w:val="21"/>
                    </w:rPr>
                  </w:pPr>
                  <w:r>
                    <w:rPr>
                      <w:rFonts w:hint="eastAsia" w:ascii="Times New Roman" w:hAnsi="Times New Roman"/>
                      <w:color w:val="auto"/>
                      <w:sz w:val="21"/>
                      <w:szCs w:val="21"/>
                    </w:rPr>
                    <w:t>112.961751</w:t>
                  </w:r>
                </w:p>
              </w:tc>
              <w:tc>
                <w:tcPr>
                  <w:tcW w:w="543" w:type="pct"/>
                  <w:vMerge w:val="restart"/>
                  <w:tcBorders>
                    <w:top w:val="single" w:color="auto" w:sz="4" w:space="0"/>
                    <w:left w:val="single" w:color="auto" w:sz="4" w:space="0"/>
                    <w:bottom w:val="single" w:color="auto" w:sz="12" w:space="0"/>
                    <w:right w:val="single" w:color="auto" w:sz="4" w:space="0"/>
                  </w:tcBorders>
                  <w:vAlign w:val="center"/>
                </w:tcPr>
                <w:p w14:paraId="430E2EC3">
                  <w:pPr>
                    <w:pStyle w:val="26"/>
                    <w:widowControl w:val="0"/>
                    <w:autoSpaceDE w:val="0"/>
                    <w:autoSpaceDN w:val="0"/>
                    <w:adjustRightInd w:val="0"/>
                    <w:spacing w:before="0" w:beforeAutospacing="0" w:after="0" w:afterAutospacing="0"/>
                    <w:jc w:val="center"/>
                    <w:rPr>
                      <w:rFonts w:ascii="Times New Roman" w:hAnsi="Times New Roman"/>
                      <w:color w:val="auto"/>
                      <w:sz w:val="21"/>
                      <w:szCs w:val="21"/>
                    </w:rPr>
                  </w:pPr>
                  <w:r>
                    <w:rPr>
                      <w:rFonts w:hint="eastAsia" w:ascii="Times New Roman" w:hAnsi="Times New Roman"/>
                      <w:color w:val="auto"/>
                      <w:sz w:val="21"/>
                      <w:szCs w:val="21"/>
                    </w:rPr>
                    <w:t>27.766262</w:t>
                  </w:r>
                </w:p>
              </w:tc>
              <w:tc>
                <w:tcPr>
                  <w:tcW w:w="450" w:type="pct"/>
                  <w:vMerge w:val="restart"/>
                  <w:tcBorders>
                    <w:top w:val="single" w:color="auto" w:sz="4" w:space="0"/>
                    <w:left w:val="single" w:color="auto" w:sz="4" w:space="0"/>
                    <w:bottom w:val="single" w:color="auto" w:sz="12" w:space="0"/>
                    <w:right w:val="single" w:color="auto" w:sz="4" w:space="0"/>
                  </w:tcBorders>
                  <w:vAlign w:val="center"/>
                </w:tcPr>
                <w:p w14:paraId="1224C696">
                  <w:pPr>
                    <w:pStyle w:val="26"/>
                    <w:widowControl w:val="0"/>
                    <w:autoSpaceDE w:val="0"/>
                    <w:autoSpaceDN w:val="0"/>
                    <w:adjustRightInd w:val="0"/>
                    <w:spacing w:before="0" w:beforeAutospacing="0" w:after="0" w:afterAutospacing="0"/>
                    <w:jc w:val="center"/>
                    <w:rPr>
                      <w:rFonts w:ascii="Times New Roman" w:hAnsi="Arial Unicode MS"/>
                      <w:color w:val="auto"/>
                      <w:sz w:val="21"/>
                      <w:szCs w:val="21"/>
                    </w:rPr>
                  </w:pPr>
                  <w:r>
                    <w:rPr>
                      <w:rFonts w:ascii="Times New Roman" w:hAnsi="Arial Unicode MS"/>
                      <w:color w:val="auto"/>
                      <w:kern w:val="2"/>
                      <w:position w:val="-6"/>
                      <w:sz w:val="21"/>
                      <w:szCs w:val="21"/>
                      <w:lang w:bidi="ar"/>
                    </w:rPr>
                    <w:t>0.0</w:t>
                  </w:r>
                  <w:r>
                    <w:rPr>
                      <w:rFonts w:hint="eastAsia" w:ascii="Times New Roman" w:hAnsi="Arial Unicode MS"/>
                      <w:color w:val="auto"/>
                      <w:kern w:val="2"/>
                      <w:position w:val="-6"/>
                      <w:sz w:val="21"/>
                      <w:szCs w:val="21"/>
                      <w:lang w:bidi="ar"/>
                    </w:rPr>
                    <w:t>3</w:t>
                  </w:r>
                </w:p>
              </w:tc>
              <w:tc>
                <w:tcPr>
                  <w:tcW w:w="446" w:type="pct"/>
                  <w:vMerge w:val="restart"/>
                  <w:tcBorders>
                    <w:top w:val="single" w:color="auto" w:sz="4" w:space="0"/>
                    <w:left w:val="single" w:color="auto" w:sz="4" w:space="0"/>
                    <w:bottom w:val="single" w:color="auto" w:sz="12" w:space="0"/>
                    <w:right w:val="single" w:color="auto" w:sz="4" w:space="0"/>
                  </w:tcBorders>
                  <w:vAlign w:val="center"/>
                </w:tcPr>
                <w:p w14:paraId="27E31081">
                  <w:pPr>
                    <w:jc w:val="left"/>
                    <w:rPr>
                      <w:rFonts w:eastAsia="Times New Roman"/>
                      <w:color w:val="auto"/>
                      <w:szCs w:val="21"/>
                    </w:rPr>
                  </w:pPr>
                  <w:r>
                    <w:rPr>
                      <w:rFonts w:hint="eastAsia" w:ascii="宋体" w:hAnsi="宋体" w:cs="宋体"/>
                      <w:color w:val="auto"/>
                      <w:position w:val="-6"/>
                      <w:szCs w:val="21"/>
                      <w:lang w:bidi="ar"/>
                    </w:rPr>
                    <w:t>间接排放</w:t>
                  </w:r>
                </w:p>
              </w:tc>
              <w:tc>
                <w:tcPr>
                  <w:tcW w:w="414" w:type="pct"/>
                  <w:vMerge w:val="restart"/>
                  <w:tcBorders>
                    <w:top w:val="single" w:color="auto" w:sz="4" w:space="0"/>
                    <w:left w:val="single" w:color="auto" w:sz="4" w:space="0"/>
                    <w:bottom w:val="single" w:color="auto" w:sz="12" w:space="0"/>
                    <w:right w:val="single" w:color="auto" w:sz="4" w:space="0"/>
                  </w:tcBorders>
                  <w:vAlign w:val="center"/>
                </w:tcPr>
                <w:p w14:paraId="4CFCFE8D">
                  <w:pPr>
                    <w:autoSpaceDE w:val="0"/>
                    <w:autoSpaceDN w:val="0"/>
                    <w:adjustRightInd w:val="0"/>
                    <w:snapToGrid w:val="0"/>
                    <w:textAlignment w:val="baseline"/>
                    <w:rPr>
                      <w:color w:val="auto"/>
                      <w:kern w:val="0"/>
                      <w:szCs w:val="21"/>
                    </w:rPr>
                  </w:pPr>
                  <w:r>
                    <w:rPr>
                      <w:rFonts w:hint="eastAsia" w:cs="宋体"/>
                      <w:color w:val="auto"/>
                      <w:kern w:val="0"/>
                      <w:position w:val="-6"/>
                      <w:szCs w:val="21"/>
                      <w:lang w:bidi="ar"/>
                    </w:rPr>
                    <w:t>间断排放、排放期间流量不稳定</w:t>
                  </w:r>
                </w:p>
              </w:tc>
              <w:tc>
                <w:tcPr>
                  <w:tcW w:w="426" w:type="pct"/>
                  <w:vMerge w:val="restart"/>
                  <w:tcBorders>
                    <w:top w:val="single" w:color="auto" w:sz="4" w:space="0"/>
                    <w:left w:val="single" w:color="auto" w:sz="4" w:space="0"/>
                    <w:bottom w:val="single" w:color="auto" w:sz="12" w:space="0"/>
                    <w:right w:val="single" w:color="auto" w:sz="4" w:space="0"/>
                  </w:tcBorders>
                  <w:vAlign w:val="center"/>
                </w:tcPr>
                <w:p w14:paraId="20BE5153">
                  <w:pPr>
                    <w:autoSpaceDE w:val="0"/>
                    <w:autoSpaceDN w:val="0"/>
                    <w:adjustRightInd w:val="0"/>
                    <w:snapToGrid w:val="0"/>
                    <w:jc w:val="center"/>
                    <w:textAlignment w:val="baseline"/>
                    <w:rPr>
                      <w:color w:val="auto"/>
                      <w:kern w:val="0"/>
                      <w:szCs w:val="21"/>
                    </w:rPr>
                  </w:pPr>
                  <w:r>
                    <w:rPr>
                      <w:color w:val="auto"/>
                      <w:kern w:val="0"/>
                      <w:position w:val="-6"/>
                      <w:szCs w:val="21"/>
                      <w:lang w:bidi="ar"/>
                    </w:rPr>
                    <w:t>/</w:t>
                  </w:r>
                </w:p>
              </w:tc>
              <w:tc>
                <w:tcPr>
                  <w:tcW w:w="368" w:type="pct"/>
                  <w:vMerge w:val="restart"/>
                  <w:tcBorders>
                    <w:top w:val="single" w:color="auto" w:sz="4" w:space="0"/>
                    <w:left w:val="single" w:color="auto" w:sz="4" w:space="0"/>
                    <w:bottom w:val="single" w:color="auto" w:sz="12" w:space="0"/>
                    <w:right w:val="single" w:color="auto" w:sz="4" w:space="0"/>
                  </w:tcBorders>
                  <w:vAlign w:val="center"/>
                </w:tcPr>
                <w:p w14:paraId="4042986C">
                  <w:pPr>
                    <w:pStyle w:val="26"/>
                    <w:widowControl w:val="0"/>
                    <w:autoSpaceDE w:val="0"/>
                    <w:autoSpaceDN w:val="0"/>
                    <w:adjustRightInd w:val="0"/>
                    <w:spacing w:before="0" w:beforeAutospacing="0" w:after="0" w:afterAutospacing="0"/>
                    <w:jc w:val="center"/>
                    <w:rPr>
                      <w:rFonts w:ascii="Times New Roman" w:hAnsi="Arial Unicode MS"/>
                      <w:color w:val="auto"/>
                      <w:sz w:val="21"/>
                      <w:szCs w:val="21"/>
                    </w:rPr>
                  </w:pPr>
                  <w:r>
                    <w:rPr>
                      <w:rFonts w:hint="eastAsia"/>
                      <w:color w:val="auto"/>
                      <w:sz w:val="21"/>
                      <w:szCs w:val="21"/>
                    </w:rPr>
                    <w:t>湘潭县第一污水处理厂</w:t>
                  </w:r>
                </w:p>
              </w:tc>
              <w:tc>
                <w:tcPr>
                  <w:tcW w:w="506" w:type="pct"/>
                  <w:tcBorders>
                    <w:top w:val="single" w:color="auto" w:sz="4" w:space="0"/>
                    <w:left w:val="single" w:color="auto" w:sz="4" w:space="0"/>
                    <w:bottom w:val="single" w:color="auto" w:sz="4" w:space="0"/>
                    <w:right w:val="single" w:color="auto" w:sz="4" w:space="0"/>
                  </w:tcBorders>
                  <w:vAlign w:val="center"/>
                </w:tcPr>
                <w:p w14:paraId="55DE34B6">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COD</w:t>
                  </w:r>
                </w:p>
              </w:tc>
              <w:tc>
                <w:tcPr>
                  <w:tcW w:w="628" w:type="pct"/>
                  <w:tcBorders>
                    <w:top w:val="single" w:color="auto" w:sz="4" w:space="0"/>
                    <w:left w:val="single" w:color="auto" w:sz="4" w:space="0"/>
                    <w:bottom w:val="single" w:color="auto" w:sz="4" w:space="0"/>
                  </w:tcBorders>
                  <w:vAlign w:val="center"/>
                </w:tcPr>
                <w:p w14:paraId="4898FCEA">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hint="eastAsia" w:ascii="Times New Roman" w:hAnsi="Arial Unicode MS" w:eastAsia="Times New Roman"/>
                      <w:color w:val="auto"/>
                      <w:kern w:val="2"/>
                      <w:position w:val="-6"/>
                      <w:sz w:val="21"/>
                      <w:szCs w:val="21"/>
                      <w:lang w:bidi="ar"/>
                    </w:rPr>
                    <w:t>50</w:t>
                  </w:r>
                </w:p>
              </w:tc>
            </w:tr>
            <w:tr w14:paraId="4EE2D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3" w:type="pct"/>
                  <w:vMerge w:val="continue"/>
                  <w:tcBorders>
                    <w:top w:val="single" w:color="auto" w:sz="4" w:space="0"/>
                    <w:bottom w:val="single" w:color="auto" w:sz="12" w:space="0"/>
                    <w:right w:val="single" w:color="auto" w:sz="4" w:space="0"/>
                  </w:tcBorders>
                  <w:vAlign w:val="center"/>
                </w:tcPr>
                <w:p w14:paraId="0CD4A785">
                  <w:pPr>
                    <w:rPr>
                      <w:color w:val="auto"/>
                      <w:szCs w:val="21"/>
                    </w:rPr>
                  </w:pPr>
                </w:p>
              </w:tc>
              <w:tc>
                <w:tcPr>
                  <w:tcW w:w="501" w:type="pct"/>
                  <w:vMerge w:val="continue"/>
                  <w:tcBorders>
                    <w:top w:val="single" w:color="auto" w:sz="4" w:space="0"/>
                    <w:left w:val="single" w:color="auto" w:sz="4" w:space="0"/>
                    <w:bottom w:val="single" w:color="auto" w:sz="12" w:space="0"/>
                    <w:right w:val="single" w:color="auto" w:sz="4" w:space="0"/>
                  </w:tcBorders>
                  <w:vAlign w:val="center"/>
                </w:tcPr>
                <w:p w14:paraId="552B4453">
                  <w:pPr>
                    <w:rPr>
                      <w:color w:val="auto"/>
                      <w:szCs w:val="21"/>
                    </w:rPr>
                  </w:pPr>
                </w:p>
              </w:tc>
              <w:tc>
                <w:tcPr>
                  <w:tcW w:w="470" w:type="pct"/>
                  <w:vMerge w:val="continue"/>
                  <w:tcBorders>
                    <w:top w:val="single" w:color="auto" w:sz="4" w:space="0"/>
                    <w:left w:val="single" w:color="auto" w:sz="4" w:space="0"/>
                    <w:bottom w:val="single" w:color="auto" w:sz="12" w:space="0"/>
                    <w:right w:val="single" w:color="auto" w:sz="4" w:space="0"/>
                  </w:tcBorders>
                  <w:vAlign w:val="center"/>
                </w:tcPr>
                <w:p w14:paraId="77E90807">
                  <w:pPr>
                    <w:rPr>
                      <w:color w:val="auto"/>
                      <w:szCs w:val="21"/>
                    </w:rPr>
                  </w:pPr>
                </w:p>
              </w:tc>
              <w:tc>
                <w:tcPr>
                  <w:tcW w:w="543" w:type="pct"/>
                  <w:vMerge w:val="continue"/>
                  <w:tcBorders>
                    <w:top w:val="single" w:color="auto" w:sz="4" w:space="0"/>
                    <w:left w:val="single" w:color="auto" w:sz="4" w:space="0"/>
                    <w:bottom w:val="single" w:color="auto" w:sz="12" w:space="0"/>
                    <w:right w:val="single" w:color="auto" w:sz="4" w:space="0"/>
                  </w:tcBorders>
                  <w:vAlign w:val="center"/>
                </w:tcPr>
                <w:p w14:paraId="41E5F99E">
                  <w:pPr>
                    <w:rPr>
                      <w:color w:val="auto"/>
                      <w:szCs w:val="21"/>
                    </w:rPr>
                  </w:pPr>
                </w:p>
              </w:tc>
              <w:tc>
                <w:tcPr>
                  <w:tcW w:w="450" w:type="pct"/>
                  <w:vMerge w:val="continue"/>
                  <w:tcBorders>
                    <w:top w:val="single" w:color="auto" w:sz="4" w:space="0"/>
                    <w:left w:val="single" w:color="auto" w:sz="4" w:space="0"/>
                    <w:bottom w:val="single" w:color="auto" w:sz="12" w:space="0"/>
                    <w:right w:val="single" w:color="auto" w:sz="4" w:space="0"/>
                  </w:tcBorders>
                  <w:vAlign w:val="center"/>
                </w:tcPr>
                <w:p w14:paraId="2EA5ECA7">
                  <w:pPr>
                    <w:rPr>
                      <w:color w:val="auto"/>
                      <w:szCs w:val="21"/>
                    </w:rPr>
                  </w:pPr>
                </w:p>
              </w:tc>
              <w:tc>
                <w:tcPr>
                  <w:tcW w:w="446" w:type="pct"/>
                  <w:vMerge w:val="continue"/>
                  <w:tcBorders>
                    <w:top w:val="single" w:color="auto" w:sz="4" w:space="0"/>
                    <w:left w:val="single" w:color="auto" w:sz="4" w:space="0"/>
                    <w:bottom w:val="single" w:color="auto" w:sz="12" w:space="0"/>
                    <w:right w:val="single" w:color="auto" w:sz="4" w:space="0"/>
                  </w:tcBorders>
                  <w:vAlign w:val="center"/>
                </w:tcPr>
                <w:p w14:paraId="2E749CBC">
                  <w:pPr>
                    <w:rPr>
                      <w:color w:val="auto"/>
                      <w:szCs w:val="21"/>
                    </w:rPr>
                  </w:pPr>
                </w:p>
              </w:tc>
              <w:tc>
                <w:tcPr>
                  <w:tcW w:w="414" w:type="pct"/>
                  <w:vMerge w:val="continue"/>
                  <w:tcBorders>
                    <w:top w:val="single" w:color="auto" w:sz="4" w:space="0"/>
                    <w:left w:val="single" w:color="auto" w:sz="4" w:space="0"/>
                    <w:bottom w:val="single" w:color="auto" w:sz="12" w:space="0"/>
                    <w:right w:val="single" w:color="auto" w:sz="4" w:space="0"/>
                  </w:tcBorders>
                  <w:vAlign w:val="center"/>
                </w:tcPr>
                <w:p w14:paraId="4AAD9883">
                  <w:pPr>
                    <w:rPr>
                      <w:color w:val="auto"/>
                      <w:szCs w:val="21"/>
                    </w:rPr>
                  </w:pPr>
                </w:p>
              </w:tc>
              <w:tc>
                <w:tcPr>
                  <w:tcW w:w="426" w:type="pct"/>
                  <w:vMerge w:val="continue"/>
                  <w:tcBorders>
                    <w:top w:val="single" w:color="auto" w:sz="4" w:space="0"/>
                    <w:left w:val="single" w:color="auto" w:sz="4" w:space="0"/>
                    <w:bottom w:val="single" w:color="auto" w:sz="12" w:space="0"/>
                    <w:right w:val="single" w:color="auto" w:sz="4" w:space="0"/>
                  </w:tcBorders>
                  <w:vAlign w:val="center"/>
                </w:tcPr>
                <w:p w14:paraId="00C0A69F">
                  <w:pPr>
                    <w:rPr>
                      <w:color w:val="auto"/>
                      <w:szCs w:val="21"/>
                    </w:rPr>
                  </w:pPr>
                </w:p>
              </w:tc>
              <w:tc>
                <w:tcPr>
                  <w:tcW w:w="368" w:type="pct"/>
                  <w:vMerge w:val="continue"/>
                  <w:tcBorders>
                    <w:top w:val="single" w:color="auto" w:sz="4" w:space="0"/>
                    <w:left w:val="single" w:color="auto" w:sz="4" w:space="0"/>
                    <w:bottom w:val="single" w:color="auto" w:sz="12" w:space="0"/>
                    <w:right w:val="single" w:color="auto" w:sz="4" w:space="0"/>
                  </w:tcBorders>
                  <w:vAlign w:val="center"/>
                </w:tcPr>
                <w:p w14:paraId="79C4CABF">
                  <w:pPr>
                    <w:rPr>
                      <w:color w:val="auto"/>
                      <w:szCs w:val="21"/>
                    </w:rPr>
                  </w:pPr>
                </w:p>
              </w:tc>
              <w:tc>
                <w:tcPr>
                  <w:tcW w:w="506" w:type="pct"/>
                  <w:tcBorders>
                    <w:top w:val="single" w:color="auto" w:sz="4" w:space="0"/>
                    <w:left w:val="single" w:color="auto" w:sz="4" w:space="0"/>
                    <w:bottom w:val="single" w:color="auto" w:sz="4" w:space="0"/>
                    <w:right w:val="single" w:color="auto" w:sz="4" w:space="0"/>
                  </w:tcBorders>
                  <w:vAlign w:val="center"/>
                </w:tcPr>
                <w:p w14:paraId="0DA2E8F1">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BOD</w:t>
                  </w:r>
                  <w:r>
                    <w:rPr>
                      <w:rFonts w:ascii="Times New Roman" w:hAnsi="Arial Unicode MS" w:eastAsia="Times New Roman"/>
                      <w:color w:val="auto"/>
                      <w:kern w:val="2"/>
                      <w:position w:val="-6"/>
                      <w:sz w:val="21"/>
                      <w:szCs w:val="21"/>
                      <w:vertAlign w:val="subscript"/>
                      <w:lang w:bidi="ar"/>
                    </w:rPr>
                    <w:t>5</w:t>
                  </w:r>
                </w:p>
              </w:tc>
              <w:tc>
                <w:tcPr>
                  <w:tcW w:w="628" w:type="pct"/>
                  <w:tcBorders>
                    <w:top w:val="single" w:color="auto" w:sz="4" w:space="0"/>
                    <w:left w:val="single" w:color="auto" w:sz="4" w:space="0"/>
                    <w:bottom w:val="single" w:color="auto" w:sz="4" w:space="0"/>
                  </w:tcBorders>
                  <w:vAlign w:val="center"/>
                </w:tcPr>
                <w:p w14:paraId="3DCF259D">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10</w:t>
                  </w:r>
                </w:p>
              </w:tc>
            </w:tr>
            <w:tr w14:paraId="78D81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3" w:type="pct"/>
                  <w:vMerge w:val="continue"/>
                  <w:tcBorders>
                    <w:top w:val="single" w:color="auto" w:sz="4" w:space="0"/>
                    <w:bottom w:val="single" w:color="auto" w:sz="12" w:space="0"/>
                    <w:right w:val="single" w:color="auto" w:sz="4" w:space="0"/>
                  </w:tcBorders>
                  <w:vAlign w:val="center"/>
                </w:tcPr>
                <w:p w14:paraId="7057DC00">
                  <w:pPr>
                    <w:rPr>
                      <w:color w:val="auto"/>
                      <w:szCs w:val="21"/>
                    </w:rPr>
                  </w:pPr>
                </w:p>
              </w:tc>
              <w:tc>
                <w:tcPr>
                  <w:tcW w:w="501" w:type="pct"/>
                  <w:vMerge w:val="continue"/>
                  <w:tcBorders>
                    <w:top w:val="single" w:color="auto" w:sz="4" w:space="0"/>
                    <w:left w:val="single" w:color="auto" w:sz="4" w:space="0"/>
                    <w:bottom w:val="single" w:color="auto" w:sz="12" w:space="0"/>
                    <w:right w:val="single" w:color="auto" w:sz="4" w:space="0"/>
                  </w:tcBorders>
                  <w:vAlign w:val="center"/>
                </w:tcPr>
                <w:p w14:paraId="759FD2CC">
                  <w:pPr>
                    <w:rPr>
                      <w:color w:val="auto"/>
                      <w:szCs w:val="21"/>
                    </w:rPr>
                  </w:pPr>
                </w:p>
              </w:tc>
              <w:tc>
                <w:tcPr>
                  <w:tcW w:w="470" w:type="pct"/>
                  <w:vMerge w:val="continue"/>
                  <w:tcBorders>
                    <w:top w:val="single" w:color="auto" w:sz="4" w:space="0"/>
                    <w:left w:val="single" w:color="auto" w:sz="4" w:space="0"/>
                    <w:bottom w:val="single" w:color="auto" w:sz="12" w:space="0"/>
                    <w:right w:val="single" w:color="auto" w:sz="4" w:space="0"/>
                  </w:tcBorders>
                  <w:vAlign w:val="center"/>
                </w:tcPr>
                <w:p w14:paraId="0F66E468">
                  <w:pPr>
                    <w:rPr>
                      <w:color w:val="auto"/>
                      <w:szCs w:val="21"/>
                    </w:rPr>
                  </w:pPr>
                </w:p>
              </w:tc>
              <w:tc>
                <w:tcPr>
                  <w:tcW w:w="543" w:type="pct"/>
                  <w:vMerge w:val="continue"/>
                  <w:tcBorders>
                    <w:top w:val="single" w:color="auto" w:sz="4" w:space="0"/>
                    <w:left w:val="single" w:color="auto" w:sz="4" w:space="0"/>
                    <w:bottom w:val="single" w:color="auto" w:sz="12" w:space="0"/>
                    <w:right w:val="single" w:color="auto" w:sz="4" w:space="0"/>
                  </w:tcBorders>
                  <w:vAlign w:val="center"/>
                </w:tcPr>
                <w:p w14:paraId="79552CD7">
                  <w:pPr>
                    <w:rPr>
                      <w:color w:val="auto"/>
                      <w:szCs w:val="21"/>
                    </w:rPr>
                  </w:pPr>
                </w:p>
              </w:tc>
              <w:tc>
                <w:tcPr>
                  <w:tcW w:w="450" w:type="pct"/>
                  <w:vMerge w:val="continue"/>
                  <w:tcBorders>
                    <w:top w:val="single" w:color="auto" w:sz="4" w:space="0"/>
                    <w:left w:val="single" w:color="auto" w:sz="4" w:space="0"/>
                    <w:bottom w:val="single" w:color="auto" w:sz="12" w:space="0"/>
                    <w:right w:val="single" w:color="auto" w:sz="4" w:space="0"/>
                  </w:tcBorders>
                  <w:vAlign w:val="center"/>
                </w:tcPr>
                <w:p w14:paraId="53A623BF">
                  <w:pPr>
                    <w:rPr>
                      <w:color w:val="auto"/>
                      <w:szCs w:val="21"/>
                    </w:rPr>
                  </w:pPr>
                </w:p>
              </w:tc>
              <w:tc>
                <w:tcPr>
                  <w:tcW w:w="446" w:type="pct"/>
                  <w:vMerge w:val="continue"/>
                  <w:tcBorders>
                    <w:top w:val="single" w:color="auto" w:sz="4" w:space="0"/>
                    <w:left w:val="single" w:color="auto" w:sz="4" w:space="0"/>
                    <w:bottom w:val="single" w:color="auto" w:sz="12" w:space="0"/>
                    <w:right w:val="single" w:color="auto" w:sz="4" w:space="0"/>
                  </w:tcBorders>
                  <w:vAlign w:val="center"/>
                </w:tcPr>
                <w:p w14:paraId="27B6491B">
                  <w:pPr>
                    <w:rPr>
                      <w:color w:val="auto"/>
                      <w:szCs w:val="21"/>
                    </w:rPr>
                  </w:pPr>
                </w:p>
              </w:tc>
              <w:tc>
                <w:tcPr>
                  <w:tcW w:w="414" w:type="pct"/>
                  <w:vMerge w:val="continue"/>
                  <w:tcBorders>
                    <w:top w:val="single" w:color="auto" w:sz="4" w:space="0"/>
                    <w:left w:val="single" w:color="auto" w:sz="4" w:space="0"/>
                    <w:bottom w:val="single" w:color="auto" w:sz="12" w:space="0"/>
                    <w:right w:val="single" w:color="auto" w:sz="4" w:space="0"/>
                  </w:tcBorders>
                  <w:vAlign w:val="center"/>
                </w:tcPr>
                <w:p w14:paraId="171F47CF">
                  <w:pPr>
                    <w:rPr>
                      <w:color w:val="auto"/>
                      <w:szCs w:val="21"/>
                    </w:rPr>
                  </w:pPr>
                </w:p>
              </w:tc>
              <w:tc>
                <w:tcPr>
                  <w:tcW w:w="426" w:type="pct"/>
                  <w:vMerge w:val="continue"/>
                  <w:tcBorders>
                    <w:top w:val="single" w:color="auto" w:sz="4" w:space="0"/>
                    <w:left w:val="single" w:color="auto" w:sz="4" w:space="0"/>
                    <w:bottom w:val="single" w:color="auto" w:sz="12" w:space="0"/>
                    <w:right w:val="single" w:color="auto" w:sz="4" w:space="0"/>
                  </w:tcBorders>
                  <w:vAlign w:val="center"/>
                </w:tcPr>
                <w:p w14:paraId="2612901D">
                  <w:pPr>
                    <w:rPr>
                      <w:color w:val="auto"/>
                      <w:szCs w:val="21"/>
                    </w:rPr>
                  </w:pPr>
                </w:p>
              </w:tc>
              <w:tc>
                <w:tcPr>
                  <w:tcW w:w="368" w:type="pct"/>
                  <w:vMerge w:val="continue"/>
                  <w:tcBorders>
                    <w:top w:val="single" w:color="auto" w:sz="4" w:space="0"/>
                    <w:left w:val="single" w:color="auto" w:sz="4" w:space="0"/>
                    <w:bottom w:val="single" w:color="auto" w:sz="12" w:space="0"/>
                    <w:right w:val="single" w:color="auto" w:sz="4" w:space="0"/>
                  </w:tcBorders>
                  <w:vAlign w:val="center"/>
                </w:tcPr>
                <w:p w14:paraId="312F800D">
                  <w:pPr>
                    <w:rPr>
                      <w:color w:val="auto"/>
                      <w:szCs w:val="21"/>
                    </w:rPr>
                  </w:pPr>
                </w:p>
              </w:tc>
              <w:tc>
                <w:tcPr>
                  <w:tcW w:w="506" w:type="pct"/>
                  <w:tcBorders>
                    <w:top w:val="single" w:color="auto" w:sz="4" w:space="0"/>
                    <w:left w:val="single" w:color="auto" w:sz="4" w:space="0"/>
                    <w:bottom w:val="single" w:color="auto" w:sz="4" w:space="0"/>
                    <w:right w:val="single" w:color="auto" w:sz="4" w:space="0"/>
                  </w:tcBorders>
                  <w:vAlign w:val="center"/>
                </w:tcPr>
                <w:p w14:paraId="0650528F">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SS</w:t>
                  </w:r>
                </w:p>
              </w:tc>
              <w:tc>
                <w:tcPr>
                  <w:tcW w:w="628" w:type="pct"/>
                  <w:tcBorders>
                    <w:top w:val="single" w:color="auto" w:sz="4" w:space="0"/>
                    <w:left w:val="single" w:color="auto" w:sz="4" w:space="0"/>
                    <w:bottom w:val="single" w:color="auto" w:sz="4" w:space="0"/>
                  </w:tcBorders>
                  <w:vAlign w:val="center"/>
                </w:tcPr>
                <w:p w14:paraId="527BF7A3">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10</w:t>
                  </w:r>
                </w:p>
              </w:tc>
            </w:tr>
            <w:tr w14:paraId="0FA6C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3" w:type="pct"/>
                  <w:vMerge w:val="continue"/>
                  <w:tcBorders>
                    <w:top w:val="single" w:color="auto" w:sz="4" w:space="0"/>
                    <w:right w:val="single" w:color="auto" w:sz="4" w:space="0"/>
                  </w:tcBorders>
                  <w:vAlign w:val="center"/>
                </w:tcPr>
                <w:p w14:paraId="14184AA3">
                  <w:pPr>
                    <w:rPr>
                      <w:color w:val="auto"/>
                      <w:szCs w:val="21"/>
                    </w:rPr>
                  </w:pPr>
                </w:p>
              </w:tc>
              <w:tc>
                <w:tcPr>
                  <w:tcW w:w="501" w:type="pct"/>
                  <w:vMerge w:val="continue"/>
                  <w:tcBorders>
                    <w:top w:val="single" w:color="auto" w:sz="4" w:space="0"/>
                    <w:left w:val="single" w:color="auto" w:sz="4" w:space="0"/>
                    <w:right w:val="single" w:color="auto" w:sz="4" w:space="0"/>
                  </w:tcBorders>
                  <w:vAlign w:val="center"/>
                </w:tcPr>
                <w:p w14:paraId="02F40DC9">
                  <w:pPr>
                    <w:rPr>
                      <w:color w:val="auto"/>
                      <w:szCs w:val="21"/>
                    </w:rPr>
                  </w:pPr>
                </w:p>
              </w:tc>
              <w:tc>
                <w:tcPr>
                  <w:tcW w:w="470" w:type="pct"/>
                  <w:vMerge w:val="continue"/>
                  <w:tcBorders>
                    <w:top w:val="single" w:color="auto" w:sz="4" w:space="0"/>
                    <w:left w:val="single" w:color="auto" w:sz="4" w:space="0"/>
                    <w:right w:val="single" w:color="auto" w:sz="4" w:space="0"/>
                  </w:tcBorders>
                  <w:vAlign w:val="center"/>
                </w:tcPr>
                <w:p w14:paraId="67C17ED5">
                  <w:pPr>
                    <w:rPr>
                      <w:color w:val="auto"/>
                      <w:szCs w:val="21"/>
                    </w:rPr>
                  </w:pPr>
                </w:p>
              </w:tc>
              <w:tc>
                <w:tcPr>
                  <w:tcW w:w="543" w:type="pct"/>
                  <w:vMerge w:val="continue"/>
                  <w:tcBorders>
                    <w:top w:val="single" w:color="auto" w:sz="4" w:space="0"/>
                    <w:left w:val="single" w:color="auto" w:sz="4" w:space="0"/>
                    <w:right w:val="single" w:color="auto" w:sz="4" w:space="0"/>
                  </w:tcBorders>
                  <w:vAlign w:val="center"/>
                </w:tcPr>
                <w:p w14:paraId="052B8EAC">
                  <w:pPr>
                    <w:rPr>
                      <w:color w:val="auto"/>
                      <w:szCs w:val="21"/>
                    </w:rPr>
                  </w:pPr>
                </w:p>
              </w:tc>
              <w:tc>
                <w:tcPr>
                  <w:tcW w:w="450" w:type="pct"/>
                  <w:vMerge w:val="continue"/>
                  <w:tcBorders>
                    <w:top w:val="single" w:color="auto" w:sz="4" w:space="0"/>
                    <w:left w:val="single" w:color="auto" w:sz="4" w:space="0"/>
                    <w:right w:val="single" w:color="auto" w:sz="4" w:space="0"/>
                  </w:tcBorders>
                  <w:vAlign w:val="center"/>
                </w:tcPr>
                <w:p w14:paraId="730D0611">
                  <w:pPr>
                    <w:rPr>
                      <w:color w:val="auto"/>
                      <w:szCs w:val="21"/>
                    </w:rPr>
                  </w:pPr>
                </w:p>
              </w:tc>
              <w:tc>
                <w:tcPr>
                  <w:tcW w:w="446" w:type="pct"/>
                  <w:vMerge w:val="continue"/>
                  <w:tcBorders>
                    <w:top w:val="single" w:color="auto" w:sz="4" w:space="0"/>
                    <w:left w:val="single" w:color="auto" w:sz="4" w:space="0"/>
                    <w:right w:val="single" w:color="auto" w:sz="4" w:space="0"/>
                  </w:tcBorders>
                  <w:vAlign w:val="center"/>
                </w:tcPr>
                <w:p w14:paraId="55AEB31C">
                  <w:pPr>
                    <w:rPr>
                      <w:color w:val="auto"/>
                      <w:szCs w:val="21"/>
                    </w:rPr>
                  </w:pPr>
                </w:p>
              </w:tc>
              <w:tc>
                <w:tcPr>
                  <w:tcW w:w="414" w:type="pct"/>
                  <w:vMerge w:val="continue"/>
                  <w:tcBorders>
                    <w:top w:val="single" w:color="auto" w:sz="4" w:space="0"/>
                    <w:left w:val="single" w:color="auto" w:sz="4" w:space="0"/>
                    <w:right w:val="single" w:color="auto" w:sz="4" w:space="0"/>
                  </w:tcBorders>
                  <w:vAlign w:val="center"/>
                </w:tcPr>
                <w:p w14:paraId="2A1A199B">
                  <w:pPr>
                    <w:rPr>
                      <w:color w:val="auto"/>
                      <w:szCs w:val="21"/>
                    </w:rPr>
                  </w:pPr>
                </w:p>
              </w:tc>
              <w:tc>
                <w:tcPr>
                  <w:tcW w:w="426" w:type="pct"/>
                  <w:vMerge w:val="continue"/>
                  <w:tcBorders>
                    <w:top w:val="single" w:color="auto" w:sz="4" w:space="0"/>
                    <w:left w:val="single" w:color="auto" w:sz="4" w:space="0"/>
                    <w:right w:val="single" w:color="auto" w:sz="4" w:space="0"/>
                  </w:tcBorders>
                  <w:vAlign w:val="center"/>
                </w:tcPr>
                <w:p w14:paraId="46552062">
                  <w:pPr>
                    <w:rPr>
                      <w:color w:val="auto"/>
                      <w:szCs w:val="21"/>
                    </w:rPr>
                  </w:pPr>
                </w:p>
              </w:tc>
              <w:tc>
                <w:tcPr>
                  <w:tcW w:w="368" w:type="pct"/>
                  <w:vMerge w:val="continue"/>
                  <w:tcBorders>
                    <w:top w:val="single" w:color="auto" w:sz="4" w:space="0"/>
                    <w:left w:val="single" w:color="auto" w:sz="4" w:space="0"/>
                    <w:right w:val="single" w:color="auto" w:sz="4" w:space="0"/>
                  </w:tcBorders>
                  <w:vAlign w:val="center"/>
                </w:tcPr>
                <w:p w14:paraId="4AC8179B">
                  <w:pPr>
                    <w:rPr>
                      <w:color w:val="auto"/>
                      <w:szCs w:val="21"/>
                    </w:rPr>
                  </w:pPr>
                </w:p>
              </w:tc>
              <w:tc>
                <w:tcPr>
                  <w:tcW w:w="506" w:type="pct"/>
                  <w:tcBorders>
                    <w:top w:val="single" w:color="auto" w:sz="4" w:space="0"/>
                    <w:left w:val="single" w:color="auto" w:sz="4" w:space="0"/>
                    <w:right w:val="single" w:color="auto" w:sz="4" w:space="0"/>
                  </w:tcBorders>
                  <w:vAlign w:val="center"/>
                </w:tcPr>
                <w:p w14:paraId="793E8480">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ascii="Times New Roman" w:hAnsi="Arial Unicode MS" w:eastAsia="Times New Roman"/>
                      <w:color w:val="auto"/>
                      <w:kern w:val="2"/>
                      <w:position w:val="-6"/>
                      <w:sz w:val="21"/>
                      <w:szCs w:val="21"/>
                      <w:lang w:bidi="ar"/>
                    </w:rPr>
                    <w:t>NH</w:t>
                  </w:r>
                  <w:r>
                    <w:rPr>
                      <w:rFonts w:ascii="Times New Roman" w:hAnsi="Arial Unicode MS" w:eastAsia="Times New Roman"/>
                      <w:color w:val="auto"/>
                      <w:kern w:val="2"/>
                      <w:position w:val="-6"/>
                      <w:sz w:val="21"/>
                      <w:szCs w:val="21"/>
                      <w:vertAlign w:val="subscript"/>
                      <w:lang w:bidi="ar"/>
                    </w:rPr>
                    <w:t>3</w:t>
                  </w:r>
                  <w:r>
                    <w:rPr>
                      <w:rFonts w:ascii="Times New Roman" w:hAnsi="Arial Unicode MS" w:eastAsia="Times New Roman"/>
                      <w:color w:val="auto"/>
                      <w:kern w:val="2"/>
                      <w:position w:val="-6"/>
                      <w:sz w:val="21"/>
                      <w:szCs w:val="21"/>
                      <w:lang w:bidi="ar"/>
                    </w:rPr>
                    <w:t>-N</w:t>
                  </w:r>
                </w:p>
              </w:tc>
              <w:tc>
                <w:tcPr>
                  <w:tcW w:w="628" w:type="pct"/>
                  <w:tcBorders>
                    <w:top w:val="single" w:color="auto" w:sz="4" w:space="0"/>
                    <w:left w:val="single" w:color="auto" w:sz="4" w:space="0"/>
                  </w:tcBorders>
                  <w:vAlign w:val="center"/>
                </w:tcPr>
                <w:p w14:paraId="6E6E119E">
                  <w:pPr>
                    <w:pStyle w:val="26"/>
                    <w:widowControl w:val="0"/>
                    <w:autoSpaceDE w:val="0"/>
                    <w:autoSpaceDN w:val="0"/>
                    <w:adjustRightInd w:val="0"/>
                    <w:spacing w:before="0" w:beforeAutospacing="0" w:after="0" w:afterAutospacing="0"/>
                    <w:jc w:val="center"/>
                    <w:rPr>
                      <w:rFonts w:ascii="Times New Roman" w:hAnsi="Arial Unicode MS" w:eastAsia="Times New Roman"/>
                      <w:color w:val="auto"/>
                      <w:sz w:val="21"/>
                      <w:szCs w:val="21"/>
                    </w:rPr>
                  </w:pPr>
                  <w:r>
                    <w:rPr>
                      <w:rFonts w:hint="eastAsia" w:ascii="Times New Roman" w:hAnsi="Arial Unicode MS" w:eastAsia="Times New Roman"/>
                      <w:color w:val="auto"/>
                      <w:kern w:val="2"/>
                      <w:position w:val="-6"/>
                      <w:sz w:val="21"/>
                      <w:szCs w:val="21"/>
                      <w:lang w:bidi="ar"/>
                    </w:rPr>
                    <w:t>5</w:t>
                  </w:r>
                </w:p>
              </w:tc>
            </w:tr>
          </w:tbl>
          <w:p w14:paraId="0B854114">
            <w:pPr>
              <w:adjustRightInd w:val="0"/>
              <w:spacing w:line="360" w:lineRule="auto"/>
              <w:ind w:left="420" w:leftChars="200"/>
              <w:rPr>
                <w:color w:val="auto"/>
                <w:kern w:val="0"/>
                <w:sz w:val="24"/>
              </w:rPr>
            </w:pPr>
            <w:r>
              <w:rPr>
                <w:rFonts w:hint="eastAsia" w:cs="宋体"/>
                <w:color w:val="auto"/>
                <w:kern w:val="0"/>
                <w:position w:val="-6"/>
                <w:sz w:val="24"/>
                <w:lang w:bidi="ar"/>
              </w:rPr>
              <w:t>废水污染物排放执行标准如下表。</w:t>
            </w:r>
          </w:p>
          <w:p w14:paraId="121E64A6">
            <w:pPr>
              <w:pStyle w:val="6"/>
              <w:numPr>
                <w:ilvl w:val="4"/>
                <w:numId w:val="0"/>
              </w:numPr>
              <w:tabs>
                <w:tab w:val="left" w:pos="420"/>
              </w:tabs>
              <w:spacing w:before="72" w:after="48"/>
              <w:ind w:left="420" w:leftChars="200"/>
              <w:rPr>
                <w:rFonts w:ascii="Times New Roman" w:hAnsi="Times New Roman"/>
                <w:color w:val="auto"/>
                <w:kern w:val="0"/>
                <w:sz w:val="21"/>
                <w:szCs w:val="21"/>
              </w:rPr>
            </w:pPr>
            <w:r>
              <w:rPr>
                <w:rFonts w:ascii="Times New Roman" w:hAnsi="Times New Roman"/>
                <w:color w:val="auto"/>
                <w:kern w:val="0"/>
                <w:sz w:val="21"/>
                <w:szCs w:val="21"/>
              </w:rPr>
              <w:t>表4-</w:t>
            </w:r>
            <w:r>
              <w:rPr>
                <w:rFonts w:hint="eastAsia" w:ascii="Times New Roman" w:hAnsi="Times New Roman"/>
                <w:color w:val="auto"/>
                <w:kern w:val="0"/>
                <w:sz w:val="21"/>
                <w:szCs w:val="21"/>
              </w:rPr>
              <w:t>13</w:t>
            </w:r>
            <w:r>
              <w:rPr>
                <w:rFonts w:ascii="Times New Roman" w:hAnsi="Times New Roman"/>
                <w:color w:val="auto"/>
                <w:kern w:val="0"/>
                <w:sz w:val="21"/>
                <w:szCs w:val="21"/>
              </w:rPr>
              <w:t xml:space="preserve">   废水污染物排放执行标准表</w:t>
            </w:r>
          </w:p>
          <w:tbl>
            <w:tblPr>
              <w:tblStyle w:val="30"/>
              <w:tblW w:w="4986"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738"/>
              <w:gridCol w:w="1442"/>
              <w:gridCol w:w="1604"/>
              <w:gridCol w:w="2953"/>
              <w:gridCol w:w="2032"/>
            </w:tblGrid>
            <w:tr w14:paraId="3E923A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21" w:type="pct"/>
                  <w:vMerge w:val="restart"/>
                  <w:vAlign w:val="center"/>
                </w:tcPr>
                <w:p w14:paraId="3307F99D">
                  <w:pPr>
                    <w:pStyle w:val="100"/>
                    <w:spacing w:line="320" w:lineRule="exact"/>
                    <w:ind w:firstLine="0" w:firstLineChars="0"/>
                    <w:rPr>
                      <w:rFonts w:eastAsia="宋体"/>
                      <w:color w:val="auto"/>
                      <w:szCs w:val="21"/>
                    </w:rPr>
                  </w:pPr>
                  <w:r>
                    <w:rPr>
                      <w:rFonts w:eastAsia="宋体"/>
                      <w:color w:val="auto"/>
                      <w:szCs w:val="21"/>
                    </w:rPr>
                    <w:t>序号</w:t>
                  </w:r>
                </w:p>
              </w:tc>
              <w:tc>
                <w:tcPr>
                  <w:tcW w:w="822" w:type="pct"/>
                  <w:vMerge w:val="restart"/>
                  <w:vAlign w:val="center"/>
                </w:tcPr>
                <w:p w14:paraId="53FFD68C">
                  <w:pPr>
                    <w:pStyle w:val="100"/>
                    <w:spacing w:line="320" w:lineRule="exact"/>
                    <w:ind w:firstLine="0" w:firstLineChars="0"/>
                    <w:rPr>
                      <w:rFonts w:eastAsia="宋体"/>
                      <w:color w:val="auto"/>
                      <w:szCs w:val="21"/>
                    </w:rPr>
                  </w:pPr>
                  <w:r>
                    <w:rPr>
                      <w:rFonts w:eastAsia="宋体"/>
                      <w:color w:val="auto"/>
                      <w:szCs w:val="21"/>
                    </w:rPr>
                    <w:t>排放口编号</w:t>
                  </w:r>
                </w:p>
              </w:tc>
              <w:tc>
                <w:tcPr>
                  <w:tcW w:w="914" w:type="pct"/>
                  <w:vMerge w:val="restart"/>
                  <w:vAlign w:val="center"/>
                </w:tcPr>
                <w:p w14:paraId="18D6A2E3">
                  <w:pPr>
                    <w:pStyle w:val="100"/>
                    <w:spacing w:line="320" w:lineRule="exact"/>
                    <w:ind w:firstLine="0" w:firstLineChars="0"/>
                    <w:rPr>
                      <w:rFonts w:eastAsia="宋体"/>
                      <w:color w:val="auto"/>
                      <w:szCs w:val="21"/>
                    </w:rPr>
                  </w:pPr>
                  <w:r>
                    <w:rPr>
                      <w:rFonts w:eastAsia="宋体"/>
                      <w:color w:val="auto"/>
                      <w:szCs w:val="21"/>
                    </w:rPr>
                    <w:t>污染物种类</w:t>
                  </w:r>
                </w:p>
              </w:tc>
              <w:tc>
                <w:tcPr>
                  <w:tcW w:w="2841" w:type="pct"/>
                  <w:gridSpan w:val="2"/>
                  <w:vAlign w:val="center"/>
                </w:tcPr>
                <w:p w14:paraId="7D3392C3">
                  <w:pPr>
                    <w:pStyle w:val="100"/>
                    <w:spacing w:line="320" w:lineRule="exact"/>
                    <w:ind w:firstLine="0" w:firstLineChars="0"/>
                    <w:rPr>
                      <w:rFonts w:eastAsia="宋体"/>
                      <w:color w:val="auto"/>
                      <w:szCs w:val="21"/>
                    </w:rPr>
                  </w:pPr>
                  <w:r>
                    <w:rPr>
                      <w:rFonts w:eastAsia="宋体"/>
                      <w:color w:val="auto"/>
                      <w:szCs w:val="21"/>
                    </w:rPr>
                    <w:t>污染物排放标准</w:t>
                  </w:r>
                </w:p>
              </w:tc>
            </w:tr>
            <w:tr w14:paraId="1CC736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21" w:type="pct"/>
                  <w:vMerge w:val="continue"/>
                  <w:vAlign w:val="center"/>
                </w:tcPr>
                <w:p w14:paraId="0AE69CF9">
                  <w:pPr>
                    <w:pStyle w:val="100"/>
                    <w:spacing w:line="320" w:lineRule="exact"/>
                    <w:ind w:firstLine="0" w:firstLineChars="0"/>
                    <w:rPr>
                      <w:rFonts w:eastAsia="宋体"/>
                      <w:color w:val="auto"/>
                      <w:szCs w:val="21"/>
                    </w:rPr>
                  </w:pPr>
                </w:p>
              </w:tc>
              <w:tc>
                <w:tcPr>
                  <w:tcW w:w="822" w:type="pct"/>
                  <w:vMerge w:val="continue"/>
                  <w:vAlign w:val="center"/>
                </w:tcPr>
                <w:p w14:paraId="4C20AF68">
                  <w:pPr>
                    <w:pStyle w:val="100"/>
                    <w:spacing w:line="320" w:lineRule="exact"/>
                    <w:ind w:firstLine="0" w:firstLineChars="0"/>
                    <w:rPr>
                      <w:rFonts w:eastAsia="宋体"/>
                      <w:color w:val="auto"/>
                      <w:szCs w:val="21"/>
                    </w:rPr>
                  </w:pPr>
                </w:p>
              </w:tc>
              <w:tc>
                <w:tcPr>
                  <w:tcW w:w="914" w:type="pct"/>
                  <w:vMerge w:val="continue"/>
                  <w:vAlign w:val="center"/>
                </w:tcPr>
                <w:p w14:paraId="1CF61667">
                  <w:pPr>
                    <w:pStyle w:val="100"/>
                    <w:spacing w:line="320" w:lineRule="exact"/>
                    <w:ind w:firstLine="0" w:firstLineChars="0"/>
                    <w:rPr>
                      <w:rFonts w:eastAsia="宋体"/>
                      <w:color w:val="auto"/>
                      <w:szCs w:val="21"/>
                    </w:rPr>
                  </w:pPr>
                </w:p>
              </w:tc>
              <w:tc>
                <w:tcPr>
                  <w:tcW w:w="1683" w:type="pct"/>
                  <w:vAlign w:val="center"/>
                </w:tcPr>
                <w:p w14:paraId="27C63D4B">
                  <w:pPr>
                    <w:pStyle w:val="100"/>
                    <w:spacing w:line="320" w:lineRule="exact"/>
                    <w:ind w:firstLine="0" w:firstLineChars="0"/>
                    <w:rPr>
                      <w:rFonts w:eastAsia="宋体"/>
                      <w:color w:val="auto"/>
                      <w:szCs w:val="21"/>
                    </w:rPr>
                  </w:pPr>
                  <w:r>
                    <w:rPr>
                      <w:rFonts w:eastAsia="宋体"/>
                      <w:color w:val="auto"/>
                      <w:szCs w:val="21"/>
                    </w:rPr>
                    <w:t>名称</w:t>
                  </w:r>
                </w:p>
              </w:tc>
              <w:tc>
                <w:tcPr>
                  <w:tcW w:w="1158" w:type="pct"/>
                  <w:vAlign w:val="center"/>
                </w:tcPr>
                <w:p w14:paraId="7B2A31D8">
                  <w:pPr>
                    <w:pStyle w:val="100"/>
                    <w:spacing w:line="320" w:lineRule="exact"/>
                    <w:ind w:firstLine="0" w:firstLineChars="0"/>
                    <w:rPr>
                      <w:rFonts w:eastAsia="宋体"/>
                      <w:color w:val="auto"/>
                      <w:szCs w:val="21"/>
                    </w:rPr>
                  </w:pPr>
                  <w:r>
                    <w:rPr>
                      <w:rFonts w:eastAsia="宋体"/>
                      <w:color w:val="auto"/>
                      <w:szCs w:val="21"/>
                    </w:rPr>
                    <w:t>浓度限值/(mg/L)</w:t>
                  </w:r>
                </w:p>
              </w:tc>
            </w:tr>
            <w:tr w14:paraId="598BE1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21" w:type="pct"/>
                  <w:vMerge w:val="restart"/>
                  <w:vAlign w:val="center"/>
                </w:tcPr>
                <w:p w14:paraId="217884EC">
                  <w:pPr>
                    <w:pStyle w:val="100"/>
                    <w:spacing w:line="320" w:lineRule="exact"/>
                    <w:ind w:firstLine="0" w:firstLineChars="0"/>
                    <w:rPr>
                      <w:rFonts w:eastAsia="宋体"/>
                      <w:color w:val="auto"/>
                      <w:szCs w:val="21"/>
                    </w:rPr>
                  </w:pPr>
                  <w:r>
                    <w:rPr>
                      <w:rFonts w:eastAsia="宋体"/>
                      <w:color w:val="auto"/>
                      <w:szCs w:val="21"/>
                    </w:rPr>
                    <w:t>1</w:t>
                  </w:r>
                </w:p>
              </w:tc>
              <w:tc>
                <w:tcPr>
                  <w:tcW w:w="822" w:type="pct"/>
                  <w:vMerge w:val="restart"/>
                  <w:vAlign w:val="center"/>
                </w:tcPr>
                <w:p w14:paraId="27902582">
                  <w:pPr>
                    <w:pStyle w:val="100"/>
                    <w:spacing w:line="320" w:lineRule="exact"/>
                    <w:ind w:firstLine="0" w:firstLineChars="0"/>
                    <w:rPr>
                      <w:rFonts w:eastAsia="宋体"/>
                      <w:color w:val="auto"/>
                      <w:szCs w:val="21"/>
                    </w:rPr>
                  </w:pPr>
                  <w:r>
                    <w:rPr>
                      <w:rFonts w:eastAsia="宋体"/>
                      <w:color w:val="auto"/>
                      <w:szCs w:val="21"/>
                    </w:rPr>
                    <w:t>DW001</w:t>
                  </w:r>
                </w:p>
              </w:tc>
              <w:tc>
                <w:tcPr>
                  <w:tcW w:w="914" w:type="pct"/>
                  <w:vAlign w:val="center"/>
                </w:tcPr>
                <w:p w14:paraId="5FFBA28C">
                  <w:pPr>
                    <w:pStyle w:val="86"/>
                    <w:spacing w:line="320" w:lineRule="exact"/>
                    <w:ind w:firstLine="0" w:firstLineChars="0"/>
                    <w:jc w:val="center"/>
                    <w:rPr>
                      <w:rFonts w:cs="Times New Roman"/>
                      <w:color w:val="auto"/>
                      <w:sz w:val="21"/>
                      <w:szCs w:val="21"/>
                    </w:rPr>
                  </w:pPr>
                  <w:r>
                    <w:rPr>
                      <w:rFonts w:cs="Times New Roman"/>
                      <w:color w:val="auto"/>
                      <w:sz w:val="21"/>
                      <w:szCs w:val="21"/>
                    </w:rPr>
                    <w:t>COD</w:t>
                  </w:r>
                </w:p>
              </w:tc>
              <w:tc>
                <w:tcPr>
                  <w:tcW w:w="1683" w:type="pct"/>
                  <w:vMerge w:val="restart"/>
                  <w:vAlign w:val="center"/>
                </w:tcPr>
                <w:p w14:paraId="5397C926">
                  <w:pPr>
                    <w:pStyle w:val="100"/>
                    <w:spacing w:line="320" w:lineRule="exact"/>
                    <w:ind w:firstLine="0" w:firstLineChars="0"/>
                    <w:rPr>
                      <w:rFonts w:eastAsia="宋体"/>
                      <w:color w:val="auto"/>
                      <w:szCs w:val="21"/>
                      <w:highlight w:val="yellow"/>
                    </w:rPr>
                  </w:pPr>
                  <w:r>
                    <w:rPr>
                      <w:rFonts w:eastAsia="宋体"/>
                      <w:color w:val="auto"/>
                      <w:szCs w:val="21"/>
                    </w:rPr>
                    <w:t>《污水综合排放标准》（GB8978-1996）中的三级排放标准</w:t>
                  </w:r>
                  <w:r>
                    <w:rPr>
                      <w:rFonts w:hint="eastAsia" w:eastAsia="宋体"/>
                      <w:color w:val="auto"/>
                      <w:szCs w:val="21"/>
                    </w:rPr>
                    <w:t>，同时须满足污水处理厂接管标准限值要求</w:t>
                  </w:r>
                </w:p>
              </w:tc>
              <w:tc>
                <w:tcPr>
                  <w:tcW w:w="1158" w:type="pct"/>
                  <w:vAlign w:val="center"/>
                </w:tcPr>
                <w:p w14:paraId="010C8D0D">
                  <w:pPr>
                    <w:widowControl/>
                    <w:spacing w:line="320" w:lineRule="exact"/>
                    <w:jc w:val="center"/>
                    <w:rPr>
                      <w:color w:val="auto"/>
                      <w:szCs w:val="21"/>
                    </w:rPr>
                  </w:pPr>
                  <w:r>
                    <w:rPr>
                      <w:rFonts w:hint="eastAsia"/>
                      <w:color w:val="auto"/>
                      <w:szCs w:val="21"/>
                    </w:rPr>
                    <w:t>3</w:t>
                  </w:r>
                  <w:r>
                    <w:rPr>
                      <w:color w:val="auto"/>
                      <w:szCs w:val="21"/>
                    </w:rPr>
                    <w:t>00</w:t>
                  </w:r>
                </w:p>
              </w:tc>
            </w:tr>
            <w:tr w14:paraId="76BDB9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21" w:type="pct"/>
                  <w:vMerge w:val="continue"/>
                  <w:vAlign w:val="center"/>
                </w:tcPr>
                <w:p w14:paraId="666314AC">
                  <w:pPr>
                    <w:pStyle w:val="100"/>
                    <w:spacing w:line="320" w:lineRule="exact"/>
                    <w:ind w:firstLine="0" w:firstLineChars="0"/>
                    <w:rPr>
                      <w:rFonts w:eastAsia="宋体"/>
                      <w:color w:val="auto"/>
                      <w:szCs w:val="21"/>
                    </w:rPr>
                  </w:pPr>
                </w:p>
              </w:tc>
              <w:tc>
                <w:tcPr>
                  <w:tcW w:w="822" w:type="pct"/>
                  <w:vMerge w:val="continue"/>
                  <w:vAlign w:val="center"/>
                </w:tcPr>
                <w:p w14:paraId="021CF88F">
                  <w:pPr>
                    <w:pStyle w:val="100"/>
                    <w:spacing w:line="320" w:lineRule="exact"/>
                    <w:ind w:firstLine="0" w:firstLineChars="0"/>
                    <w:rPr>
                      <w:rFonts w:eastAsia="宋体"/>
                      <w:color w:val="auto"/>
                      <w:szCs w:val="21"/>
                    </w:rPr>
                  </w:pPr>
                </w:p>
              </w:tc>
              <w:tc>
                <w:tcPr>
                  <w:tcW w:w="914" w:type="pct"/>
                  <w:vAlign w:val="center"/>
                </w:tcPr>
                <w:p w14:paraId="2C7832E8">
                  <w:pPr>
                    <w:pStyle w:val="86"/>
                    <w:spacing w:line="320" w:lineRule="exact"/>
                    <w:ind w:firstLine="0" w:firstLineChars="0"/>
                    <w:jc w:val="center"/>
                    <w:rPr>
                      <w:rFonts w:cs="Times New Roman"/>
                      <w:color w:val="auto"/>
                      <w:sz w:val="21"/>
                      <w:szCs w:val="21"/>
                    </w:rPr>
                  </w:pPr>
                  <w:r>
                    <w:rPr>
                      <w:rFonts w:cs="Times New Roman"/>
                      <w:color w:val="auto"/>
                      <w:sz w:val="21"/>
                      <w:szCs w:val="21"/>
                    </w:rPr>
                    <w:t>BOD</w:t>
                  </w:r>
                  <w:r>
                    <w:rPr>
                      <w:rFonts w:cs="Times New Roman"/>
                      <w:color w:val="auto"/>
                      <w:sz w:val="21"/>
                      <w:szCs w:val="21"/>
                      <w:vertAlign w:val="subscript"/>
                    </w:rPr>
                    <w:t>5</w:t>
                  </w:r>
                </w:p>
              </w:tc>
              <w:tc>
                <w:tcPr>
                  <w:tcW w:w="1683" w:type="pct"/>
                  <w:vMerge w:val="continue"/>
                  <w:vAlign w:val="center"/>
                </w:tcPr>
                <w:p w14:paraId="1A45C787">
                  <w:pPr>
                    <w:pStyle w:val="100"/>
                    <w:spacing w:line="320" w:lineRule="exact"/>
                    <w:ind w:firstLine="0" w:firstLineChars="0"/>
                    <w:rPr>
                      <w:rFonts w:eastAsia="宋体"/>
                      <w:color w:val="auto"/>
                      <w:szCs w:val="21"/>
                      <w:highlight w:val="yellow"/>
                    </w:rPr>
                  </w:pPr>
                </w:p>
              </w:tc>
              <w:tc>
                <w:tcPr>
                  <w:tcW w:w="1158" w:type="pct"/>
                  <w:vAlign w:val="center"/>
                </w:tcPr>
                <w:p w14:paraId="020436FA">
                  <w:pPr>
                    <w:widowControl/>
                    <w:spacing w:line="320" w:lineRule="exact"/>
                    <w:jc w:val="center"/>
                    <w:rPr>
                      <w:color w:val="auto"/>
                      <w:szCs w:val="21"/>
                    </w:rPr>
                  </w:pPr>
                  <w:r>
                    <w:rPr>
                      <w:rFonts w:hint="eastAsia"/>
                      <w:color w:val="auto"/>
                      <w:szCs w:val="21"/>
                    </w:rPr>
                    <w:t>130</w:t>
                  </w:r>
                </w:p>
              </w:tc>
            </w:tr>
            <w:tr w14:paraId="5C563F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21" w:type="pct"/>
                  <w:vMerge w:val="continue"/>
                  <w:vAlign w:val="center"/>
                </w:tcPr>
                <w:p w14:paraId="677DD704">
                  <w:pPr>
                    <w:pStyle w:val="100"/>
                    <w:spacing w:line="320" w:lineRule="exact"/>
                    <w:ind w:firstLine="0" w:firstLineChars="0"/>
                    <w:rPr>
                      <w:rFonts w:eastAsia="宋体"/>
                      <w:color w:val="auto"/>
                      <w:szCs w:val="21"/>
                    </w:rPr>
                  </w:pPr>
                </w:p>
              </w:tc>
              <w:tc>
                <w:tcPr>
                  <w:tcW w:w="822" w:type="pct"/>
                  <w:vMerge w:val="continue"/>
                  <w:vAlign w:val="center"/>
                </w:tcPr>
                <w:p w14:paraId="61AEB34E">
                  <w:pPr>
                    <w:pStyle w:val="100"/>
                    <w:spacing w:line="320" w:lineRule="exact"/>
                    <w:ind w:firstLine="0" w:firstLineChars="0"/>
                    <w:rPr>
                      <w:rFonts w:eastAsia="宋体"/>
                      <w:color w:val="auto"/>
                      <w:szCs w:val="21"/>
                    </w:rPr>
                  </w:pPr>
                </w:p>
              </w:tc>
              <w:tc>
                <w:tcPr>
                  <w:tcW w:w="914" w:type="pct"/>
                  <w:vAlign w:val="center"/>
                </w:tcPr>
                <w:p w14:paraId="0621A509">
                  <w:pPr>
                    <w:pStyle w:val="86"/>
                    <w:spacing w:line="320" w:lineRule="exact"/>
                    <w:ind w:firstLine="0" w:firstLineChars="0"/>
                    <w:jc w:val="center"/>
                    <w:rPr>
                      <w:rFonts w:cs="Times New Roman"/>
                      <w:color w:val="auto"/>
                      <w:sz w:val="21"/>
                      <w:szCs w:val="21"/>
                    </w:rPr>
                  </w:pPr>
                  <w:r>
                    <w:rPr>
                      <w:rFonts w:cs="Times New Roman"/>
                      <w:color w:val="auto"/>
                      <w:sz w:val="21"/>
                      <w:szCs w:val="21"/>
                    </w:rPr>
                    <w:t>SS</w:t>
                  </w:r>
                </w:p>
              </w:tc>
              <w:tc>
                <w:tcPr>
                  <w:tcW w:w="1683" w:type="pct"/>
                  <w:vMerge w:val="continue"/>
                  <w:vAlign w:val="center"/>
                </w:tcPr>
                <w:p w14:paraId="53C4FABF">
                  <w:pPr>
                    <w:pStyle w:val="100"/>
                    <w:spacing w:line="320" w:lineRule="exact"/>
                    <w:ind w:firstLine="0" w:firstLineChars="0"/>
                    <w:rPr>
                      <w:rFonts w:eastAsia="宋体"/>
                      <w:color w:val="auto"/>
                      <w:szCs w:val="21"/>
                      <w:highlight w:val="yellow"/>
                    </w:rPr>
                  </w:pPr>
                </w:p>
              </w:tc>
              <w:tc>
                <w:tcPr>
                  <w:tcW w:w="1158" w:type="pct"/>
                  <w:vAlign w:val="center"/>
                </w:tcPr>
                <w:p w14:paraId="46D45F3B">
                  <w:pPr>
                    <w:widowControl/>
                    <w:spacing w:line="320" w:lineRule="exact"/>
                    <w:jc w:val="center"/>
                    <w:rPr>
                      <w:color w:val="auto"/>
                      <w:szCs w:val="21"/>
                    </w:rPr>
                  </w:pPr>
                  <w:r>
                    <w:rPr>
                      <w:rFonts w:hint="eastAsia"/>
                      <w:color w:val="auto"/>
                      <w:szCs w:val="21"/>
                    </w:rPr>
                    <w:t>220</w:t>
                  </w:r>
                </w:p>
              </w:tc>
            </w:tr>
            <w:tr w14:paraId="6036E9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21" w:type="pct"/>
                  <w:vMerge w:val="continue"/>
                  <w:vAlign w:val="center"/>
                </w:tcPr>
                <w:p w14:paraId="73C3E038">
                  <w:pPr>
                    <w:pStyle w:val="100"/>
                    <w:spacing w:line="320" w:lineRule="exact"/>
                    <w:ind w:firstLine="0" w:firstLineChars="0"/>
                    <w:rPr>
                      <w:rFonts w:eastAsia="宋体"/>
                      <w:color w:val="auto"/>
                      <w:szCs w:val="21"/>
                    </w:rPr>
                  </w:pPr>
                </w:p>
              </w:tc>
              <w:tc>
                <w:tcPr>
                  <w:tcW w:w="822" w:type="pct"/>
                  <w:vMerge w:val="continue"/>
                  <w:vAlign w:val="center"/>
                </w:tcPr>
                <w:p w14:paraId="3C7DA9DF">
                  <w:pPr>
                    <w:pStyle w:val="100"/>
                    <w:spacing w:line="320" w:lineRule="exact"/>
                    <w:ind w:firstLine="0" w:firstLineChars="0"/>
                    <w:rPr>
                      <w:rFonts w:eastAsia="宋体"/>
                      <w:color w:val="auto"/>
                      <w:szCs w:val="21"/>
                    </w:rPr>
                  </w:pPr>
                </w:p>
              </w:tc>
              <w:tc>
                <w:tcPr>
                  <w:tcW w:w="914" w:type="pct"/>
                  <w:vAlign w:val="center"/>
                </w:tcPr>
                <w:p w14:paraId="3BEAAEA6">
                  <w:pPr>
                    <w:pStyle w:val="86"/>
                    <w:spacing w:line="320" w:lineRule="exact"/>
                    <w:ind w:firstLine="0" w:firstLineChars="0"/>
                    <w:jc w:val="center"/>
                    <w:rPr>
                      <w:rFonts w:cs="Times New Roman"/>
                      <w:color w:val="auto"/>
                      <w:sz w:val="21"/>
                      <w:szCs w:val="21"/>
                    </w:rPr>
                  </w:pPr>
                  <w:r>
                    <w:rPr>
                      <w:rFonts w:cs="Times New Roman"/>
                      <w:color w:val="auto"/>
                      <w:sz w:val="21"/>
                      <w:szCs w:val="21"/>
                    </w:rPr>
                    <w:t>NH</w:t>
                  </w:r>
                  <w:r>
                    <w:rPr>
                      <w:rFonts w:cs="Times New Roman"/>
                      <w:color w:val="auto"/>
                      <w:sz w:val="21"/>
                      <w:szCs w:val="21"/>
                      <w:vertAlign w:val="subscript"/>
                    </w:rPr>
                    <w:t>3</w:t>
                  </w:r>
                  <w:r>
                    <w:rPr>
                      <w:rFonts w:cs="Times New Roman"/>
                      <w:color w:val="auto"/>
                      <w:sz w:val="21"/>
                      <w:szCs w:val="21"/>
                    </w:rPr>
                    <w:t>-N</w:t>
                  </w:r>
                </w:p>
              </w:tc>
              <w:tc>
                <w:tcPr>
                  <w:tcW w:w="1683" w:type="pct"/>
                  <w:vMerge w:val="continue"/>
                  <w:vAlign w:val="center"/>
                </w:tcPr>
                <w:p w14:paraId="353AD997">
                  <w:pPr>
                    <w:pStyle w:val="100"/>
                    <w:spacing w:line="320" w:lineRule="exact"/>
                    <w:ind w:firstLine="0" w:firstLineChars="0"/>
                    <w:rPr>
                      <w:rFonts w:eastAsia="宋体"/>
                      <w:color w:val="auto"/>
                      <w:szCs w:val="21"/>
                      <w:highlight w:val="yellow"/>
                    </w:rPr>
                  </w:pPr>
                </w:p>
              </w:tc>
              <w:tc>
                <w:tcPr>
                  <w:tcW w:w="1158" w:type="pct"/>
                  <w:vAlign w:val="center"/>
                </w:tcPr>
                <w:p w14:paraId="2DBA540B">
                  <w:pPr>
                    <w:widowControl/>
                    <w:spacing w:line="320" w:lineRule="exact"/>
                    <w:jc w:val="center"/>
                    <w:rPr>
                      <w:color w:val="auto"/>
                      <w:szCs w:val="21"/>
                    </w:rPr>
                  </w:pPr>
                  <w:r>
                    <w:rPr>
                      <w:rFonts w:hint="eastAsia"/>
                      <w:color w:val="auto"/>
                      <w:szCs w:val="21"/>
                    </w:rPr>
                    <w:t>25</w:t>
                  </w:r>
                </w:p>
              </w:tc>
            </w:tr>
          </w:tbl>
          <w:p w14:paraId="35B5874B">
            <w:pPr>
              <w:pStyle w:val="6"/>
              <w:numPr>
                <w:ilvl w:val="4"/>
                <w:numId w:val="0"/>
              </w:numPr>
              <w:tabs>
                <w:tab w:val="left" w:pos="420"/>
              </w:tabs>
              <w:spacing w:before="72" w:after="48"/>
              <w:ind w:left="420" w:leftChars="200"/>
              <w:rPr>
                <w:rFonts w:ascii="Times New Roman" w:hAnsi="Times New Roman"/>
                <w:color w:val="auto"/>
                <w:kern w:val="0"/>
                <w:sz w:val="21"/>
                <w:szCs w:val="21"/>
              </w:rPr>
            </w:pPr>
            <w:r>
              <w:rPr>
                <w:rFonts w:ascii="Times New Roman" w:hAnsi="Times New Roman"/>
                <w:color w:val="auto"/>
                <w:kern w:val="0"/>
                <w:sz w:val="21"/>
                <w:szCs w:val="21"/>
              </w:rPr>
              <w:t>表4-</w:t>
            </w:r>
            <w:r>
              <w:rPr>
                <w:rFonts w:hint="eastAsia" w:ascii="Times New Roman" w:hAnsi="Times New Roman"/>
                <w:color w:val="auto"/>
                <w:kern w:val="0"/>
                <w:sz w:val="21"/>
                <w:szCs w:val="21"/>
              </w:rPr>
              <w:t>14</w:t>
            </w:r>
            <w:r>
              <w:rPr>
                <w:rFonts w:ascii="Times New Roman" w:hAnsi="Times New Roman"/>
                <w:color w:val="auto"/>
                <w:kern w:val="0"/>
                <w:sz w:val="21"/>
                <w:szCs w:val="21"/>
              </w:rPr>
              <w:t xml:space="preserve">  废水污染物排放信息表</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38"/>
              <w:gridCol w:w="1103"/>
              <w:gridCol w:w="1286"/>
              <w:gridCol w:w="1793"/>
              <w:gridCol w:w="1990"/>
              <w:gridCol w:w="1985"/>
            </w:tblGrid>
            <w:tr w14:paraId="155B4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3" w:type="pct"/>
                  <w:vAlign w:val="center"/>
                </w:tcPr>
                <w:p w14:paraId="101405D7">
                  <w:pPr>
                    <w:kinsoku w:val="0"/>
                    <w:overflowPunct w:val="0"/>
                    <w:autoSpaceDE w:val="0"/>
                    <w:autoSpaceDN w:val="0"/>
                    <w:spacing w:line="320" w:lineRule="exact"/>
                    <w:jc w:val="center"/>
                    <w:rPr>
                      <w:color w:val="auto"/>
                      <w:kern w:val="0"/>
                      <w:szCs w:val="21"/>
                    </w:rPr>
                  </w:pPr>
                  <w:r>
                    <w:rPr>
                      <w:color w:val="auto"/>
                      <w:kern w:val="0"/>
                      <w:szCs w:val="21"/>
                    </w:rPr>
                    <w:t>序号</w:t>
                  </w:r>
                </w:p>
              </w:tc>
              <w:tc>
                <w:tcPr>
                  <w:tcW w:w="627" w:type="pct"/>
                  <w:vAlign w:val="center"/>
                </w:tcPr>
                <w:p w14:paraId="6B30C86B">
                  <w:pPr>
                    <w:kinsoku w:val="0"/>
                    <w:overflowPunct w:val="0"/>
                    <w:autoSpaceDE w:val="0"/>
                    <w:autoSpaceDN w:val="0"/>
                    <w:spacing w:line="320" w:lineRule="exact"/>
                    <w:jc w:val="center"/>
                    <w:rPr>
                      <w:color w:val="auto"/>
                      <w:kern w:val="0"/>
                      <w:szCs w:val="21"/>
                    </w:rPr>
                  </w:pPr>
                  <w:r>
                    <w:rPr>
                      <w:color w:val="auto"/>
                      <w:kern w:val="0"/>
                      <w:szCs w:val="21"/>
                    </w:rPr>
                    <w:t>排放口编号</w:t>
                  </w:r>
                </w:p>
              </w:tc>
              <w:tc>
                <w:tcPr>
                  <w:tcW w:w="731" w:type="pct"/>
                  <w:vAlign w:val="center"/>
                </w:tcPr>
                <w:p w14:paraId="49859D5E">
                  <w:pPr>
                    <w:kinsoku w:val="0"/>
                    <w:overflowPunct w:val="0"/>
                    <w:autoSpaceDE w:val="0"/>
                    <w:autoSpaceDN w:val="0"/>
                    <w:spacing w:line="320" w:lineRule="exact"/>
                    <w:jc w:val="center"/>
                    <w:rPr>
                      <w:color w:val="auto"/>
                      <w:kern w:val="0"/>
                      <w:szCs w:val="21"/>
                    </w:rPr>
                  </w:pPr>
                  <w:r>
                    <w:rPr>
                      <w:color w:val="auto"/>
                      <w:kern w:val="0"/>
                      <w:szCs w:val="21"/>
                    </w:rPr>
                    <w:t>污染物种类</w:t>
                  </w:r>
                </w:p>
              </w:tc>
              <w:tc>
                <w:tcPr>
                  <w:tcW w:w="1019" w:type="pct"/>
                  <w:vAlign w:val="center"/>
                </w:tcPr>
                <w:p w14:paraId="25F2F997">
                  <w:pPr>
                    <w:kinsoku w:val="0"/>
                    <w:overflowPunct w:val="0"/>
                    <w:autoSpaceDE w:val="0"/>
                    <w:autoSpaceDN w:val="0"/>
                    <w:spacing w:line="320" w:lineRule="exact"/>
                    <w:jc w:val="center"/>
                    <w:rPr>
                      <w:color w:val="auto"/>
                      <w:kern w:val="0"/>
                      <w:szCs w:val="21"/>
                    </w:rPr>
                  </w:pPr>
                  <w:r>
                    <w:rPr>
                      <w:color w:val="auto"/>
                      <w:kern w:val="0"/>
                      <w:szCs w:val="21"/>
                    </w:rPr>
                    <w:t>排放浓度/(mg/L)</w:t>
                  </w:r>
                </w:p>
              </w:tc>
              <w:tc>
                <w:tcPr>
                  <w:tcW w:w="1130" w:type="pct"/>
                  <w:vAlign w:val="center"/>
                </w:tcPr>
                <w:p w14:paraId="755DD28B">
                  <w:pPr>
                    <w:kinsoku w:val="0"/>
                    <w:overflowPunct w:val="0"/>
                    <w:autoSpaceDE w:val="0"/>
                    <w:autoSpaceDN w:val="0"/>
                    <w:spacing w:line="320" w:lineRule="exact"/>
                    <w:jc w:val="center"/>
                    <w:rPr>
                      <w:color w:val="auto"/>
                      <w:kern w:val="0"/>
                      <w:szCs w:val="21"/>
                    </w:rPr>
                  </w:pPr>
                  <w:r>
                    <w:rPr>
                      <w:color w:val="auto"/>
                      <w:kern w:val="0"/>
                      <w:szCs w:val="21"/>
                    </w:rPr>
                    <w:t>日排放量/(t/d)</w:t>
                  </w:r>
                </w:p>
              </w:tc>
              <w:tc>
                <w:tcPr>
                  <w:tcW w:w="1128" w:type="pct"/>
                  <w:vAlign w:val="center"/>
                </w:tcPr>
                <w:p w14:paraId="2B6323A5">
                  <w:pPr>
                    <w:kinsoku w:val="0"/>
                    <w:overflowPunct w:val="0"/>
                    <w:autoSpaceDE w:val="0"/>
                    <w:autoSpaceDN w:val="0"/>
                    <w:spacing w:line="320" w:lineRule="exact"/>
                    <w:jc w:val="center"/>
                    <w:rPr>
                      <w:color w:val="auto"/>
                      <w:kern w:val="0"/>
                      <w:szCs w:val="21"/>
                    </w:rPr>
                  </w:pPr>
                  <w:r>
                    <w:rPr>
                      <w:color w:val="auto"/>
                      <w:kern w:val="0"/>
                      <w:szCs w:val="21"/>
                    </w:rPr>
                    <w:t>年排放量/(t/a)</w:t>
                  </w:r>
                </w:p>
              </w:tc>
            </w:tr>
            <w:tr w14:paraId="45860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3" w:type="pct"/>
                  <w:vMerge w:val="restart"/>
                  <w:vAlign w:val="center"/>
                </w:tcPr>
                <w:p w14:paraId="6908FB12">
                  <w:pPr>
                    <w:kinsoku w:val="0"/>
                    <w:overflowPunct w:val="0"/>
                    <w:autoSpaceDE w:val="0"/>
                    <w:autoSpaceDN w:val="0"/>
                    <w:spacing w:line="320" w:lineRule="exact"/>
                    <w:jc w:val="center"/>
                    <w:rPr>
                      <w:color w:val="auto"/>
                      <w:kern w:val="0"/>
                      <w:szCs w:val="21"/>
                    </w:rPr>
                  </w:pPr>
                  <w:r>
                    <w:rPr>
                      <w:color w:val="auto"/>
                      <w:kern w:val="0"/>
                      <w:szCs w:val="21"/>
                    </w:rPr>
                    <w:t>1</w:t>
                  </w:r>
                </w:p>
              </w:tc>
              <w:tc>
                <w:tcPr>
                  <w:tcW w:w="627" w:type="pct"/>
                  <w:vMerge w:val="restart"/>
                  <w:vAlign w:val="center"/>
                </w:tcPr>
                <w:p w14:paraId="1894C45F">
                  <w:pPr>
                    <w:kinsoku w:val="0"/>
                    <w:overflowPunct w:val="0"/>
                    <w:autoSpaceDE w:val="0"/>
                    <w:autoSpaceDN w:val="0"/>
                    <w:spacing w:line="320" w:lineRule="exact"/>
                    <w:jc w:val="center"/>
                    <w:rPr>
                      <w:color w:val="auto"/>
                      <w:kern w:val="0"/>
                      <w:szCs w:val="21"/>
                    </w:rPr>
                  </w:pPr>
                  <w:r>
                    <w:rPr>
                      <w:color w:val="auto"/>
                      <w:kern w:val="0"/>
                      <w:szCs w:val="21"/>
                    </w:rPr>
                    <w:t>DW001</w:t>
                  </w:r>
                </w:p>
              </w:tc>
              <w:tc>
                <w:tcPr>
                  <w:tcW w:w="731" w:type="pct"/>
                  <w:vAlign w:val="center"/>
                </w:tcPr>
                <w:p w14:paraId="1E3E3A65">
                  <w:pPr>
                    <w:spacing w:line="320" w:lineRule="exact"/>
                    <w:jc w:val="center"/>
                    <w:rPr>
                      <w:color w:val="auto"/>
                      <w:szCs w:val="21"/>
                    </w:rPr>
                  </w:pPr>
                  <w:r>
                    <w:rPr>
                      <w:color w:val="auto"/>
                      <w:szCs w:val="21"/>
                    </w:rPr>
                    <w:t>COD</w:t>
                  </w:r>
                </w:p>
              </w:tc>
              <w:tc>
                <w:tcPr>
                  <w:tcW w:w="1019" w:type="pct"/>
                  <w:vAlign w:val="center"/>
                </w:tcPr>
                <w:p w14:paraId="5452EBEA">
                  <w:pPr>
                    <w:spacing w:line="320" w:lineRule="exact"/>
                    <w:jc w:val="center"/>
                    <w:rPr>
                      <w:color w:val="auto"/>
                      <w:szCs w:val="21"/>
                    </w:rPr>
                  </w:pPr>
                  <w:r>
                    <w:rPr>
                      <w:color w:val="auto"/>
                      <w:szCs w:val="21"/>
                    </w:rPr>
                    <w:t>2</w:t>
                  </w:r>
                  <w:r>
                    <w:rPr>
                      <w:rFonts w:hint="eastAsia"/>
                      <w:color w:val="auto"/>
                      <w:szCs w:val="21"/>
                    </w:rPr>
                    <w:t>5</w:t>
                  </w:r>
                  <w:r>
                    <w:rPr>
                      <w:color w:val="auto"/>
                      <w:szCs w:val="21"/>
                    </w:rPr>
                    <w:t>0</w:t>
                  </w:r>
                </w:p>
              </w:tc>
              <w:tc>
                <w:tcPr>
                  <w:tcW w:w="1130" w:type="pct"/>
                  <w:vAlign w:val="center"/>
                </w:tcPr>
                <w:p w14:paraId="0C3144D5">
                  <w:pPr>
                    <w:widowControl/>
                    <w:spacing w:line="320" w:lineRule="exact"/>
                    <w:jc w:val="center"/>
                    <w:textAlignment w:val="center"/>
                    <w:rPr>
                      <w:color w:val="auto"/>
                      <w:szCs w:val="21"/>
                      <w:highlight w:val="yellow"/>
                    </w:rPr>
                  </w:pPr>
                  <w:r>
                    <w:rPr>
                      <w:rFonts w:hint="eastAsia"/>
                      <w:color w:val="auto"/>
                      <w:kern w:val="0"/>
                      <w:szCs w:val="21"/>
                      <w:lang w:bidi="ar"/>
                    </w:rPr>
                    <w:t>0.0025</w:t>
                  </w:r>
                </w:p>
              </w:tc>
              <w:tc>
                <w:tcPr>
                  <w:tcW w:w="1941" w:type="dxa"/>
                  <w:vAlign w:val="center"/>
                </w:tcPr>
                <w:p w14:paraId="592A442B">
                  <w:pPr>
                    <w:widowControl/>
                    <w:jc w:val="center"/>
                    <w:textAlignment w:val="center"/>
                    <w:rPr>
                      <w:color w:val="auto"/>
                      <w:szCs w:val="21"/>
                    </w:rPr>
                  </w:pPr>
                  <w:r>
                    <w:rPr>
                      <w:color w:val="auto"/>
                      <w:szCs w:val="21"/>
                    </w:rPr>
                    <w:t>0.07</w:t>
                  </w:r>
                  <w:r>
                    <w:rPr>
                      <w:rFonts w:hint="eastAsia"/>
                      <w:color w:val="auto"/>
                      <w:szCs w:val="21"/>
                    </w:rPr>
                    <w:t>5</w:t>
                  </w:r>
                </w:p>
              </w:tc>
            </w:tr>
            <w:tr w14:paraId="63979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3" w:type="pct"/>
                  <w:vMerge w:val="continue"/>
                  <w:vAlign w:val="center"/>
                </w:tcPr>
                <w:p w14:paraId="41B73741">
                  <w:pPr>
                    <w:kinsoku w:val="0"/>
                    <w:overflowPunct w:val="0"/>
                    <w:autoSpaceDE w:val="0"/>
                    <w:autoSpaceDN w:val="0"/>
                    <w:spacing w:line="320" w:lineRule="exact"/>
                    <w:jc w:val="center"/>
                    <w:rPr>
                      <w:color w:val="auto"/>
                      <w:kern w:val="0"/>
                      <w:szCs w:val="21"/>
                    </w:rPr>
                  </w:pPr>
                </w:p>
              </w:tc>
              <w:tc>
                <w:tcPr>
                  <w:tcW w:w="627" w:type="pct"/>
                  <w:vMerge w:val="continue"/>
                  <w:vAlign w:val="center"/>
                </w:tcPr>
                <w:p w14:paraId="2CCF8A23">
                  <w:pPr>
                    <w:kinsoku w:val="0"/>
                    <w:overflowPunct w:val="0"/>
                    <w:autoSpaceDE w:val="0"/>
                    <w:autoSpaceDN w:val="0"/>
                    <w:spacing w:line="320" w:lineRule="exact"/>
                    <w:jc w:val="center"/>
                    <w:rPr>
                      <w:color w:val="auto"/>
                      <w:kern w:val="0"/>
                      <w:szCs w:val="21"/>
                    </w:rPr>
                  </w:pPr>
                </w:p>
              </w:tc>
              <w:tc>
                <w:tcPr>
                  <w:tcW w:w="731" w:type="pct"/>
                  <w:vAlign w:val="center"/>
                </w:tcPr>
                <w:p w14:paraId="30F32C2B">
                  <w:pPr>
                    <w:spacing w:line="320" w:lineRule="exact"/>
                    <w:jc w:val="center"/>
                    <w:rPr>
                      <w:color w:val="auto"/>
                      <w:szCs w:val="21"/>
                    </w:rPr>
                  </w:pPr>
                  <w:r>
                    <w:rPr>
                      <w:color w:val="auto"/>
                      <w:szCs w:val="21"/>
                    </w:rPr>
                    <w:t>BOD</w:t>
                  </w:r>
                  <w:r>
                    <w:rPr>
                      <w:color w:val="auto"/>
                      <w:szCs w:val="21"/>
                      <w:vertAlign w:val="subscript"/>
                    </w:rPr>
                    <w:t>5</w:t>
                  </w:r>
                </w:p>
              </w:tc>
              <w:tc>
                <w:tcPr>
                  <w:tcW w:w="1019" w:type="pct"/>
                  <w:vAlign w:val="center"/>
                </w:tcPr>
                <w:p w14:paraId="7BF24416">
                  <w:pPr>
                    <w:spacing w:line="320" w:lineRule="exact"/>
                    <w:jc w:val="center"/>
                    <w:rPr>
                      <w:color w:val="auto"/>
                      <w:szCs w:val="21"/>
                    </w:rPr>
                  </w:pPr>
                  <w:r>
                    <w:rPr>
                      <w:color w:val="auto"/>
                      <w:szCs w:val="21"/>
                    </w:rPr>
                    <w:t>1</w:t>
                  </w:r>
                  <w:r>
                    <w:rPr>
                      <w:rFonts w:hint="eastAsia"/>
                      <w:color w:val="auto"/>
                      <w:szCs w:val="21"/>
                    </w:rPr>
                    <w:t>2</w:t>
                  </w:r>
                  <w:r>
                    <w:rPr>
                      <w:color w:val="auto"/>
                      <w:szCs w:val="21"/>
                    </w:rPr>
                    <w:t>0</w:t>
                  </w:r>
                </w:p>
              </w:tc>
              <w:tc>
                <w:tcPr>
                  <w:tcW w:w="1130" w:type="pct"/>
                  <w:vAlign w:val="center"/>
                </w:tcPr>
                <w:p w14:paraId="182AF15D">
                  <w:pPr>
                    <w:widowControl/>
                    <w:spacing w:line="320" w:lineRule="exact"/>
                    <w:jc w:val="center"/>
                    <w:textAlignment w:val="center"/>
                    <w:rPr>
                      <w:color w:val="auto"/>
                      <w:szCs w:val="21"/>
                    </w:rPr>
                  </w:pPr>
                  <w:r>
                    <w:rPr>
                      <w:color w:val="auto"/>
                      <w:kern w:val="0"/>
                      <w:szCs w:val="21"/>
                      <w:lang w:bidi="ar"/>
                    </w:rPr>
                    <w:t>0.00</w:t>
                  </w:r>
                  <w:r>
                    <w:rPr>
                      <w:rFonts w:hint="eastAsia"/>
                      <w:color w:val="auto"/>
                      <w:kern w:val="0"/>
                      <w:szCs w:val="21"/>
                      <w:lang w:bidi="ar"/>
                    </w:rPr>
                    <w:t>12</w:t>
                  </w:r>
                </w:p>
              </w:tc>
              <w:tc>
                <w:tcPr>
                  <w:tcW w:w="1941" w:type="dxa"/>
                  <w:vAlign w:val="center"/>
                </w:tcPr>
                <w:p w14:paraId="427A2984">
                  <w:pPr>
                    <w:widowControl/>
                    <w:jc w:val="center"/>
                    <w:textAlignment w:val="center"/>
                    <w:rPr>
                      <w:color w:val="auto"/>
                      <w:szCs w:val="21"/>
                    </w:rPr>
                  </w:pPr>
                  <w:r>
                    <w:rPr>
                      <w:color w:val="auto"/>
                      <w:szCs w:val="21"/>
                    </w:rPr>
                    <w:t>0.03</w:t>
                  </w:r>
                  <w:r>
                    <w:rPr>
                      <w:rFonts w:hint="eastAsia"/>
                      <w:color w:val="auto"/>
                      <w:szCs w:val="21"/>
                    </w:rPr>
                    <w:t>6</w:t>
                  </w:r>
                  <w:r>
                    <w:rPr>
                      <w:color w:val="auto"/>
                      <w:szCs w:val="21"/>
                    </w:rPr>
                    <w:t xml:space="preserve"> </w:t>
                  </w:r>
                </w:p>
              </w:tc>
            </w:tr>
            <w:tr w14:paraId="293DE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3" w:type="pct"/>
                  <w:vMerge w:val="continue"/>
                  <w:vAlign w:val="center"/>
                </w:tcPr>
                <w:p w14:paraId="49A1AE52">
                  <w:pPr>
                    <w:kinsoku w:val="0"/>
                    <w:overflowPunct w:val="0"/>
                    <w:autoSpaceDE w:val="0"/>
                    <w:autoSpaceDN w:val="0"/>
                    <w:spacing w:line="320" w:lineRule="exact"/>
                    <w:jc w:val="center"/>
                    <w:rPr>
                      <w:color w:val="auto"/>
                      <w:kern w:val="0"/>
                      <w:szCs w:val="21"/>
                    </w:rPr>
                  </w:pPr>
                </w:p>
              </w:tc>
              <w:tc>
                <w:tcPr>
                  <w:tcW w:w="627" w:type="pct"/>
                  <w:vMerge w:val="continue"/>
                  <w:vAlign w:val="center"/>
                </w:tcPr>
                <w:p w14:paraId="5AA952A9">
                  <w:pPr>
                    <w:kinsoku w:val="0"/>
                    <w:overflowPunct w:val="0"/>
                    <w:autoSpaceDE w:val="0"/>
                    <w:autoSpaceDN w:val="0"/>
                    <w:spacing w:line="320" w:lineRule="exact"/>
                    <w:jc w:val="center"/>
                    <w:rPr>
                      <w:color w:val="auto"/>
                      <w:kern w:val="0"/>
                      <w:szCs w:val="21"/>
                    </w:rPr>
                  </w:pPr>
                </w:p>
              </w:tc>
              <w:tc>
                <w:tcPr>
                  <w:tcW w:w="731" w:type="pct"/>
                  <w:vAlign w:val="center"/>
                </w:tcPr>
                <w:p w14:paraId="2CD4F330">
                  <w:pPr>
                    <w:spacing w:line="320" w:lineRule="exact"/>
                    <w:jc w:val="center"/>
                    <w:rPr>
                      <w:color w:val="auto"/>
                      <w:szCs w:val="21"/>
                    </w:rPr>
                  </w:pPr>
                  <w:r>
                    <w:rPr>
                      <w:color w:val="auto"/>
                      <w:szCs w:val="21"/>
                    </w:rPr>
                    <w:t>SS</w:t>
                  </w:r>
                </w:p>
              </w:tc>
              <w:tc>
                <w:tcPr>
                  <w:tcW w:w="1019" w:type="pct"/>
                  <w:vAlign w:val="center"/>
                </w:tcPr>
                <w:p w14:paraId="00825175">
                  <w:pPr>
                    <w:spacing w:line="320" w:lineRule="exact"/>
                    <w:jc w:val="center"/>
                    <w:rPr>
                      <w:color w:val="auto"/>
                      <w:szCs w:val="21"/>
                    </w:rPr>
                  </w:pPr>
                  <w:r>
                    <w:rPr>
                      <w:color w:val="auto"/>
                      <w:szCs w:val="21"/>
                    </w:rPr>
                    <w:t>1</w:t>
                  </w:r>
                  <w:r>
                    <w:rPr>
                      <w:rFonts w:hint="eastAsia"/>
                      <w:color w:val="auto"/>
                      <w:szCs w:val="21"/>
                    </w:rPr>
                    <w:t>00</w:t>
                  </w:r>
                </w:p>
              </w:tc>
              <w:tc>
                <w:tcPr>
                  <w:tcW w:w="1130" w:type="pct"/>
                  <w:vAlign w:val="center"/>
                </w:tcPr>
                <w:p w14:paraId="227BA0E4">
                  <w:pPr>
                    <w:widowControl/>
                    <w:spacing w:line="320" w:lineRule="exact"/>
                    <w:jc w:val="center"/>
                    <w:textAlignment w:val="center"/>
                    <w:rPr>
                      <w:color w:val="auto"/>
                      <w:szCs w:val="21"/>
                      <w:highlight w:val="yellow"/>
                    </w:rPr>
                  </w:pPr>
                  <w:r>
                    <w:rPr>
                      <w:color w:val="auto"/>
                      <w:kern w:val="0"/>
                      <w:szCs w:val="21"/>
                      <w:lang w:bidi="ar"/>
                    </w:rPr>
                    <w:t>0.0</w:t>
                  </w:r>
                  <w:r>
                    <w:rPr>
                      <w:rFonts w:hint="eastAsia"/>
                      <w:color w:val="auto"/>
                      <w:kern w:val="0"/>
                      <w:szCs w:val="21"/>
                      <w:lang w:bidi="ar"/>
                    </w:rPr>
                    <w:t>01</w:t>
                  </w:r>
                </w:p>
              </w:tc>
              <w:tc>
                <w:tcPr>
                  <w:tcW w:w="1941" w:type="dxa"/>
                  <w:vAlign w:val="center"/>
                </w:tcPr>
                <w:p w14:paraId="7BD804D2">
                  <w:pPr>
                    <w:widowControl/>
                    <w:jc w:val="center"/>
                    <w:textAlignment w:val="center"/>
                    <w:rPr>
                      <w:color w:val="auto"/>
                      <w:szCs w:val="21"/>
                    </w:rPr>
                  </w:pPr>
                  <w:r>
                    <w:rPr>
                      <w:color w:val="auto"/>
                      <w:szCs w:val="21"/>
                    </w:rPr>
                    <w:t>0.0</w:t>
                  </w:r>
                  <w:r>
                    <w:rPr>
                      <w:rFonts w:hint="eastAsia"/>
                      <w:color w:val="auto"/>
                      <w:szCs w:val="21"/>
                    </w:rPr>
                    <w:t>30</w:t>
                  </w:r>
                  <w:r>
                    <w:rPr>
                      <w:color w:val="auto"/>
                      <w:szCs w:val="21"/>
                    </w:rPr>
                    <w:t xml:space="preserve"> </w:t>
                  </w:r>
                </w:p>
              </w:tc>
            </w:tr>
            <w:tr w14:paraId="44FC7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3" w:type="pct"/>
                  <w:vMerge w:val="continue"/>
                  <w:vAlign w:val="center"/>
                </w:tcPr>
                <w:p w14:paraId="470406DD">
                  <w:pPr>
                    <w:kinsoku w:val="0"/>
                    <w:overflowPunct w:val="0"/>
                    <w:autoSpaceDE w:val="0"/>
                    <w:autoSpaceDN w:val="0"/>
                    <w:spacing w:line="320" w:lineRule="exact"/>
                    <w:jc w:val="center"/>
                    <w:rPr>
                      <w:color w:val="auto"/>
                      <w:kern w:val="0"/>
                      <w:szCs w:val="21"/>
                    </w:rPr>
                  </w:pPr>
                </w:p>
              </w:tc>
              <w:tc>
                <w:tcPr>
                  <w:tcW w:w="627" w:type="pct"/>
                  <w:vMerge w:val="continue"/>
                  <w:vAlign w:val="center"/>
                </w:tcPr>
                <w:p w14:paraId="008832CB">
                  <w:pPr>
                    <w:kinsoku w:val="0"/>
                    <w:overflowPunct w:val="0"/>
                    <w:autoSpaceDE w:val="0"/>
                    <w:autoSpaceDN w:val="0"/>
                    <w:spacing w:line="320" w:lineRule="exact"/>
                    <w:jc w:val="center"/>
                    <w:rPr>
                      <w:color w:val="auto"/>
                      <w:kern w:val="0"/>
                      <w:szCs w:val="21"/>
                    </w:rPr>
                  </w:pPr>
                </w:p>
              </w:tc>
              <w:tc>
                <w:tcPr>
                  <w:tcW w:w="731" w:type="pct"/>
                  <w:vAlign w:val="center"/>
                </w:tcPr>
                <w:p w14:paraId="04113572">
                  <w:pPr>
                    <w:spacing w:line="320" w:lineRule="exact"/>
                    <w:jc w:val="center"/>
                    <w:rPr>
                      <w:color w:val="auto"/>
                      <w:szCs w:val="21"/>
                    </w:rPr>
                  </w:pPr>
                  <w:r>
                    <w:rPr>
                      <w:color w:val="auto"/>
                      <w:szCs w:val="21"/>
                    </w:rPr>
                    <w:t>NH</w:t>
                  </w:r>
                  <w:r>
                    <w:rPr>
                      <w:color w:val="auto"/>
                      <w:szCs w:val="21"/>
                      <w:vertAlign w:val="subscript"/>
                    </w:rPr>
                    <w:t>3</w:t>
                  </w:r>
                  <w:r>
                    <w:rPr>
                      <w:color w:val="auto"/>
                      <w:szCs w:val="21"/>
                    </w:rPr>
                    <w:t>-N</w:t>
                  </w:r>
                </w:p>
              </w:tc>
              <w:tc>
                <w:tcPr>
                  <w:tcW w:w="1019" w:type="pct"/>
                  <w:vAlign w:val="center"/>
                </w:tcPr>
                <w:p w14:paraId="233C0386">
                  <w:pPr>
                    <w:spacing w:line="320" w:lineRule="exact"/>
                    <w:jc w:val="center"/>
                    <w:rPr>
                      <w:color w:val="auto"/>
                      <w:szCs w:val="21"/>
                    </w:rPr>
                  </w:pPr>
                  <w:r>
                    <w:rPr>
                      <w:rFonts w:hint="eastAsia"/>
                      <w:color w:val="auto"/>
                      <w:szCs w:val="21"/>
                    </w:rPr>
                    <w:t>25</w:t>
                  </w:r>
                </w:p>
              </w:tc>
              <w:tc>
                <w:tcPr>
                  <w:tcW w:w="1130" w:type="pct"/>
                  <w:vAlign w:val="center"/>
                </w:tcPr>
                <w:p w14:paraId="505FF7FD">
                  <w:pPr>
                    <w:widowControl/>
                    <w:spacing w:line="320" w:lineRule="exact"/>
                    <w:jc w:val="center"/>
                    <w:textAlignment w:val="center"/>
                    <w:rPr>
                      <w:color w:val="auto"/>
                      <w:szCs w:val="21"/>
                    </w:rPr>
                  </w:pPr>
                  <w:r>
                    <w:rPr>
                      <w:color w:val="auto"/>
                      <w:kern w:val="0"/>
                      <w:szCs w:val="21"/>
                      <w:lang w:bidi="ar"/>
                    </w:rPr>
                    <w:t>0.000</w:t>
                  </w:r>
                  <w:r>
                    <w:rPr>
                      <w:rFonts w:hint="eastAsia"/>
                      <w:color w:val="auto"/>
                      <w:kern w:val="0"/>
                      <w:szCs w:val="21"/>
                      <w:lang w:bidi="ar"/>
                    </w:rPr>
                    <w:t>25</w:t>
                  </w:r>
                </w:p>
              </w:tc>
              <w:tc>
                <w:tcPr>
                  <w:tcW w:w="1941" w:type="dxa"/>
                  <w:vAlign w:val="center"/>
                </w:tcPr>
                <w:p w14:paraId="0CB98A54">
                  <w:pPr>
                    <w:widowControl/>
                    <w:jc w:val="center"/>
                    <w:textAlignment w:val="center"/>
                    <w:rPr>
                      <w:color w:val="auto"/>
                      <w:szCs w:val="21"/>
                    </w:rPr>
                  </w:pPr>
                  <w:r>
                    <w:rPr>
                      <w:color w:val="auto"/>
                      <w:szCs w:val="21"/>
                    </w:rPr>
                    <w:t>0.0</w:t>
                  </w:r>
                  <w:r>
                    <w:rPr>
                      <w:rFonts w:hint="eastAsia"/>
                      <w:color w:val="auto"/>
                      <w:szCs w:val="21"/>
                    </w:rPr>
                    <w:t>08</w:t>
                  </w:r>
                </w:p>
              </w:tc>
            </w:tr>
            <w:tr w14:paraId="73124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990" w:type="pct"/>
                  <w:gridSpan w:val="2"/>
                  <w:vMerge w:val="restart"/>
                  <w:vAlign w:val="center"/>
                </w:tcPr>
                <w:p w14:paraId="24CA49CC">
                  <w:pPr>
                    <w:kinsoku w:val="0"/>
                    <w:overflowPunct w:val="0"/>
                    <w:autoSpaceDE w:val="0"/>
                    <w:autoSpaceDN w:val="0"/>
                    <w:spacing w:line="320" w:lineRule="exact"/>
                    <w:jc w:val="center"/>
                    <w:rPr>
                      <w:color w:val="auto"/>
                      <w:kern w:val="0"/>
                      <w:szCs w:val="21"/>
                    </w:rPr>
                  </w:pPr>
                  <w:r>
                    <w:rPr>
                      <w:color w:val="auto"/>
                      <w:kern w:val="0"/>
                      <w:szCs w:val="21"/>
                    </w:rPr>
                    <w:t>全厂排放口合计</w:t>
                  </w:r>
                </w:p>
              </w:tc>
              <w:tc>
                <w:tcPr>
                  <w:tcW w:w="2881" w:type="pct"/>
                  <w:gridSpan w:val="3"/>
                  <w:vAlign w:val="center"/>
                </w:tcPr>
                <w:p w14:paraId="7F7DE7BB">
                  <w:pPr>
                    <w:spacing w:line="320" w:lineRule="exact"/>
                    <w:jc w:val="center"/>
                    <w:rPr>
                      <w:color w:val="auto"/>
                      <w:szCs w:val="21"/>
                    </w:rPr>
                  </w:pPr>
                  <w:r>
                    <w:rPr>
                      <w:color w:val="auto"/>
                      <w:szCs w:val="21"/>
                    </w:rPr>
                    <w:t>COD</w:t>
                  </w:r>
                </w:p>
              </w:tc>
              <w:tc>
                <w:tcPr>
                  <w:tcW w:w="1941" w:type="dxa"/>
                  <w:vAlign w:val="center"/>
                </w:tcPr>
                <w:p w14:paraId="1C2FDBDC">
                  <w:pPr>
                    <w:widowControl/>
                    <w:jc w:val="center"/>
                    <w:textAlignment w:val="center"/>
                    <w:rPr>
                      <w:color w:val="auto"/>
                      <w:szCs w:val="21"/>
                    </w:rPr>
                  </w:pPr>
                  <w:r>
                    <w:rPr>
                      <w:color w:val="auto"/>
                      <w:szCs w:val="21"/>
                    </w:rPr>
                    <w:t>0.07</w:t>
                  </w:r>
                  <w:r>
                    <w:rPr>
                      <w:rFonts w:hint="eastAsia"/>
                      <w:color w:val="auto"/>
                      <w:szCs w:val="21"/>
                    </w:rPr>
                    <w:t>5</w:t>
                  </w:r>
                </w:p>
              </w:tc>
            </w:tr>
            <w:tr w14:paraId="05595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990" w:type="pct"/>
                  <w:gridSpan w:val="2"/>
                  <w:vMerge w:val="continue"/>
                  <w:vAlign w:val="center"/>
                </w:tcPr>
                <w:p w14:paraId="1E821F47">
                  <w:pPr>
                    <w:kinsoku w:val="0"/>
                    <w:overflowPunct w:val="0"/>
                    <w:autoSpaceDE w:val="0"/>
                    <w:autoSpaceDN w:val="0"/>
                    <w:spacing w:line="320" w:lineRule="exact"/>
                    <w:jc w:val="center"/>
                    <w:rPr>
                      <w:color w:val="auto"/>
                      <w:kern w:val="0"/>
                      <w:szCs w:val="21"/>
                    </w:rPr>
                  </w:pPr>
                </w:p>
              </w:tc>
              <w:tc>
                <w:tcPr>
                  <w:tcW w:w="2881" w:type="pct"/>
                  <w:gridSpan w:val="3"/>
                  <w:vAlign w:val="center"/>
                </w:tcPr>
                <w:p w14:paraId="00F6B9BE">
                  <w:pPr>
                    <w:spacing w:line="320" w:lineRule="exact"/>
                    <w:jc w:val="center"/>
                    <w:rPr>
                      <w:color w:val="auto"/>
                      <w:szCs w:val="21"/>
                    </w:rPr>
                  </w:pPr>
                  <w:r>
                    <w:rPr>
                      <w:color w:val="auto"/>
                      <w:szCs w:val="21"/>
                    </w:rPr>
                    <w:t>BOD</w:t>
                  </w:r>
                  <w:r>
                    <w:rPr>
                      <w:color w:val="auto"/>
                      <w:szCs w:val="21"/>
                      <w:vertAlign w:val="subscript"/>
                    </w:rPr>
                    <w:t>5</w:t>
                  </w:r>
                </w:p>
              </w:tc>
              <w:tc>
                <w:tcPr>
                  <w:tcW w:w="1941" w:type="dxa"/>
                  <w:vAlign w:val="center"/>
                </w:tcPr>
                <w:p w14:paraId="1440646D">
                  <w:pPr>
                    <w:widowControl/>
                    <w:jc w:val="center"/>
                    <w:textAlignment w:val="center"/>
                    <w:rPr>
                      <w:color w:val="auto"/>
                      <w:szCs w:val="21"/>
                    </w:rPr>
                  </w:pPr>
                  <w:r>
                    <w:rPr>
                      <w:color w:val="auto"/>
                      <w:szCs w:val="21"/>
                    </w:rPr>
                    <w:t>0.03</w:t>
                  </w:r>
                  <w:r>
                    <w:rPr>
                      <w:rFonts w:hint="eastAsia"/>
                      <w:color w:val="auto"/>
                      <w:szCs w:val="21"/>
                    </w:rPr>
                    <w:t>6</w:t>
                  </w:r>
                  <w:r>
                    <w:rPr>
                      <w:color w:val="auto"/>
                      <w:szCs w:val="21"/>
                    </w:rPr>
                    <w:t xml:space="preserve"> </w:t>
                  </w:r>
                </w:p>
              </w:tc>
            </w:tr>
            <w:tr w14:paraId="6B67F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990" w:type="pct"/>
                  <w:gridSpan w:val="2"/>
                  <w:vMerge w:val="continue"/>
                  <w:vAlign w:val="center"/>
                </w:tcPr>
                <w:p w14:paraId="4F96C79C">
                  <w:pPr>
                    <w:kinsoku w:val="0"/>
                    <w:overflowPunct w:val="0"/>
                    <w:autoSpaceDE w:val="0"/>
                    <w:autoSpaceDN w:val="0"/>
                    <w:spacing w:line="320" w:lineRule="exact"/>
                    <w:jc w:val="center"/>
                    <w:rPr>
                      <w:color w:val="auto"/>
                      <w:kern w:val="0"/>
                      <w:szCs w:val="21"/>
                    </w:rPr>
                  </w:pPr>
                </w:p>
              </w:tc>
              <w:tc>
                <w:tcPr>
                  <w:tcW w:w="2881" w:type="pct"/>
                  <w:gridSpan w:val="3"/>
                  <w:vAlign w:val="center"/>
                </w:tcPr>
                <w:p w14:paraId="66749728">
                  <w:pPr>
                    <w:spacing w:line="320" w:lineRule="exact"/>
                    <w:jc w:val="center"/>
                    <w:rPr>
                      <w:color w:val="auto"/>
                      <w:szCs w:val="21"/>
                    </w:rPr>
                  </w:pPr>
                  <w:r>
                    <w:rPr>
                      <w:color w:val="auto"/>
                      <w:szCs w:val="21"/>
                    </w:rPr>
                    <w:t>SS</w:t>
                  </w:r>
                </w:p>
              </w:tc>
              <w:tc>
                <w:tcPr>
                  <w:tcW w:w="1941" w:type="dxa"/>
                  <w:vAlign w:val="center"/>
                </w:tcPr>
                <w:p w14:paraId="21D7B5D8">
                  <w:pPr>
                    <w:widowControl/>
                    <w:jc w:val="center"/>
                    <w:textAlignment w:val="center"/>
                    <w:rPr>
                      <w:color w:val="auto"/>
                      <w:szCs w:val="21"/>
                    </w:rPr>
                  </w:pPr>
                  <w:r>
                    <w:rPr>
                      <w:color w:val="auto"/>
                      <w:szCs w:val="21"/>
                    </w:rPr>
                    <w:t>0.0</w:t>
                  </w:r>
                  <w:r>
                    <w:rPr>
                      <w:rFonts w:hint="eastAsia"/>
                      <w:color w:val="auto"/>
                      <w:szCs w:val="21"/>
                    </w:rPr>
                    <w:t>30</w:t>
                  </w:r>
                  <w:r>
                    <w:rPr>
                      <w:color w:val="auto"/>
                      <w:szCs w:val="21"/>
                    </w:rPr>
                    <w:t xml:space="preserve"> </w:t>
                  </w:r>
                </w:p>
              </w:tc>
            </w:tr>
            <w:tr w14:paraId="55143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990" w:type="pct"/>
                  <w:gridSpan w:val="2"/>
                  <w:vMerge w:val="continue"/>
                  <w:vAlign w:val="center"/>
                </w:tcPr>
                <w:p w14:paraId="0D922BDC">
                  <w:pPr>
                    <w:kinsoku w:val="0"/>
                    <w:overflowPunct w:val="0"/>
                    <w:autoSpaceDE w:val="0"/>
                    <w:autoSpaceDN w:val="0"/>
                    <w:spacing w:line="320" w:lineRule="exact"/>
                    <w:jc w:val="center"/>
                    <w:rPr>
                      <w:color w:val="auto"/>
                      <w:kern w:val="0"/>
                      <w:szCs w:val="21"/>
                    </w:rPr>
                  </w:pPr>
                </w:p>
              </w:tc>
              <w:tc>
                <w:tcPr>
                  <w:tcW w:w="2881" w:type="pct"/>
                  <w:gridSpan w:val="3"/>
                  <w:vAlign w:val="center"/>
                </w:tcPr>
                <w:p w14:paraId="3BA94B4C">
                  <w:pPr>
                    <w:spacing w:line="320" w:lineRule="exact"/>
                    <w:jc w:val="center"/>
                    <w:rPr>
                      <w:color w:val="auto"/>
                      <w:szCs w:val="21"/>
                    </w:rPr>
                  </w:pPr>
                  <w:r>
                    <w:rPr>
                      <w:color w:val="auto"/>
                      <w:szCs w:val="21"/>
                    </w:rPr>
                    <w:t>NH</w:t>
                  </w:r>
                  <w:r>
                    <w:rPr>
                      <w:color w:val="auto"/>
                      <w:szCs w:val="21"/>
                      <w:vertAlign w:val="subscript"/>
                    </w:rPr>
                    <w:t>3</w:t>
                  </w:r>
                  <w:r>
                    <w:rPr>
                      <w:color w:val="auto"/>
                      <w:szCs w:val="21"/>
                    </w:rPr>
                    <w:t>-N</w:t>
                  </w:r>
                </w:p>
              </w:tc>
              <w:tc>
                <w:tcPr>
                  <w:tcW w:w="1941" w:type="dxa"/>
                  <w:vAlign w:val="center"/>
                </w:tcPr>
                <w:p w14:paraId="68BA7B2C">
                  <w:pPr>
                    <w:widowControl/>
                    <w:jc w:val="center"/>
                    <w:textAlignment w:val="center"/>
                    <w:rPr>
                      <w:color w:val="auto"/>
                      <w:szCs w:val="21"/>
                    </w:rPr>
                  </w:pPr>
                  <w:r>
                    <w:rPr>
                      <w:color w:val="auto"/>
                      <w:szCs w:val="21"/>
                    </w:rPr>
                    <w:t>0.0</w:t>
                  </w:r>
                  <w:r>
                    <w:rPr>
                      <w:rFonts w:hint="eastAsia"/>
                      <w:color w:val="auto"/>
                      <w:szCs w:val="21"/>
                    </w:rPr>
                    <w:t>08</w:t>
                  </w:r>
                </w:p>
              </w:tc>
            </w:tr>
          </w:tbl>
          <w:p w14:paraId="04412208">
            <w:pPr>
              <w:spacing w:line="360" w:lineRule="auto"/>
              <w:jc w:val="center"/>
              <w:rPr>
                <w:rFonts w:cs="宋体"/>
                <w:b/>
                <w:color w:val="auto"/>
                <w:position w:val="-6"/>
                <w:szCs w:val="21"/>
                <w:lang w:bidi="ar"/>
              </w:rPr>
            </w:pPr>
          </w:p>
          <w:p w14:paraId="51C32E66">
            <w:pPr>
              <w:spacing w:line="360" w:lineRule="auto"/>
              <w:ind w:firstLine="482" w:firstLineChars="200"/>
              <w:rPr>
                <w:b/>
                <w:bCs/>
                <w:color w:val="auto"/>
                <w:sz w:val="24"/>
              </w:rPr>
            </w:pPr>
            <w:r>
              <w:rPr>
                <w:rFonts w:hint="eastAsia"/>
                <w:b/>
                <w:bCs/>
                <w:color w:val="auto"/>
                <w:sz w:val="24"/>
              </w:rPr>
              <w:t>（2）依托集中污水处理厂的可行性分析</w:t>
            </w:r>
          </w:p>
          <w:p w14:paraId="47D7E050">
            <w:pPr>
              <w:spacing w:line="360" w:lineRule="auto"/>
              <w:ind w:firstLine="480" w:firstLineChars="200"/>
              <w:rPr>
                <w:color w:val="auto"/>
                <w:sz w:val="24"/>
              </w:rPr>
            </w:pPr>
            <w:r>
              <w:rPr>
                <w:rFonts w:hint="eastAsia"/>
                <w:color w:val="auto"/>
                <w:sz w:val="24"/>
              </w:rPr>
              <w:t>湘潭县第一污水处理厂位于湘潭县易俗河镇金桂北路，一期工程污水处理规模2.5×10</w:t>
            </w:r>
            <w:r>
              <w:rPr>
                <w:rFonts w:hint="eastAsia"/>
                <w:color w:val="auto"/>
                <w:sz w:val="24"/>
                <w:vertAlign w:val="superscript"/>
              </w:rPr>
              <w:t>4</w:t>
            </w:r>
            <w:r>
              <w:rPr>
                <w:rFonts w:hint="eastAsia"/>
                <w:color w:val="auto"/>
                <w:sz w:val="24"/>
              </w:rPr>
              <w:t>m</w:t>
            </w:r>
            <w:r>
              <w:rPr>
                <w:rFonts w:hint="eastAsia"/>
                <w:color w:val="auto"/>
                <w:sz w:val="24"/>
                <w:vertAlign w:val="superscript"/>
              </w:rPr>
              <w:t>3</w:t>
            </w:r>
            <w:r>
              <w:rPr>
                <w:rFonts w:hint="eastAsia"/>
                <w:color w:val="auto"/>
                <w:sz w:val="24"/>
              </w:rPr>
              <w:t>/d，于2009年9月建成投产，并于2009年10月进行验收；二期工程污水处理规模2.5×10</w:t>
            </w:r>
            <w:r>
              <w:rPr>
                <w:rFonts w:hint="eastAsia"/>
                <w:color w:val="auto"/>
                <w:sz w:val="24"/>
                <w:vertAlign w:val="superscript"/>
              </w:rPr>
              <w:t>4</w:t>
            </w:r>
            <w:r>
              <w:rPr>
                <w:rFonts w:hint="eastAsia"/>
                <w:color w:val="auto"/>
                <w:sz w:val="24"/>
              </w:rPr>
              <w:t>m</w:t>
            </w:r>
            <w:r>
              <w:rPr>
                <w:rFonts w:hint="eastAsia"/>
                <w:color w:val="auto"/>
                <w:sz w:val="24"/>
                <w:vertAlign w:val="superscript"/>
              </w:rPr>
              <w:t>3</w:t>
            </w:r>
            <w:r>
              <w:rPr>
                <w:rFonts w:hint="eastAsia"/>
                <w:color w:val="auto"/>
                <w:sz w:val="24"/>
              </w:rPr>
              <w:t xml:space="preserve">/d，于2014年1月建成投产，并于2014年8月进行验收。      </w:t>
            </w:r>
          </w:p>
          <w:p w14:paraId="3FC52E0F">
            <w:pPr>
              <w:spacing w:line="360" w:lineRule="auto"/>
              <w:ind w:firstLine="480" w:firstLineChars="200"/>
              <w:rPr>
                <w:color w:val="auto"/>
                <w:sz w:val="24"/>
              </w:rPr>
            </w:pPr>
            <w:r>
              <w:rPr>
                <w:rFonts w:hint="eastAsia"/>
                <w:color w:val="auto"/>
                <w:sz w:val="24"/>
              </w:rPr>
              <w:t>本项目所在地属于湘潭县第一污水处理厂的纳污范围，项目建成后废水经污水管网进入湘潭县第一污水处理厂进行处理，达到《城镇污水处理厂污染物排放标准》（GB18918-2002）中一级A标准后排入湘江。本项目主要污染因子为CODcr、BOD</w:t>
            </w:r>
            <w:r>
              <w:rPr>
                <w:rFonts w:hint="eastAsia"/>
                <w:color w:val="auto"/>
                <w:sz w:val="24"/>
                <w:vertAlign w:val="subscript"/>
              </w:rPr>
              <w:t>5</w:t>
            </w:r>
            <w:r>
              <w:rPr>
                <w:rFonts w:hint="eastAsia"/>
                <w:color w:val="auto"/>
                <w:sz w:val="24"/>
              </w:rPr>
              <w:t>、氨氮和SS等，污染物中无重金属、化工废物等难处理污染因子。生活污水依托园区化粪池处理后，可以达到湘潭县北控天意水质净化有限公司运营的湘潭县第一污水处理厂接管标准（pH6~9、COD≤300mg/L、BOD</w:t>
            </w:r>
            <w:r>
              <w:rPr>
                <w:rFonts w:hint="eastAsia"/>
                <w:color w:val="auto"/>
                <w:sz w:val="24"/>
                <w:vertAlign w:val="subscript"/>
              </w:rPr>
              <w:t>5</w:t>
            </w:r>
            <w:r>
              <w:rPr>
                <w:rFonts w:hint="eastAsia"/>
                <w:color w:val="auto"/>
                <w:sz w:val="24"/>
              </w:rPr>
              <w:t>≤130mg/L、SS≤220mg/L、NH</w:t>
            </w:r>
            <w:r>
              <w:rPr>
                <w:rFonts w:hint="eastAsia"/>
                <w:color w:val="auto"/>
                <w:sz w:val="24"/>
                <w:vertAlign w:val="subscript"/>
              </w:rPr>
              <w:t>3</w:t>
            </w:r>
            <w:r>
              <w:rPr>
                <w:rFonts w:hint="eastAsia"/>
                <w:color w:val="auto"/>
                <w:sz w:val="24"/>
              </w:rPr>
              <w:t>-N≤25mg/L）。</w:t>
            </w:r>
          </w:p>
          <w:p w14:paraId="0A84DCDB">
            <w:pPr>
              <w:spacing w:line="360" w:lineRule="auto"/>
              <w:ind w:firstLine="480" w:firstLineChars="200"/>
              <w:rPr>
                <w:color w:val="auto"/>
                <w:sz w:val="24"/>
              </w:rPr>
            </w:pPr>
            <w:r>
              <w:rPr>
                <w:rFonts w:hint="eastAsia"/>
                <w:color w:val="auto"/>
                <w:sz w:val="24"/>
              </w:rPr>
              <w:t>湘潭县第一污水处理厂的设计总水量为5×10</w:t>
            </w:r>
            <w:r>
              <w:rPr>
                <w:rFonts w:hint="eastAsia"/>
                <w:color w:val="auto"/>
                <w:sz w:val="24"/>
                <w:vertAlign w:val="superscript"/>
              </w:rPr>
              <w:t>4</w:t>
            </w:r>
            <w:r>
              <w:rPr>
                <w:rFonts w:hint="eastAsia"/>
                <w:color w:val="auto"/>
                <w:sz w:val="24"/>
              </w:rPr>
              <w:t>m</w:t>
            </w:r>
            <w:r>
              <w:rPr>
                <w:rFonts w:hint="eastAsia"/>
                <w:color w:val="auto"/>
                <w:sz w:val="24"/>
                <w:vertAlign w:val="superscript"/>
              </w:rPr>
              <w:t>3</w:t>
            </w:r>
            <w:r>
              <w:rPr>
                <w:rFonts w:hint="eastAsia"/>
                <w:color w:val="auto"/>
                <w:sz w:val="24"/>
              </w:rPr>
              <w:t>/d，目前已满负荷运行，但已开展将湘潭县第一污水处理厂的污水调至湘潭县第二污水处理厂进行处理的处理方案，并且2021年湘潭县第二污水处理厂已扩建，扩建后将达到5万m</w:t>
            </w:r>
            <w:r>
              <w:rPr>
                <w:rFonts w:hint="eastAsia"/>
                <w:color w:val="auto"/>
                <w:sz w:val="24"/>
                <w:vertAlign w:val="superscript"/>
              </w:rPr>
              <w:t>3</w:t>
            </w:r>
            <w:r>
              <w:rPr>
                <w:rFonts w:hint="eastAsia"/>
                <w:color w:val="auto"/>
                <w:sz w:val="24"/>
              </w:rPr>
              <w:t>/d 的污水处理能力，则湘潭县第一、二污水处理厂污水总处理能力为10万m</w:t>
            </w:r>
            <w:r>
              <w:rPr>
                <w:rFonts w:hint="eastAsia"/>
                <w:color w:val="auto"/>
                <w:sz w:val="24"/>
                <w:vertAlign w:val="superscript"/>
              </w:rPr>
              <w:t>3</w:t>
            </w:r>
            <w:r>
              <w:rPr>
                <w:rFonts w:hint="eastAsia"/>
                <w:color w:val="auto"/>
                <w:sz w:val="24"/>
              </w:rPr>
              <w:t>/d ，根据湘潭县第二污水处理厂二期扩建工程建设项目环境影响报告表，两个污水处理厂总处理水量日均值为7.86 万m</w:t>
            </w:r>
            <w:r>
              <w:rPr>
                <w:rFonts w:hint="eastAsia"/>
                <w:color w:val="auto"/>
                <w:sz w:val="24"/>
                <w:vertAlign w:val="superscript"/>
              </w:rPr>
              <w:t>3</w:t>
            </w:r>
            <w:r>
              <w:rPr>
                <w:rFonts w:hint="eastAsia"/>
                <w:color w:val="auto"/>
                <w:sz w:val="24"/>
              </w:rPr>
              <w:t>/d。本项目总污水1m</w:t>
            </w:r>
            <w:r>
              <w:rPr>
                <w:rFonts w:hint="eastAsia"/>
                <w:color w:val="auto"/>
                <w:sz w:val="24"/>
                <w:vertAlign w:val="superscript"/>
              </w:rPr>
              <w:t>3</w:t>
            </w:r>
            <w:r>
              <w:rPr>
                <w:rFonts w:hint="eastAsia"/>
                <w:color w:val="auto"/>
                <w:sz w:val="24"/>
              </w:rPr>
              <w:t>/d，仅占余量的0.005%，因此能够被湘潭县第一污水处理厂接纳。</w:t>
            </w:r>
          </w:p>
          <w:p w14:paraId="26196426">
            <w:pPr>
              <w:spacing w:line="360" w:lineRule="auto"/>
              <w:ind w:firstLine="480" w:firstLineChars="200"/>
              <w:rPr>
                <w:color w:val="auto"/>
                <w:sz w:val="24"/>
              </w:rPr>
            </w:pPr>
            <w:r>
              <w:rPr>
                <w:rFonts w:hint="eastAsia"/>
                <w:color w:val="auto"/>
                <w:sz w:val="24"/>
              </w:rPr>
              <w:t>上述污水经湘潭县第一污水处理厂处理达到《城镇污水处理厂污染物排放标准》（GB18918-2002）中一级A标准后排入湘江。由此可知，项目产生的生活污水对周围环境产生影响较小。</w:t>
            </w:r>
          </w:p>
          <w:p w14:paraId="3723CE30">
            <w:pPr>
              <w:spacing w:line="360" w:lineRule="auto"/>
              <w:ind w:firstLine="482" w:firstLineChars="200"/>
              <w:rPr>
                <w:b/>
                <w:bCs/>
                <w:color w:val="auto"/>
                <w:sz w:val="24"/>
              </w:rPr>
            </w:pPr>
            <w:r>
              <w:rPr>
                <w:rFonts w:hint="eastAsia"/>
                <w:b/>
                <w:bCs/>
                <w:color w:val="auto"/>
                <w:sz w:val="24"/>
              </w:rPr>
              <w:t>（3）废水污染物监测计划</w:t>
            </w:r>
          </w:p>
          <w:p w14:paraId="73A9CCBE">
            <w:pPr>
              <w:spacing w:line="360" w:lineRule="auto"/>
              <w:ind w:firstLine="480" w:firstLineChars="200"/>
              <w:rPr>
                <w:rFonts w:ascii="宋体" w:hAnsi="宋体"/>
                <w:color w:val="auto"/>
                <w:sz w:val="24"/>
              </w:rPr>
            </w:pPr>
            <w:r>
              <w:rPr>
                <w:rFonts w:hint="eastAsia" w:ascii="宋体" w:hAnsi="宋体"/>
                <w:color w:val="auto"/>
                <w:sz w:val="24"/>
              </w:rPr>
              <w:t>根据</w:t>
            </w:r>
            <w:r>
              <w:rPr>
                <w:rFonts w:ascii="宋体" w:hAnsi="宋体"/>
                <w:color w:val="auto"/>
                <w:sz w:val="24"/>
              </w:rPr>
              <w:t>《排污许可证申请与核发技术规范 金属铸造工业》（HJ1115—2020）、</w:t>
            </w:r>
            <w:r>
              <w:rPr>
                <w:rFonts w:hint="eastAsia" w:ascii="宋体" w:hAnsi="宋体"/>
                <w:color w:val="auto"/>
                <w:sz w:val="24"/>
              </w:rPr>
              <w:t>《排污单位自行监测技术指南</w:t>
            </w:r>
            <w:r>
              <w:rPr>
                <w:rFonts w:hint="eastAsia"/>
                <w:color w:val="auto"/>
                <w:sz w:val="24"/>
              </w:rPr>
              <w:t xml:space="preserve"> </w:t>
            </w:r>
            <w:r>
              <w:rPr>
                <w:rFonts w:hint="eastAsia" w:ascii="宋体" w:hAnsi="宋体"/>
                <w:color w:val="auto"/>
                <w:sz w:val="24"/>
              </w:rPr>
              <w:t>金属铸造</w:t>
            </w:r>
            <w:r>
              <w:rPr>
                <w:rFonts w:hint="eastAsia"/>
                <w:color w:val="auto"/>
                <w:sz w:val="24"/>
              </w:rPr>
              <w:t>工业》（HJ1251-2022</w:t>
            </w:r>
            <w:r>
              <w:rPr>
                <w:rFonts w:hint="eastAsia" w:ascii="宋体" w:hAnsi="宋体"/>
                <w:color w:val="auto"/>
                <w:sz w:val="24"/>
              </w:rPr>
              <w:t>）</w:t>
            </w:r>
            <w:r>
              <w:rPr>
                <w:rFonts w:ascii="宋体" w:hAnsi="宋体"/>
                <w:color w:val="auto"/>
                <w:sz w:val="24"/>
              </w:rPr>
              <w:t>，本项目废水自行监测要求见下表</w:t>
            </w:r>
            <w:r>
              <w:rPr>
                <w:rFonts w:hint="eastAsia" w:ascii="宋体" w:hAnsi="宋体"/>
                <w:color w:val="auto"/>
                <w:sz w:val="24"/>
              </w:rPr>
              <w:t>。</w:t>
            </w:r>
          </w:p>
          <w:p w14:paraId="542095E6">
            <w:pPr>
              <w:ind w:firstLine="382" w:firstLineChars="200"/>
              <w:jc w:val="center"/>
              <w:rPr>
                <w:b/>
                <w:bCs/>
                <w:color w:val="auto"/>
                <w:spacing w:val="-10"/>
                <w:szCs w:val="21"/>
              </w:rPr>
            </w:pPr>
            <w:r>
              <w:rPr>
                <w:rFonts w:ascii="宋体" w:hAnsi="宋体"/>
                <w:b/>
                <w:bCs/>
                <w:color w:val="auto"/>
                <w:spacing w:val="-10"/>
              </w:rPr>
              <w:t>表</w:t>
            </w:r>
            <w:r>
              <w:rPr>
                <w:rFonts w:hint="eastAsia"/>
                <w:b/>
                <w:bCs/>
                <w:color w:val="auto"/>
                <w:spacing w:val="-10"/>
              </w:rPr>
              <w:t>4-15</w:t>
            </w:r>
            <w:r>
              <w:rPr>
                <w:b/>
                <w:bCs/>
                <w:color w:val="auto"/>
                <w:spacing w:val="-10"/>
              </w:rPr>
              <w:t xml:space="preserve">  </w:t>
            </w:r>
            <w:r>
              <w:rPr>
                <w:rFonts w:ascii="宋体" w:hAnsi="宋体"/>
                <w:b/>
                <w:bCs/>
                <w:color w:val="auto"/>
                <w:spacing w:val="-10"/>
              </w:rPr>
              <w:t>废水自行监测计划一览表</w:t>
            </w:r>
          </w:p>
          <w:tbl>
            <w:tblPr>
              <w:tblStyle w:val="30"/>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633"/>
              <w:gridCol w:w="2814"/>
              <w:gridCol w:w="1312"/>
              <w:gridCol w:w="3020"/>
            </w:tblGrid>
            <w:tr w14:paraId="61D8DA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3" w:hRule="atLeast"/>
              </w:trPr>
              <w:tc>
                <w:tcPr>
                  <w:tcW w:w="930" w:type="pct"/>
                  <w:tcBorders>
                    <w:top w:val="single" w:color="auto" w:sz="12" w:space="0"/>
                    <w:left w:val="single" w:color="auto" w:sz="12" w:space="0"/>
                    <w:bottom w:val="single" w:color="auto" w:sz="6" w:space="0"/>
                    <w:right w:val="single" w:color="auto" w:sz="6" w:space="0"/>
                  </w:tcBorders>
                  <w:vAlign w:val="center"/>
                </w:tcPr>
                <w:p w14:paraId="01238295">
                  <w:pPr>
                    <w:jc w:val="center"/>
                    <w:rPr>
                      <w:b/>
                      <w:bCs/>
                      <w:color w:val="auto"/>
                      <w:spacing w:val="-10"/>
                      <w:szCs w:val="21"/>
                    </w:rPr>
                  </w:pPr>
                  <w:r>
                    <w:rPr>
                      <w:b/>
                      <w:bCs/>
                      <w:color w:val="auto"/>
                      <w:spacing w:val="-10"/>
                    </w:rPr>
                    <w:t>监测点位</w:t>
                  </w:r>
                </w:p>
              </w:tc>
              <w:tc>
                <w:tcPr>
                  <w:tcW w:w="1602" w:type="pct"/>
                  <w:tcBorders>
                    <w:top w:val="single" w:color="auto" w:sz="12" w:space="0"/>
                    <w:left w:val="single" w:color="auto" w:sz="6" w:space="0"/>
                    <w:bottom w:val="single" w:color="auto" w:sz="6" w:space="0"/>
                    <w:right w:val="single" w:color="auto" w:sz="6" w:space="0"/>
                  </w:tcBorders>
                  <w:vAlign w:val="center"/>
                </w:tcPr>
                <w:p w14:paraId="4A55426E">
                  <w:pPr>
                    <w:jc w:val="center"/>
                    <w:rPr>
                      <w:b/>
                      <w:bCs/>
                      <w:color w:val="auto"/>
                      <w:spacing w:val="-10"/>
                      <w:szCs w:val="21"/>
                    </w:rPr>
                  </w:pPr>
                  <w:r>
                    <w:rPr>
                      <w:b/>
                      <w:bCs/>
                      <w:color w:val="auto"/>
                      <w:spacing w:val="-10"/>
                    </w:rPr>
                    <w:t>监测因子</w:t>
                  </w:r>
                </w:p>
              </w:tc>
              <w:tc>
                <w:tcPr>
                  <w:tcW w:w="747" w:type="pct"/>
                  <w:tcBorders>
                    <w:top w:val="single" w:color="auto" w:sz="12" w:space="0"/>
                    <w:left w:val="single" w:color="auto" w:sz="6" w:space="0"/>
                    <w:bottom w:val="single" w:color="auto" w:sz="6" w:space="0"/>
                    <w:right w:val="single" w:color="auto" w:sz="6" w:space="0"/>
                  </w:tcBorders>
                  <w:vAlign w:val="center"/>
                </w:tcPr>
                <w:p w14:paraId="43E2478F">
                  <w:pPr>
                    <w:jc w:val="center"/>
                    <w:rPr>
                      <w:b/>
                      <w:bCs/>
                      <w:color w:val="auto"/>
                      <w:spacing w:val="-10"/>
                      <w:szCs w:val="21"/>
                    </w:rPr>
                  </w:pPr>
                  <w:r>
                    <w:rPr>
                      <w:b/>
                      <w:bCs/>
                      <w:color w:val="auto"/>
                      <w:spacing w:val="-10"/>
                    </w:rPr>
                    <w:t>监测频次</w:t>
                  </w:r>
                </w:p>
              </w:tc>
              <w:tc>
                <w:tcPr>
                  <w:tcW w:w="1719" w:type="pct"/>
                  <w:tcBorders>
                    <w:top w:val="single" w:color="auto" w:sz="12" w:space="0"/>
                    <w:left w:val="single" w:color="auto" w:sz="6" w:space="0"/>
                    <w:bottom w:val="single" w:color="auto" w:sz="6" w:space="0"/>
                    <w:right w:val="single" w:color="auto" w:sz="12" w:space="0"/>
                  </w:tcBorders>
                  <w:vAlign w:val="center"/>
                </w:tcPr>
                <w:p w14:paraId="5AE016D5">
                  <w:pPr>
                    <w:jc w:val="center"/>
                    <w:rPr>
                      <w:b/>
                      <w:bCs/>
                      <w:color w:val="auto"/>
                      <w:spacing w:val="-10"/>
                      <w:szCs w:val="21"/>
                    </w:rPr>
                  </w:pPr>
                  <w:r>
                    <w:rPr>
                      <w:b/>
                      <w:bCs/>
                      <w:color w:val="auto"/>
                      <w:spacing w:val="-10"/>
                    </w:rPr>
                    <w:t>执行标准</w:t>
                  </w:r>
                </w:p>
              </w:tc>
            </w:tr>
            <w:tr w14:paraId="4C4B86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7" w:hRule="atLeast"/>
              </w:trPr>
              <w:tc>
                <w:tcPr>
                  <w:tcW w:w="930" w:type="pct"/>
                  <w:tcBorders>
                    <w:top w:val="single" w:color="auto" w:sz="6" w:space="0"/>
                    <w:left w:val="single" w:color="auto" w:sz="12" w:space="0"/>
                    <w:bottom w:val="single" w:color="auto" w:sz="12" w:space="0"/>
                    <w:right w:val="single" w:color="auto" w:sz="6" w:space="0"/>
                  </w:tcBorders>
                  <w:vAlign w:val="center"/>
                </w:tcPr>
                <w:p w14:paraId="5732C592">
                  <w:pPr>
                    <w:jc w:val="center"/>
                    <w:rPr>
                      <w:color w:val="auto"/>
                      <w:szCs w:val="21"/>
                    </w:rPr>
                  </w:pPr>
                  <w:r>
                    <w:rPr>
                      <w:color w:val="auto"/>
                    </w:rPr>
                    <w:t>废水总排</w:t>
                  </w:r>
                  <w:r>
                    <w:rPr>
                      <w:rFonts w:hint="eastAsia"/>
                      <w:color w:val="auto"/>
                    </w:rPr>
                    <w:t>放</w:t>
                  </w:r>
                  <w:r>
                    <w:rPr>
                      <w:color w:val="auto"/>
                    </w:rPr>
                    <w:t>口DW001</w:t>
                  </w:r>
                </w:p>
              </w:tc>
              <w:tc>
                <w:tcPr>
                  <w:tcW w:w="1602" w:type="pct"/>
                  <w:tcBorders>
                    <w:top w:val="single" w:color="auto" w:sz="6" w:space="0"/>
                    <w:left w:val="single" w:color="auto" w:sz="6" w:space="0"/>
                    <w:bottom w:val="single" w:color="auto" w:sz="12" w:space="0"/>
                    <w:right w:val="single" w:color="auto" w:sz="6" w:space="0"/>
                  </w:tcBorders>
                  <w:vAlign w:val="center"/>
                </w:tcPr>
                <w:p w14:paraId="51D2547E">
                  <w:pPr>
                    <w:jc w:val="center"/>
                    <w:rPr>
                      <w:color w:val="auto"/>
                    </w:rPr>
                  </w:pPr>
                  <w:r>
                    <w:rPr>
                      <w:color w:val="auto"/>
                    </w:rPr>
                    <w:t>pH值、色度、悬浮物、化学需氧量、五日生化需氧量、氨氮、总磷、总氮</w:t>
                  </w:r>
                </w:p>
              </w:tc>
              <w:tc>
                <w:tcPr>
                  <w:tcW w:w="747" w:type="pct"/>
                  <w:tcBorders>
                    <w:top w:val="single" w:color="auto" w:sz="6" w:space="0"/>
                    <w:left w:val="single" w:color="auto" w:sz="6" w:space="0"/>
                    <w:bottom w:val="single" w:color="auto" w:sz="12" w:space="0"/>
                    <w:right w:val="single" w:color="auto" w:sz="6" w:space="0"/>
                  </w:tcBorders>
                  <w:vAlign w:val="center"/>
                </w:tcPr>
                <w:p w14:paraId="0D00598B">
                  <w:pPr>
                    <w:jc w:val="center"/>
                    <w:rPr>
                      <w:color w:val="auto"/>
                      <w:szCs w:val="21"/>
                    </w:rPr>
                  </w:pPr>
                  <w:r>
                    <w:rPr>
                      <w:color w:val="auto"/>
                    </w:rPr>
                    <w:t>1次/年</w:t>
                  </w:r>
                </w:p>
              </w:tc>
              <w:tc>
                <w:tcPr>
                  <w:tcW w:w="1719" w:type="pct"/>
                  <w:tcBorders>
                    <w:top w:val="single" w:color="auto" w:sz="6" w:space="0"/>
                    <w:left w:val="single" w:color="auto" w:sz="6" w:space="0"/>
                    <w:bottom w:val="single" w:color="auto" w:sz="12" w:space="0"/>
                    <w:right w:val="single" w:color="auto" w:sz="12" w:space="0"/>
                  </w:tcBorders>
                  <w:vAlign w:val="center"/>
                </w:tcPr>
                <w:p w14:paraId="6177CEF5">
                  <w:pPr>
                    <w:jc w:val="center"/>
                    <w:rPr>
                      <w:color w:val="auto"/>
                      <w:szCs w:val="21"/>
                    </w:rPr>
                  </w:pPr>
                  <w:r>
                    <w:rPr>
                      <w:color w:val="auto"/>
                      <w:szCs w:val="21"/>
                    </w:rPr>
                    <w:t>《污水综合排放标准》（GB8978-1996）中的三级排放标准及</w:t>
                  </w:r>
                  <w:r>
                    <w:rPr>
                      <w:bCs/>
                      <w:color w:val="auto"/>
                    </w:rPr>
                    <w:t>湘潭县第一污水处理厂接管标准</w:t>
                  </w:r>
                </w:p>
              </w:tc>
            </w:tr>
          </w:tbl>
          <w:p w14:paraId="086C87D4">
            <w:pPr>
              <w:spacing w:line="360" w:lineRule="auto"/>
              <w:ind w:firstLine="482" w:firstLineChars="200"/>
              <w:rPr>
                <w:color w:val="auto"/>
                <w:sz w:val="24"/>
              </w:rPr>
            </w:pPr>
            <w:r>
              <w:rPr>
                <w:rFonts w:hint="eastAsia"/>
                <w:b/>
                <w:bCs/>
                <w:color w:val="auto"/>
                <w:sz w:val="24"/>
              </w:rPr>
              <w:t>（4）地表水环境影响评价结论</w:t>
            </w:r>
          </w:p>
          <w:p w14:paraId="46A37E8C">
            <w:pPr>
              <w:spacing w:line="360" w:lineRule="auto"/>
              <w:ind w:firstLine="480" w:firstLineChars="200"/>
              <w:rPr>
                <w:color w:val="auto"/>
                <w:sz w:val="24"/>
              </w:rPr>
            </w:pPr>
            <w:r>
              <w:rPr>
                <w:rFonts w:hint="eastAsia"/>
                <w:color w:val="auto"/>
                <w:sz w:val="24"/>
              </w:rPr>
              <w:t>项目生活污水进入湘潭县第一污水处理厂处理达标后排放，其地表水环境影响是可接受的。</w:t>
            </w:r>
          </w:p>
          <w:p w14:paraId="093A92FC">
            <w:pPr>
              <w:spacing w:line="360" w:lineRule="auto"/>
              <w:rPr>
                <w:b/>
                <w:bCs/>
                <w:color w:val="auto"/>
                <w:sz w:val="24"/>
              </w:rPr>
            </w:pPr>
            <w:r>
              <w:rPr>
                <w:rFonts w:hint="eastAsia"/>
                <w:b/>
                <w:bCs/>
                <w:color w:val="auto"/>
                <w:sz w:val="24"/>
              </w:rPr>
              <w:t>3、</w:t>
            </w:r>
            <w:r>
              <w:rPr>
                <w:b/>
                <w:bCs/>
                <w:color w:val="auto"/>
                <w:sz w:val="24"/>
              </w:rPr>
              <w:t>噪声</w:t>
            </w:r>
          </w:p>
          <w:p w14:paraId="27258406">
            <w:pPr>
              <w:pStyle w:val="38"/>
              <w:spacing w:line="360" w:lineRule="auto"/>
              <w:ind w:firstLine="482" w:firstLineChars="200"/>
              <w:jc w:val="left"/>
              <w:rPr>
                <w:rFonts w:ascii="Times New Roman" w:hAnsi="Times New Roman" w:cs="Times New Roman"/>
                <w:b/>
                <w:bCs/>
                <w:color w:val="auto"/>
                <w:u w:val="single"/>
              </w:rPr>
            </w:pPr>
            <w:r>
              <w:rPr>
                <w:rFonts w:hint="eastAsia" w:ascii="Times New Roman" w:hAnsi="Times New Roman" w:cs="Times New Roman"/>
                <w:b/>
                <w:bCs/>
                <w:color w:val="auto"/>
                <w:u w:val="single"/>
              </w:rPr>
              <w:t>（1）</w:t>
            </w:r>
            <w:r>
              <w:rPr>
                <w:rFonts w:ascii="Times New Roman" w:hAnsi="Times New Roman" w:cs="Times New Roman"/>
                <w:b/>
                <w:bCs/>
                <w:color w:val="auto"/>
                <w:u w:val="single"/>
              </w:rPr>
              <w:t>噪声污染源排放情况</w:t>
            </w:r>
          </w:p>
          <w:p w14:paraId="65468FAD">
            <w:pPr>
              <w:spacing w:line="360" w:lineRule="auto"/>
              <w:ind w:firstLine="480" w:firstLineChars="200"/>
              <w:rPr>
                <w:rFonts w:cs="宋体"/>
                <w:color w:val="auto"/>
                <w:sz w:val="24"/>
                <w:u w:val="single"/>
              </w:rPr>
            </w:pPr>
            <w:r>
              <w:rPr>
                <w:rFonts w:hint="eastAsia" w:cs="宋体"/>
                <w:color w:val="auto"/>
                <w:sz w:val="24"/>
                <w:u w:val="single"/>
              </w:rPr>
              <w:t>建设项目主要的噪声源来自于车间生产设备运行噪声，包括熔炼炉、成型机、砂处理设备、砂轮机、车床、铣床、钻床等铸造及机加工设备，噪声源强为75~85dB(A)。</w:t>
            </w:r>
          </w:p>
          <w:p w14:paraId="5F02D436">
            <w:pPr>
              <w:spacing w:line="360" w:lineRule="auto"/>
              <w:ind w:firstLine="480" w:firstLineChars="200"/>
              <w:rPr>
                <w:rFonts w:cs="宋体"/>
                <w:color w:val="auto"/>
                <w:sz w:val="24"/>
                <w:u w:val="single"/>
              </w:rPr>
            </w:pPr>
            <w:r>
              <w:rPr>
                <w:rFonts w:hint="eastAsia" w:cs="宋体"/>
                <w:color w:val="auto"/>
                <w:sz w:val="24"/>
                <w:u w:val="single"/>
              </w:rPr>
              <w:t>建设单位拟对各主要产噪设备采用基础减振、墙体隔声等措施，根据《环境噪声控制》（作者：刘惠玲主编，2002 年第一版），墙体降噪效果在 23-30dB（A）之间（本项目按照25dB（A）进行计算分析），基础减振降噪效果在 5-25dB（A）之间（本项目按照10dB（A）进行计算分析），则项目各生产设备叠加值见下表。</w:t>
            </w:r>
          </w:p>
          <w:p w14:paraId="0A93F8D5">
            <w:pPr>
              <w:jc w:val="center"/>
              <w:rPr>
                <w:rFonts w:cs="宋体"/>
                <w:b/>
                <w:color w:val="auto"/>
                <w:spacing w:val="8"/>
                <w:szCs w:val="21"/>
                <w:u w:val="single"/>
              </w:rPr>
            </w:pPr>
            <w:r>
              <w:rPr>
                <w:rFonts w:hint="eastAsia" w:cs="宋体"/>
                <w:b/>
                <w:color w:val="auto"/>
                <w:spacing w:val="8"/>
                <w:szCs w:val="21"/>
                <w:u w:val="single"/>
              </w:rPr>
              <w:t>表4-16  项目主要生产设备噪声源强情况表</w:t>
            </w:r>
          </w:p>
          <w:tbl>
            <w:tblPr>
              <w:tblStyle w:val="30"/>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51"/>
              <w:gridCol w:w="287"/>
              <w:gridCol w:w="526"/>
              <w:gridCol w:w="1049"/>
              <w:gridCol w:w="885"/>
              <w:gridCol w:w="299"/>
              <w:gridCol w:w="299"/>
              <w:gridCol w:w="220"/>
              <w:gridCol w:w="366"/>
              <w:gridCol w:w="366"/>
              <w:gridCol w:w="713"/>
              <w:gridCol w:w="964"/>
              <w:gridCol w:w="767"/>
              <w:gridCol w:w="479"/>
              <w:gridCol w:w="475"/>
              <w:gridCol w:w="548"/>
            </w:tblGrid>
            <w:tr w14:paraId="189E04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313" w:type="pct"/>
                  <w:vMerge w:val="restart"/>
                  <w:vAlign w:val="center"/>
                </w:tcPr>
                <w:p w14:paraId="69BDB55B">
                  <w:pPr>
                    <w:pStyle w:val="76"/>
                    <w:jc w:val="center"/>
                    <w:rPr>
                      <w:rFonts w:ascii="Times New Roman" w:hAnsi="Times New Roman"/>
                      <w:color w:val="auto"/>
                      <w:szCs w:val="21"/>
                      <w:u w:val="single"/>
                    </w:rPr>
                  </w:pPr>
                  <w:r>
                    <w:rPr>
                      <w:rFonts w:ascii="Times New Roman" w:hAnsi="Times New Roman"/>
                      <w:color w:val="auto"/>
                      <w:szCs w:val="21"/>
                      <w:u w:val="single"/>
                    </w:rPr>
                    <w:t>序号</w:t>
                  </w:r>
                </w:p>
              </w:tc>
              <w:tc>
                <w:tcPr>
                  <w:tcW w:w="163" w:type="pct"/>
                  <w:vMerge w:val="restart"/>
                  <w:vAlign w:val="center"/>
                </w:tcPr>
                <w:p w14:paraId="2DE343D2">
                  <w:pPr>
                    <w:pStyle w:val="76"/>
                    <w:jc w:val="center"/>
                    <w:rPr>
                      <w:rFonts w:ascii="Times New Roman" w:hAnsi="Times New Roman"/>
                      <w:color w:val="auto"/>
                      <w:szCs w:val="21"/>
                      <w:u w:val="single"/>
                    </w:rPr>
                  </w:pPr>
                  <w:r>
                    <w:rPr>
                      <w:rFonts w:ascii="Times New Roman" w:hAnsi="Times New Roman"/>
                      <w:color w:val="auto"/>
                      <w:szCs w:val="21"/>
                      <w:u w:val="single"/>
                    </w:rPr>
                    <w:t>建筑物名称</w:t>
                  </w:r>
                </w:p>
              </w:tc>
              <w:tc>
                <w:tcPr>
                  <w:tcW w:w="299" w:type="pct"/>
                  <w:vMerge w:val="restart"/>
                  <w:vAlign w:val="center"/>
                </w:tcPr>
                <w:p w14:paraId="02AD8804">
                  <w:pPr>
                    <w:pStyle w:val="76"/>
                    <w:jc w:val="center"/>
                    <w:rPr>
                      <w:rFonts w:ascii="Times New Roman" w:hAnsi="Times New Roman"/>
                      <w:color w:val="auto"/>
                      <w:szCs w:val="21"/>
                      <w:u w:val="single"/>
                    </w:rPr>
                  </w:pPr>
                  <w:r>
                    <w:rPr>
                      <w:rFonts w:ascii="Times New Roman" w:hAnsi="Times New Roman"/>
                      <w:color w:val="auto"/>
                      <w:szCs w:val="21"/>
                      <w:u w:val="single"/>
                    </w:rPr>
                    <w:t>声源名称</w:t>
                  </w:r>
                </w:p>
              </w:tc>
              <w:tc>
                <w:tcPr>
                  <w:tcW w:w="596" w:type="pct"/>
                  <w:vAlign w:val="center"/>
                </w:tcPr>
                <w:p w14:paraId="5647A1D2">
                  <w:pPr>
                    <w:pStyle w:val="76"/>
                    <w:jc w:val="center"/>
                    <w:rPr>
                      <w:rFonts w:ascii="Times New Roman" w:hAnsi="Times New Roman"/>
                      <w:color w:val="auto"/>
                      <w:szCs w:val="21"/>
                      <w:u w:val="single"/>
                    </w:rPr>
                  </w:pPr>
                  <w:r>
                    <w:rPr>
                      <w:rFonts w:ascii="Times New Roman" w:hAnsi="Times New Roman"/>
                      <w:color w:val="auto"/>
                      <w:szCs w:val="21"/>
                      <w:u w:val="single"/>
                    </w:rPr>
                    <w:t>声源源强</w:t>
                  </w:r>
                </w:p>
              </w:tc>
              <w:tc>
                <w:tcPr>
                  <w:tcW w:w="503" w:type="pct"/>
                  <w:vMerge w:val="restart"/>
                  <w:vAlign w:val="center"/>
                </w:tcPr>
                <w:p w14:paraId="1517E11E">
                  <w:pPr>
                    <w:pStyle w:val="76"/>
                    <w:jc w:val="center"/>
                    <w:rPr>
                      <w:rFonts w:ascii="Times New Roman" w:hAnsi="Times New Roman"/>
                      <w:color w:val="auto"/>
                      <w:szCs w:val="21"/>
                      <w:u w:val="single"/>
                    </w:rPr>
                  </w:pPr>
                  <w:r>
                    <w:rPr>
                      <w:rFonts w:ascii="Times New Roman" w:hAnsi="Times New Roman"/>
                      <w:color w:val="auto"/>
                      <w:szCs w:val="21"/>
                      <w:u w:val="single"/>
                    </w:rPr>
                    <w:t>声源控制措施</w:t>
                  </w:r>
                </w:p>
              </w:tc>
              <w:tc>
                <w:tcPr>
                  <w:tcW w:w="465" w:type="pct"/>
                  <w:gridSpan w:val="3"/>
                  <w:vAlign w:val="center"/>
                </w:tcPr>
                <w:p w14:paraId="5023EEA0">
                  <w:pPr>
                    <w:pStyle w:val="76"/>
                    <w:jc w:val="center"/>
                    <w:rPr>
                      <w:rFonts w:ascii="Times New Roman" w:hAnsi="Times New Roman"/>
                      <w:color w:val="auto"/>
                      <w:szCs w:val="21"/>
                      <w:u w:val="single"/>
                    </w:rPr>
                  </w:pPr>
                  <w:r>
                    <w:rPr>
                      <w:rFonts w:ascii="Times New Roman" w:hAnsi="Times New Roman"/>
                      <w:color w:val="auto"/>
                      <w:szCs w:val="21"/>
                      <w:u w:val="single"/>
                    </w:rPr>
                    <w:t>空间相对位置</w:t>
                  </w:r>
                </w:p>
                <w:p w14:paraId="0D8648D8">
                  <w:pPr>
                    <w:pStyle w:val="76"/>
                    <w:jc w:val="center"/>
                    <w:rPr>
                      <w:rFonts w:ascii="Times New Roman" w:hAnsi="Times New Roman"/>
                      <w:color w:val="auto"/>
                      <w:szCs w:val="21"/>
                      <w:u w:val="single"/>
                    </w:rPr>
                  </w:pPr>
                  <w:r>
                    <w:rPr>
                      <w:rFonts w:ascii="Times New Roman" w:hAnsi="Times New Roman"/>
                      <w:color w:val="auto"/>
                      <w:szCs w:val="21"/>
                      <w:u w:val="single"/>
                    </w:rPr>
                    <w:t>/m</w:t>
                  </w:r>
                </w:p>
              </w:tc>
              <w:tc>
                <w:tcPr>
                  <w:tcW w:w="416" w:type="pct"/>
                  <w:gridSpan w:val="2"/>
                  <w:vMerge w:val="restart"/>
                  <w:vAlign w:val="center"/>
                </w:tcPr>
                <w:p w14:paraId="73A53C57">
                  <w:pPr>
                    <w:pStyle w:val="76"/>
                    <w:jc w:val="center"/>
                    <w:rPr>
                      <w:rFonts w:ascii="Times New Roman" w:hAnsi="Times New Roman"/>
                      <w:color w:val="auto"/>
                      <w:szCs w:val="21"/>
                      <w:u w:val="single"/>
                    </w:rPr>
                  </w:pPr>
                  <w:r>
                    <w:rPr>
                      <w:rFonts w:ascii="Times New Roman" w:hAnsi="Times New Roman"/>
                      <w:color w:val="auto"/>
                      <w:szCs w:val="21"/>
                      <w:u w:val="single"/>
                    </w:rPr>
                    <w:t>距室内边界距 离/m</w:t>
                  </w:r>
                </w:p>
              </w:tc>
              <w:tc>
                <w:tcPr>
                  <w:tcW w:w="405" w:type="pct"/>
                  <w:vMerge w:val="restart"/>
                  <w:vAlign w:val="center"/>
                </w:tcPr>
                <w:p w14:paraId="2508C673">
                  <w:pPr>
                    <w:pStyle w:val="76"/>
                    <w:jc w:val="center"/>
                    <w:rPr>
                      <w:rFonts w:ascii="Times New Roman" w:hAnsi="Times New Roman"/>
                      <w:color w:val="auto"/>
                      <w:szCs w:val="21"/>
                      <w:u w:val="single"/>
                    </w:rPr>
                  </w:pPr>
                  <w:r>
                    <w:rPr>
                      <w:rFonts w:ascii="Times New Roman" w:hAnsi="Times New Roman"/>
                      <w:color w:val="auto"/>
                      <w:szCs w:val="21"/>
                      <w:u w:val="single"/>
                    </w:rPr>
                    <w:t>室内边界声级/dB（A）</w:t>
                  </w:r>
                </w:p>
              </w:tc>
              <w:tc>
                <w:tcPr>
                  <w:tcW w:w="548" w:type="pct"/>
                  <w:vMerge w:val="restart"/>
                  <w:vAlign w:val="center"/>
                </w:tcPr>
                <w:p w14:paraId="5CB1F288">
                  <w:pPr>
                    <w:pStyle w:val="76"/>
                    <w:jc w:val="center"/>
                    <w:rPr>
                      <w:rFonts w:ascii="Times New Roman" w:hAnsi="Times New Roman"/>
                      <w:color w:val="auto"/>
                      <w:szCs w:val="21"/>
                      <w:u w:val="single"/>
                    </w:rPr>
                  </w:pPr>
                  <w:r>
                    <w:rPr>
                      <w:rFonts w:ascii="Times New Roman" w:hAnsi="Times New Roman"/>
                      <w:color w:val="auto"/>
                      <w:szCs w:val="21"/>
                      <w:u w:val="single"/>
                    </w:rPr>
                    <w:t>运行时段</w:t>
                  </w:r>
                </w:p>
              </w:tc>
              <w:tc>
                <w:tcPr>
                  <w:tcW w:w="436" w:type="pct"/>
                  <w:vMerge w:val="restart"/>
                  <w:vAlign w:val="center"/>
                </w:tcPr>
                <w:p w14:paraId="31B2338F">
                  <w:pPr>
                    <w:pStyle w:val="76"/>
                    <w:jc w:val="center"/>
                    <w:rPr>
                      <w:rFonts w:ascii="Times New Roman" w:hAnsi="Times New Roman"/>
                      <w:color w:val="auto"/>
                      <w:szCs w:val="21"/>
                      <w:u w:val="single"/>
                    </w:rPr>
                  </w:pPr>
                  <w:r>
                    <w:rPr>
                      <w:rFonts w:ascii="Times New Roman" w:hAnsi="Times New Roman"/>
                      <w:color w:val="auto"/>
                      <w:szCs w:val="21"/>
                      <w:u w:val="single"/>
                    </w:rPr>
                    <w:t>建筑物插入损失/dB</w:t>
                  </w:r>
                </w:p>
                <w:p w14:paraId="1C70BADC">
                  <w:pPr>
                    <w:pStyle w:val="76"/>
                    <w:jc w:val="center"/>
                    <w:rPr>
                      <w:rFonts w:ascii="Times New Roman" w:hAnsi="Times New Roman"/>
                      <w:color w:val="auto"/>
                      <w:szCs w:val="21"/>
                      <w:u w:val="single"/>
                    </w:rPr>
                  </w:pPr>
                  <w:r>
                    <w:rPr>
                      <w:rFonts w:ascii="Times New Roman" w:hAnsi="Times New Roman"/>
                      <w:color w:val="auto"/>
                      <w:szCs w:val="21"/>
                      <w:u w:val="single"/>
                    </w:rPr>
                    <w:t>（A）</w:t>
                  </w:r>
                </w:p>
              </w:tc>
              <w:tc>
                <w:tcPr>
                  <w:tcW w:w="853" w:type="pct"/>
                  <w:gridSpan w:val="3"/>
                  <w:vAlign w:val="center"/>
                </w:tcPr>
                <w:p w14:paraId="2BBD4F75">
                  <w:pPr>
                    <w:pStyle w:val="76"/>
                    <w:jc w:val="center"/>
                    <w:rPr>
                      <w:rFonts w:ascii="Times New Roman" w:hAnsi="Times New Roman"/>
                      <w:color w:val="auto"/>
                      <w:szCs w:val="21"/>
                      <w:u w:val="single"/>
                    </w:rPr>
                  </w:pPr>
                  <w:r>
                    <w:rPr>
                      <w:rFonts w:ascii="Times New Roman" w:hAnsi="Times New Roman"/>
                      <w:color w:val="auto"/>
                      <w:szCs w:val="21"/>
                      <w:u w:val="single"/>
                    </w:rPr>
                    <w:t>建筑物外噪声</w:t>
                  </w:r>
                </w:p>
              </w:tc>
            </w:tr>
            <w:tr w14:paraId="278D7D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13" w:type="pct"/>
                  <w:vMerge w:val="continue"/>
                  <w:tcBorders>
                    <w:top w:val="nil"/>
                  </w:tcBorders>
                  <w:vAlign w:val="center"/>
                </w:tcPr>
                <w:p w14:paraId="0121BF9D">
                  <w:pPr>
                    <w:pStyle w:val="76"/>
                    <w:jc w:val="center"/>
                    <w:rPr>
                      <w:rFonts w:ascii="Times New Roman" w:hAnsi="Times New Roman"/>
                      <w:color w:val="auto"/>
                      <w:szCs w:val="21"/>
                      <w:u w:val="single"/>
                    </w:rPr>
                  </w:pPr>
                </w:p>
              </w:tc>
              <w:tc>
                <w:tcPr>
                  <w:tcW w:w="163" w:type="pct"/>
                  <w:vMerge w:val="continue"/>
                  <w:tcBorders>
                    <w:top w:val="nil"/>
                  </w:tcBorders>
                  <w:vAlign w:val="center"/>
                </w:tcPr>
                <w:p w14:paraId="06C09F76">
                  <w:pPr>
                    <w:pStyle w:val="76"/>
                    <w:jc w:val="center"/>
                    <w:rPr>
                      <w:rFonts w:ascii="Times New Roman" w:hAnsi="Times New Roman"/>
                      <w:color w:val="auto"/>
                      <w:szCs w:val="21"/>
                      <w:u w:val="single"/>
                    </w:rPr>
                  </w:pPr>
                </w:p>
              </w:tc>
              <w:tc>
                <w:tcPr>
                  <w:tcW w:w="299" w:type="pct"/>
                  <w:vMerge w:val="continue"/>
                  <w:tcBorders>
                    <w:top w:val="nil"/>
                  </w:tcBorders>
                  <w:vAlign w:val="center"/>
                </w:tcPr>
                <w:p w14:paraId="26B238E7">
                  <w:pPr>
                    <w:pStyle w:val="76"/>
                    <w:jc w:val="center"/>
                    <w:rPr>
                      <w:rFonts w:ascii="Times New Roman" w:hAnsi="Times New Roman"/>
                      <w:color w:val="auto"/>
                      <w:szCs w:val="21"/>
                      <w:u w:val="single"/>
                    </w:rPr>
                  </w:pPr>
                </w:p>
              </w:tc>
              <w:tc>
                <w:tcPr>
                  <w:tcW w:w="596" w:type="pct"/>
                  <w:vAlign w:val="center"/>
                </w:tcPr>
                <w:p w14:paraId="1E3DBC64">
                  <w:pPr>
                    <w:pStyle w:val="76"/>
                    <w:jc w:val="center"/>
                    <w:rPr>
                      <w:rFonts w:ascii="Times New Roman" w:hAnsi="Times New Roman"/>
                      <w:color w:val="auto"/>
                      <w:szCs w:val="21"/>
                      <w:u w:val="single"/>
                    </w:rPr>
                  </w:pPr>
                  <w:r>
                    <w:rPr>
                      <w:rFonts w:ascii="Times New Roman" w:hAnsi="Times New Roman"/>
                      <w:color w:val="auto"/>
                      <w:szCs w:val="21"/>
                      <w:u w:val="single"/>
                    </w:rPr>
                    <w:t>声压级/ 距声源距离/（dB(A)/m</w:t>
                  </w:r>
                </w:p>
              </w:tc>
              <w:tc>
                <w:tcPr>
                  <w:tcW w:w="503" w:type="pct"/>
                  <w:vMerge w:val="continue"/>
                  <w:tcBorders>
                    <w:top w:val="nil"/>
                  </w:tcBorders>
                  <w:vAlign w:val="center"/>
                </w:tcPr>
                <w:p w14:paraId="41710894">
                  <w:pPr>
                    <w:pStyle w:val="76"/>
                    <w:jc w:val="center"/>
                    <w:rPr>
                      <w:rFonts w:ascii="Times New Roman" w:hAnsi="Times New Roman"/>
                      <w:color w:val="auto"/>
                      <w:szCs w:val="21"/>
                      <w:u w:val="single"/>
                    </w:rPr>
                  </w:pPr>
                </w:p>
              </w:tc>
              <w:tc>
                <w:tcPr>
                  <w:tcW w:w="170" w:type="pct"/>
                  <w:vAlign w:val="center"/>
                </w:tcPr>
                <w:p w14:paraId="2862F976">
                  <w:pPr>
                    <w:pStyle w:val="76"/>
                    <w:jc w:val="center"/>
                    <w:rPr>
                      <w:rFonts w:ascii="Times New Roman" w:hAnsi="Times New Roman"/>
                      <w:color w:val="auto"/>
                      <w:szCs w:val="21"/>
                      <w:u w:val="single"/>
                    </w:rPr>
                  </w:pPr>
                  <w:r>
                    <w:rPr>
                      <w:rFonts w:ascii="Times New Roman" w:hAnsi="Times New Roman"/>
                      <w:color w:val="auto"/>
                      <w:szCs w:val="21"/>
                      <w:u w:val="single"/>
                    </w:rPr>
                    <w:t>X</w:t>
                  </w:r>
                </w:p>
              </w:tc>
              <w:tc>
                <w:tcPr>
                  <w:tcW w:w="170" w:type="pct"/>
                  <w:vAlign w:val="center"/>
                </w:tcPr>
                <w:p w14:paraId="7808DE02">
                  <w:pPr>
                    <w:pStyle w:val="76"/>
                    <w:jc w:val="center"/>
                    <w:rPr>
                      <w:rFonts w:ascii="Times New Roman" w:hAnsi="Times New Roman"/>
                      <w:color w:val="auto"/>
                      <w:szCs w:val="21"/>
                      <w:u w:val="single"/>
                    </w:rPr>
                  </w:pPr>
                  <w:r>
                    <w:rPr>
                      <w:rFonts w:ascii="Times New Roman" w:hAnsi="Times New Roman"/>
                      <w:color w:val="auto"/>
                      <w:szCs w:val="21"/>
                      <w:u w:val="single"/>
                    </w:rPr>
                    <w:t>Y</w:t>
                  </w:r>
                </w:p>
              </w:tc>
              <w:tc>
                <w:tcPr>
                  <w:tcW w:w="125" w:type="pct"/>
                  <w:vAlign w:val="center"/>
                </w:tcPr>
                <w:p w14:paraId="0739F122">
                  <w:pPr>
                    <w:pStyle w:val="76"/>
                    <w:jc w:val="center"/>
                    <w:rPr>
                      <w:rFonts w:ascii="Times New Roman" w:hAnsi="Times New Roman"/>
                      <w:color w:val="auto"/>
                      <w:szCs w:val="21"/>
                      <w:u w:val="single"/>
                    </w:rPr>
                  </w:pPr>
                  <w:r>
                    <w:rPr>
                      <w:rFonts w:ascii="Times New Roman" w:hAnsi="Times New Roman"/>
                      <w:color w:val="auto"/>
                      <w:szCs w:val="21"/>
                      <w:u w:val="single"/>
                    </w:rPr>
                    <w:t>Z</w:t>
                  </w:r>
                </w:p>
              </w:tc>
              <w:tc>
                <w:tcPr>
                  <w:tcW w:w="416" w:type="pct"/>
                  <w:gridSpan w:val="2"/>
                  <w:vMerge w:val="continue"/>
                  <w:tcBorders>
                    <w:top w:val="nil"/>
                  </w:tcBorders>
                  <w:vAlign w:val="center"/>
                </w:tcPr>
                <w:p w14:paraId="54E46950">
                  <w:pPr>
                    <w:pStyle w:val="76"/>
                    <w:jc w:val="center"/>
                    <w:rPr>
                      <w:rFonts w:ascii="Times New Roman" w:hAnsi="Times New Roman"/>
                      <w:color w:val="auto"/>
                      <w:szCs w:val="21"/>
                      <w:u w:val="single"/>
                    </w:rPr>
                  </w:pPr>
                </w:p>
              </w:tc>
              <w:tc>
                <w:tcPr>
                  <w:tcW w:w="405" w:type="pct"/>
                  <w:vMerge w:val="continue"/>
                  <w:tcBorders>
                    <w:top w:val="nil"/>
                  </w:tcBorders>
                  <w:vAlign w:val="center"/>
                </w:tcPr>
                <w:p w14:paraId="59A8F23C">
                  <w:pPr>
                    <w:pStyle w:val="76"/>
                    <w:jc w:val="center"/>
                    <w:rPr>
                      <w:rFonts w:ascii="Times New Roman" w:hAnsi="Times New Roman"/>
                      <w:color w:val="auto"/>
                      <w:szCs w:val="21"/>
                      <w:u w:val="single"/>
                    </w:rPr>
                  </w:pPr>
                </w:p>
              </w:tc>
              <w:tc>
                <w:tcPr>
                  <w:tcW w:w="548" w:type="pct"/>
                  <w:vMerge w:val="continue"/>
                  <w:tcBorders>
                    <w:top w:val="nil"/>
                  </w:tcBorders>
                  <w:vAlign w:val="center"/>
                </w:tcPr>
                <w:p w14:paraId="4161CF46">
                  <w:pPr>
                    <w:pStyle w:val="76"/>
                    <w:jc w:val="center"/>
                    <w:rPr>
                      <w:rFonts w:ascii="Times New Roman" w:hAnsi="Times New Roman"/>
                      <w:color w:val="auto"/>
                      <w:szCs w:val="21"/>
                      <w:u w:val="single"/>
                    </w:rPr>
                  </w:pPr>
                </w:p>
              </w:tc>
              <w:tc>
                <w:tcPr>
                  <w:tcW w:w="436" w:type="pct"/>
                  <w:vMerge w:val="continue"/>
                  <w:tcBorders>
                    <w:top w:val="nil"/>
                  </w:tcBorders>
                  <w:vAlign w:val="center"/>
                </w:tcPr>
                <w:p w14:paraId="60598459">
                  <w:pPr>
                    <w:pStyle w:val="76"/>
                    <w:jc w:val="center"/>
                    <w:rPr>
                      <w:rFonts w:ascii="Times New Roman" w:hAnsi="Times New Roman"/>
                      <w:color w:val="auto"/>
                      <w:szCs w:val="21"/>
                      <w:u w:val="single"/>
                    </w:rPr>
                  </w:pPr>
                </w:p>
              </w:tc>
              <w:tc>
                <w:tcPr>
                  <w:tcW w:w="542" w:type="pct"/>
                  <w:gridSpan w:val="2"/>
                  <w:vAlign w:val="center"/>
                </w:tcPr>
                <w:p w14:paraId="653734F4">
                  <w:pPr>
                    <w:pStyle w:val="76"/>
                    <w:jc w:val="center"/>
                    <w:rPr>
                      <w:rFonts w:ascii="Times New Roman" w:hAnsi="Times New Roman"/>
                      <w:color w:val="auto"/>
                      <w:szCs w:val="21"/>
                      <w:u w:val="single"/>
                    </w:rPr>
                  </w:pPr>
                  <w:r>
                    <w:rPr>
                      <w:rFonts w:ascii="Times New Roman" w:hAnsi="Times New Roman"/>
                      <w:color w:val="auto"/>
                      <w:szCs w:val="21"/>
                      <w:u w:val="single"/>
                    </w:rPr>
                    <w:t>声压级</w:t>
                  </w:r>
                </w:p>
                <w:p w14:paraId="11F760B1">
                  <w:pPr>
                    <w:pStyle w:val="76"/>
                    <w:jc w:val="center"/>
                    <w:rPr>
                      <w:rFonts w:ascii="Times New Roman" w:hAnsi="Times New Roman"/>
                      <w:color w:val="auto"/>
                      <w:szCs w:val="21"/>
                      <w:u w:val="single"/>
                    </w:rPr>
                  </w:pPr>
                  <w:r>
                    <w:rPr>
                      <w:rFonts w:ascii="Times New Roman" w:hAnsi="Times New Roman"/>
                      <w:color w:val="auto"/>
                      <w:szCs w:val="21"/>
                      <w:u w:val="single"/>
                    </w:rPr>
                    <w:t>/dB（A）</w:t>
                  </w:r>
                </w:p>
              </w:tc>
              <w:tc>
                <w:tcPr>
                  <w:tcW w:w="311" w:type="pct"/>
                  <w:vAlign w:val="center"/>
                </w:tcPr>
                <w:p w14:paraId="5A4516EE">
                  <w:pPr>
                    <w:pStyle w:val="76"/>
                    <w:jc w:val="center"/>
                    <w:rPr>
                      <w:rFonts w:ascii="Times New Roman" w:hAnsi="Times New Roman"/>
                      <w:color w:val="auto"/>
                      <w:szCs w:val="21"/>
                      <w:u w:val="single"/>
                    </w:rPr>
                  </w:pPr>
                  <w:r>
                    <w:rPr>
                      <w:rFonts w:ascii="Times New Roman" w:hAnsi="Times New Roman"/>
                      <w:color w:val="auto"/>
                      <w:szCs w:val="21"/>
                      <w:u w:val="single"/>
                    </w:rPr>
                    <w:t>建筑物外距离</w:t>
                  </w:r>
                </w:p>
              </w:tc>
            </w:tr>
            <w:tr w14:paraId="765B8F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7A22FD46">
                  <w:pPr>
                    <w:pStyle w:val="88"/>
                    <w:numPr>
                      <w:ilvl w:val="0"/>
                      <w:numId w:val="7"/>
                    </w:numPr>
                    <w:rPr>
                      <w:color w:val="auto"/>
                      <w:szCs w:val="21"/>
                      <w:u w:val="single"/>
                    </w:rPr>
                  </w:pPr>
                </w:p>
              </w:tc>
              <w:tc>
                <w:tcPr>
                  <w:tcW w:w="163" w:type="pct"/>
                  <w:vMerge w:val="restart"/>
                  <w:vAlign w:val="center"/>
                </w:tcPr>
                <w:p w14:paraId="2B5B4CC9">
                  <w:pPr>
                    <w:pStyle w:val="76"/>
                    <w:jc w:val="center"/>
                    <w:rPr>
                      <w:rFonts w:ascii="Times New Roman" w:hAnsi="Times New Roman"/>
                      <w:color w:val="auto"/>
                      <w:szCs w:val="21"/>
                      <w:u w:val="single"/>
                    </w:rPr>
                  </w:pPr>
                  <w:r>
                    <w:rPr>
                      <w:rFonts w:ascii="Times New Roman" w:hAnsi="Times New Roman"/>
                      <w:color w:val="auto"/>
                      <w:szCs w:val="21"/>
                      <w:u w:val="single"/>
                    </w:rPr>
                    <w:t>生产车间</w:t>
                  </w:r>
                </w:p>
              </w:tc>
              <w:tc>
                <w:tcPr>
                  <w:tcW w:w="299" w:type="pct"/>
                  <w:vMerge w:val="restart"/>
                  <w:vAlign w:val="center"/>
                </w:tcPr>
                <w:p w14:paraId="689D734A">
                  <w:pPr>
                    <w:pStyle w:val="76"/>
                    <w:jc w:val="center"/>
                    <w:rPr>
                      <w:rFonts w:ascii="Times New Roman" w:hAnsi="Times New Roman"/>
                      <w:color w:val="auto"/>
                      <w:szCs w:val="21"/>
                      <w:u w:val="single"/>
                    </w:rPr>
                  </w:pPr>
                  <w:r>
                    <w:rPr>
                      <w:rFonts w:ascii="Times New Roman" w:hAnsi="Times New Roman"/>
                      <w:color w:val="auto"/>
                      <w:szCs w:val="21"/>
                      <w:u w:val="single"/>
                    </w:rPr>
                    <w:t>间歇式预发泡机</w:t>
                  </w:r>
                </w:p>
              </w:tc>
              <w:tc>
                <w:tcPr>
                  <w:tcW w:w="596" w:type="pct"/>
                  <w:vMerge w:val="restart"/>
                  <w:vAlign w:val="center"/>
                </w:tcPr>
                <w:p w14:paraId="7B5CC787">
                  <w:pPr>
                    <w:pStyle w:val="76"/>
                    <w:jc w:val="center"/>
                    <w:rPr>
                      <w:rFonts w:ascii="Times New Roman" w:hAnsi="Times New Roman"/>
                      <w:color w:val="auto"/>
                      <w:szCs w:val="21"/>
                      <w:u w:val="single"/>
                    </w:rPr>
                  </w:pPr>
                  <w:r>
                    <w:rPr>
                      <w:rFonts w:ascii="Times New Roman" w:hAnsi="Times New Roman"/>
                      <w:color w:val="auto"/>
                      <w:szCs w:val="21"/>
                      <w:u w:val="single"/>
                    </w:rPr>
                    <w:t>70</w:t>
                  </w:r>
                </w:p>
              </w:tc>
              <w:tc>
                <w:tcPr>
                  <w:tcW w:w="503" w:type="pct"/>
                  <w:vMerge w:val="restart"/>
                  <w:vAlign w:val="center"/>
                </w:tcPr>
                <w:p w14:paraId="315F8A98">
                  <w:pPr>
                    <w:pStyle w:val="76"/>
                    <w:jc w:val="center"/>
                    <w:rPr>
                      <w:rFonts w:ascii="Times New Roman" w:hAnsi="Times New Roman"/>
                      <w:color w:val="auto"/>
                      <w:szCs w:val="21"/>
                      <w:u w:val="single"/>
                    </w:rPr>
                  </w:pPr>
                  <w:r>
                    <w:rPr>
                      <w:rFonts w:ascii="Times New Roman" w:hAnsi="Times New Roman"/>
                      <w:color w:val="auto"/>
                      <w:szCs w:val="21"/>
                      <w:u w:val="single"/>
                    </w:rPr>
                    <w:t>减振降噪、厂房隔声</w:t>
                  </w:r>
                </w:p>
              </w:tc>
              <w:tc>
                <w:tcPr>
                  <w:tcW w:w="170" w:type="pct"/>
                  <w:vMerge w:val="restart"/>
                  <w:vAlign w:val="center"/>
                </w:tcPr>
                <w:p w14:paraId="3954A922">
                  <w:pPr>
                    <w:pStyle w:val="76"/>
                    <w:jc w:val="center"/>
                    <w:rPr>
                      <w:rFonts w:ascii="Times New Roman" w:hAnsi="Times New Roman"/>
                      <w:color w:val="auto"/>
                      <w:szCs w:val="21"/>
                      <w:u w:val="single"/>
                    </w:rPr>
                  </w:pPr>
                  <w:r>
                    <w:rPr>
                      <w:rFonts w:hint="eastAsia" w:ascii="Times New Roman" w:hAnsi="Times New Roman"/>
                      <w:color w:val="auto"/>
                      <w:szCs w:val="21"/>
                      <w:u w:val="single"/>
                    </w:rPr>
                    <w:t>7</w:t>
                  </w:r>
                  <w:r>
                    <w:rPr>
                      <w:rFonts w:ascii="Times New Roman" w:hAnsi="Times New Roman"/>
                      <w:color w:val="auto"/>
                      <w:szCs w:val="21"/>
                      <w:u w:val="single"/>
                    </w:rPr>
                    <w:t>9</w:t>
                  </w:r>
                </w:p>
              </w:tc>
              <w:tc>
                <w:tcPr>
                  <w:tcW w:w="170" w:type="pct"/>
                  <w:vMerge w:val="restart"/>
                  <w:vAlign w:val="center"/>
                </w:tcPr>
                <w:p w14:paraId="7FE954DD">
                  <w:pPr>
                    <w:pStyle w:val="76"/>
                    <w:jc w:val="center"/>
                    <w:rPr>
                      <w:rFonts w:ascii="Times New Roman" w:hAnsi="Times New Roman"/>
                      <w:color w:val="auto"/>
                      <w:szCs w:val="21"/>
                      <w:u w:val="single"/>
                    </w:rPr>
                  </w:pPr>
                  <w:r>
                    <w:rPr>
                      <w:rFonts w:ascii="Times New Roman" w:hAnsi="Times New Roman"/>
                      <w:color w:val="auto"/>
                      <w:szCs w:val="21"/>
                      <w:u w:val="single"/>
                    </w:rPr>
                    <w:t>1</w:t>
                  </w:r>
                  <w:r>
                    <w:rPr>
                      <w:rFonts w:hint="eastAsia" w:ascii="Times New Roman" w:hAnsi="Times New Roman"/>
                      <w:color w:val="auto"/>
                      <w:szCs w:val="21"/>
                      <w:u w:val="single"/>
                    </w:rPr>
                    <w:t>4</w:t>
                  </w:r>
                </w:p>
              </w:tc>
              <w:tc>
                <w:tcPr>
                  <w:tcW w:w="125" w:type="pct"/>
                  <w:vMerge w:val="restart"/>
                  <w:vAlign w:val="center"/>
                </w:tcPr>
                <w:p w14:paraId="3569A87C">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31715CD0">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65026124">
                  <w:pPr>
                    <w:pStyle w:val="76"/>
                    <w:jc w:val="center"/>
                    <w:rPr>
                      <w:rFonts w:ascii="Times New Roman" w:hAnsi="Times New Roman"/>
                      <w:color w:val="auto"/>
                      <w:szCs w:val="21"/>
                      <w:u w:val="single"/>
                    </w:rPr>
                  </w:pPr>
                  <w:r>
                    <w:rPr>
                      <w:rFonts w:hint="eastAsia" w:ascii="Times New Roman" w:hAnsi="Times New Roman"/>
                      <w:color w:val="auto"/>
                      <w:szCs w:val="21"/>
                      <w:u w:val="single"/>
                    </w:rPr>
                    <w:t>17</w:t>
                  </w:r>
                </w:p>
              </w:tc>
              <w:tc>
                <w:tcPr>
                  <w:tcW w:w="405" w:type="pct"/>
                  <w:vAlign w:val="center"/>
                </w:tcPr>
                <w:p w14:paraId="27558A28">
                  <w:pPr>
                    <w:pStyle w:val="76"/>
                    <w:jc w:val="center"/>
                    <w:rPr>
                      <w:rFonts w:ascii="Times New Roman" w:hAnsi="Times New Roman"/>
                      <w:color w:val="auto"/>
                      <w:u w:val="single"/>
                    </w:rPr>
                  </w:pPr>
                  <w:r>
                    <w:rPr>
                      <w:rFonts w:hint="eastAsia" w:ascii="Times New Roman" w:hAnsi="Times New Roman"/>
                      <w:color w:val="auto"/>
                      <w:szCs w:val="21"/>
                      <w:u w:val="single"/>
                    </w:rPr>
                    <w:t>6</w:t>
                  </w:r>
                  <w:r>
                    <w:rPr>
                      <w:rFonts w:ascii="Times New Roman" w:hAnsi="Times New Roman"/>
                      <w:color w:val="auto"/>
                      <w:szCs w:val="21"/>
                      <w:u w:val="single"/>
                    </w:rPr>
                    <w:t>6.0</w:t>
                  </w:r>
                </w:p>
              </w:tc>
              <w:tc>
                <w:tcPr>
                  <w:tcW w:w="548" w:type="pct"/>
                  <w:vMerge w:val="restart"/>
                  <w:vAlign w:val="center"/>
                </w:tcPr>
                <w:p w14:paraId="17A1DF79">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3806EE9D">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7CFCC5B6">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0839DEAB">
                  <w:pPr>
                    <w:pStyle w:val="76"/>
                    <w:jc w:val="center"/>
                    <w:rPr>
                      <w:rFonts w:ascii="Times New Roman" w:hAnsi="Times New Roman"/>
                      <w:color w:val="auto"/>
                      <w:szCs w:val="21"/>
                      <w:u w:val="single"/>
                    </w:rPr>
                  </w:pPr>
                  <w:r>
                    <w:rPr>
                      <w:rFonts w:ascii="Times New Roman" w:hAnsi="Times New Roman"/>
                      <w:color w:val="auto"/>
                      <w:szCs w:val="21"/>
                      <w:u w:val="single"/>
                    </w:rPr>
                    <w:t>4</w:t>
                  </w:r>
                  <w:r>
                    <w:rPr>
                      <w:rFonts w:hint="eastAsia" w:ascii="Times New Roman" w:hAnsi="Times New Roman"/>
                      <w:color w:val="auto"/>
                      <w:szCs w:val="21"/>
                      <w:u w:val="single"/>
                    </w:rPr>
                    <w:t>1</w:t>
                  </w:r>
                  <w:r>
                    <w:rPr>
                      <w:rFonts w:ascii="Times New Roman" w:hAnsi="Times New Roman"/>
                      <w:color w:val="auto"/>
                      <w:szCs w:val="21"/>
                      <w:u w:val="single"/>
                    </w:rPr>
                    <w:t>.0</w:t>
                  </w:r>
                </w:p>
              </w:tc>
              <w:tc>
                <w:tcPr>
                  <w:tcW w:w="311" w:type="pct"/>
                  <w:vMerge w:val="restart"/>
                  <w:vAlign w:val="center"/>
                </w:tcPr>
                <w:p w14:paraId="2F1FE9DD">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241C62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31999DF7">
                  <w:pPr>
                    <w:pStyle w:val="76"/>
                    <w:jc w:val="center"/>
                    <w:rPr>
                      <w:rFonts w:ascii="Times New Roman" w:hAnsi="Times New Roman"/>
                      <w:color w:val="auto"/>
                      <w:u w:val="single"/>
                    </w:rPr>
                  </w:pPr>
                </w:p>
              </w:tc>
              <w:tc>
                <w:tcPr>
                  <w:tcW w:w="163" w:type="pct"/>
                  <w:vMerge w:val="continue"/>
                  <w:vAlign w:val="center"/>
                </w:tcPr>
                <w:p w14:paraId="6D4DD914">
                  <w:pPr>
                    <w:pStyle w:val="76"/>
                    <w:jc w:val="center"/>
                    <w:rPr>
                      <w:rFonts w:ascii="Times New Roman" w:hAnsi="Times New Roman"/>
                      <w:color w:val="auto"/>
                      <w:u w:val="single"/>
                    </w:rPr>
                  </w:pPr>
                </w:p>
              </w:tc>
              <w:tc>
                <w:tcPr>
                  <w:tcW w:w="299" w:type="pct"/>
                  <w:vMerge w:val="continue"/>
                  <w:vAlign w:val="center"/>
                </w:tcPr>
                <w:p w14:paraId="5E8DD7FD">
                  <w:pPr>
                    <w:pStyle w:val="76"/>
                    <w:jc w:val="center"/>
                    <w:rPr>
                      <w:rFonts w:ascii="Times New Roman" w:hAnsi="Times New Roman"/>
                      <w:color w:val="auto"/>
                      <w:u w:val="single"/>
                    </w:rPr>
                  </w:pPr>
                </w:p>
              </w:tc>
              <w:tc>
                <w:tcPr>
                  <w:tcW w:w="596" w:type="pct"/>
                  <w:vMerge w:val="continue"/>
                  <w:vAlign w:val="center"/>
                </w:tcPr>
                <w:p w14:paraId="02A3EB57">
                  <w:pPr>
                    <w:pStyle w:val="76"/>
                    <w:jc w:val="center"/>
                    <w:rPr>
                      <w:rFonts w:ascii="Times New Roman" w:hAnsi="Times New Roman"/>
                      <w:color w:val="auto"/>
                      <w:u w:val="single"/>
                    </w:rPr>
                  </w:pPr>
                </w:p>
              </w:tc>
              <w:tc>
                <w:tcPr>
                  <w:tcW w:w="503" w:type="pct"/>
                  <w:vMerge w:val="continue"/>
                  <w:vAlign w:val="center"/>
                </w:tcPr>
                <w:p w14:paraId="658827B1">
                  <w:pPr>
                    <w:pStyle w:val="76"/>
                    <w:jc w:val="center"/>
                    <w:rPr>
                      <w:rFonts w:ascii="Times New Roman" w:hAnsi="Times New Roman"/>
                      <w:color w:val="auto"/>
                      <w:u w:val="single"/>
                    </w:rPr>
                  </w:pPr>
                </w:p>
              </w:tc>
              <w:tc>
                <w:tcPr>
                  <w:tcW w:w="170" w:type="pct"/>
                  <w:vMerge w:val="continue"/>
                  <w:vAlign w:val="center"/>
                </w:tcPr>
                <w:p w14:paraId="3367AF42">
                  <w:pPr>
                    <w:pStyle w:val="76"/>
                    <w:jc w:val="center"/>
                    <w:rPr>
                      <w:rFonts w:ascii="Times New Roman" w:hAnsi="Times New Roman"/>
                      <w:color w:val="auto"/>
                      <w:u w:val="single"/>
                    </w:rPr>
                  </w:pPr>
                </w:p>
              </w:tc>
              <w:tc>
                <w:tcPr>
                  <w:tcW w:w="170" w:type="pct"/>
                  <w:vMerge w:val="continue"/>
                  <w:vAlign w:val="center"/>
                </w:tcPr>
                <w:p w14:paraId="2BBB4E6B">
                  <w:pPr>
                    <w:pStyle w:val="76"/>
                    <w:jc w:val="center"/>
                    <w:rPr>
                      <w:rFonts w:ascii="Times New Roman" w:hAnsi="Times New Roman"/>
                      <w:color w:val="auto"/>
                      <w:u w:val="single"/>
                    </w:rPr>
                  </w:pPr>
                </w:p>
              </w:tc>
              <w:tc>
                <w:tcPr>
                  <w:tcW w:w="125" w:type="pct"/>
                  <w:vMerge w:val="continue"/>
                  <w:vAlign w:val="center"/>
                </w:tcPr>
                <w:p w14:paraId="4BBC37BC">
                  <w:pPr>
                    <w:pStyle w:val="76"/>
                    <w:jc w:val="center"/>
                    <w:rPr>
                      <w:rFonts w:ascii="Times New Roman" w:hAnsi="Times New Roman"/>
                      <w:color w:val="auto"/>
                      <w:u w:val="single"/>
                    </w:rPr>
                  </w:pPr>
                </w:p>
              </w:tc>
              <w:tc>
                <w:tcPr>
                  <w:tcW w:w="208" w:type="pct"/>
                  <w:vAlign w:val="center"/>
                </w:tcPr>
                <w:p w14:paraId="0EB31179">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06B21133">
                  <w:pPr>
                    <w:pStyle w:val="76"/>
                    <w:jc w:val="center"/>
                    <w:rPr>
                      <w:rFonts w:ascii="Times New Roman" w:hAnsi="Times New Roman"/>
                      <w:color w:val="auto"/>
                      <w:szCs w:val="21"/>
                      <w:u w:val="single"/>
                    </w:rPr>
                  </w:pPr>
                  <w:r>
                    <w:rPr>
                      <w:rFonts w:hint="eastAsia" w:ascii="Times New Roman" w:hAnsi="Times New Roman"/>
                      <w:color w:val="auto"/>
                      <w:szCs w:val="21"/>
                      <w:u w:val="single"/>
                    </w:rPr>
                    <w:t>27</w:t>
                  </w:r>
                </w:p>
              </w:tc>
              <w:tc>
                <w:tcPr>
                  <w:tcW w:w="405" w:type="pct"/>
                  <w:vAlign w:val="center"/>
                </w:tcPr>
                <w:p w14:paraId="784A7484">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6.0</w:t>
                  </w:r>
                </w:p>
              </w:tc>
              <w:tc>
                <w:tcPr>
                  <w:tcW w:w="548" w:type="pct"/>
                  <w:vMerge w:val="continue"/>
                  <w:vAlign w:val="center"/>
                </w:tcPr>
                <w:p w14:paraId="5B64E57C">
                  <w:pPr>
                    <w:pStyle w:val="76"/>
                    <w:jc w:val="center"/>
                    <w:rPr>
                      <w:rFonts w:ascii="Times New Roman" w:hAnsi="Times New Roman"/>
                      <w:color w:val="auto"/>
                      <w:szCs w:val="21"/>
                      <w:u w:val="single"/>
                    </w:rPr>
                  </w:pPr>
                </w:p>
              </w:tc>
              <w:tc>
                <w:tcPr>
                  <w:tcW w:w="436" w:type="pct"/>
                  <w:vMerge w:val="continue"/>
                  <w:vAlign w:val="center"/>
                </w:tcPr>
                <w:p w14:paraId="48C4B7DD">
                  <w:pPr>
                    <w:pStyle w:val="76"/>
                    <w:jc w:val="center"/>
                    <w:rPr>
                      <w:rFonts w:ascii="Times New Roman" w:hAnsi="Times New Roman"/>
                      <w:color w:val="auto"/>
                      <w:szCs w:val="21"/>
                      <w:u w:val="single"/>
                    </w:rPr>
                  </w:pPr>
                </w:p>
              </w:tc>
              <w:tc>
                <w:tcPr>
                  <w:tcW w:w="272" w:type="pct"/>
                  <w:vAlign w:val="center"/>
                </w:tcPr>
                <w:p w14:paraId="3DCE6FC1">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33A20A1E">
                  <w:pPr>
                    <w:pStyle w:val="76"/>
                    <w:jc w:val="center"/>
                    <w:rPr>
                      <w:rFonts w:ascii="Times New Roman" w:hAnsi="Times New Roman"/>
                      <w:color w:val="auto"/>
                      <w:szCs w:val="21"/>
                      <w:u w:val="single"/>
                    </w:rPr>
                  </w:pPr>
                  <w:r>
                    <w:rPr>
                      <w:rFonts w:ascii="Times New Roman" w:hAnsi="Times New Roman"/>
                      <w:color w:val="auto"/>
                      <w:szCs w:val="21"/>
                      <w:u w:val="single"/>
                    </w:rPr>
                    <w:t>4</w:t>
                  </w:r>
                  <w:r>
                    <w:rPr>
                      <w:rFonts w:hint="eastAsia" w:ascii="Times New Roman" w:hAnsi="Times New Roman"/>
                      <w:color w:val="auto"/>
                      <w:szCs w:val="21"/>
                      <w:u w:val="single"/>
                    </w:rPr>
                    <w:t>1</w:t>
                  </w:r>
                  <w:r>
                    <w:rPr>
                      <w:rFonts w:ascii="Times New Roman" w:hAnsi="Times New Roman"/>
                      <w:color w:val="auto"/>
                      <w:szCs w:val="21"/>
                      <w:u w:val="single"/>
                    </w:rPr>
                    <w:t>.0</w:t>
                  </w:r>
                </w:p>
              </w:tc>
              <w:tc>
                <w:tcPr>
                  <w:tcW w:w="311" w:type="pct"/>
                  <w:vMerge w:val="continue"/>
                  <w:vAlign w:val="center"/>
                </w:tcPr>
                <w:p w14:paraId="6A6AF3EB">
                  <w:pPr>
                    <w:pStyle w:val="76"/>
                    <w:jc w:val="center"/>
                    <w:rPr>
                      <w:rFonts w:ascii="Times New Roman" w:hAnsi="Times New Roman"/>
                      <w:color w:val="auto"/>
                      <w:szCs w:val="21"/>
                      <w:u w:val="single"/>
                    </w:rPr>
                  </w:pPr>
                </w:p>
              </w:tc>
            </w:tr>
            <w:tr w14:paraId="531A91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6FEC5037">
                  <w:pPr>
                    <w:pStyle w:val="76"/>
                    <w:jc w:val="center"/>
                    <w:rPr>
                      <w:rFonts w:ascii="Times New Roman" w:hAnsi="Times New Roman"/>
                      <w:color w:val="auto"/>
                      <w:szCs w:val="21"/>
                      <w:u w:val="single"/>
                    </w:rPr>
                  </w:pPr>
                </w:p>
              </w:tc>
              <w:tc>
                <w:tcPr>
                  <w:tcW w:w="163" w:type="pct"/>
                  <w:vMerge w:val="continue"/>
                  <w:vAlign w:val="center"/>
                </w:tcPr>
                <w:p w14:paraId="57CE46D7">
                  <w:pPr>
                    <w:pStyle w:val="76"/>
                    <w:jc w:val="center"/>
                    <w:rPr>
                      <w:rFonts w:ascii="Times New Roman" w:hAnsi="Times New Roman"/>
                      <w:color w:val="auto"/>
                      <w:szCs w:val="21"/>
                      <w:u w:val="single"/>
                    </w:rPr>
                  </w:pPr>
                </w:p>
              </w:tc>
              <w:tc>
                <w:tcPr>
                  <w:tcW w:w="299" w:type="pct"/>
                  <w:vMerge w:val="continue"/>
                  <w:vAlign w:val="center"/>
                </w:tcPr>
                <w:p w14:paraId="1F807F7F">
                  <w:pPr>
                    <w:pStyle w:val="76"/>
                    <w:jc w:val="center"/>
                    <w:rPr>
                      <w:rFonts w:ascii="Times New Roman" w:hAnsi="Times New Roman"/>
                      <w:color w:val="auto"/>
                      <w:szCs w:val="21"/>
                      <w:u w:val="single"/>
                    </w:rPr>
                  </w:pPr>
                </w:p>
              </w:tc>
              <w:tc>
                <w:tcPr>
                  <w:tcW w:w="596" w:type="pct"/>
                  <w:vMerge w:val="continue"/>
                  <w:vAlign w:val="center"/>
                </w:tcPr>
                <w:p w14:paraId="1FA7F95D">
                  <w:pPr>
                    <w:pStyle w:val="76"/>
                    <w:jc w:val="center"/>
                    <w:rPr>
                      <w:rFonts w:ascii="Times New Roman" w:hAnsi="Times New Roman"/>
                      <w:color w:val="auto"/>
                      <w:szCs w:val="21"/>
                      <w:u w:val="single"/>
                    </w:rPr>
                  </w:pPr>
                </w:p>
              </w:tc>
              <w:tc>
                <w:tcPr>
                  <w:tcW w:w="503" w:type="pct"/>
                  <w:vMerge w:val="continue"/>
                  <w:vAlign w:val="center"/>
                </w:tcPr>
                <w:p w14:paraId="0A16308B">
                  <w:pPr>
                    <w:pStyle w:val="76"/>
                    <w:jc w:val="center"/>
                    <w:rPr>
                      <w:rFonts w:ascii="Times New Roman" w:hAnsi="Times New Roman"/>
                      <w:color w:val="auto"/>
                      <w:szCs w:val="21"/>
                      <w:u w:val="single"/>
                    </w:rPr>
                  </w:pPr>
                </w:p>
              </w:tc>
              <w:tc>
                <w:tcPr>
                  <w:tcW w:w="170" w:type="pct"/>
                  <w:vMerge w:val="continue"/>
                  <w:vAlign w:val="center"/>
                </w:tcPr>
                <w:p w14:paraId="1050EA1D">
                  <w:pPr>
                    <w:pStyle w:val="76"/>
                    <w:jc w:val="center"/>
                    <w:rPr>
                      <w:rFonts w:ascii="Times New Roman" w:hAnsi="Times New Roman"/>
                      <w:color w:val="auto"/>
                      <w:szCs w:val="21"/>
                      <w:u w:val="single"/>
                    </w:rPr>
                  </w:pPr>
                </w:p>
              </w:tc>
              <w:tc>
                <w:tcPr>
                  <w:tcW w:w="170" w:type="pct"/>
                  <w:vMerge w:val="continue"/>
                  <w:vAlign w:val="center"/>
                </w:tcPr>
                <w:p w14:paraId="0B32150F">
                  <w:pPr>
                    <w:pStyle w:val="76"/>
                    <w:jc w:val="center"/>
                    <w:rPr>
                      <w:rFonts w:ascii="Times New Roman" w:hAnsi="Times New Roman"/>
                      <w:color w:val="auto"/>
                      <w:szCs w:val="21"/>
                      <w:u w:val="single"/>
                    </w:rPr>
                  </w:pPr>
                </w:p>
              </w:tc>
              <w:tc>
                <w:tcPr>
                  <w:tcW w:w="125" w:type="pct"/>
                  <w:vMerge w:val="continue"/>
                  <w:vAlign w:val="center"/>
                </w:tcPr>
                <w:p w14:paraId="1B5E8E9C">
                  <w:pPr>
                    <w:pStyle w:val="76"/>
                    <w:jc w:val="center"/>
                    <w:rPr>
                      <w:rFonts w:ascii="Times New Roman" w:hAnsi="Times New Roman"/>
                      <w:color w:val="auto"/>
                      <w:szCs w:val="21"/>
                      <w:u w:val="single"/>
                    </w:rPr>
                  </w:pPr>
                </w:p>
              </w:tc>
              <w:tc>
                <w:tcPr>
                  <w:tcW w:w="208" w:type="pct"/>
                  <w:vAlign w:val="center"/>
                </w:tcPr>
                <w:p w14:paraId="1591A5F4">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0F984CB9">
                  <w:pPr>
                    <w:pStyle w:val="76"/>
                    <w:jc w:val="center"/>
                    <w:rPr>
                      <w:rFonts w:ascii="Times New Roman" w:hAnsi="Times New Roman"/>
                      <w:color w:val="auto"/>
                      <w:szCs w:val="21"/>
                      <w:u w:val="single"/>
                    </w:rPr>
                  </w:pPr>
                  <w:r>
                    <w:rPr>
                      <w:rFonts w:hint="eastAsia" w:ascii="Times New Roman" w:hAnsi="Times New Roman"/>
                      <w:color w:val="auto"/>
                      <w:szCs w:val="21"/>
                      <w:u w:val="single"/>
                    </w:rPr>
                    <w:t>167</w:t>
                  </w:r>
                </w:p>
              </w:tc>
              <w:tc>
                <w:tcPr>
                  <w:tcW w:w="405" w:type="pct"/>
                  <w:vAlign w:val="center"/>
                </w:tcPr>
                <w:p w14:paraId="60C408D5">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6.0</w:t>
                  </w:r>
                </w:p>
              </w:tc>
              <w:tc>
                <w:tcPr>
                  <w:tcW w:w="548" w:type="pct"/>
                  <w:vMerge w:val="continue"/>
                  <w:vAlign w:val="center"/>
                </w:tcPr>
                <w:p w14:paraId="5B93B2FC">
                  <w:pPr>
                    <w:pStyle w:val="76"/>
                    <w:jc w:val="center"/>
                    <w:rPr>
                      <w:rFonts w:ascii="Times New Roman" w:hAnsi="Times New Roman"/>
                      <w:color w:val="auto"/>
                      <w:szCs w:val="21"/>
                      <w:u w:val="single"/>
                    </w:rPr>
                  </w:pPr>
                </w:p>
              </w:tc>
              <w:tc>
                <w:tcPr>
                  <w:tcW w:w="436" w:type="pct"/>
                  <w:vMerge w:val="continue"/>
                  <w:vAlign w:val="center"/>
                </w:tcPr>
                <w:p w14:paraId="4C46650F">
                  <w:pPr>
                    <w:pStyle w:val="76"/>
                    <w:jc w:val="center"/>
                    <w:rPr>
                      <w:rFonts w:ascii="Times New Roman" w:hAnsi="Times New Roman"/>
                      <w:color w:val="auto"/>
                      <w:szCs w:val="21"/>
                      <w:u w:val="single"/>
                    </w:rPr>
                  </w:pPr>
                </w:p>
              </w:tc>
              <w:tc>
                <w:tcPr>
                  <w:tcW w:w="272" w:type="pct"/>
                  <w:vAlign w:val="center"/>
                </w:tcPr>
                <w:p w14:paraId="439FBF6C">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627F7D4E">
                  <w:pPr>
                    <w:pStyle w:val="76"/>
                    <w:jc w:val="center"/>
                    <w:rPr>
                      <w:rFonts w:ascii="Times New Roman" w:hAnsi="Times New Roman"/>
                      <w:color w:val="auto"/>
                      <w:szCs w:val="21"/>
                      <w:u w:val="single"/>
                    </w:rPr>
                  </w:pPr>
                  <w:r>
                    <w:rPr>
                      <w:rFonts w:ascii="Times New Roman" w:hAnsi="Times New Roman"/>
                      <w:color w:val="auto"/>
                      <w:szCs w:val="21"/>
                      <w:u w:val="single"/>
                    </w:rPr>
                    <w:t>4</w:t>
                  </w:r>
                  <w:r>
                    <w:rPr>
                      <w:rFonts w:hint="eastAsia" w:ascii="Times New Roman" w:hAnsi="Times New Roman"/>
                      <w:color w:val="auto"/>
                      <w:szCs w:val="21"/>
                      <w:u w:val="single"/>
                    </w:rPr>
                    <w:t>1.</w:t>
                  </w:r>
                  <w:r>
                    <w:rPr>
                      <w:rFonts w:ascii="Times New Roman" w:hAnsi="Times New Roman"/>
                      <w:color w:val="auto"/>
                      <w:szCs w:val="21"/>
                      <w:u w:val="single"/>
                    </w:rPr>
                    <w:t>0</w:t>
                  </w:r>
                </w:p>
              </w:tc>
              <w:tc>
                <w:tcPr>
                  <w:tcW w:w="311" w:type="pct"/>
                  <w:vMerge w:val="continue"/>
                  <w:vAlign w:val="center"/>
                </w:tcPr>
                <w:p w14:paraId="4FF708D4">
                  <w:pPr>
                    <w:pStyle w:val="76"/>
                    <w:jc w:val="center"/>
                    <w:rPr>
                      <w:rFonts w:ascii="Times New Roman" w:hAnsi="Times New Roman"/>
                      <w:color w:val="auto"/>
                      <w:szCs w:val="21"/>
                      <w:u w:val="single"/>
                    </w:rPr>
                  </w:pPr>
                </w:p>
              </w:tc>
            </w:tr>
            <w:tr w14:paraId="74D68E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3D523E9C">
                  <w:pPr>
                    <w:pStyle w:val="76"/>
                    <w:jc w:val="center"/>
                    <w:rPr>
                      <w:rFonts w:ascii="Times New Roman" w:hAnsi="Times New Roman"/>
                      <w:color w:val="auto"/>
                      <w:szCs w:val="21"/>
                      <w:u w:val="single"/>
                    </w:rPr>
                  </w:pPr>
                </w:p>
              </w:tc>
              <w:tc>
                <w:tcPr>
                  <w:tcW w:w="163" w:type="pct"/>
                  <w:vMerge w:val="continue"/>
                  <w:vAlign w:val="center"/>
                </w:tcPr>
                <w:p w14:paraId="1738AE15">
                  <w:pPr>
                    <w:pStyle w:val="76"/>
                    <w:jc w:val="center"/>
                    <w:rPr>
                      <w:rFonts w:ascii="Times New Roman" w:hAnsi="Times New Roman"/>
                      <w:color w:val="auto"/>
                      <w:szCs w:val="21"/>
                      <w:u w:val="single"/>
                    </w:rPr>
                  </w:pPr>
                </w:p>
              </w:tc>
              <w:tc>
                <w:tcPr>
                  <w:tcW w:w="299" w:type="pct"/>
                  <w:vMerge w:val="continue"/>
                  <w:vAlign w:val="center"/>
                </w:tcPr>
                <w:p w14:paraId="747B1313">
                  <w:pPr>
                    <w:pStyle w:val="76"/>
                    <w:jc w:val="center"/>
                    <w:rPr>
                      <w:rFonts w:ascii="Times New Roman" w:hAnsi="Times New Roman"/>
                      <w:color w:val="auto"/>
                      <w:szCs w:val="21"/>
                      <w:u w:val="single"/>
                    </w:rPr>
                  </w:pPr>
                </w:p>
              </w:tc>
              <w:tc>
                <w:tcPr>
                  <w:tcW w:w="596" w:type="pct"/>
                  <w:vMerge w:val="continue"/>
                  <w:vAlign w:val="center"/>
                </w:tcPr>
                <w:p w14:paraId="3097A9A1">
                  <w:pPr>
                    <w:pStyle w:val="76"/>
                    <w:jc w:val="center"/>
                    <w:rPr>
                      <w:rFonts w:ascii="Times New Roman" w:hAnsi="Times New Roman"/>
                      <w:color w:val="auto"/>
                      <w:szCs w:val="21"/>
                      <w:u w:val="single"/>
                    </w:rPr>
                  </w:pPr>
                </w:p>
              </w:tc>
              <w:tc>
                <w:tcPr>
                  <w:tcW w:w="503" w:type="pct"/>
                  <w:vMerge w:val="continue"/>
                  <w:vAlign w:val="center"/>
                </w:tcPr>
                <w:p w14:paraId="4553445A">
                  <w:pPr>
                    <w:pStyle w:val="76"/>
                    <w:jc w:val="center"/>
                    <w:rPr>
                      <w:rFonts w:ascii="Times New Roman" w:hAnsi="Times New Roman"/>
                      <w:color w:val="auto"/>
                      <w:szCs w:val="21"/>
                      <w:u w:val="single"/>
                    </w:rPr>
                  </w:pPr>
                </w:p>
              </w:tc>
              <w:tc>
                <w:tcPr>
                  <w:tcW w:w="170" w:type="pct"/>
                  <w:vMerge w:val="continue"/>
                  <w:vAlign w:val="center"/>
                </w:tcPr>
                <w:p w14:paraId="267219BF">
                  <w:pPr>
                    <w:pStyle w:val="76"/>
                    <w:jc w:val="center"/>
                    <w:rPr>
                      <w:rFonts w:ascii="Times New Roman" w:hAnsi="Times New Roman"/>
                      <w:color w:val="auto"/>
                      <w:szCs w:val="21"/>
                      <w:u w:val="single"/>
                    </w:rPr>
                  </w:pPr>
                </w:p>
              </w:tc>
              <w:tc>
                <w:tcPr>
                  <w:tcW w:w="170" w:type="pct"/>
                  <w:vMerge w:val="continue"/>
                  <w:vAlign w:val="center"/>
                </w:tcPr>
                <w:p w14:paraId="02528131">
                  <w:pPr>
                    <w:pStyle w:val="76"/>
                    <w:jc w:val="center"/>
                    <w:rPr>
                      <w:rFonts w:ascii="Times New Roman" w:hAnsi="Times New Roman"/>
                      <w:color w:val="auto"/>
                      <w:szCs w:val="21"/>
                      <w:u w:val="single"/>
                    </w:rPr>
                  </w:pPr>
                </w:p>
              </w:tc>
              <w:tc>
                <w:tcPr>
                  <w:tcW w:w="125" w:type="pct"/>
                  <w:vMerge w:val="continue"/>
                  <w:vAlign w:val="center"/>
                </w:tcPr>
                <w:p w14:paraId="3232EF3F">
                  <w:pPr>
                    <w:pStyle w:val="76"/>
                    <w:jc w:val="center"/>
                    <w:rPr>
                      <w:rFonts w:ascii="Times New Roman" w:hAnsi="Times New Roman"/>
                      <w:color w:val="auto"/>
                      <w:szCs w:val="21"/>
                      <w:u w:val="single"/>
                    </w:rPr>
                  </w:pPr>
                </w:p>
              </w:tc>
              <w:tc>
                <w:tcPr>
                  <w:tcW w:w="208" w:type="pct"/>
                  <w:vAlign w:val="center"/>
                </w:tcPr>
                <w:p w14:paraId="67111170">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14D6E675">
                  <w:pPr>
                    <w:pStyle w:val="76"/>
                    <w:jc w:val="center"/>
                    <w:rPr>
                      <w:rFonts w:ascii="Times New Roman" w:hAnsi="Times New Roman"/>
                      <w:color w:val="auto"/>
                      <w:szCs w:val="21"/>
                      <w:u w:val="single"/>
                    </w:rPr>
                  </w:pPr>
                  <w:r>
                    <w:rPr>
                      <w:rFonts w:hint="eastAsia" w:ascii="Times New Roman" w:hAnsi="Times New Roman"/>
                      <w:color w:val="auto"/>
                      <w:szCs w:val="21"/>
                      <w:u w:val="single"/>
                    </w:rPr>
                    <w:t>22</w:t>
                  </w:r>
                </w:p>
              </w:tc>
              <w:tc>
                <w:tcPr>
                  <w:tcW w:w="405" w:type="pct"/>
                  <w:vAlign w:val="center"/>
                </w:tcPr>
                <w:p w14:paraId="1353D825">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w:t>
                  </w:r>
                  <w:r>
                    <w:rPr>
                      <w:rFonts w:hint="eastAsia" w:ascii="Times New Roman" w:hAnsi="Times New Roman"/>
                      <w:color w:val="auto"/>
                      <w:szCs w:val="21"/>
                      <w:u w:val="single"/>
                    </w:rPr>
                    <w:t>0</w:t>
                  </w:r>
                </w:p>
              </w:tc>
              <w:tc>
                <w:tcPr>
                  <w:tcW w:w="548" w:type="pct"/>
                  <w:vMerge w:val="continue"/>
                  <w:vAlign w:val="center"/>
                </w:tcPr>
                <w:p w14:paraId="1297BB6A">
                  <w:pPr>
                    <w:pStyle w:val="76"/>
                    <w:jc w:val="center"/>
                    <w:rPr>
                      <w:rFonts w:ascii="Times New Roman" w:hAnsi="Times New Roman"/>
                      <w:color w:val="auto"/>
                      <w:szCs w:val="21"/>
                      <w:u w:val="single"/>
                    </w:rPr>
                  </w:pPr>
                </w:p>
              </w:tc>
              <w:tc>
                <w:tcPr>
                  <w:tcW w:w="436" w:type="pct"/>
                  <w:vMerge w:val="continue"/>
                  <w:vAlign w:val="center"/>
                </w:tcPr>
                <w:p w14:paraId="61FD9F48">
                  <w:pPr>
                    <w:pStyle w:val="76"/>
                    <w:jc w:val="center"/>
                    <w:rPr>
                      <w:rFonts w:ascii="Times New Roman" w:hAnsi="Times New Roman"/>
                      <w:color w:val="auto"/>
                      <w:szCs w:val="21"/>
                      <w:u w:val="single"/>
                    </w:rPr>
                  </w:pPr>
                </w:p>
              </w:tc>
              <w:tc>
                <w:tcPr>
                  <w:tcW w:w="272" w:type="pct"/>
                  <w:vAlign w:val="center"/>
                </w:tcPr>
                <w:p w14:paraId="59D47BD3">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479F325B">
                  <w:pPr>
                    <w:pStyle w:val="76"/>
                    <w:jc w:val="center"/>
                    <w:rPr>
                      <w:rFonts w:ascii="Times New Roman" w:hAnsi="Times New Roman"/>
                      <w:color w:val="auto"/>
                      <w:szCs w:val="21"/>
                      <w:u w:val="single"/>
                    </w:rPr>
                  </w:pPr>
                  <w:r>
                    <w:rPr>
                      <w:rFonts w:ascii="Times New Roman" w:hAnsi="Times New Roman"/>
                      <w:color w:val="auto"/>
                      <w:szCs w:val="21"/>
                      <w:u w:val="single"/>
                    </w:rPr>
                    <w:t>4</w:t>
                  </w:r>
                  <w:r>
                    <w:rPr>
                      <w:rFonts w:hint="eastAsia" w:ascii="Times New Roman" w:hAnsi="Times New Roman"/>
                      <w:color w:val="auto"/>
                      <w:szCs w:val="21"/>
                      <w:u w:val="single"/>
                    </w:rPr>
                    <w:t>1</w:t>
                  </w:r>
                  <w:r>
                    <w:rPr>
                      <w:rFonts w:ascii="Times New Roman" w:hAnsi="Times New Roman"/>
                      <w:color w:val="auto"/>
                      <w:szCs w:val="21"/>
                      <w:u w:val="single"/>
                    </w:rPr>
                    <w:t>.</w:t>
                  </w:r>
                  <w:r>
                    <w:rPr>
                      <w:rFonts w:hint="eastAsia" w:ascii="Times New Roman" w:hAnsi="Times New Roman"/>
                      <w:color w:val="auto"/>
                      <w:szCs w:val="21"/>
                      <w:u w:val="single"/>
                    </w:rPr>
                    <w:t>0</w:t>
                  </w:r>
                </w:p>
              </w:tc>
              <w:tc>
                <w:tcPr>
                  <w:tcW w:w="311" w:type="pct"/>
                  <w:vMerge w:val="continue"/>
                  <w:vAlign w:val="center"/>
                </w:tcPr>
                <w:p w14:paraId="415BABB1">
                  <w:pPr>
                    <w:pStyle w:val="76"/>
                    <w:jc w:val="center"/>
                    <w:rPr>
                      <w:rFonts w:ascii="Times New Roman" w:hAnsi="Times New Roman"/>
                      <w:color w:val="auto"/>
                      <w:szCs w:val="21"/>
                      <w:u w:val="single"/>
                    </w:rPr>
                  </w:pPr>
                </w:p>
              </w:tc>
            </w:tr>
            <w:tr w14:paraId="593966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6636DE76">
                  <w:pPr>
                    <w:pStyle w:val="88"/>
                    <w:numPr>
                      <w:ilvl w:val="0"/>
                      <w:numId w:val="7"/>
                    </w:numPr>
                    <w:rPr>
                      <w:color w:val="auto"/>
                      <w:szCs w:val="21"/>
                      <w:u w:val="single"/>
                    </w:rPr>
                  </w:pPr>
                </w:p>
              </w:tc>
              <w:tc>
                <w:tcPr>
                  <w:tcW w:w="163" w:type="pct"/>
                  <w:vMerge w:val="continue"/>
                  <w:vAlign w:val="center"/>
                </w:tcPr>
                <w:p w14:paraId="62013B24">
                  <w:pPr>
                    <w:pStyle w:val="76"/>
                    <w:jc w:val="center"/>
                    <w:rPr>
                      <w:rFonts w:ascii="Times New Roman" w:hAnsi="Times New Roman"/>
                      <w:color w:val="auto"/>
                      <w:szCs w:val="21"/>
                      <w:u w:val="single"/>
                    </w:rPr>
                  </w:pPr>
                </w:p>
              </w:tc>
              <w:tc>
                <w:tcPr>
                  <w:tcW w:w="299" w:type="pct"/>
                  <w:vMerge w:val="restart"/>
                  <w:vAlign w:val="center"/>
                </w:tcPr>
                <w:p w14:paraId="6446D1F5">
                  <w:pPr>
                    <w:pStyle w:val="76"/>
                    <w:jc w:val="center"/>
                    <w:rPr>
                      <w:rFonts w:ascii="Times New Roman" w:hAnsi="Times New Roman"/>
                      <w:color w:val="auto"/>
                      <w:szCs w:val="21"/>
                      <w:u w:val="single"/>
                    </w:rPr>
                  </w:pPr>
                  <w:r>
                    <w:rPr>
                      <w:rFonts w:ascii="Times New Roman" w:hAnsi="Times New Roman"/>
                      <w:color w:val="auto"/>
                      <w:szCs w:val="21"/>
                      <w:u w:val="single"/>
                    </w:rPr>
                    <w:t>液压成型机（</w:t>
                  </w:r>
                  <w:r>
                    <w:rPr>
                      <w:rFonts w:hint="eastAsia" w:ascii="Times New Roman" w:hAnsi="Times New Roman"/>
                      <w:color w:val="auto"/>
                      <w:szCs w:val="21"/>
                      <w:u w:val="single"/>
                    </w:rPr>
                    <w:t>6</w:t>
                  </w:r>
                  <w:r>
                    <w:rPr>
                      <w:rFonts w:ascii="Times New Roman" w:hAnsi="Times New Roman"/>
                      <w:color w:val="auto"/>
                      <w:szCs w:val="21"/>
                      <w:u w:val="single"/>
                    </w:rPr>
                    <w:t>台）</w:t>
                  </w:r>
                </w:p>
              </w:tc>
              <w:tc>
                <w:tcPr>
                  <w:tcW w:w="596" w:type="pct"/>
                  <w:vMerge w:val="restart"/>
                  <w:vAlign w:val="center"/>
                </w:tcPr>
                <w:p w14:paraId="0BF183D7">
                  <w:pPr>
                    <w:pStyle w:val="76"/>
                    <w:jc w:val="center"/>
                    <w:rPr>
                      <w:rFonts w:ascii="Times New Roman" w:hAnsi="Times New Roman"/>
                      <w:color w:val="auto"/>
                      <w:szCs w:val="21"/>
                      <w:u w:val="single"/>
                    </w:rPr>
                  </w:pPr>
                  <w:r>
                    <w:rPr>
                      <w:rFonts w:ascii="Times New Roman" w:hAnsi="Times New Roman"/>
                      <w:color w:val="auto"/>
                      <w:szCs w:val="21"/>
                      <w:u w:val="single"/>
                    </w:rPr>
                    <w:t>75</w:t>
                  </w:r>
                </w:p>
              </w:tc>
              <w:tc>
                <w:tcPr>
                  <w:tcW w:w="503" w:type="pct"/>
                  <w:vMerge w:val="restart"/>
                  <w:vAlign w:val="center"/>
                </w:tcPr>
                <w:p w14:paraId="4B5B8ECB">
                  <w:pPr>
                    <w:pStyle w:val="76"/>
                    <w:jc w:val="center"/>
                    <w:rPr>
                      <w:rFonts w:ascii="Times New Roman" w:hAnsi="Times New Roman"/>
                      <w:color w:val="auto"/>
                      <w:szCs w:val="21"/>
                      <w:u w:val="single"/>
                    </w:rPr>
                  </w:pPr>
                  <w:r>
                    <w:rPr>
                      <w:rFonts w:ascii="Times New Roman" w:hAnsi="Times New Roman"/>
                      <w:color w:val="auto"/>
                      <w:szCs w:val="21"/>
                      <w:u w:val="single"/>
                    </w:rPr>
                    <w:t>减振降噪、厂房隔声</w:t>
                  </w:r>
                </w:p>
              </w:tc>
              <w:tc>
                <w:tcPr>
                  <w:tcW w:w="170" w:type="pct"/>
                  <w:vMerge w:val="restart"/>
                  <w:vAlign w:val="center"/>
                </w:tcPr>
                <w:p w14:paraId="1281EAB9">
                  <w:pPr>
                    <w:pStyle w:val="76"/>
                    <w:jc w:val="center"/>
                    <w:rPr>
                      <w:rFonts w:ascii="Times New Roman" w:hAnsi="Times New Roman"/>
                      <w:color w:val="auto"/>
                      <w:szCs w:val="21"/>
                      <w:u w:val="single"/>
                    </w:rPr>
                  </w:pPr>
                  <w:r>
                    <w:rPr>
                      <w:rFonts w:hint="eastAsia" w:ascii="Times New Roman" w:hAnsi="Times New Roman"/>
                      <w:color w:val="auto"/>
                      <w:szCs w:val="21"/>
                      <w:u w:val="single"/>
                    </w:rPr>
                    <w:t>85</w:t>
                  </w:r>
                </w:p>
              </w:tc>
              <w:tc>
                <w:tcPr>
                  <w:tcW w:w="170" w:type="pct"/>
                  <w:vMerge w:val="restart"/>
                  <w:vAlign w:val="center"/>
                </w:tcPr>
                <w:p w14:paraId="1D16810B">
                  <w:pPr>
                    <w:pStyle w:val="76"/>
                    <w:jc w:val="center"/>
                    <w:rPr>
                      <w:rFonts w:ascii="Times New Roman" w:hAnsi="Times New Roman"/>
                      <w:color w:val="auto"/>
                      <w:szCs w:val="21"/>
                      <w:u w:val="single"/>
                    </w:rPr>
                  </w:pPr>
                  <w:r>
                    <w:rPr>
                      <w:rFonts w:hint="eastAsia" w:ascii="Times New Roman" w:hAnsi="Times New Roman"/>
                      <w:color w:val="auto"/>
                      <w:szCs w:val="21"/>
                      <w:u w:val="single"/>
                    </w:rPr>
                    <w:t>25</w:t>
                  </w:r>
                </w:p>
              </w:tc>
              <w:tc>
                <w:tcPr>
                  <w:tcW w:w="125" w:type="pct"/>
                  <w:vMerge w:val="restart"/>
                  <w:vAlign w:val="center"/>
                </w:tcPr>
                <w:p w14:paraId="03614191">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451CFE7D">
                  <w:pPr>
                    <w:pStyle w:val="76"/>
                    <w:jc w:val="center"/>
                    <w:rPr>
                      <w:rFonts w:ascii="Times New Roman" w:hAnsi="Times New Roman"/>
                      <w:color w:val="auto"/>
                      <w:szCs w:val="21"/>
                      <w:u w:val="single"/>
                      <w:lang w:bidi="zh-CN"/>
                    </w:rPr>
                  </w:pPr>
                  <w:r>
                    <w:rPr>
                      <w:rFonts w:ascii="Times New Roman" w:hAnsi="Times New Roman"/>
                      <w:color w:val="auto"/>
                      <w:szCs w:val="21"/>
                      <w:u w:val="single"/>
                    </w:rPr>
                    <w:t>东</w:t>
                  </w:r>
                </w:p>
              </w:tc>
              <w:tc>
                <w:tcPr>
                  <w:tcW w:w="208" w:type="pct"/>
                  <w:vAlign w:val="center"/>
                </w:tcPr>
                <w:p w14:paraId="045BDEB3">
                  <w:pPr>
                    <w:pStyle w:val="76"/>
                    <w:jc w:val="center"/>
                    <w:rPr>
                      <w:rFonts w:ascii="Times New Roman" w:hAnsi="Times New Roman"/>
                      <w:color w:val="auto"/>
                      <w:szCs w:val="21"/>
                      <w:u w:val="single"/>
                    </w:rPr>
                  </w:pPr>
                  <w:r>
                    <w:rPr>
                      <w:rFonts w:hint="eastAsia" w:ascii="Times New Roman" w:hAnsi="Times New Roman"/>
                      <w:color w:val="auto"/>
                      <w:szCs w:val="21"/>
                      <w:u w:val="single"/>
                    </w:rPr>
                    <w:t>2</w:t>
                  </w:r>
                </w:p>
              </w:tc>
              <w:tc>
                <w:tcPr>
                  <w:tcW w:w="405" w:type="pct"/>
                  <w:vAlign w:val="center"/>
                </w:tcPr>
                <w:p w14:paraId="537B31F9">
                  <w:pPr>
                    <w:pStyle w:val="76"/>
                    <w:jc w:val="center"/>
                    <w:rPr>
                      <w:rFonts w:ascii="Times New Roman" w:hAnsi="Times New Roman"/>
                      <w:color w:val="auto"/>
                      <w:szCs w:val="21"/>
                      <w:u w:val="single"/>
                    </w:rPr>
                  </w:pPr>
                  <w:r>
                    <w:rPr>
                      <w:rFonts w:ascii="Times New Roman" w:hAnsi="Times New Roman"/>
                      <w:color w:val="auto"/>
                      <w:szCs w:val="21"/>
                      <w:u w:val="single"/>
                    </w:rPr>
                    <w:t>68.</w:t>
                  </w:r>
                  <w:r>
                    <w:rPr>
                      <w:rFonts w:hint="eastAsia" w:ascii="Times New Roman" w:hAnsi="Times New Roman"/>
                      <w:color w:val="auto"/>
                      <w:szCs w:val="21"/>
                      <w:u w:val="single"/>
                    </w:rPr>
                    <w:t>3</w:t>
                  </w:r>
                </w:p>
              </w:tc>
              <w:tc>
                <w:tcPr>
                  <w:tcW w:w="548" w:type="pct"/>
                  <w:vMerge w:val="restart"/>
                  <w:vAlign w:val="center"/>
                </w:tcPr>
                <w:p w14:paraId="3838F918">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7CB8ED2D">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5D6FC0EC">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2348F507">
                  <w:pPr>
                    <w:pStyle w:val="76"/>
                    <w:jc w:val="center"/>
                    <w:rPr>
                      <w:rFonts w:ascii="Times New Roman" w:hAnsi="Times New Roman"/>
                      <w:color w:val="auto"/>
                      <w:szCs w:val="21"/>
                      <w:u w:val="single"/>
                    </w:rPr>
                  </w:pPr>
                  <w:r>
                    <w:rPr>
                      <w:rFonts w:ascii="Times New Roman" w:hAnsi="Times New Roman"/>
                      <w:color w:val="auto"/>
                      <w:szCs w:val="21"/>
                      <w:u w:val="single"/>
                    </w:rPr>
                    <w:t>43.</w:t>
                  </w:r>
                  <w:r>
                    <w:rPr>
                      <w:rFonts w:hint="eastAsia" w:ascii="Times New Roman" w:hAnsi="Times New Roman"/>
                      <w:color w:val="auto"/>
                      <w:szCs w:val="21"/>
                      <w:u w:val="single"/>
                    </w:rPr>
                    <w:t>3</w:t>
                  </w:r>
                </w:p>
              </w:tc>
              <w:tc>
                <w:tcPr>
                  <w:tcW w:w="311" w:type="pct"/>
                  <w:vMerge w:val="restart"/>
                  <w:vAlign w:val="center"/>
                </w:tcPr>
                <w:p w14:paraId="40ECD879">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155287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0A0B4295">
                  <w:pPr>
                    <w:pStyle w:val="76"/>
                    <w:jc w:val="center"/>
                    <w:rPr>
                      <w:rFonts w:ascii="Times New Roman" w:hAnsi="Times New Roman"/>
                      <w:color w:val="auto"/>
                      <w:u w:val="single"/>
                    </w:rPr>
                  </w:pPr>
                </w:p>
              </w:tc>
              <w:tc>
                <w:tcPr>
                  <w:tcW w:w="163" w:type="pct"/>
                  <w:vMerge w:val="continue"/>
                  <w:vAlign w:val="center"/>
                </w:tcPr>
                <w:p w14:paraId="6D05F829">
                  <w:pPr>
                    <w:pStyle w:val="76"/>
                    <w:jc w:val="center"/>
                    <w:rPr>
                      <w:rFonts w:ascii="Times New Roman" w:hAnsi="Times New Roman"/>
                      <w:color w:val="auto"/>
                      <w:u w:val="single"/>
                    </w:rPr>
                  </w:pPr>
                </w:p>
              </w:tc>
              <w:tc>
                <w:tcPr>
                  <w:tcW w:w="299" w:type="pct"/>
                  <w:vMerge w:val="continue"/>
                  <w:vAlign w:val="center"/>
                </w:tcPr>
                <w:p w14:paraId="190E3947">
                  <w:pPr>
                    <w:pStyle w:val="76"/>
                    <w:jc w:val="center"/>
                    <w:rPr>
                      <w:rFonts w:ascii="Times New Roman" w:hAnsi="Times New Roman"/>
                      <w:color w:val="auto"/>
                      <w:u w:val="single"/>
                    </w:rPr>
                  </w:pPr>
                </w:p>
              </w:tc>
              <w:tc>
                <w:tcPr>
                  <w:tcW w:w="596" w:type="pct"/>
                  <w:vMerge w:val="continue"/>
                  <w:vAlign w:val="center"/>
                </w:tcPr>
                <w:p w14:paraId="51B82059">
                  <w:pPr>
                    <w:pStyle w:val="76"/>
                    <w:jc w:val="center"/>
                    <w:rPr>
                      <w:rFonts w:ascii="Times New Roman" w:hAnsi="Times New Roman"/>
                      <w:color w:val="auto"/>
                      <w:u w:val="single"/>
                    </w:rPr>
                  </w:pPr>
                </w:p>
              </w:tc>
              <w:tc>
                <w:tcPr>
                  <w:tcW w:w="503" w:type="pct"/>
                  <w:vMerge w:val="continue"/>
                  <w:vAlign w:val="center"/>
                </w:tcPr>
                <w:p w14:paraId="1FBDE215">
                  <w:pPr>
                    <w:pStyle w:val="76"/>
                    <w:jc w:val="center"/>
                    <w:rPr>
                      <w:rFonts w:ascii="Times New Roman" w:hAnsi="Times New Roman"/>
                      <w:color w:val="auto"/>
                      <w:u w:val="single"/>
                    </w:rPr>
                  </w:pPr>
                </w:p>
              </w:tc>
              <w:tc>
                <w:tcPr>
                  <w:tcW w:w="170" w:type="pct"/>
                  <w:vMerge w:val="continue"/>
                  <w:vAlign w:val="center"/>
                </w:tcPr>
                <w:p w14:paraId="5296FABF">
                  <w:pPr>
                    <w:pStyle w:val="76"/>
                    <w:jc w:val="center"/>
                    <w:rPr>
                      <w:rFonts w:ascii="Times New Roman" w:hAnsi="Times New Roman"/>
                      <w:color w:val="auto"/>
                      <w:u w:val="single"/>
                    </w:rPr>
                  </w:pPr>
                </w:p>
              </w:tc>
              <w:tc>
                <w:tcPr>
                  <w:tcW w:w="170" w:type="pct"/>
                  <w:vMerge w:val="continue"/>
                  <w:vAlign w:val="center"/>
                </w:tcPr>
                <w:p w14:paraId="051E574B">
                  <w:pPr>
                    <w:pStyle w:val="76"/>
                    <w:jc w:val="center"/>
                    <w:rPr>
                      <w:rFonts w:ascii="Times New Roman" w:hAnsi="Times New Roman"/>
                      <w:color w:val="auto"/>
                      <w:u w:val="single"/>
                    </w:rPr>
                  </w:pPr>
                </w:p>
              </w:tc>
              <w:tc>
                <w:tcPr>
                  <w:tcW w:w="125" w:type="pct"/>
                  <w:vMerge w:val="continue"/>
                  <w:vAlign w:val="center"/>
                </w:tcPr>
                <w:p w14:paraId="78078CEB">
                  <w:pPr>
                    <w:pStyle w:val="76"/>
                    <w:jc w:val="center"/>
                    <w:rPr>
                      <w:rFonts w:ascii="Times New Roman" w:hAnsi="Times New Roman"/>
                      <w:color w:val="auto"/>
                      <w:u w:val="single"/>
                    </w:rPr>
                  </w:pPr>
                </w:p>
              </w:tc>
              <w:tc>
                <w:tcPr>
                  <w:tcW w:w="208" w:type="pct"/>
                  <w:vAlign w:val="center"/>
                </w:tcPr>
                <w:p w14:paraId="54B607CF">
                  <w:pPr>
                    <w:pStyle w:val="76"/>
                    <w:jc w:val="center"/>
                    <w:rPr>
                      <w:rFonts w:ascii="Times New Roman" w:hAnsi="Times New Roman"/>
                      <w:color w:val="auto"/>
                      <w:szCs w:val="21"/>
                      <w:u w:val="single"/>
                      <w:lang w:bidi="zh-CN"/>
                    </w:rPr>
                  </w:pPr>
                  <w:r>
                    <w:rPr>
                      <w:rFonts w:ascii="Times New Roman" w:hAnsi="Times New Roman"/>
                      <w:color w:val="auto"/>
                      <w:szCs w:val="21"/>
                      <w:u w:val="single"/>
                    </w:rPr>
                    <w:t>南</w:t>
                  </w:r>
                </w:p>
              </w:tc>
              <w:tc>
                <w:tcPr>
                  <w:tcW w:w="208" w:type="pct"/>
                  <w:vAlign w:val="center"/>
                </w:tcPr>
                <w:p w14:paraId="66567487">
                  <w:pPr>
                    <w:pStyle w:val="76"/>
                    <w:jc w:val="center"/>
                    <w:rPr>
                      <w:rFonts w:ascii="Times New Roman" w:hAnsi="Times New Roman"/>
                      <w:color w:val="auto"/>
                      <w:szCs w:val="21"/>
                      <w:u w:val="single"/>
                    </w:rPr>
                  </w:pPr>
                  <w:r>
                    <w:rPr>
                      <w:rFonts w:hint="eastAsia" w:ascii="Times New Roman" w:hAnsi="Times New Roman"/>
                      <w:color w:val="auto"/>
                      <w:szCs w:val="21"/>
                      <w:u w:val="single"/>
                    </w:rPr>
                    <w:t>35</w:t>
                  </w:r>
                </w:p>
              </w:tc>
              <w:tc>
                <w:tcPr>
                  <w:tcW w:w="405" w:type="pct"/>
                  <w:vAlign w:val="center"/>
                </w:tcPr>
                <w:p w14:paraId="1DC14134">
                  <w:pPr>
                    <w:pStyle w:val="76"/>
                    <w:jc w:val="center"/>
                    <w:rPr>
                      <w:rFonts w:ascii="Times New Roman" w:hAnsi="Times New Roman"/>
                      <w:color w:val="auto"/>
                      <w:szCs w:val="21"/>
                      <w:u w:val="single"/>
                    </w:rPr>
                  </w:pPr>
                  <w:r>
                    <w:rPr>
                      <w:rFonts w:ascii="Times New Roman" w:hAnsi="Times New Roman"/>
                      <w:color w:val="auto"/>
                      <w:szCs w:val="21"/>
                      <w:u w:val="single"/>
                    </w:rPr>
                    <w:t>68.</w:t>
                  </w:r>
                  <w:r>
                    <w:rPr>
                      <w:rFonts w:hint="eastAsia" w:ascii="Times New Roman" w:hAnsi="Times New Roman"/>
                      <w:color w:val="auto"/>
                      <w:szCs w:val="21"/>
                      <w:u w:val="single"/>
                    </w:rPr>
                    <w:t>0</w:t>
                  </w:r>
                </w:p>
              </w:tc>
              <w:tc>
                <w:tcPr>
                  <w:tcW w:w="548" w:type="pct"/>
                  <w:vMerge w:val="continue"/>
                  <w:vAlign w:val="center"/>
                </w:tcPr>
                <w:p w14:paraId="19EF196C">
                  <w:pPr>
                    <w:pStyle w:val="76"/>
                    <w:jc w:val="center"/>
                    <w:rPr>
                      <w:rFonts w:ascii="Times New Roman" w:hAnsi="Times New Roman"/>
                      <w:color w:val="auto"/>
                      <w:szCs w:val="21"/>
                      <w:u w:val="single"/>
                    </w:rPr>
                  </w:pPr>
                </w:p>
              </w:tc>
              <w:tc>
                <w:tcPr>
                  <w:tcW w:w="436" w:type="pct"/>
                  <w:vMerge w:val="continue"/>
                  <w:vAlign w:val="center"/>
                </w:tcPr>
                <w:p w14:paraId="04AEFA30">
                  <w:pPr>
                    <w:pStyle w:val="76"/>
                    <w:jc w:val="center"/>
                    <w:rPr>
                      <w:rFonts w:ascii="Times New Roman" w:hAnsi="Times New Roman"/>
                      <w:color w:val="auto"/>
                      <w:szCs w:val="21"/>
                      <w:u w:val="single"/>
                    </w:rPr>
                  </w:pPr>
                </w:p>
              </w:tc>
              <w:tc>
                <w:tcPr>
                  <w:tcW w:w="272" w:type="pct"/>
                  <w:vAlign w:val="center"/>
                </w:tcPr>
                <w:p w14:paraId="47C0AE85">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45F40F2A">
                  <w:pPr>
                    <w:pStyle w:val="76"/>
                    <w:jc w:val="center"/>
                    <w:rPr>
                      <w:rFonts w:ascii="Times New Roman" w:hAnsi="Times New Roman"/>
                      <w:color w:val="auto"/>
                      <w:szCs w:val="21"/>
                      <w:u w:val="single"/>
                    </w:rPr>
                  </w:pPr>
                  <w:r>
                    <w:rPr>
                      <w:rFonts w:ascii="Times New Roman" w:hAnsi="Times New Roman"/>
                      <w:color w:val="auto"/>
                      <w:szCs w:val="21"/>
                      <w:u w:val="single"/>
                    </w:rPr>
                    <w:t>43.</w:t>
                  </w:r>
                  <w:r>
                    <w:rPr>
                      <w:rFonts w:hint="eastAsia" w:ascii="Times New Roman" w:hAnsi="Times New Roman"/>
                      <w:color w:val="auto"/>
                      <w:szCs w:val="21"/>
                      <w:u w:val="single"/>
                    </w:rPr>
                    <w:t>0</w:t>
                  </w:r>
                </w:p>
              </w:tc>
              <w:tc>
                <w:tcPr>
                  <w:tcW w:w="311" w:type="pct"/>
                  <w:vMerge w:val="continue"/>
                  <w:vAlign w:val="center"/>
                </w:tcPr>
                <w:p w14:paraId="3EF698D9">
                  <w:pPr>
                    <w:pStyle w:val="76"/>
                    <w:jc w:val="center"/>
                    <w:rPr>
                      <w:rFonts w:ascii="Times New Roman" w:hAnsi="Times New Roman"/>
                      <w:color w:val="auto"/>
                      <w:szCs w:val="21"/>
                      <w:u w:val="single"/>
                    </w:rPr>
                  </w:pPr>
                </w:p>
              </w:tc>
            </w:tr>
            <w:tr w14:paraId="63CB1D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1A239069">
                  <w:pPr>
                    <w:pStyle w:val="76"/>
                    <w:jc w:val="center"/>
                    <w:rPr>
                      <w:rFonts w:ascii="Times New Roman" w:hAnsi="Times New Roman"/>
                      <w:color w:val="auto"/>
                      <w:szCs w:val="21"/>
                      <w:u w:val="single"/>
                    </w:rPr>
                  </w:pPr>
                </w:p>
              </w:tc>
              <w:tc>
                <w:tcPr>
                  <w:tcW w:w="163" w:type="pct"/>
                  <w:vMerge w:val="continue"/>
                  <w:vAlign w:val="center"/>
                </w:tcPr>
                <w:p w14:paraId="6167DE1D">
                  <w:pPr>
                    <w:pStyle w:val="76"/>
                    <w:jc w:val="center"/>
                    <w:rPr>
                      <w:rFonts w:ascii="Times New Roman" w:hAnsi="Times New Roman"/>
                      <w:color w:val="auto"/>
                      <w:szCs w:val="21"/>
                      <w:u w:val="single"/>
                    </w:rPr>
                  </w:pPr>
                </w:p>
              </w:tc>
              <w:tc>
                <w:tcPr>
                  <w:tcW w:w="299" w:type="pct"/>
                  <w:vMerge w:val="continue"/>
                  <w:vAlign w:val="center"/>
                </w:tcPr>
                <w:p w14:paraId="68C0F3CC">
                  <w:pPr>
                    <w:pStyle w:val="76"/>
                    <w:jc w:val="center"/>
                    <w:rPr>
                      <w:rFonts w:ascii="Times New Roman" w:hAnsi="Times New Roman"/>
                      <w:color w:val="auto"/>
                      <w:szCs w:val="21"/>
                      <w:u w:val="single"/>
                    </w:rPr>
                  </w:pPr>
                </w:p>
              </w:tc>
              <w:tc>
                <w:tcPr>
                  <w:tcW w:w="596" w:type="pct"/>
                  <w:vMerge w:val="continue"/>
                  <w:vAlign w:val="center"/>
                </w:tcPr>
                <w:p w14:paraId="4D55BD37">
                  <w:pPr>
                    <w:pStyle w:val="76"/>
                    <w:jc w:val="center"/>
                    <w:rPr>
                      <w:rFonts w:ascii="Times New Roman" w:hAnsi="Times New Roman"/>
                      <w:color w:val="auto"/>
                      <w:szCs w:val="21"/>
                      <w:u w:val="single"/>
                    </w:rPr>
                  </w:pPr>
                </w:p>
              </w:tc>
              <w:tc>
                <w:tcPr>
                  <w:tcW w:w="503" w:type="pct"/>
                  <w:vMerge w:val="continue"/>
                  <w:vAlign w:val="center"/>
                </w:tcPr>
                <w:p w14:paraId="6D48B43B">
                  <w:pPr>
                    <w:pStyle w:val="76"/>
                    <w:jc w:val="center"/>
                    <w:rPr>
                      <w:rFonts w:ascii="Times New Roman" w:hAnsi="Times New Roman"/>
                      <w:color w:val="auto"/>
                      <w:szCs w:val="21"/>
                      <w:u w:val="single"/>
                    </w:rPr>
                  </w:pPr>
                </w:p>
              </w:tc>
              <w:tc>
                <w:tcPr>
                  <w:tcW w:w="170" w:type="pct"/>
                  <w:vMerge w:val="continue"/>
                  <w:vAlign w:val="center"/>
                </w:tcPr>
                <w:p w14:paraId="19371FB1">
                  <w:pPr>
                    <w:pStyle w:val="76"/>
                    <w:jc w:val="center"/>
                    <w:rPr>
                      <w:rFonts w:ascii="Times New Roman" w:hAnsi="Times New Roman"/>
                      <w:color w:val="auto"/>
                      <w:szCs w:val="21"/>
                      <w:u w:val="single"/>
                    </w:rPr>
                  </w:pPr>
                </w:p>
              </w:tc>
              <w:tc>
                <w:tcPr>
                  <w:tcW w:w="170" w:type="pct"/>
                  <w:vMerge w:val="continue"/>
                  <w:vAlign w:val="center"/>
                </w:tcPr>
                <w:p w14:paraId="72C77E46">
                  <w:pPr>
                    <w:pStyle w:val="76"/>
                    <w:jc w:val="center"/>
                    <w:rPr>
                      <w:rFonts w:ascii="Times New Roman" w:hAnsi="Times New Roman"/>
                      <w:color w:val="auto"/>
                      <w:szCs w:val="21"/>
                      <w:u w:val="single"/>
                    </w:rPr>
                  </w:pPr>
                </w:p>
              </w:tc>
              <w:tc>
                <w:tcPr>
                  <w:tcW w:w="125" w:type="pct"/>
                  <w:vMerge w:val="continue"/>
                  <w:vAlign w:val="center"/>
                </w:tcPr>
                <w:p w14:paraId="6A442D60">
                  <w:pPr>
                    <w:pStyle w:val="76"/>
                    <w:jc w:val="center"/>
                    <w:rPr>
                      <w:rFonts w:ascii="Times New Roman" w:hAnsi="Times New Roman"/>
                      <w:color w:val="auto"/>
                      <w:szCs w:val="21"/>
                      <w:u w:val="single"/>
                    </w:rPr>
                  </w:pPr>
                </w:p>
              </w:tc>
              <w:tc>
                <w:tcPr>
                  <w:tcW w:w="208" w:type="pct"/>
                  <w:vAlign w:val="center"/>
                </w:tcPr>
                <w:p w14:paraId="548DB615">
                  <w:pPr>
                    <w:pStyle w:val="76"/>
                    <w:jc w:val="center"/>
                    <w:rPr>
                      <w:rFonts w:ascii="Times New Roman" w:hAnsi="Times New Roman"/>
                      <w:color w:val="auto"/>
                      <w:szCs w:val="21"/>
                      <w:u w:val="single"/>
                      <w:lang w:bidi="zh-CN"/>
                    </w:rPr>
                  </w:pPr>
                  <w:r>
                    <w:rPr>
                      <w:rFonts w:ascii="Times New Roman" w:hAnsi="Times New Roman"/>
                      <w:color w:val="auto"/>
                      <w:szCs w:val="21"/>
                      <w:u w:val="single"/>
                    </w:rPr>
                    <w:t>西</w:t>
                  </w:r>
                </w:p>
              </w:tc>
              <w:tc>
                <w:tcPr>
                  <w:tcW w:w="208" w:type="pct"/>
                  <w:vAlign w:val="center"/>
                </w:tcPr>
                <w:p w14:paraId="5B8F2748">
                  <w:pPr>
                    <w:pStyle w:val="76"/>
                    <w:jc w:val="center"/>
                    <w:rPr>
                      <w:rFonts w:ascii="Times New Roman" w:hAnsi="Times New Roman"/>
                      <w:color w:val="auto"/>
                      <w:szCs w:val="21"/>
                      <w:u w:val="single"/>
                    </w:rPr>
                  </w:pPr>
                  <w:r>
                    <w:rPr>
                      <w:rFonts w:hint="eastAsia" w:ascii="Times New Roman" w:hAnsi="Times New Roman"/>
                      <w:color w:val="auto"/>
                      <w:szCs w:val="21"/>
                      <w:u w:val="single"/>
                    </w:rPr>
                    <w:t>12</w:t>
                  </w:r>
                </w:p>
              </w:tc>
              <w:tc>
                <w:tcPr>
                  <w:tcW w:w="405" w:type="pct"/>
                  <w:vAlign w:val="center"/>
                </w:tcPr>
                <w:p w14:paraId="1DE2E554">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continue"/>
                  <w:vAlign w:val="center"/>
                </w:tcPr>
                <w:p w14:paraId="248477C5">
                  <w:pPr>
                    <w:pStyle w:val="76"/>
                    <w:jc w:val="center"/>
                    <w:rPr>
                      <w:rFonts w:ascii="Times New Roman" w:hAnsi="Times New Roman"/>
                      <w:color w:val="auto"/>
                      <w:szCs w:val="21"/>
                      <w:u w:val="single"/>
                    </w:rPr>
                  </w:pPr>
                </w:p>
              </w:tc>
              <w:tc>
                <w:tcPr>
                  <w:tcW w:w="436" w:type="pct"/>
                  <w:vMerge w:val="continue"/>
                  <w:vAlign w:val="center"/>
                </w:tcPr>
                <w:p w14:paraId="08F39983">
                  <w:pPr>
                    <w:pStyle w:val="76"/>
                    <w:jc w:val="center"/>
                    <w:rPr>
                      <w:rFonts w:ascii="Times New Roman" w:hAnsi="Times New Roman"/>
                      <w:color w:val="auto"/>
                      <w:szCs w:val="21"/>
                      <w:u w:val="single"/>
                    </w:rPr>
                  </w:pPr>
                </w:p>
              </w:tc>
              <w:tc>
                <w:tcPr>
                  <w:tcW w:w="272" w:type="pct"/>
                  <w:vAlign w:val="center"/>
                </w:tcPr>
                <w:p w14:paraId="0454DB02">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466299D8">
                  <w:pPr>
                    <w:pStyle w:val="76"/>
                    <w:jc w:val="center"/>
                    <w:rPr>
                      <w:rFonts w:ascii="Times New Roman" w:hAnsi="Times New Roman"/>
                      <w:color w:val="auto"/>
                      <w:szCs w:val="21"/>
                      <w:u w:val="single"/>
                    </w:rPr>
                  </w:pPr>
                  <w:r>
                    <w:rPr>
                      <w:rFonts w:ascii="Times New Roman" w:hAnsi="Times New Roman"/>
                      <w:color w:val="auto"/>
                      <w:szCs w:val="21"/>
                      <w:u w:val="single"/>
                    </w:rPr>
                    <w:t>43.0</w:t>
                  </w:r>
                </w:p>
              </w:tc>
              <w:tc>
                <w:tcPr>
                  <w:tcW w:w="311" w:type="pct"/>
                  <w:vMerge w:val="continue"/>
                  <w:vAlign w:val="center"/>
                </w:tcPr>
                <w:p w14:paraId="4FB4BD33">
                  <w:pPr>
                    <w:pStyle w:val="76"/>
                    <w:jc w:val="center"/>
                    <w:rPr>
                      <w:rFonts w:ascii="Times New Roman" w:hAnsi="Times New Roman"/>
                      <w:color w:val="auto"/>
                      <w:szCs w:val="21"/>
                      <w:u w:val="single"/>
                    </w:rPr>
                  </w:pPr>
                </w:p>
              </w:tc>
            </w:tr>
            <w:tr w14:paraId="03145D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022B246A">
                  <w:pPr>
                    <w:pStyle w:val="76"/>
                    <w:jc w:val="center"/>
                    <w:rPr>
                      <w:rFonts w:ascii="Times New Roman" w:hAnsi="Times New Roman"/>
                      <w:color w:val="auto"/>
                      <w:szCs w:val="21"/>
                      <w:u w:val="single"/>
                    </w:rPr>
                  </w:pPr>
                </w:p>
              </w:tc>
              <w:tc>
                <w:tcPr>
                  <w:tcW w:w="163" w:type="pct"/>
                  <w:vMerge w:val="continue"/>
                  <w:vAlign w:val="center"/>
                </w:tcPr>
                <w:p w14:paraId="4C209A8C">
                  <w:pPr>
                    <w:pStyle w:val="76"/>
                    <w:jc w:val="center"/>
                    <w:rPr>
                      <w:rFonts w:ascii="Times New Roman" w:hAnsi="Times New Roman"/>
                      <w:color w:val="auto"/>
                      <w:szCs w:val="21"/>
                      <w:u w:val="single"/>
                    </w:rPr>
                  </w:pPr>
                </w:p>
              </w:tc>
              <w:tc>
                <w:tcPr>
                  <w:tcW w:w="299" w:type="pct"/>
                  <w:vMerge w:val="continue"/>
                  <w:vAlign w:val="center"/>
                </w:tcPr>
                <w:p w14:paraId="19D5D4DD">
                  <w:pPr>
                    <w:pStyle w:val="76"/>
                    <w:jc w:val="center"/>
                    <w:rPr>
                      <w:rFonts w:ascii="Times New Roman" w:hAnsi="Times New Roman"/>
                      <w:color w:val="auto"/>
                      <w:szCs w:val="21"/>
                      <w:u w:val="single"/>
                    </w:rPr>
                  </w:pPr>
                </w:p>
              </w:tc>
              <w:tc>
                <w:tcPr>
                  <w:tcW w:w="596" w:type="pct"/>
                  <w:vMerge w:val="continue"/>
                  <w:vAlign w:val="center"/>
                </w:tcPr>
                <w:p w14:paraId="3B53F143">
                  <w:pPr>
                    <w:pStyle w:val="76"/>
                    <w:jc w:val="center"/>
                    <w:rPr>
                      <w:rFonts w:ascii="Times New Roman" w:hAnsi="Times New Roman"/>
                      <w:color w:val="auto"/>
                      <w:szCs w:val="21"/>
                      <w:u w:val="single"/>
                    </w:rPr>
                  </w:pPr>
                </w:p>
              </w:tc>
              <w:tc>
                <w:tcPr>
                  <w:tcW w:w="503" w:type="pct"/>
                  <w:vMerge w:val="continue"/>
                  <w:vAlign w:val="center"/>
                </w:tcPr>
                <w:p w14:paraId="1E5B5C0D">
                  <w:pPr>
                    <w:pStyle w:val="76"/>
                    <w:jc w:val="center"/>
                    <w:rPr>
                      <w:rFonts w:ascii="Times New Roman" w:hAnsi="Times New Roman"/>
                      <w:color w:val="auto"/>
                      <w:szCs w:val="21"/>
                      <w:u w:val="single"/>
                    </w:rPr>
                  </w:pPr>
                </w:p>
              </w:tc>
              <w:tc>
                <w:tcPr>
                  <w:tcW w:w="170" w:type="pct"/>
                  <w:vMerge w:val="continue"/>
                  <w:vAlign w:val="center"/>
                </w:tcPr>
                <w:p w14:paraId="31E727DB">
                  <w:pPr>
                    <w:pStyle w:val="76"/>
                    <w:jc w:val="center"/>
                    <w:rPr>
                      <w:rFonts w:ascii="Times New Roman" w:hAnsi="Times New Roman"/>
                      <w:color w:val="auto"/>
                      <w:szCs w:val="21"/>
                      <w:u w:val="single"/>
                    </w:rPr>
                  </w:pPr>
                </w:p>
              </w:tc>
              <w:tc>
                <w:tcPr>
                  <w:tcW w:w="170" w:type="pct"/>
                  <w:vMerge w:val="continue"/>
                  <w:vAlign w:val="center"/>
                </w:tcPr>
                <w:p w14:paraId="0BF0BAD4">
                  <w:pPr>
                    <w:pStyle w:val="76"/>
                    <w:jc w:val="center"/>
                    <w:rPr>
                      <w:rFonts w:ascii="Times New Roman" w:hAnsi="Times New Roman"/>
                      <w:color w:val="auto"/>
                      <w:szCs w:val="21"/>
                      <w:u w:val="single"/>
                    </w:rPr>
                  </w:pPr>
                </w:p>
              </w:tc>
              <w:tc>
                <w:tcPr>
                  <w:tcW w:w="125" w:type="pct"/>
                  <w:vMerge w:val="continue"/>
                  <w:vAlign w:val="center"/>
                </w:tcPr>
                <w:p w14:paraId="2D3C0852">
                  <w:pPr>
                    <w:pStyle w:val="76"/>
                    <w:jc w:val="center"/>
                    <w:rPr>
                      <w:rFonts w:ascii="Times New Roman" w:hAnsi="Times New Roman"/>
                      <w:color w:val="auto"/>
                      <w:szCs w:val="21"/>
                      <w:u w:val="single"/>
                    </w:rPr>
                  </w:pPr>
                </w:p>
              </w:tc>
              <w:tc>
                <w:tcPr>
                  <w:tcW w:w="208" w:type="pct"/>
                  <w:vAlign w:val="center"/>
                </w:tcPr>
                <w:p w14:paraId="7317F931">
                  <w:pPr>
                    <w:pStyle w:val="76"/>
                    <w:jc w:val="center"/>
                    <w:rPr>
                      <w:rFonts w:ascii="Times New Roman" w:hAnsi="Times New Roman"/>
                      <w:color w:val="auto"/>
                      <w:szCs w:val="21"/>
                      <w:u w:val="single"/>
                      <w:lang w:bidi="zh-CN"/>
                    </w:rPr>
                  </w:pPr>
                  <w:r>
                    <w:rPr>
                      <w:rFonts w:ascii="Times New Roman" w:hAnsi="Times New Roman"/>
                      <w:color w:val="auto"/>
                      <w:szCs w:val="21"/>
                      <w:u w:val="single"/>
                    </w:rPr>
                    <w:t>北</w:t>
                  </w:r>
                </w:p>
              </w:tc>
              <w:tc>
                <w:tcPr>
                  <w:tcW w:w="208" w:type="pct"/>
                  <w:vAlign w:val="center"/>
                </w:tcPr>
                <w:p w14:paraId="79BFD0F9">
                  <w:pPr>
                    <w:pStyle w:val="76"/>
                    <w:jc w:val="center"/>
                    <w:rPr>
                      <w:rFonts w:ascii="Times New Roman" w:hAnsi="Times New Roman"/>
                      <w:color w:val="auto"/>
                      <w:szCs w:val="21"/>
                      <w:u w:val="single"/>
                    </w:rPr>
                  </w:pPr>
                  <w:r>
                    <w:rPr>
                      <w:rFonts w:ascii="Times New Roman" w:hAnsi="Times New Roman"/>
                      <w:color w:val="auto"/>
                      <w:szCs w:val="21"/>
                      <w:u w:val="single"/>
                    </w:rPr>
                    <w:t>10</w:t>
                  </w:r>
                </w:p>
              </w:tc>
              <w:tc>
                <w:tcPr>
                  <w:tcW w:w="405" w:type="pct"/>
                  <w:vAlign w:val="center"/>
                </w:tcPr>
                <w:p w14:paraId="4EC0CA2E">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continue"/>
                  <w:vAlign w:val="center"/>
                </w:tcPr>
                <w:p w14:paraId="55192BF0">
                  <w:pPr>
                    <w:pStyle w:val="76"/>
                    <w:jc w:val="center"/>
                    <w:rPr>
                      <w:rFonts w:ascii="Times New Roman" w:hAnsi="Times New Roman"/>
                      <w:color w:val="auto"/>
                      <w:szCs w:val="21"/>
                      <w:u w:val="single"/>
                    </w:rPr>
                  </w:pPr>
                </w:p>
              </w:tc>
              <w:tc>
                <w:tcPr>
                  <w:tcW w:w="436" w:type="pct"/>
                  <w:vMerge w:val="continue"/>
                  <w:vAlign w:val="center"/>
                </w:tcPr>
                <w:p w14:paraId="41B77F3D">
                  <w:pPr>
                    <w:pStyle w:val="76"/>
                    <w:jc w:val="center"/>
                    <w:rPr>
                      <w:rFonts w:ascii="Times New Roman" w:hAnsi="Times New Roman"/>
                      <w:color w:val="auto"/>
                      <w:szCs w:val="21"/>
                      <w:u w:val="single"/>
                    </w:rPr>
                  </w:pPr>
                </w:p>
              </w:tc>
              <w:tc>
                <w:tcPr>
                  <w:tcW w:w="272" w:type="pct"/>
                  <w:vAlign w:val="center"/>
                </w:tcPr>
                <w:p w14:paraId="379913F6">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069FA52E">
                  <w:pPr>
                    <w:pStyle w:val="76"/>
                    <w:jc w:val="center"/>
                    <w:rPr>
                      <w:rFonts w:ascii="Times New Roman" w:hAnsi="Times New Roman"/>
                      <w:color w:val="auto"/>
                      <w:szCs w:val="21"/>
                      <w:u w:val="single"/>
                    </w:rPr>
                  </w:pPr>
                  <w:r>
                    <w:rPr>
                      <w:rFonts w:ascii="Times New Roman" w:hAnsi="Times New Roman"/>
                      <w:color w:val="auto"/>
                      <w:szCs w:val="21"/>
                      <w:u w:val="single"/>
                    </w:rPr>
                    <w:t>43.0</w:t>
                  </w:r>
                </w:p>
              </w:tc>
              <w:tc>
                <w:tcPr>
                  <w:tcW w:w="311" w:type="pct"/>
                  <w:vMerge w:val="continue"/>
                  <w:vAlign w:val="center"/>
                </w:tcPr>
                <w:p w14:paraId="35907CE6">
                  <w:pPr>
                    <w:pStyle w:val="76"/>
                    <w:jc w:val="center"/>
                    <w:rPr>
                      <w:rFonts w:ascii="Times New Roman" w:hAnsi="Times New Roman"/>
                      <w:color w:val="auto"/>
                      <w:szCs w:val="21"/>
                      <w:u w:val="single"/>
                    </w:rPr>
                  </w:pPr>
                </w:p>
              </w:tc>
            </w:tr>
            <w:tr w14:paraId="7AC414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3F4CDD7E">
                  <w:pPr>
                    <w:pStyle w:val="76"/>
                    <w:numPr>
                      <w:ilvl w:val="0"/>
                      <w:numId w:val="7"/>
                    </w:numPr>
                    <w:jc w:val="center"/>
                    <w:rPr>
                      <w:rFonts w:ascii="Times New Roman" w:hAnsi="Times New Roman"/>
                      <w:color w:val="auto"/>
                      <w:szCs w:val="21"/>
                      <w:u w:val="single"/>
                    </w:rPr>
                  </w:pPr>
                </w:p>
              </w:tc>
              <w:tc>
                <w:tcPr>
                  <w:tcW w:w="163" w:type="pct"/>
                  <w:vMerge w:val="continue"/>
                  <w:vAlign w:val="center"/>
                </w:tcPr>
                <w:p w14:paraId="02DA084A">
                  <w:pPr>
                    <w:pStyle w:val="76"/>
                    <w:jc w:val="center"/>
                    <w:rPr>
                      <w:rFonts w:ascii="Times New Roman" w:hAnsi="Times New Roman"/>
                      <w:color w:val="auto"/>
                      <w:szCs w:val="21"/>
                      <w:u w:val="single"/>
                    </w:rPr>
                  </w:pPr>
                </w:p>
              </w:tc>
              <w:tc>
                <w:tcPr>
                  <w:tcW w:w="299" w:type="pct"/>
                  <w:vMerge w:val="restart"/>
                  <w:vAlign w:val="center"/>
                </w:tcPr>
                <w:p w14:paraId="017CBD61">
                  <w:pPr>
                    <w:pStyle w:val="76"/>
                    <w:jc w:val="center"/>
                    <w:rPr>
                      <w:rFonts w:ascii="Times New Roman" w:hAnsi="Times New Roman"/>
                      <w:color w:val="auto"/>
                      <w:szCs w:val="21"/>
                      <w:u w:val="single"/>
                    </w:rPr>
                  </w:pPr>
                  <w:r>
                    <w:rPr>
                      <w:rFonts w:ascii="Times New Roman" w:hAnsi="Times New Roman"/>
                      <w:color w:val="auto"/>
                      <w:szCs w:val="21"/>
                      <w:u w:val="single"/>
                    </w:rPr>
                    <w:t>白模干燥设备（3台）</w:t>
                  </w:r>
                </w:p>
              </w:tc>
              <w:tc>
                <w:tcPr>
                  <w:tcW w:w="596" w:type="pct"/>
                  <w:vMerge w:val="restart"/>
                  <w:vAlign w:val="center"/>
                </w:tcPr>
                <w:p w14:paraId="2979D216">
                  <w:pPr>
                    <w:pStyle w:val="76"/>
                    <w:jc w:val="center"/>
                    <w:rPr>
                      <w:rFonts w:ascii="Times New Roman" w:hAnsi="Times New Roman"/>
                      <w:color w:val="auto"/>
                      <w:szCs w:val="21"/>
                      <w:u w:val="single"/>
                    </w:rPr>
                  </w:pPr>
                  <w:r>
                    <w:rPr>
                      <w:rFonts w:ascii="Times New Roman" w:hAnsi="Times New Roman"/>
                      <w:color w:val="auto"/>
                      <w:szCs w:val="21"/>
                      <w:u w:val="single"/>
                    </w:rPr>
                    <w:t>70</w:t>
                  </w:r>
                </w:p>
              </w:tc>
              <w:tc>
                <w:tcPr>
                  <w:tcW w:w="503" w:type="pct"/>
                  <w:vMerge w:val="restart"/>
                  <w:vAlign w:val="center"/>
                </w:tcPr>
                <w:p w14:paraId="417D6808">
                  <w:pPr>
                    <w:pStyle w:val="76"/>
                    <w:jc w:val="center"/>
                    <w:rPr>
                      <w:rFonts w:ascii="Times New Roman" w:hAnsi="Times New Roman"/>
                      <w:color w:val="auto"/>
                      <w:szCs w:val="21"/>
                      <w:u w:val="single"/>
                    </w:rPr>
                  </w:pPr>
                  <w:r>
                    <w:rPr>
                      <w:rFonts w:ascii="Times New Roman" w:hAnsi="Times New Roman"/>
                      <w:color w:val="auto"/>
                      <w:szCs w:val="21"/>
                      <w:u w:val="single"/>
                    </w:rPr>
                    <w:t>减振降噪、厂房隔声</w:t>
                  </w:r>
                </w:p>
              </w:tc>
              <w:tc>
                <w:tcPr>
                  <w:tcW w:w="170" w:type="pct"/>
                  <w:vMerge w:val="restart"/>
                  <w:vAlign w:val="center"/>
                </w:tcPr>
                <w:p w14:paraId="030CE3FF">
                  <w:pPr>
                    <w:pStyle w:val="76"/>
                    <w:jc w:val="center"/>
                    <w:rPr>
                      <w:rFonts w:ascii="Times New Roman" w:hAnsi="Times New Roman"/>
                      <w:color w:val="auto"/>
                      <w:szCs w:val="21"/>
                      <w:u w:val="single"/>
                    </w:rPr>
                  </w:pPr>
                  <w:r>
                    <w:rPr>
                      <w:rFonts w:hint="eastAsia" w:ascii="Times New Roman" w:hAnsi="Times New Roman"/>
                      <w:color w:val="auto"/>
                      <w:szCs w:val="21"/>
                      <w:u w:val="single"/>
                    </w:rPr>
                    <w:t>76</w:t>
                  </w:r>
                </w:p>
              </w:tc>
              <w:tc>
                <w:tcPr>
                  <w:tcW w:w="170" w:type="pct"/>
                  <w:vMerge w:val="restart"/>
                  <w:vAlign w:val="center"/>
                </w:tcPr>
                <w:p w14:paraId="20936AC8">
                  <w:pPr>
                    <w:pStyle w:val="76"/>
                    <w:jc w:val="center"/>
                    <w:rPr>
                      <w:rFonts w:ascii="Times New Roman" w:hAnsi="Times New Roman"/>
                      <w:color w:val="auto"/>
                      <w:szCs w:val="21"/>
                      <w:u w:val="single"/>
                    </w:rPr>
                  </w:pPr>
                  <w:r>
                    <w:rPr>
                      <w:rFonts w:hint="eastAsia" w:ascii="Times New Roman" w:hAnsi="Times New Roman"/>
                      <w:color w:val="auto"/>
                      <w:szCs w:val="21"/>
                      <w:u w:val="single"/>
                    </w:rPr>
                    <w:t>-9</w:t>
                  </w:r>
                </w:p>
              </w:tc>
              <w:tc>
                <w:tcPr>
                  <w:tcW w:w="125" w:type="pct"/>
                  <w:vMerge w:val="restart"/>
                  <w:vAlign w:val="center"/>
                </w:tcPr>
                <w:p w14:paraId="52743687">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4F5CA88B">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30BAAB9F">
                  <w:pPr>
                    <w:pStyle w:val="76"/>
                    <w:jc w:val="center"/>
                    <w:rPr>
                      <w:rFonts w:ascii="Times New Roman" w:hAnsi="Times New Roman"/>
                      <w:color w:val="auto"/>
                      <w:szCs w:val="21"/>
                      <w:u w:val="single"/>
                    </w:rPr>
                  </w:pPr>
                  <w:r>
                    <w:rPr>
                      <w:rFonts w:hint="eastAsia" w:ascii="Times New Roman" w:hAnsi="Times New Roman"/>
                      <w:color w:val="auto"/>
                      <w:szCs w:val="21"/>
                      <w:u w:val="single"/>
                    </w:rPr>
                    <w:t>19</w:t>
                  </w:r>
                </w:p>
              </w:tc>
              <w:tc>
                <w:tcPr>
                  <w:tcW w:w="405" w:type="pct"/>
                  <w:vAlign w:val="center"/>
                </w:tcPr>
                <w:p w14:paraId="0456C569">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6.0</w:t>
                  </w:r>
                </w:p>
              </w:tc>
              <w:tc>
                <w:tcPr>
                  <w:tcW w:w="548" w:type="pct"/>
                  <w:vMerge w:val="restart"/>
                  <w:vAlign w:val="center"/>
                </w:tcPr>
                <w:p w14:paraId="0FE00E09">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21872E49">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5A077724">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6B728B00">
                  <w:pPr>
                    <w:pStyle w:val="76"/>
                    <w:jc w:val="center"/>
                    <w:rPr>
                      <w:rFonts w:ascii="Times New Roman" w:hAnsi="Times New Roman"/>
                      <w:color w:val="auto"/>
                      <w:szCs w:val="21"/>
                      <w:u w:val="single"/>
                    </w:rPr>
                  </w:pPr>
                  <w:r>
                    <w:rPr>
                      <w:rFonts w:ascii="Times New Roman" w:hAnsi="Times New Roman"/>
                      <w:color w:val="auto"/>
                      <w:szCs w:val="21"/>
                      <w:u w:val="single"/>
                    </w:rPr>
                    <w:t>4</w:t>
                  </w:r>
                  <w:r>
                    <w:rPr>
                      <w:rFonts w:hint="eastAsia" w:ascii="Times New Roman" w:hAnsi="Times New Roman"/>
                      <w:color w:val="auto"/>
                      <w:szCs w:val="21"/>
                      <w:u w:val="single"/>
                    </w:rPr>
                    <w:t>1</w:t>
                  </w:r>
                  <w:r>
                    <w:rPr>
                      <w:rFonts w:ascii="Times New Roman" w:hAnsi="Times New Roman"/>
                      <w:color w:val="auto"/>
                      <w:szCs w:val="21"/>
                      <w:u w:val="single"/>
                    </w:rPr>
                    <w:t>.0</w:t>
                  </w:r>
                </w:p>
              </w:tc>
              <w:tc>
                <w:tcPr>
                  <w:tcW w:w="311" w:type="pct"/>
                  <w:vMerge w:val="restart"/>
                  <w:vAlign w:val="center"/>
                </w:tcPr>
                <w:p w14:paraId="244B608F">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539F4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4F576329">
                  <w:pPr>
                    <w:pStyle w:val="76"/>
                    <w:jc w:val="center"/>
                    <w:rPr>
                      <w:rFonts w:ascii="Times New Roman" w:hAnsi="Times New Roman"/>
                      <w:color w:val="auto"/>
                      <w:szCs w:val="21"/>
                      <w:u w:val="single"/>
                    </w:rPr>
                  </w:pPr>
                </w:p>
              </w:tc>
              <w:tc>
                <w:tcPr>
                  <w:tcW w:w="163" w:type="pct"/>
                  <w:vMerge w:val="continue"/>
                  <w:vAlign w:val="center"/>
                </w:tcPr>
                <w:p w14:paraId="6684089D">
                  <w:pPr>
                    <w:pStyle w:val="76"/>
                    <w:jc w:val="center"/>
                    <w:rPr>
                      <w:rFonts w:ascii="Times New Roman" w:hAnsi="Times New Roman"/>
                      <w:color w:val="auto"/>
                      <w:szCs w:val="21"/>
                      <w:u w:val="single"/>
                    </w:rPr>
                  </w:pPr>
                </w:p>
              </w:tc>
              <w:tc>
                <w:tcPr>
                  <w:tcW w:w="299" w:type="pct"/>
                  <w:vMerge w:val="continue"/>
                  <w:vAlign w:val="center"/>
                </w:tcPr>
                <w:p w14:paraId="724B5E60">
                  <w:pPr>
                    <w:pStyle w:val="76"/>
                    <w:jc w:val="center"/>
                    <w:rPr>
                      <w:rFonts w:ascii="Times New Roman" w:hAnsi="Times New Roman"/>
                      <w:color w:val="auto"/>
                      <w:szCs w:val="21"/>
                      <w:u w:val="single"/>
                    </w:rPr>
                  </w:pPr>
                </w:p>
              </w:tc>
              <w:tc>
                <w:tcPr>
                  <w:tcW w:w="596" w:type="pct"/>
                  <w:vMerge w:val="continue"/>
                  <w:vAlign w:val="center"/>
                </w:tcPr>
                <w:p w14:paraId="507085EE">
                  <w:pPr>
                    <w:pStyle w:val="76"/>
                    <w:jc w:val="center"/>
                    <w:rPr>
                      <w:rFonts w:ascii="Times New Roman" w:hAnsi="Times New Roman"/>
                      <w:color w:val="auto"/>
                      <w:szCs w:val="21"/>
                      <w:u w:val="single"/>
                    </w:rPr>
                  </w:pPr>
                </w:p>
              </w:tc>
              <w:tc>
                <w:tcPr>
                  <w:tcW w:w="503" w:type="pct"/>
                  <w:vMerge w:val="continue"/>
                  <w:vAlign w:val="center"/>
                </w:tcPr>
                <w:p w14:paraId="07CEDB73">
                  <w:pPr>
                    <w:pStyle w:val="76"/>
                    <w:jc w:val="center"/>
                    <w:rPr>
                      <w:rFonts w:ascii="Times New Roman" w:hAnsi="Times New Roman"/>
                      <w:color w:val="auto"/>
                      <w:szCs w:val="21"/>
                      <w:u w:val="single"/>
                    </w:rPr>
                  </w:pPr>
                </w:p>
              </w:tc>
              <w:tc>
                <w:tcPr>
                  <w:tcW w:w="170" w:type="pct"/>
                  <w:vMerge w:val="continue"/>
                  <w:vAlign w:val="center"/>
                </w:tcPr>
                <w:p w14:paraId="25C5720B">
                  <w:pPr>
                    <w:pStyle w:val="76"/>
                    <w:jc w:val="center"/>
                    <w:rPr>
                      <w:rFonts w:ascii="Times New Roman" w:hAnsi="Times New Roman"/>
                      <w:color w:val="auto"/>
                      <w:szCs w:val="21"/>
                      <w:u w:val="single"/>
                    </w:rPr>
                  </w:pPr>
                </w:p>
              </w:tc>
              <w:tc>
                <w:tcPr>
                  <w:tcW w:w="170" w:type="pct"/>
                  <w:vMerge w:val="continue"/>
                  <w:vAlign w:val="center"/>
                </w:tcPr>
                <w:p w14:paraId="22B4CA5E">
                  <w:pPr>
                    <w:pStyle w:val="76"/>
                    <w:jc w:val="center"/>
                    <w:rPr>
                      <w:rFonts w:ascii="Times New Roman" w:hAnsi="Times New Roman"/>
                      <w:color w:val="auto"/>
                      <w:szCs w:val="21"/>
                      <w:u w:val="single"/>
                    </w:rPr>
                  </w:pPr>
                </w:p>
              </w:tc>
              <w:tc>
                <w:tcPr>
                  <w:tcW w:w="125" w:type="pct"/>
                  <w:vMerge w:val="continue"/>
                  <w:vAlign w:val="center"/>
                </w:tcPr>
                <w:p w14:paraId="0CC43EBC">
                  <w:pPr>
                    <w:pStyle w:val="76"/>
                    <w:jc w:val="center"/>
                    <w:rPr>
                      <w:rFonts w:ascii="Times New Roman" w:hAnsi="Times New Roman"/>
                      <w:color w:val="auto"/>
                      <w:szCs w:val="21"/>
                      <w:u w:val="single"/>
                    </w:rPr>
                  </w:pPr>
                </w:p>
              </w:tc>
              <w:tc>
                <w:tcPr>
                  <w:tcW w:w="208" w:type="pct"/>
                  <w:vAlign w:val="center"/>
                </w:tcPr>
                <w:p w14:paraId="5FA769D1">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3493679E">
                  <w:pPr>
                    <w:pStyle w:val="76"/>
                    <w:jc w:val="center"/>
                    <w:rPr>
                      <w:rFonts w:ascii="Times New Roman" w:hAnsi="Times New Roman"/>
                      <w:color w:val="auto"/>
                      <w:szCs w:val="21"/>
                      <w:u w:val="single"/>
                    </w:rPr>
                  </w:pPr>
                  <w:r>
                    <w:rPr>
                      <w:rFonts w:ascii="Times New Roman" w:hAnsi="Times New Roman"/>
                      <w:color w:val="auto"/>
                      <w:szCs w:val="21"/>
                      <w:u w:val="single"/>
                    </w:rPr>
                    <w:t>5</w:t>
                  </w:r>
                </w:p>
              </w:tc>
              <w:tc>
                <w:tcPr>
                  <w:tcW w:w="405" w:type="pct"/>
                  <w:vAlign w:val="center"/>
                </w:tcPr>
                <w:p w14:paraId="15FAF96F">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w:t>
                  </w:r>
                  <w:r>
                    <w:rPr>
                      <w:rFonts w:hint="eastAsia" w:ascii="Times New Roman" w:hAnsi="Times New Roman"/>
                      <w:color w:val="auto"/>
                      <w:szCs w:val="21"/>
                      <w:u w:val="single"/>
                    </w:rPr>
                    <w:t>1</w:t>
                  </w:r>
                </w:p>
              </w:tc>
              <w:tc>
                <w:tcPr>
                  <w:tcW w:w="548" w:type="pct"/>
                  <w:vMerge w:val="continue"/>
                  <w:vAlign w:val="center"/>
                </w:tcPr>
                <w:p w14:paraId="583FD36A">
                  <w:pPr>
                    <w:pStyle w:val="76"/>
                    <w:jc w:val="center"/>
                    <w:rPr>
                      <w:rFonts w:ascii="Times New Roman" w:hAnsi="Times New Roman"/>
                      <w:color w:val="auto"/>
                      <w:szCs w:val="21"/>
                      <w:u w:val="single"/>
                    </w:rPr>
                  </w:pPr>
                </w:p>
              </w:tc>
              <w:tc>
                <w:tcPr>
                  <w:tcW w:w="436" w:type="pct"/>
                  <w:vMerge w:val="continue"/>
                  <w:vAlign w:val="center"/>
                </w:tcPr>
                <w:p w14:paraId="239E7D46">
                  <w:pPr>
                    <w:pStyle w:val="76"/>
                    <w:jc w:val="center"/>
                    <w:rPr>
                      <w:rFonts w:ascii="Times New Roman" w:hAnsi="Times New Roman"/>
                      <w:color w:val="auto"/>
                      <w:szCs w:val="21"/>
                      <w:u w:val="single"/>
                    </w:rPr>
                  </w:pPr>
                </w:p>
              </w:tc>
              <w:tc>
                <w:tcPr>
                  <w:tcW w:w="272" w:type="pct"/>
                  <w:vAlign w:val="center"/>
                </w:tcPr>
                <w:p w14:paraId="1238B243">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241B60ED">
                  <w:pPr>
                    <w:pStyle w:val="76"/>
                    <w:jc w:val="center"/>
                    <w:rPr>
                      <w:rFonts w:ascii="Times New Roman" w:hAnsi="Times New Roman"/>
                      <w:color w:val="auto"/>
                      <w:szCs w:val="21"/>
                      <w:u w:val="single"/>
                    </w:rPr>
                  </w:pPr>
                  <w:r>
                    <w:rPr>
                      <w:rFonts w:ascii="Times New Roman" w:hAnsi="Times New Roman"/>
                      <w:color w:val="auto"/>
                      <w:szCs w:val="21"/>
                      <w:u w:val="single"/>
                    </w:rPr>
                    <w:t>4</w:t>
                  </w:r>
                  <w:r>
                    <w:rPr>
                      <w:rFonts w:hint="eastAsia" w:ascii="Times New Roman" w:hAnsi="Times New Roman"/>
                      <w:color w:val="auto"/>
                      <w:szCs w:val="21"/>
                      <w:u w:val="single"/>
                    </w:rPr>
                    <w:t>1</w:t>
                  </w:r>
                  <w:r>
                    <w:rPr>
                      <w:rFonts w:ascii="Times New Roman" w:hAnsi="Times New Roman"/>
                      <w:color w:val="auto"/>
                      <w:szCs w:val="21"/>
                      <w:u w:val="single"/>
                    </w:rPr>
                    <w:t>.</w:t>
                  </w:r>
                  <w:r>
                    <w:rPr>
                      <w:rFonts w:hint="eastAsia" w:ascii="Times New Roman" w:hAnsi="Times New Roman"/>
                      <w:color w:val="auto"/>
                      <w:szCs w:val="21"/>
                      <w:u w:val="single"/>
                    </w:rPr>
                    <w:t>1</w:t>
                  </w:r>
                </w:p>
              </w:tc>
              <w:tc>
                <w:tcPr>
                  <w:tcW w:w="311" w:type="pct"/>
                  <w:vMerge w:val="continue"/>
                  <w:vAlign w:val="center"/>
                </w:tcPr>
                <w:p w14:paraId="49621A7F">
                  <w:pPr>
                    <w:pStyle w:val="76"/>
                    <w:jc w:val="center"/>
                    <w:rPr>
                      <w:rFonts w:ascii="Times New Roman" w:hAnsi="Times New Roman"/>
                      <w:color w:val="auto"/>
                      <w:szCs w:val="21"/>
                      <w:u w:val="single"/>
                    </w:rPr>
                  </w:pPr>
                </w:p>
              </w:tc>
            </w:tr>
            <w:tr w14:paraId="4B5E09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21A7B808">
                  <w:pPr>
                    <w:pStyle w:val="76"/>
                    <w:jc w:val="center"/>
                    <w:rPr>
                      <w:rFonts w:ascii="Times New Roman" w:hAnsi="Times New Roman"/>
                      <w:color w:val="auto"/>
                      <w:szCs w:val="21"/>
                      <w:u w:val="single"/>
                    </w:rPr>
                  </w:pPr>
                </w:p>
              </w:tc>
              <w:tc>
                <w:tcPr>
                  <w:tcW w:w="163" w:type="pct"/>
                  <w:vMerge w:val="continue"/>
                  <w:vAlign w:val="center"/>
                </w:tcPr>
                <w:p w14:paraId="3A4BC161">
                  <w:pPr>
                    <w:pStyle w:val="76"/>
                    <w:jc w:val="center"/>
                    <w:rPr>
                      <w:rFonts w:ascii="Times New Roman" w:hAnsi="Times New Roman"/>
                      <w:color w:val="auto"/>
                      <w:szCs w:val="21"/>
                      <w:u w:val="single"/>
                    </w:rPr>
                  </w:pPr>
                </w:p>
              </w:tc>
              <w:tc>
                <w:tcPr>
                  <w:tcW w:w="299" w:type="pct"/>
                  <w:vMerge w:val="continue"/>
                  <w:vAlign w:val="center"/>
                </w:tcPr>
                <w:p w14:paraId="0746821B">
                  <w:pPr>
                    <w:pStyle w:val="76"/>
                    <w:jc w:val="center"/>
                    <w:rPr>
                      <w:rFonts w:ascii="Times New Roman" w:hAnsi="Times New Roman"/>
                      <w:color w:val="auto"/>
                      <w:szCs w:val="21"/>
                      <w:u w:val="single"/>
                    </w:rPr>
                  </w:pPr>
                </w:p>
              </w:tc>
              <w:tc>
                <w:tcPr>
                  <w:tcW w:w="596" w:type="pct"/>
                  <w:vMerge w:val="continue"/>
                  <w:vAlign w:val="center"/>
                </w:tcPr>
                <w:p w14:paraId="36F9ED72">
                  <w:pPr>
                    <w:pStyle w:val="76"/>
                    <w:jc w:val="center"/>
                    <w:rPr>
                      <w:rFonts w:ascii="Times New Roman" w:hAnsi="Times New Roman"/>
                      <w:color w:val="auto"/>
                      <w:szCs w:val="21"/>
                      <w:u w:val="single"/>
                    </w:rPr>
                  </w:pPr>
                </w:p>
              </w:tc>
              <w:tc>
                <w:tcPr>
                  <w:tcW w:w="503" w:type="pct"/>
                  <w:vMerge w:val="continue"/>
                  <w:vAlign w:val="center"/>
                </w:tcPr>
                <w:p w14:paraId="2D170BA0">
                  <w:pPr>
                    <w:pStyle w:val="76"/>
                    <w:jc w:val="center"/>
                    <w:rPr>
                      <w:rFonts w:ascii="Times New Roman" w:hAnsi="Times New Roman"/>
                      <w:color w:val="auto"/>
                      <w:szCs w:val="21"/>
                      <w:u w:val="single"/>
                    </w:rPr>
                  </w:pPr>
                </w:p>
              </w:tc>
              <w:tc>
                <w:tcPr>
                  <w:tcW w:w="170" w:type="pct"/>
                  <w:vMerge w:val="continue"/>
                  <w:vAlign w:val="center"/>
                </w:tcPr>
                <w:p w14:paraId="6825D177">
                  <w:pPr>
                    <w:pStyle w:val="76"/>
                    <w:jc w:val="center"/>
                    <w:rPr>
                      <w:rFonts w:ascii="Times New Roman" w:hAnsi="Times New Roman"/>
                      <w:color w:val="auto"/>
                      <w:szCs w:val="21"/>
                      <w:u w:val="single"/>
                    </w:rPr>
                  </w:pPr>
                </w:p>
              </w:tc>
              <w:tc>
                <w:tcPr>
                  <w:tcW w:w="170" w:type="pct"/>
                  <w:vMerge w:val="continue"/>
                  <w:vAlign w:val="center"/>
                </w:tcPr>
                <w:p w14:paraId="0DE1A1FE">
                  <w:pPr>
                    <w:pStyle w:val="76"/>
                    <w:jc w:val="center"/>
                    <w:rPr>
                      <w:rFonts w:ascii="Times New Roman" w:hAnsi="Times New Roman"/>
                      <w:color w:val="auto"/>
                      <w:szCs w:val="21"/>
                      <w:u w:val="single"/>
                    </w:rPr>
                  </w:pPr>
                </w:p>
              </w:tc>
              <w:tc>
                <w:tcPr>
                  <w:tcW w:w="125" w:type="pct"/>
                  <w:vMerge w:val="continue"/>
                  <w:vAlign w:val="center"/>
                </w:tcPr>
                <w:p w14:paraId="241045FF">
                  <w:pPr>
                    <w:pStyle w:val="76"/>
                    <w:jc w:val="center"/>
                    <w:rPr>
                      <w:rFonts w:ascii="Times New Roman" w:hAnsi="Times New Roman"/>
                      <w:color w:val="auto"/>
                      <w:szCs w:val="21"/>
                      <w:u w:val="single"/>
                    </w:rPr>
                  </w:pPr>
                </w:p>
              </w:tc>
              <w:tc>
                <w:tcPr>
                  <w:tcW w:w="208" w:type="pct"/>
                  <w:vAlign w:val="center"/>
                </w:tcPr>
                <w:p w14:paraId="1F5A0E5F">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5CE617F8">
                  <w:pPr>
                    <w:pStyle w:val="76"/>
                    <w:jc w:val="center"/>
                    <w:rPr>
                      <w:rFonts w:ascii="Times New Roman" w:hAnsi="Times New Roman"/>
                      <w:color w:val="auto"/>
                      <w:szCs w:val="21"/>
                      <w:u w:val="single"/>
                    </w:rPr>
                  </w:pPr>
                  <w:r>
                    <w:rPr>
                      <w:rFonts w:hint="eastAsia" w:ascii="Times New Roman" w:hAnsi="Times New Roman"/>
                      <w:color w:val="auto"/>
                      <w:szCs w:val="21"/>
                      <w:u w:val="single"/>
                    </w:rPr>
                    <w:t>166</w:t>
                  </w:r>
                </w:p>
              </w:tc>
              <w:tc>
                <w:tcPr>
                  <w:tcW w:w="405" w:type="pct"/>
                  <w:vAlign w:val="center"/>
                </w:tcPr>
                <w:p w14:paraId="02326D8C">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6.0</w:t>
                  </w:r>
                </w:p>
              </w:tc>
              <w:tc>
                <w:tcPr>
                  <w:tcW w:w="548" w:type="pct"/>
                  <w:vMerge w:val="continue"/>
                  <w:vAlign w:val="center"/>
                </w:tcPr>
                <w:p w14:paraId="63A14F47">
                  <w:pPr>
                    <w:pStyle w:val="76"/>
                    <w:jc w:val="center"/>
                    <w:rPr>
                      <w:rFonts w:ascii="Times New Roman" w:hAnsi="Times New Roman"/>
                      <w:color w:val="auto"/>
                      <w:szCs w:val="21"/>
                      <w:u w:val="single"/>
                    </w:rPr>
                  </w:pPr>
                </w:p>
              </w:tc>
              <w:tc>
                <w:tcPr>
                  <w:tcW w:w="436" w:type="pct"/>
                  <w:vMerge w:val="continue"/>
                  <w:vAlign w:val="center"/>
                </w:tcPr>
                <w:p w14:paraId="3E6B3235">
                  <w:pPr>
                    <w:pStyle w:val="76"/>
                    <w:jc w:val="center"/>
                    <w:rPr>
                      <w:rFonts w:ascii="Times New Roman" w:hAnsi="Times New Roman"/>
                      <w:color w:val="auto"/>
                      <w:szCs w:val="21"/>
                      <w:u w:val="single"/>
                    </w:rPr>
                  </w:pPr>
                </w:p>
              </w:tc>
              <w:tc>
                <w:tcPr>
                  <w:tcW w:w="272" w:type="pct"/>
                  <w:vAlign w:val="center"/>
                </w:tcPr>
                <w:p w14:paraId="3171FCD0">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7CFC7E11">
                  <w:pPr>
                    <w:pStyle w:val="76"/>
                    <w:jc w:val="center"/>
                    <w:rPr>
                      <w:rFonts w:ascii="Times New Roman" w:hAnsi="Times New Roman"/>
                      <w:color w:val="auto"/>
                      <w:szCs w:val="21"/>
                      <w:u w:val="single"/>
                    </w:rPr>
                  </w:pPr>
                  <w:r>
                    <w:rPr>
                      <w:rFonts w:ascii="Times New Roman" w:hAnsi="Times New Roman"/>
                      <w:color w:val="auto"/>
                      <w:szCs w:val="21"/>
                      <w:u w:val="single"/>
                    </w:rPr>
                    <w:t>4</w:t>
                  </w:r>
                  <w:r>
                    <w:rPr>
                      <w:rFonts w:hint="eastAsia" w:ascii="Times New Roman" w:hAnsi="Times New Roman"/>
                      <w:color w:val="auto"/>
                      <w:szCs w:val="21"/>
                      <w:u w:val="single"/>
                    </w:rPr>
                    <w:t>1.</w:t>
                  </w:r>
                  <w:r>
                    <w:rPr>
                      <w:rFonts w:ascii="Times New Roman" w:hAnsi="Times New Roman"/>
                      <w:color w:val="auto"/>
                      <w:szCs w:val="21"/>
                      <w:u w:val="single"/>
                    </w:rPr>
                    <w:t>0</w:t>
                  </w:r>
                </w:p>
              </w:tc>
              <w:tc>
                <w:tcPr>
                  <w:tcW w:w="311" w:type="pct"/>
                  <w:vMerge w:val="continue"/>
                  <w:vAlign w:val="center"/>
                </w:tcPr>
                <w:p w14:paraId="7D7D4F74">
                  <w:pPr>
                    <w:pStyle w:val="76"/>
                    <w:jc w:val="center"/>
                    <w:rPr>
                      <w:rFonts w:ascii="Times New Roman" w:hAnsi="Times New Roman"/>
                      <w:color w:val="auto"/>
                      <w:szCs w:val="21"/>
                      <w:u w:val="single"/>
                    </w:rPr>
                  </w:pPr>
                </w:p>
              </w:tc>
            </w:tr>
            <w:tr w14:paraId="0C2257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71B0B65F">
                  <w:pPr>
                    <w:pStyle w:val="76"/>
                    <w:jc w:val="center"/>
                    <w:rPr>
                      <w:rFonts w:ascii="Times New Roman" w:hAnsi="Times New Roman"/>
                      <w:color w:val="auto"/>
                      <w:szCs w:val="21"/>
                      <w:u w:val="single"/>
                    </w:rPr>
                  </w:pPr>
                </w:p>
              </w:tc>
              <w:tc>
                <w:tcPr>
                  <w:tcW w:w="163" w:type="pct"/>
                  <w:vMerge w:val="continue"/>
                  <w:vAlign w:val="center"/>
                </w:tcPr>
                <w:p w14:paraId="23514776">
                  <w:pPr>
                    <w:pStyle w:val="76"/>
                    <w:jc w:val="center"/>
                    <w:rPr>
                      <w:rFonts w:ascii="Times New Roman" w:hAnsi="Times New Roman"/>
                      <w:color w:val="auto"/>
                      <w:szCs w:val="21"/>
                      <w:u w:val="single"/>
                    </w:rPr>
                  </w:pPr>
                </w:p>
              </w:tc>
              <w:tc>
                <w:tcPr>
                  <w:tcW w:w="299" w:type="pct"/>
                  <w:vMerge w:val="continue"/>
                  <w:vAlign w:val="center"/>
                </w:tcPr>
                <w:p w14:paraId="002F318B">
                  <w:pPr>
                    <w:pStyle w:val="76"/>
                    <w:jc w:val="center"/>
                    <w:rPr>
                      <w:rFonts w:ascii="Times New Roman" w:hAnsi="Times New Roman"/>
                      <w:color w:val="auto"/>
                      <w:szCs w:val="21"/>
                      <w:u w:val="single"/>
                    </w:rPr>
                  </w:pPr>
                </w:p>
              </w:tc>
              <w:tc>
                <w:tcPr>
                  <w:tcW w:w="596" w:type="pct"/>
                  <w:vMerge w:val="continue"/>
                  <w:vAlign w:val="center"/>
                </w:tcPr>
                <w:p w14:paraId="2D8C5366">
                  <w:pPr>
                    <w:pStyle w:val="76"/>
                    <w:jc w:val="center"/>
                    <w:rPr>
                      <w:rFonts w:ascii="Times New Roman" w:hAnsi="Times New Roman"/>
                      <w:color w:val="auto"/>
                      <w:szCs w:val="21"/>
                      <w:u w:val="single"/>
                    </w:rPr>
                  </w:pPr>
                </w:p>
              </w:tc>
              <w:tc>
                <w:tcPr>
                  <w:tcW w:w="503" w:type="pct"/>
                  <w:vMerge w:val="continue"/>
                  <w:vAlign w:val="center"/>
                </w:tcPr>
                <w:p w14:paraId="7B6848D8">
                  <w:pPr>
                    <w:pStyle w:val="76"/>
                    <w:jc w:val="center"/>
                    <w:rPr>
                      <w:rFonts w:ascii="Times New Roman" w:hAnsi="Times New Roman"/>
                      <w:color w:val="auto"/>
                      <w:szCs w:val="21"/>
                      <w:u w:val="single"/>
                    </w:rPr>
                  </w:pPr>
                </w:p>
              </w:tc>
              <w:tc>
                <w:tcPr>
                  <w:tcW w:w="170" w:type="pct"/>
                  <w:vMerge w:val="continue"/>
                  <w:vAlign w:val="center"/>
                </w:tcPr>
                <w:p w14:paraId="6ABF780F">
                  <w:pPr>
                    <w:pStyle w:val="76"/>
                    <w:jc w:val="center"/>
                    <w:rPr>
                      <w:rFonts w:ascii="Times New Roman" w:hAnsi="Times New Roman"/>
                      <w:color w:val="auto"/>
                      <w:szCs w:val="21"/>
                      <w:u w:val="single"/>
                    </w:rPr>
                  </w:pPr>
                </w:p>
              </w:tc>
              <w:tc>
                <w:tcPr>
                  <w:tcW w:w="170" w:type="pct"/>
                  <w:vMerge w:val="continue"/>
                  <w:vAlign w:val="center"/>
                </w:tcPr>
                <w:p w14:paraId="4E6DBF60">
                  <w:pPr>
                    <w:pStyle w:val="76"/>
                    <w:jc w:val="center"/>
                    <w:rPr>
                      <w:rFonts w:ascii="Times New Roman" w:hAnsi="Times New Roman"/>
                      <w:color w:val="auto"/>
                      <w:szCs w:val="21"/>
                      <w:u w:val="single"/>
                    </w:rPr>
                  </w:pPr>
                </w:p>
              </w:tc>
              <w:tc>
                <w:tcPr>
                  <w:tcW w:w="125" w:type="pct"/>
                  <w:vMerge w:val="continue"/>
                  <w:vAlign w:val="center"/>
                </w:tcPr>
                <w:p w14:paraId="63539D3D">
                  <w:pPr>
                    <w:pStyle w:val="76"/>
                    <w:jc w:val="center"/>
                    <w:rPr>
                      <w:rFonts w:ascii="Times New Roman" w:hAnsi="Times New Roman"/>
                      <w:color w:val="auto"/>
                      <w:szCs w:val="21"/>
                      <w:u w:val="single"/>
                    </w:rPr>
                  </w:pPr>
                </w:p>
              </w:tc>
              <w:tc>
                <w:tcPr>
                  <w:tcW w:w="208" w:type="pct"/>
                  <w:vAlign w:val="center"/>
                </w:tcPr>
                <w:p w14:paraId="19C4256C">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14DC682B">
                  <w:pPr>
                    <w:pStyle w:val="76"/>
                    <w:jc w:val="center"/>
                    <w:rPr>
                      <w:rFonts w:ascii="Times New Roman" w:hAnsi="Times New Roman"/>
                      <w:color w:val="auto"/>
                      <w:szCs w:val="21"/>
                      <w:u w:val="single"/>
                    </w:rPr>
                  </w:pPr>
                  <w:r>
                    <w:rPr>
                      <w:rFonts w:hint="eastAsia" w:ascii="Times New Roman" w:hAnsi="Times New Roman"/>
                      <w:color w:val="auto"/>
                      <w:szCs w:val="21"/>
                      <w:u w:val="single"/>
                    </w:rPr>
                    <w:t>23</w:t>
                  </w:r>
                </w:p>
              </w:tc>
              <w:tc>
                <w:tcPr>
                  <w:tcW w:w="405" w:type="pct"/>
                  <w:vAlign w:val="center"/>
                </w:tcPr>
                <w:p w14:paraId="6694FB7B">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w:t>
                  </w:r>
                  <w:r>
                    <w:rPr>
                      <w:rFonts w:hint="eastAsia" w:ascii="Times New Roman" w:hAnsi="Times New Roman"/>
                      <w:color w:val="auto"/>
                      <w:szCs w:val="21"/>
                      <w:u w:val="single"/>
                    </w:rPr>
                    <w:t>0</w:t>
                  </w:r>
                </w:p>
              </w:tc>
              <w:tc>
                <w:tcPr>
                  <w:tcW w:w="548" w:type="pct"/>
                  <w:vMerge w:val="continue"/>
                  <w:vAlign w:val="center"/>
                </w:tcPr>
                <w:p w14:paraId="7C8090EC">
                  <w:pPr>
                    <w:pStyle w:val="76"/>
                    <w:jc w:val="center"/>
                    <w:rPr>
                      <w:rFonts w:ascii="Times New Roman" w:hAnsi="Times New Roman"/>
                      <w:color w:val="auto"/>
                      <w:szCs w:val="21"/>
                      <w:u w:val="single"/>
                    </w:rPr>
                  </w:pPr>
                </w:p>
              </w:tc>
              <w:tc>
                <w:tcPr>
                  <w:tcW w:w="436" w:type="pct"/>
                  <w:vMerge w:val="continue"/>
                  <w:vAlign w:val="center"/>
                </w:tcPr>
                <w:p w14:paraId="6B449582">
                  <w:pPr>
                    <w:pStyle w:val="76"/>
                    <w:jc w:val="center"/>
                    <w:rPr>
                      <w:rFonts w:ascii="Times New Roman" w:hAnsi="Times New Roman"/>
                      <w:color w:val="auto"/>
                      <w:szCs w:val="21"/>
                      <w:u w:val="single"/>
                    </w:rPr>
                  </w:pPr>
                </w:p>
              </w:tc>
              <w:tc>
                <w:tcPr>
                  <w:tcW w:w="272" w:type="pct"/>
                  <w:vAlign w:val="center"/>
                </w:tcPr>
                <w:p w14:paraId="41288C18">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4B9355E6">
                  <w:pPr>
                    <w:pStyle w:val="76"/>
                    <w:jc w:val="center"/>
                    <w:rPr>
                      <w:rFonts w:ascii="Times New Roman" w:hAnsi="Times New Roman"/>
                      <w:color w:val="auto"/>
                      <w:szCs w:val="21"/>
                      <w:u w:val="single"/>
                    </w:rPr>
                  </w:pPr>
                  <w:r>
                    <w:rPr>
                      <w:rFonts w:ascii="Times New Roman" w:hAnsi="Times New Roman"/>
                      <w:color w:val="auto"/>
                      <w:szCs w:val="21"/>
                      <w:u w:val="single"/>
                    </w:rPr>
                    <w:t>4</w:t>
                  </w:r>
                  <w:r>
                    <w:rPr>
                      <w:rFonts w:hint="eastAsia" w:ascii="Times New Roman" w:hAnsi="Times New Roman"/>
                      <w:color w:val="auto"/>
                      <w:szCs w:val="21"/>
                      <w:u w:val="single"/>
                    </w:rPr>
                    <w:t>1</w:t>
                  </w:r>
                  <w:r>
                    <w:rPr>
                      <w:rFonts w:ascii="Times New Roman" w:hAnsi="Times New Roman"/>
                      <w:color w:val="auto"/>
                      <w:szCs w:val="21"/>
                      <w:u w:val="single"/>
                    </w:rPr>
                    <w:t>.</w:t>
                  </w:r>
                  <w:r>
                    <w:rPr>
                      <w:rFonts w:hint="eastAsia" w:ascii="Times New Roman" w:hAnsi="Times New Roman"/>
                      <w:color w:val="auto"/>
                      <w:szCs w:val="21"/>
                      <w:u w:val="single"/>
                    </w:rPr>
                    <w:t>0</w:t>
                  </w:r>
                </w:p>
              </w:tc>
              <w:tc>
                <w:tcPr>
                  <w:tcW w:w="311" w:type="pct"/>
                  <w:vMerge w:val="continue"/>
                  <w:vAlign w:val="center"/>
                </w:tcPr>
                <w:p w14:paraId="6E5348F2">
                  <w:pPr>
                    <w:pStyle w:val="76"/>
                    <w:jc w:val="center"/>
                    <w:rPr>
                      <w:rFonts w:ascii="Times New Roman" w:hAnsi="Times New Roman"/>
                      <w:color w:val="auto"/>
                      <w:szCs w:val="21"/>
                      <w:u w:val="single"/>
                    </w:rPr>
                  </w:pPr>
                </w:p>
              </w:tc>
            </w:tr>
            <w:tr w14:paraId="6C8018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1C813057">
                  <w:pPr>
                    <w:pStyle w:val="76"/>
                    <w:numPr>
                      <w:ilvl w:val="0"/>
                      <w:numId w:val="7"/>
                    </w:numPr>
                    <w:jc w:val="center"/>
                    <w:rPr>
                      <w:rFonts w:ascii="Times New Roman" w:hAnsi="Times New Roman"/>
                      <w:color w:val="auto"/>
                      <w:szCs w:val="21"/>
                      <w:u w:val="single"/>
                    </w:rPr>
                  </w:pPr>
                </w:p>
              </w:tc>
              <w:tc>
                <w:tcPr>
                  <w:tcW w:w="163" w:type="pct"/>
                  <w:vMerge w:val="continue"/>
                  <w:vAlign w:val="center"/>
                </w:tcPr>
                <w:p w14:paraId="23284C7A">
                  <w:pPr>
                    <w:pStyle w:val="76"/>
                    <w:jc w:val="center"/>
                    <w:rPr>
                      <w:rFonts w:ascii="Times New Roman" w:hAnsi="Times New Roman"/>
                      <w:color w:val="auto"/>
                      <w:szCs w:val="21"/>
                      <w:u w:val="single"/>
                    </w:rPr>
                  </w:pPr>
                </w:p>
              </w:tc>
              <w:tc>
                <w:tcPr>
                  <w:tcW w:w="299" w:type="pct"/>
                  <w:vMerge w:val="restart"/>
                  <w:vAlign w:val="center"/>
                </w:tcPr>
                <w:p w14:paraId="5C0ABA1D">
                  <w:pPr>
                    <w:pStyle w:val="76"/>
                    <w:jc w:val="center"/>
                    <w:rPr>
                      <w:rFonts w:ascii="Times New Roman" w:hAnsi="Times New Roman"/>
                      <w:color w:val="auto"/>
                      <w:szCs w:val="21"/>
                      <w:u w:val="single"/>
                    </w:rPr>
                  </w:pPr>
                  <w:r>
                    <w:rPr>
                      <w:rFonts w:ascii="Times New Roman" w:hAnsi="Times New Roman"/>
                      <w:color w:val="auto"/>
                      <w:szCs w:val="21"/>
                      <w:u w:val="single"/>
                    </w:rPr>
                    <w:t>离心式清水泵（6台）</w:t>
                  </w:r>
                </w:p>
              </w:tc>
              <w:tc>
                <w:tcPr>
                  <w:tcW w:w="596" w:type="pct"/>
                  <w:vMerge w:val="restart"/>
                  <w:vAlign w:val="center"/>
                </w:tcPr>
                <w:p w14:paraId="2292C38D">
                  <w:pPr>
                    <w:pStyle w:val="76"/>
                    <w:jc w:val="center"/>
                    <w:rPr>
                      <w:rFonts w:ascii="Times New Roman" w:hAnsi="Times New Roman"/>
                      <w:color w:val="auto"/>
                      <w:szCs w:val="21"/>
                      <w:u w:val="single"/>
                    </w:rPr>
                  </w:pPr>
                  <w:r>
                    <w:rPr>
                      <w:rFonts w:ascii="Times New Roman" w:hAnsi="Times New Roman"/>
                      <w:color w:val="auto"/>
                      <w:szCs w:val="21"/>
                      <w:u w:val="single"/>
                    </w:rPr>
                    <w:t>7</w:t>
                  </w:r>
                  <w:r>
                    <w:rPr>
                      <w:rFonts w:hint="eastAsia" w:ascii="Times New Roman" w:hAnsi="Times New Roman"/>
                      <w:color w:val="auto"/>
                      <w:szCs w:val="21"/>
                      <w:u w:val="single"/>
                    </w:rPr>
                    <w:t>5</w:t>
                  </w:r>
                </w:p>
              </w:tc>
              <w:tc>
                <w:tcPr>
                  <w:tcW w:w="503" w:type="pct"/>
                  <w:vMerge w:val="restart"/>
                  <w:vAlign w:val="center"/>
                </w:tcPr>
                <w:p w14:paraId="7364C9F7">
                  <w:pPr>
                    <w:pStyle w:val="76"/>
                    <w:jc w:val="center"/>
                    <w:rPr>
                      <w:rFonts w:ascii="Times New Roman" w:hAnsi="Times New Roman"/>
                      <w:color w:val="auto"/>
                      <w:szCs w:val="21"/>
                      <w:u w:val="single"/>
                    </w:rPr>
                  </w:pPr>
                  <w:r>
                    <w:rPr>
                      <w:rFonts w:ascii="Times New Roman" w:hAnsi="Times New Roman"/>
                      <w:color w:val="auto"/>
                      <w:szCs w:val="21"/>
                      <w:u w:val="single"/>
                    </w:rPr>
                    <w:t>减振降噪、厂房隔声</w:t>
                  </w:r>
                </w:p>
              </w:tc>
              <w:tc>
                <w:tcPr>
                  <w:tcW w:w="170" w:type="pct"/>
                  <w:vMerge w:val="restart"/>
                  <w:vAlign w:val="center"/>
                </w:tcPr>
                <w:p w14:paraId="7CA50F73">
                  <w:pPr>
                    <w:pStyle w:val="76"/>
                    <w:jc w:val="center"/>
                    <w:rPr>
                      <w:rFonts w:ascii="Times New Roman" w:hAnsi="Times New Roman"/>
                      <w:color w:val="auto"/>
                      <w:szCs w:val="21"/>
                      <w:u w:val="single"/>
                    </w:rPr>
                  </w:pPr>
                  <w:r>
                    <w:rPr>
                      <w:rFonts w:hint="eastAsia" w:ascii="Times New Roman" w:hAnsi="Times New Roman"/>
                      <w:color w:val="auto"/>
                      <w:szCs w:val="21"/>
                      <w:u w:val="single"/>
                    </w:rPr>
                    <w:t>80</w:t>
                  </w:r>
                </w:p>
              </w:tc>
              <w:tc>
                <w:tcPr>
                  <w:tcW w:w="170" w:type="pct"/>
                  <w:vMerge w:val="restart"/>
                  <w:vAlign w:val="center"/>
                </w:tcPr>
                <w:p w14:paraId="634E9F65">
                  <w:pPr>
                    <w:pStyle w:val="76"/>
                    <w:jc w:val="center"/>
                    <w:rPr>
                      <w:rFonts w:ascii="Times New Roman" w:hAnsi="Times New Roman"/>
                      <w:color w:val="auto"/>
                      <w:szCs w:val="21"/>
                      <w:u w:val="single"/>
                    </w:rPr>
                  </w:pPr>
                  <w:r>
                    <w:rPr>
                      <w:rFonts w:ascii="Times New Roman" w:hAnsi="Times New Roman"/>
                      <w:color w:val="auto"/>
                      <w:szCs w:val="21"/>
                      <w:u w:val="single"/>
                    </w:rPr>
                    <w:t>2</w:t>
                  </w:r>
                  <w:r>
                    <w:rPr>
                      <w:rFonts w:hint="eastAsia" w:ascii="Times New Roman" w:hAnsi="Times New Roman"/>
                      <w:color w:val="auto"/>
                      <w:szCs w:val="21"/>
                      <w:u w:val="single"/>
                    </w:rPr>
                    <w:t>2</w:t>
                  </w:r>
                </w:p>
              </w:tc>
              <w:tc>
                <w:tcPr>
                  <w:tcW w:w="125" w:type="pct"/>
                  <w:vMerge w:val="restart"/>
                  <w:vAlign w:val="center"/>
                </w:tcPr>
                <w:p w14:paraId="5A45BFD4">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40DD1590">
                  <w:pPr>
                    <w:pStyle w:val="76"/>
                    <w:jc w:val="center"/>
                    <w:rPr>
                      <w:rFonts w:ascii="Times New Roman" w:hAnsi="Times New Roman"/>
                      <w:color w:val="auto"/>
                      <w:szCs w:val="21"/>
                      <w:u w:val="single"/>
                      <w:lang w:bidi="zh-CN"/>
                    </w:rPr>
                  </w:pPr>
                  <w:r>
                    <w:rPr>
                      <w:rFonts w:ascii="Times New Roman" w:hAnsi="Times New Roman"/>
                      <w:color w:val="auto"/>
                      <w:szCs w:val="21"/>
                      <w:u w:val="single"/>
                    </w:rPr>
                    <w:t>东</w:t>
                  </w:r>
                </w:p>
              </w:tc>
              <w:tc>
                <w:tcPr>
                  <w:tcW w:w="208" w:type="pct"/>
                  <w:vAlign w:val="center"/>
                </w:tcPr>
                <w:p w14:paraId="7C90FE37">
                  <w:pPr>
                    <w:pStyle w:val="76"/>
                    <w:jc w:val="center"/>
                    <w:rPr>
                      <w:rFonts w:ascii="Times New Roman" w:hAnsi="Times New Roman"/>
                      <w:color w:val="auto"/>
                      <w:szCs w:val="21"/>
                      <w:u w:val="single"/>
                    </w:rPr>
                  </w:pPr>
                  <w:r>
                    <w:rPr>
                      <w:rFonts w:hint="eastAsia" w:ascii="Times New Roman" w:hAnsi="Times New Roman"/>
                      <w:color w:val="auto"/>
                      <w:szCs w:val="21"/>
                      <w:u w:val="single"/>
                    </w:rPr>
                    <w:t>9</w:t>
                  </w:r>
                </w:p>
              </w:tc>
              <w:tc>
                <w:tcPr>
                  <w:tcW w:w="405" w:type="pct"/>
                  <w:vAlign w:val="center"/>
                </w:tcPr>
                <w:p w14:paraId="61757A11">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restart"/>
                  <w:vAlign w:val="center"/>
                </w:tcPr>
                <w:p w14:paraId="72D8C234">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009F318A">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763C3D4B">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00084F00">
                  <w:pPr>
                    <w:pStyle w:val="76"/>
                    <w:jc w:val="center"/>
                    <w:rPr>
                      <w:rFonts w:ascii="Times New Roman" w:hAnsi="Times New Roman"/>
                      <w:color w:val="auto"/>
                      <w:szCs w:val="21"/>
                      <w:u w:val="single"/>
                    </w:rPr>
                  </w:pPr>
                  <w:r>
                    <w:rPr>
                      <w:rFonts w:ascii="Times New Roman" w:hAnsi="Times New Roman"/>
                      <w:color w:val="auto"/>
                      <w:szCs w:val="21"/>
                      <w:u w:val="single"/>
                    </w:rPr>
                    <w:t>43.0</w:t>
                  </w:r>
                </w:p>
              </w:tc>
              <w:tc>
                <w:tcPr>
                  <w:tcW w:w="311" w:type="pct"/>
                  <w:vMerge w:val="restart"/>
                  <w:vAlign w:val="center"/>
                </w:tcPr>
                <w:p w14:paraId="59CB6F77">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239F2F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0937C52F">
                  <w:pPr>
                    <w:pStyle w:val="76"/>
                    <w:jc w:val="center"/>
                    <w:rPr>
                      <w:rFonts w:ascii="Times New Roman" w:hAnsi="Times New Roman"/>
                      <w:color w:val="auto"/>
                      <w:u w:val="single"/>
                    </w:rPr>
                  </w:pPr>
                </w:p>
              </w:tc>
              <w:tc>
                <w:tcPr>
                  <w:tcW w:w="163" w:type="pct"/>
                  <w:vMerge w:val="continue"/>
                  <w:vAlign w:val="center"/>
                </w:tcPr>
                <w:p w14:paraId="3B944CDA">
                  <w:pPr>
                    <w:pStyle w:val="76"/>
                    <w:jc w:val="center"/>
                    <w:rPr>
                      <w:rFonts w:ascii="Times New Roman" w:hAnsi="Times New Roman"/>
                      <w:color w:val="auto"/>
                      <w:u w:val="single"/>
                    </w:rPr>
                  </w:pPr>
                </w:p>
              </w:tc>
              <w:tc>
                <w:tcPr>
                  <w:tcW w:w="299" w:type="pct"/>
                  <w:vMerge w:val="continue"/>
                  <w:vAlign w:val="center"/>
                </w:tcPr>
                <w:p w14:paraId="43552A8D">
                  <w:pPr>
                    <w:pStyle w:val="76"/>
                    <w:jc w:val="center"/>
                    <w:rPr>
                      <w:rFonts w:ascii="Times New Roman" w:hAnsi="Times New Roman"/>
                      <w:color w:val="auto"/>
                      <w:u w:val="single"/>
                    </w:rPr>
                  </w:pPr>
                </w:p>
              </w:tc>
              <w:tc>
                <w:tcPr>
                  <w:tcW w:w="596" w:type="pct"/>
                  <w:vMerge w:val="continue"/>
                  <w:vAlign w:val="center"/>
                </w:tcPr>
                <w:p w14:paraId="354E3785">
                  <w:pPr>
                    <w:pStyle w:val="76"/>
                    <w:jc w:val="center"/>
                    <w:rPr>
                      <w:rFonts w:ascii="Times New Roman" w:hAnsi="Times New Roman"/>
                      <w:color w:val="auto"/>
                      <w:u w:val="single"/>
                    </w:rPr>
                  </w:pPr>
                </w:p>
              </w:tc>
              <w:tc>
                <w:tcPr>
                  <w:tcW w:w="503" w:type="pct"/>
                  <w:vMerge w:val="continue"/>
                  <w:vAlign w:val="center"/>
                </w:tcPr>
                <w:p w14:paraId="14B4AA0F">
                  <w:pPr>
                    <w:pStyle w:val="76"/>
                    <w:jc w:val="center"/>
                    <w:rPr>
                      <w:rFonts w:ascii="Times New Roman" w:hAnsi="Times New Roman"/>
                      <w:color w:val="auto"/>
                      <w:u w:val="single"/>
                    </w:rPr>
                  </w:pPr>
                </w:p>
              </w:tc>
              <w:tc>
                <w:tcPr>
                  <w:tcW w:w="170" w:type="pct"/>
                  <w:vMerge w:val="continue"/>
                  <w:vAlign w:val="center"/>
                </w:tcPr>
                <w:p w14:paraId="71ECB286">
                  <w:pPr>
                    <w:pStyle w:val="76"/>
                    <w:jc w:val="center"/>
                    <w:rPr>
                      <w:rFonts w:ascii="Times New Roman" w:hAnsi="Times New Roman"/>
                      <w:color w:val="auto"/>
                      <w:u w:val="single"/>
                    </w:rPr>
                  </w:pPr>
                </w:p>
              </w:tc>
              <w:tc>
                <w:tcPr>
                  <w:tcW w:w="170" w:type="pct"/>
                  <w:vMerge w:val="continue"/>
                  <w:vAlign w:val="center"/>
                </w:tcPr>
                <w:p w14:paraId="2089BDE9">
                  <w:pPr>
                    <w:pStyle w:val="76"/>
                    <w:jc w:val="center"/>
                    <w:rPr>
                      <w:rFonts w:ascii="Times New Roman" w:hAnsi="Times New Roman"/>
                      <w:color w:val="auto"/>
                      <w:u w:val="single"/>
                    </w:rPr>
                  </w:pPr>
                </w:p>
              </w:tc>
              <w:tc>
                <w:tcPr>
                  <w:tcW w:w="125" w:type="pct"/>
                  <w:vMerge w:val="continue"/>
                  <w:vAlign w:val="center"/>
                </w:tcPr>
                <w:p w14:paraId="5F47579A">
                  <w:pPr>
                    <w:pStyle w:val="76"/>
                    <w:jc w:val="center"/>
                    <w:rPr>
                      <w:rFonts w:ascii="Times New Roman" w:hAnsi="Times New Roman"/>
                      <w:color w:val="auto"/>
                      <w:u w:val="single"/>
                    </w:rPr>
                  </w:pPr>
                </w:p>
              </w:tc>
              <w:tc>
                <w:tcPr>
                  <w:tcW w:w="208" w:type="pct"/>
                  <w:vAlign w:val="center"/>
                </w:tcPr>
                <w:p w14:paraId="4EF8A57B">
                  <w:pPr>
                    <w:pStyle w:val="76"/>
                    <w:jc w:val="center"/>
                    <w:rPr>
                      <w:rFonts w:ascii="Times New Roman" w:hAnsi="Times New Roman"/>
                      <w:color w:val="auto"/>
                      <w:szCs w:val="21"/>
                      <w:u w:val="single"/>
                      <w:lang w:bidi="zh-CN"/>
                    </w:rPr>
                  </w:pPr>
                  <w:r>
                    <w:rPr>
                      <w:rFonts w:ascii="Times New Roman" w:hAnsi="Times New Roman"/>
                      <w:color w:val="auto"/>
                      <w:szCs w:val="21"/>
                      <w:u w:val="single"/>
                    </w:rPr>
                    <w:t>南</w:t>
                  </w:r>
                </w:p>
              </w:tc>
              <w:tc>
                <w:tcPr>
                  <w:tcW w:w="208" w:type="pct"/>
                  <w:vAlign w:val="center"/>
                </w:tcPr>
                <w:p w14:paraId="33F14729">
                  <w:pPr>
                    <w:pStyle w:val="76"/>
                    <w:jc w:val="center"/>
                    <w:rPr>
                      <w:rFonts w:ascii="Times New Roman" w:hAnsi="Times New Roman"/>
                      <w:color w:val="auto"/>
                      <w:szCs w:val="21"/>
                      <w:u w:val="single"/>
                    </w:rPr>
                  </w:pPr>
                  <w:r>
                    <w:rPr>
                      <w:rFonts w:hint="eastAsia" w:ascii="Times New Roman" w:hAnsi="Times New Roman"/>
                      <w:color w:val="auto"/>
                      <w:szCs w:val="21"/>
                      <w:u w:val="single"/>
                    </w:rPr>
                    <w:t>39</w:t>
                  </w:r>
                </w:p>
              </w:tc>
              <w:tc>
                <w:tcPr>
                  <w:tcW w:w="405" w:type="pct"/>
                  <w:vAlign w:val="center"/>
                </w:tcPr>
                <w:p w14:paraId="4A43C3D0">
                  <w:pPr>
                    <w:pStyle w:val="76"/>
                    <w:jc w:val="center"/>
                    <w:rPr>
                      <w:rFonts w:ascii="Times New Roman" w:hAnsi="Times New Roman"/>
                      <w:color w:val="auto"/>
                      <w:szCs w:val="21"/>
                      <w:u w:val="single"/>
                    </w:rPr>
                  </w:pPr>
                  <w:r>
                    <w:rPr>
                      <w:rFonts w:ascii="Times New Roman" w:hAnsi="Times New Roman"/>
                      <w:color w:val="auto"/>
                      <w:szCs w:val="21"/>
                      <w:u w:val="single"/>
                    </w:rPr>
                    <w:t>68.</w:t>
                  </w:r>
                  <w:r>
                    <w:rPr>
                      <w:rFonts w:hint="eastAsia" w:ascii="Times New Roman" w:hAnsi="Times New Roman"/>
                      <w:color w:val="auto"/>
                      <w:szCs w:val="21"/>
                      <w:u w:val="single"/>
                    </w:rPr>
                    <w:t>0</w:t>
                  </w:r>
                </w:p>
              </w:tc>
              <w:tc>
                <w:tcPr>
                  <w:tcW w:w="548" w:type="pct"/>
                  <w:vMerge w:val="continue"/>
                  <w:vAlign w:val="center"/>
                </w:tcPr>
                <w:p w14:paraId="24BBED30">
                  <w:pPr>
                    <w:pStyle w:val="76"/>
                    <w:jc w:val="center"/>
                    <w:rPr>
                      <w:rFonts w:ascii="Times New Roman" w:hAnsi="Times New Roman"/>
                      <w:color w:val="auto"/>
                      <w:szCs w:val="21"/>
                      <w:u w:val="single"/>
                    </w:rPr>
                  </w:pPr>
                </w:p>
              </w:tc>
              <w:tc>
                <w:tcPr>
                  <w:tcW w:w="436" w:type="pct"/>
                  <w:vMerge w:val="continue"/>
                  <w:vAlign w:val="center"/>
                </w:tcPr>
                <w:p w14:paraId="5887101F">
                  <w:pPr>
                    <w:pStyle w:val="76"/>
                    <w:jc w:val="center"/>
                    <w:rPr>
                      <w:rFonts w:ascii="Times New Roman" w:hAnsi="Times New Roman"/>
                      <w:color w:val="auto"/>
                      <w:szCs w:val="21"/>
                      <w:u w:val="single"/>
                    </w:rPr>
                  </w:pPr>
                </w:p>
              </w:tc>
              <w:tc>
                <w:tcPr>
                  <w:tcW w:w="272" w:type="pct"/>
                  <w:vAlign w:val="center"/>
                </w:tcPr>
                <w:p w14:paraId="50824C41">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31B42F08">
                  <w:pPr>
                    <w:pStyle w:val="76"/>
                    <w:jc w:val="center"/>
                    <w:rPr>
                      <w:rFonts w:ascii="Times New Roman" w:hAnsi="Times New Roman"/>
                      <w:color w:val="auto"/>
                      <w:szCs w:val="21"/>
                      <w:u w:val="single"/>
                    </w:rPr>
                  </w:pPr>
                  <w:r>
                    <w:rPr>
                      <w:rFonts w:ascii="Times New Roman" w:hAnsi="Times New Roman"/>
                      <w:color w:val="auto"/>
                      <w:szCs w:val="21"/>
                      <w:u w:val="single"/>
                    </w:rPr>
                    <w:t>43.</w:t>
                  </w:r>
                  <w:r>
                    <w:rPr>
                      <w:rFonts w:hint="eastAsia" w:ascii="Times New Roman" w:hAnsi="Times New Roman"/>
                      <w:color w:val="auto"/>
                      <w:szCs w:val="21"/>
                      <w:u w:val="single"/>
                    </w:rPr>
                    <w:t>0</w:t>
                  </w:r>
                </w:p>
              </w:tc>
              <w:tc>
                <w:tcPr>
                  <w:tcW w:w="311" w:type="pct"/>
                  <w:vMerge w:val="continue"/>
                  <w:vAlign w:val="center"/>
                </w:tcPr>
                <w:p w14:paraId="687D2271">
                  <w:pPr>
                    <w:pStyle w:val="76"/>
                    <w:jc w:val="center"/>
                    <w:rPr>
                      <w:rFonts w:ascii="Times New Roman" w:hAnsi="Times New Roman"/>
                      <w:color w:val="auto"/>
                      <w:szCs w:val="21"/>
                      <w:u w:val="single"/>
                    </w:rPr>
                  </w:pPr>
                </w:p>
              </w:tc>
            </w:tr>
            <w:tr w14:paraId="45AADF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13" w:type="pct"/>
                  <w:vMerge w:val="continue"/>
                  <w:vAlign w:val="center"/>
                </w:tcPr>
                <w:p w14:paraId="2CEA60E7">
                  <w:pPr>
                    <w:pStyle w:val="76"/>
                    <w:jc w:val="center"/>
                    <w:rPr>
                      <w:rFonts w:ascii="Times New Roman" w:hAnsi="Times New Roman"/>
                      <w:color w:val="auto"/>
                      <w:szCs w:val="21"/>
                      <w:u w:val="single"/>
                    </w:rPr>
                  </w:pPr>
                </w:p>
              </w:tc>
              <w:tc>
                <w:tcPr>
                  <w:tcW w:w="163" w:type="pct"/>
                  <w:vMerge w:val="continue"/>
                  <w:vAlign w:val="center"/>
                </w:tcPr>
                <w:p w14:paraId="369459A2">
                  <w:pPr>
                    <w:pStyle w:val="76"/>
                    <w:jc w:val="center"/>
                    <w:rPr>
                      <w:rFonts w:ascii="Times New Roman" w:hAnsi="Times New Roman"/>
                      <w:color w:val="auto"/>
                      <w:szCs w:val="21"/>
                      <w:u w:val="single"/>
                    </w:rPr>
                  </w:pPr>
                </w:p>
              </w:tc>
              <w:tc>
                <w:tcPr>
                  <w:tcW w:w="299" w:type="pct"/>
                  <w:vMerge w:val="continue"/>
                  <w:vAlign w:val="center"/>
                </w:tcPr>
                <w:p w14:paraId="743F5BEA">
                  <w:pPr>
                    <w:pStyle w:val="76"/>
                    <w:jc w:val="center"/>
                    <w:rPr>
                      <w:rFonts w:ascii="Times New Roman" w:hAnsi="Times New Roman"/>
                      <w:color w:val="auto"/>
                      <w:szCs w:val="21"/>
                      <w:u w:val="single"/>
                    </w:rPr>
                  </w:pPr>
                </w:p>
              </w:tc>
              <w:tc>
                <w:tcPr>
                  <w:tcW w:w="596" w:type="pct"/>
                  <w:vMerge w:val="continue"/>
                  <w:vAlign w:val="center"/>
                </w:tcPr>
                <w:p w14:paraId="3DB60576">
                  <w:pPr>
                    <w:pStyle w:val="76"/>
                    <w:jc w:val="center"/>
                    <w:rPr>
                      <w:rFonts w:ascii="Times New Roman" w:hAnsi="Times New Roman"/>
                      <w:color w:val="auto"/>
                      <w:szCs w:val="21"/>
                      <w:u w:val="single"/>
                    </w:rPr>
                  </w:pPr>
                </w:p>
              </w:tc>
              <w:tc>
                <w:tcPr>
                  <w:tcW w:w="503" w:type="pct"/>
                  <w:vMerge w:val="continue"/>
                  <w:vAlign w:val="center"/>
                </w:tcPr>
                <w:p w14:paraId="0AFC579D">
                  <w:pPr>
                    <w:pStyle w:val="76"/>
                    <w:jc w:val="center"/>
                    <w:rPr>
                      <w:rFonts w:ascii="Times New Roman" w:hAnsi="Times New Roman"/>
                      <w:color w:val="auto"/>
                      <w:szCs w:val="21"/>
                      <w:u w:val="single"/>
                    </w:rPr>
                  </w:pPr>
                </w:p>
              </w:tc>
              <w:tc>
                <w:tcPr>
                  <w:tcW w:w="170" w:type="pct"/>
                  <w:vMerge w:val="continue"/>
                  <w:vAlign w:val="center"/>
                </w:tcPr>
                <w:p w14:paraId="0DB9CA0D">
                  <w:pPr>
                    <w:pStyle w:val="76"/>
                    <w:jc w:val="center"/>
                    <w:rPr>
                      <w:rFonts w:ascii="Times New Roman" w:hAnsi="Times New Roman"/>
                      <w:color w:val="auto"/>
                      <w:szCs w:val="21"/>
                      <w:u w:val="single"/>
                    </w:rPr>
                  </w:pPr>
                </w:p>
              </w:tc>
              <w:tc>
                <w:tcPr>
                  <w:tcW w:w="170" w:type="pct"/>
                  <w:vMerge w:val="continue"/>
                  <w:vAlign w:val="center"/>
                </w:tcPr>
                <w:p w14:paraId="2B89080D">
                  <w:pPr>
                    <w:pStyle w:val="76"/>
                    <w:jc w:val="center"/>
                    <w:rPr>
                      <w:rFonts w:ascii="Times New Roman" w:hAnsi="Times New Roman"/>
                      <w:color w:val="auto"/>
                      <w:szCs w:val="21"/>
                      <w:u w:val="single"/>
                    </w:rPr>
                  </w:pPr>
                </w:p>
              </w:tc>
              <w:tc>
                <w:tcPr>
                  <w:tcW w:w="125" w:type="pct"/>
                  <w:vMerge w:val="continue"/>
                  <w:vAlign w:val="center"/>
                </w:tcPr>
                <w:p w14:paraId="43069E75">
                  <w:pPr>
                    <w:pStyle w:val="76"/>
                    <w:jc w:val="center"/>
                    <w:rPr>
                      <w:rFonts w:ascii="Times New Roman" w:hAnsi="Times New Roman"/>
                      <w:color w:val="auto"/>
                      <w:szCs w:val="21"/>
                      <w:u w:val="single"/>
                    </w:rPr>
                  </w:pPr>
                </w:p>
              </w:tc>
              <w:tc>
                <w:tcPr>
                  <w:tcW w:w="208" w:type="pct"/>
                  <w:vAlign w:val="center"/>
                </w:tcPr>
                <w:p w14:paraId="6FF9D022">
                  <w:pPr>
                    <w:pStyle w:val="76"/>
                    <w:jc w:val="center"/>
                    <w:rPr>
                      <w:rFonts w:ascii="Times New Roman" w:hAnsi="Times New Roman"/>
                      <w:color w:val="auto"/>
                      <w:szCs w:val="21"/>
                      <w:u w:val="single"/>
                      <w:lang w:bidi="zh-CN"/>
                    </w:rPr>
                  </w:pPr>
                  <w:r>
                    <w:rPr>
                      <w:rFonts w:ascii="Times New Roman" w:hAnsi="Times New Roman"/>
                      <w:color w:val="auto"/>
                      <w:szCs w:val="21"/>
                      <w:u w:val="single"/>
                    </w:rPr>
                    <w:t>西</w:t>
                  </w:r>
                </w:p>
              </w:tc>
              <w:tc>
                <w:tcPr>
                  <w:tcW w:w="208" w:type="pct"/>
                  <w:vAlign w:val="center"/>
                </w:tcPr>
                <w:p w14:paraId="5DB29C30">
                  <w:pPr>
                    <w:pStyle w:val="76"/>
                    <w:jc w:val="center"/>
                    <w:rPr>
                      <w:rFonts w:ascii="Times New Roman" w:hAnsi="Times New Roman"/>
                      <w:color w:val="auto"/>
                      <w:szCs w:val="21"/>
                      <w:u w:val="single"/>
                    </w:rPr>
                  </w:pPr>
                  <w:r>
                    <w:rPr>
                      <w:rFonts w:ascii="Times New Roman" w:hAnsi="Times New Roman"/>
                      <w:color w:val="auto"/>
                      <w:szCs w:val="21"/>
                      <w:u w:val="single"/>
                    </w:rPr>
                    <w:t>5</w:t>
                  </w:r>
                </w:p>
              </w:tc>
              <w:tc>
                <w:tcPr>
                  <w:tcW w:w="405" w:type="pct"/>
                  <w:vAlign w:val="center"/>
                </w:tcPr>
                <w:p w14:paraId="281ED6C0">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continue"/>
                  <w:vAlign w:val="center"/>
                </w:tcPr>
                <w:p w14:paraId="42213A26">
                  <w:pPr>
                    <w:pStyle w:val="76"/>
                    <w:jc w:val="center"/>
                    <w:rPr>
                      <w:rFonts w:ascii="Times New Roman" w:hAnsi="Times New Roman"/>
                      <w:color w:val="auto"/>
                      <w:szCs w:val="21"/>
                      <w:u w:val="single"/>
                    </w:rPr>
                  </w:pPr>
                </w:p>
              </w:tc>
              <w:tc>
                <w:tcPr>
                  <w:tcW w:w="436" w:type="pct"/>
                  <w:vMerge w:val="continue"/>
                  <w:vAlign w:val="center"/>
                </w:tcPr>
                <w:p w14:paraId="0FC098B4">
                  <w:pPr>
                    <w:pStyle w:val="76"/>
                    <w:jc w:val="center"/>
                    <w:rPr>
                      <w:rFonts w:ascii="Times New Roman" w:hAnsi="Times New Roman"/>
                      <w:color w:val="auto"/>
                      <w:szCs w:val="21"/>
                      <w:u w:val="single"/>
                    </w:rPr>
                  </w:pPr>
                </w:p>
              </w:tc>
              <w:tc>
                <w:tcPr>
                  <w:tcW w:w="272" w:type="pct"/>
                  <w:vAlign w:val="center"/>
                </w:tcPr>
                <w:p w14:paraId="6AAEDD25">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5166D7A4">
                  <w:pPr>
                    <w:pStyle w:val="76"/>
                    <w:jc w:val="center"/>
                    <w:rPr>
                      <w:rFonts w:ascii="Times New Roman" w:hAnsi="Times New Roman"/>
                      <w:color w:val="auto"/>
                      <w:szCs w:val="21"/>
                      <w:u w:val="single"/>
                    </w:rPr>
                  </w:pPr>
                  <w:r>
                    <w:rPr>
                      <w:rFonts w:ascii="Times New Roman" w:hAnsi="Times New Roman"/>
                      <w:color w:val="auto"/>
                      <w:szCs w:val="21"/>
                      <w:u w:val="single"/>
                    </w:rPr>
                    <w:t>43.0</w:t>
                  </w:r>
                </w:p>
              </w:tc>
              <w:tc>
                <w:tcPr>
                  <w:tcW w:w="311" w:type="pct"/>
                  <w:vMerge w:val="continue"/>
                  <w:vAlign w:val="center"/>
                </w:tcPr>
                <w:p w14:paraId="716B8A70">
                  <w:pPr>
                    <w:pStyle w:val="76"/>
                    <w:jc w:val="center"/>
                    <w:rPr>
                      <w:rFonts w:ascii="Times New Roman" w:hAnsi="Times New Roman"/>
                      <w:color w:val="auto"/>
                      <w:szCs w:val="21"/>
                      <w:u w:val="single"/>
                    </w:rPr>
                  </w:pPr>
                </w:p>
              </w:tc>
            </w:tr>
            <w:tr w14:paraId="60CA5E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473BD302">
                  <w:pPr>
                    <w:pStyle w:val="76"/>
                    <w:jc w:val="center"/>
                    <w:rPr>
                      <w:rFonts w:ascii="Times New Roman" w:hAnsi="Times New Roman"/>
                      <w:color w:val="auto"/>
                      <w:szCs w:val="21"/>
                      <w:u w:val="single"/>
                    </w:rPr>
                  </w:pPr>
                </w:p>
              </w:tc>
              <w:tc>
                <w:tcPr>
                  <w:tcW w:w="163" w:type="pct"/>
                  <w:vMerge w:val="continue"/>
                  <w:vAlign w:val="center"/>
                </w:tcPr>
                <w:p w14:paraId="5D1AD309">
                  <w:pPr>
                    <w:pStyle w:val="76"/>
                    <w:jc w:val="center"/>
                    <w:rPr>
                      <w:rFonts w:ascii="Times New Roman" w:hAnsi="Times New Roman"/>
                      <w:color w:val="auto"/>
                      <w:szCs w:val="21"/>
                      <w:u w:val="single"/>
                    </w:rPr>
                  </w:pPr>
                </w:p>
              </w:tc>
              <w:tc>
                <w:tcPr>
                  <w:tcW w:w="299" w:type="pct"/>
                  <w:vMerge w:val="continue"/>
                  <w:vAlign w:val="center"/>
                </w:tcPr>
                <w:p w14:paraId="691EDBE8">
                  <w:pPr>
                    <w:pStyle w:val="76"/>
                    <w:jc w:val="center"/>
                    <w:rPr>
                      <w:rFonts w:ascii="Times New Roman" w:hAnsi="Times New Roman"/>
                      <w:color w:val="auto"/>
                      <w:szCs w:val="21"/>
                      <w:u w:val="single"/>
                    </w:rPr>
                  </w:pPr>
                </w:p>
              </w:tc>
              <w:tc>
                <w:tcPr>
                  <w:tcW w:w="596" w:type="pct"/>
                  <w:vMerge w:val="continue"/>
                  <w:vAlign w:val="center"/>
                </w:tcPr>
                <w:p w14:paraId="5FE732BD">
                  <w:pPr>
                    <w:pStyle w:val="76"/>
                    <w:jc w:val="center"/>
                    <w:rPr>
                      <w:rFonts w:ascii="Times New Roman" w:hAnsi="Times New Roman"/>
                      <w:color w:val="auto"/>
                      <w:szCs w:val="21"/>
                      <w:u w:val="single"/>
                    </w:rPr>
                  </w:pPr>
                </w:p>
              </w:tc>
              <w:tc>
                <w:tcPr>
                  <w:tcW w:w="503" w:type="pct"/>
                  <w:vMerge w:val="continue"/>
                  <w:vAlign w:val="center"/>
                </w:tcPr>
                <w:p w14:paraId="4392663C">
                  <w:pPr>
                    <w:pStyle w:val="76"/>
                    <w:jc w:val="center"/>
                    <w:rPr>
                      <w:rFonts w:ascii="Times New Roman" w:hAnsi="Times New Roman"/>
                      <w:color w:val="auto"/>
                      <w:szCs w:val="21"/>
                      <w:u w:val="single"/>
                    </w:rPr>
                  </w:pPr>
                </w:p>
              </w:tc>
              <w:tc>
                <w:tcPr>
                  <w:tcW w:w="170" w:type="pct"/>
                  <w:vMerge w:val="continue"/>
                  <w:vAlign w:val="center"/>
                </w:tcPr>
                <w:p w14:paraId="6268E303">
                  <w:pPr>
                    <w:pStyle w:val="76"/>
                    <w:jc w:val="center"/>
                    <w:rPr>
                      <w:rFonts w:ascii="Times New Roman" w:hAnsi="Times New Roman"/>
                      <w:color w:val="auto"/>
                      <w:szCs w:val="21"/>
                      <w:u w:val="single"/>
                    </w:rPr>
                  </w:pPr>
                </w:p>
              </w:tc>
              <w:tc>
                <w:tcPr>
                  <w:tcW w:w="170" w:type="pct"/>
                  <w:vMerge w:val="continue"/>
                  <w:vAlign w:val="center"/>
                </w:tcPr>
                <w:p w14:paraId="6CD9D469">
                  <w:pPr>
                    <w:pStyle w:val="76"/>
                    <w:jc w:val="center"/>
                    <w:rPr>
                      <w:rFonts w:ascii="Times New Roman" w:hAnsi="Times New Roman"/>
                      <w:color w:val="auto"/>
                      <w:szCs w:val="21"/>
                      <w:u w:val="single"/>
                    </w:rPr>
                  </w:pPr>
                </w:p>
              </w:tc>
              <w:tc>
                <w:tcPr>
                  <w:tcW w:w="125" w:type="pct"/>
                  <w:vMerge w:val="continue"/>
                  <w:vAlign w:val="center"/>
                </w:tcPr>
                <w:p w14:paraId="7BB6B6AE">
                  <w:pPr>
                    <w:pStyle w:val="76"/>
                    <w:jc w:val="center"/>
                    <w:rPr>
                      <w:rFonts w:ascii="Times New Roman" w:hAnsi="Times New Roman"/>
                      <w:color w:val="auto"/>
                      <w:szCs w:val="21"/>
                      <w:u w:val="single"/>
                    </w:rPr>
                  </w:pPr>
                </w:p>
              </w:tc>
              <w:tc>
                <w:tcPr>
                  <w:tcW w:w="208" w:type="pct"/>
                  <w:vAlign w:val="center"/>
                </w:tcPr>
                <w:p w14:paraId="2B8B18D7">
                  <w:pPr>
                    <w:pStyle w:val="76"/>
                    <w:jc w:val="center"/>
                    <w:rPr>
                      <w:rFonts w:ascii="Times New Roman" w:hAnsi="Times New Roman"/>
                      <w:color w:val="auto"/>
                      <w:szCs w:val="21"/>
                      <w:u w:val="single"/>
                      <w:lang w:bidi="zh-CN"/>
                    </w:rPr>
                  </w:pPr>
                  <w:r>
                    <w:rPr>
                      <w:rFonts w:ascii="Times New Roman" w:hAnsi="Times New Roman"/>
                      <w:color w:val="auto"/>
                      <w:szCs w:val="21"/>
                      <w:u w:val="single"/>
                    </w:rPr>
                    <w:t>北</w:t>
                  </w:r>
                </w:p>
              </w:tc>
              <w:tc>
                <w:tcPr>
                  <w:tcW w:w="208" w:type="pct"/>
                  <w:vAlign w:val="center"/>
                </w:tcPr>
                <w:p w14:paraId="1244ABAD">
                  <w:pPr>
                    <w:pStyle w:val="76"/>
                    <w:jc w:val="center"/>
                    <w:rPr>
                      <w:rFonts w:ascii="Times New Roman" w:hAnsi="Times New Roman"/>
                      <w:color w:val="auto"/>
                      <w:szCs w:val="21"/>
                      <w:u w:val="single"/>
                    </w:rPr>
                  </w:pPr>
                  <w:r>
                    <w:rPr>
                      <w:rFonts w:hint="eastAsia" w:ascii="Times New Roman" w:hAnsi="Times New Roman"/>
                      <w:color w:val="auto"/>
                      <w:szCs w:val="21"/>
                      <w:u w:val="single"/>
                    </w:rPr>
                    <w:t>6</w:t>
                  </w:r>
                </w:p>
              </w:tc>
              <w:tc>
                <w:tcPr>
                  <w:tcW w:w="405" w:type="pct"/>
                  <w:vAlign w:val="center"/>
                </w:tcPr>
                <w:p w14:paraId="6F7ACED5">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continue"/>
                  <w:vAlign w:val="center"/>
                </w:tcPr>
                <w:p w14:paraId="555DAA0E">
                  <w:pPr>
                    <w:pStyle w:val="76"/>
                    <w:jc w:val="center"/>
                    <w:rPr>
                      <w:rFonts w:ascii="Times New Roman" w:hAnsi="Times New Roman"/>
                      <w:color w:val="auto"/>
                      <w:szCs w:val="21"/>
                      <w:u w:val="single"/>
                    </w:rPr>
                  </w:pPr>
                </w:p>
              </w:tc>
              <w:tc>
                <w:tcPr>
                  <w:tcW w:w="436" w:type="pct"/>
                  <w:vMerge w:val="continue"/>
                  <w:vAlign w:val="center"/>
                </w:tcPr>
                <w:p w14:paraId="0551AB7D">
                  <w:pPr>
                    <w:pStyle w:val="76"/>
                    <w:jc w:val="center"/>
                    <w:rPr>
                      <w:rFonts w:ascii="Times New Roman" w:hAnsi="Times New Roman"/>
                      <w:color w:val="auto"/>
                      <w:szCs w:val="21"/>
                      <w:u w:val="single"/>
                    </w:rPr>
                  </w:pPr>
                </w:p>
              </w:tc>
              <w:tc>
                <w:tcPr>
                  <w:tcW w:w="272" w:type="pct"/>
                  <w:vAlign w:val="center"/>
                </w:tcPr>
                <w:p w14:paraId="292C8A11">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2CB975BC">
                  <w:pPr>
                    <w:pStyle w:val="76"/>
                    <w:jc w:val="center"/>
                    <w:rPr>
                      <w:rFonts w:ascii="Times New Roman" w:hAnsi="Times New Roman"/>
                      <w:color w:val="auto"/>
                      <w:szCs w:val="21"/>
                      <w:u w:val="single"/>
                    </w:rPr>
                  </w:pPr>
                  <w:r>
                    <w:rPr>
                      <w:rFonts w:ascii="Times New Roman" w:hAnsi="Times New Roman"/>
                      <w:color w:val="auto"/>
                      <w:szCs w:val="21"/>
                      <w:u w:val="single"/>
                    </w:rPr>
                    <w:t>43.0</w:t>
                  </w:r>
                </w:p>
              </w:tc>
              <w:tc>
                <w:tcPr>
                  <w:tcW w:w="311" w:type="pct"/>
                  <w:vMerge w:val="continue"/>
                  <w:vAlign w:val="center"/>
                </w:tcPr>
                <w:p w14:paraId="61E672AE">
                  <w:pPr>
                    <w:pStyle w:val="76"/>
                    <w:jc w:val="center"/>
                    <w:rPr>
                      <w:rFonts w:ascii="Times New Roman" w:hAnsi="Times New Roman"/>
                      <w:color w:val="auto"/>
                      <w:szCs w:val="21"/>
                      <w:u w:val="single"/>
                    </w:rPr>
                  </w:pPr>
                </w:p>
              </w:tc>
            </w:tr>
            <w:tr w14:paraId="7F2FAA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4E9F9234">
                  <w:pPr>
                    <w:pStyle w:val="76"/>
                    <w:numPr>
                      <w:ilvl w:val="0"/>
                      <w:numId w:val="7"/>
                    </w:numPr>
                    <w:jc w:val="center"/>
                    <w:rPr>
                      <w:rFonts w:ascii="Times New Roman" w:hAnsi="Times New Roman"/>
                      <w:color w:val="auto"/>
                      <w:szCs w:val="21"/>
                      <w:u w:val="single"/>
                    </w:rPr>
                  </w:pPr>
                </w:p>
              </w:tc>
              <w:tc>
                <w:tcPr>
                  <w:tcW w:w="163" w:type="pct"/>
                  <w:vMerge w:val="continue"/>
                  <w:vAlign w:val="center"/>
                </w:tcPr>
                <w:p w14:paraId="5AB8AFED">
                  <w:pPr>
                    <w:pStyle w:val="76"/>
                    <w:jc w:val="center"/>
                    <w:rPr>
                      <w:rFonts w:ascii="Times New Roman" w:hAnsi="Times New Roman"/>
                      <w:color w:val="auto"/>
                      <w:szCs w:val="21"/>
                      <w:u w:val="single"/>
                    </w:rPr>
                  </w:pPr>
                </w:p>
              </w:tc>
              <w:tc>
                <w:tcPr>
                  <w:tcW w:w="299" w:type="pct"/>
                  <w:vMerge w:val="restart"/>
                  <w:vAlign w:val="center"/>
                </w:tcPr>
                <w:p w14:paraId="7A420B88">
                  <w:pPr>
                    <w:pStyle w:val="76"/>
                    <w:jc w:val="center"/>
                    <w:rPr>
                      <w:rFonts w:ascii="Times New Roman" w:hAnsi="Times New Roman"/>
                      <w:color w:val="auto"/>
                      <w:szCs w:val="21"/>
                      <w:u w:val="single"/>
                    </w:rPr>
                  </w:pPr>
                  <w:r>
                    <w:rPr>
                      <w:rFonts w:ascii="Times New Roman" w:hAnsi="Times New Roman"/>
                      <w:color w:val="auto"/>
                      <w:szCs w:val="21"/>
                      <w:u w:val="single"/>
                    </w:rPr>
                    <w:t>蒸汽锅炉</w:t>
                  </w:r>
                </w:p>
              </w:tc>
              <w:tc>
                <w:tcPr>
                  <w:tcW w:w="596" w:type="pct"/>
                  <w:vMerge w:val="restart"/>
                  <w:vAlign w:val="center"/>
                </w:tcPr>
                <w:p w14:paraId="52C16AF3">
                  <w:pPr>
                    <w:pStyle w:val="88"/>
                    <w:rPr>
                      <w:color w:val="auto"/>
                      <w:u w:val="single"/>
                    </w:rPr>
                  </w:pPr>
                  <w:r>
                    <w:rPr>
                      <w:color w:val="auto"/>
                      <w:u w:val="single"/>
                    </w:rPr>
                    <w:t>70</w:t>
                  </w:r>
                </w:p>
              </w:tc>
              <w:tc>
                <w:tcPr>
                  <w:tcW w:w="503" w:type="pct"/>
                  <w:vMerge w:val="restart"/>
                  <w:vAlign w:val="center"/>
                </w:tcPr>
                <w:p w14:paraId="6130C092">
                  <w:pPr>
                    <w:pStyle w:val="76"/>
                    <w:jc w:val="center"/>
                    <w:rPr>
                      <w:rFonts w:ascii="Times New Roman" w:hAnsi="Times New Roman"/>
                      <w:color w:val="auto"/>
                      <w:szCs w:val="21"/>
                      <w:u w:val="single"/>
                      <w:lang w:bidi="zh-CN"/>
                    </w:rPr>
                  </w:pPr>
                  <w:r>
                    <w:rPr>
                      <w:rFonts w:ascii="Times New Roman" w:hAnsi="Times New Roman"/>
                      <w:color w:val="auto"/>
                      <w:szCs w:val="21"/>
                      <w:u w:val="single"/>
                    </w:rPr>
                    <w:t>减振降噪</w:t>
                  </w:r>
                </w:p>
              </w:tc>
              <w:tc>
                <w:tcPr>
                  <w:tcW w:w="170" w:type="pct"/>
                  <w:vMerge w:val="restart"/>
                  <w:vAlign w:val="center"/>
                </w:tcPr>
                <w:p w14:paraId="26588824">
                  <w:pPr>
                    <w:pStyle w:val="76"/>
                    <w:jc w:val="center"/>
                    <w:rPr>
                      <w:rFonts w:ascii="Times New Roman" w:hAnsi="Times New Roman"/>
                      <w:color w:val="auto"/>
                      <w:szCs w:val="21"/>
                      <w:u w:val="single"/>
                      <w:lang w:bidi="zh-CN"/>
                    </w:rPr>
                  </w:pPr>
                  <w:r>
                    <w:rPr>
                      <w:rFonts w:hint="eastAsia" w:ascii="Times New Roman" w:hAnsi="Times New Roman"/>
                      <w:color w:val="auto"/>
                      <w:szCs w:val="21"/>
                      <w:u w:val="single"/>
                    </w:rPr>
                    <w:t>90</w:t>
                  </w:r>
                </w:p>
              </w:tc>
              <w:tc>
                <w:tcPr>
                  <w:tcW w:w="170" w:type="pct"/>
                  <w:vMerge w:val="restart"/>
                  <w:vAlign w:val="center"/>
                </w:tcPr>
                <w:p w14:paraId="2D6BA485">
                  <w:pPr>
                    <w:pStyle w:val="76"/>
                    <w:jc w:val="center"/>
                    <w:rPr>
                      <w:rFonts w:ascii="Times New Roman" w:hAnsi="Times New Roman"/>
                      <w:color w:val="auto"/>
                      <w:szCs w:val="21"/>
                      <w:u w:val="single"/>
                      <w:lang w:bidi="zh-CN"/>
                    </w:rPr>
                  </w:pPr>
                  <w:r>
                    <w:rPr>
                      <w:rFonts w:hint="eastAsia" w:ascii="Times New Roman" w:hAnsi="Times New Roman"/>
                      <w:color w:val="auto"/>
                      <w:szCs w:val="21"/>
                      <w:u w:val="single"/>
                    </w:rPr>
                    <w:t>6</w:t>
                  </w:r>
                </w:p>
              </w:tc>
              <w:tc>
                <w:tcPr>
                  <w:tcW w:w="125" w:type="pct"/>
                  <w:vMerge w:val="restart"/>
                  <w:vAlign w:val="center"/>
                </w:tcPr>
                <w:p w14:paraId="15935B2F">
                  <w:pPr>
                    <w:pStyle w:val="76"/>
                    <w:jc w:val="center"/>
                    <w:rPr>
                      <w:rFonts w:ascii="Times New Roman" w:hAnsi="Times New Roman"/>
                      <w:color w:val="auto"/>
                      <w:szCs w:val="21"/>
                      <w:u w:val="single"/>
                      <w:lang w:bidi="zh-CN"/>
                    </w:rPr>
                  </w:pPr>
                  <w:r>
                    <w:rPr>
                      <w:rFonts w:hint="eastAsia" w:ascii="Times New Roman" w:hAnsi="Times New Roman"/>
                      <w:color w:val="auto"/>
                      <w:szCs w:val="21"/>
                      <w:u w:val="single"/>
                    </w:rPr>
                    <w:t>1</w:t>
                  </w:r>
                </w:p>
              </w:tc>
              <w:tc>
                <w:tcPr>
                  <w:tcW w:w="208" w:type="pct"/>
                  <w:vAlign w:val="center"/>
                </w:tcPr>
                <w:p w14:paraId="511DDDE2">
                  <w:pPr>
                    <w:pStyle w:val="76"/>
                    <w:jc w:val="center"/>
                    <w:rPr>
                      <w:rFonts w:ascii="Times New Roman" w:hAnsi="Times New Roman"/>
                      <w:color w:val="auto"/>
                      <w:szCs w:val="21"/>
                      <w:u w:val="single"/>
                      <w:lang w:bidi="zh-CN"/>
                    </w:rPr>
                  </w:pPr>
                  <w:r>
                    <w:rPr>
                      <w:rFonts w:ascii="Times New Roman" w:hAnsi="Times New Roman"/>
                      <w:color w:val="auto"/>
                      <w:szCs w:val="21"/>
                      <w:u w:val="single"/>
                    </w:rPr>
                    <w:t>东</w:t>
                  </w:r>
                </w:p>
              </w:tc>
              <w:tc>
                <w:tcPr>
                  <w:tcW w:w="208" w:type="pct"/>
                  <w:vAlign w:val="center"/>
                </w:tcPr>
                <w:p w14:paraId="01D60FB5">
                  <w:pPr>
                    <w:pStyle w:val="76"/>
                    <w:jc w:val="center"/>
                    <w:rPr>
                      <w:rFonts w:ascii="Times New Roman" w:hAnsi="Times New Roman" w:eastAsia="Times New Roman"/>
                      <w:color w:val="auto"/>
                      <w:szCs w:val="21"/>
                      <w:u w:val="single"/>
                      <w:lang w:bidi="zh-CN"/>
                    </w:rPr>
                  </w:pPr>
                  <w:r>
                    <w:rPr>
                      <w:rFonts w:hint="eastAsia" w:ascii="Times New Roman" w:hAnsi="Times New Roman"/>
                      <w:color w:val="auto"/>
                      <w:szCs w:val="21"/>
                      <w:u w:val="single"/>
                    </w:rPr>
                    <w:t>6</w:t>
                  </w:r>
                </w:p>
              </w:tc>
              <w:tc>
                <w:tcPr>
                  <w:tcW w:w="405" w:type="pct"/>
                  <w:vAlign w:val="center"/>
                </w:tcPr>
                <w:p w14:paraId="0C2535C0">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6.0</w:t>
                  </w:r>
                </w:p>
              </w:tc>
              <w:tc>
                <w:tcPr>
                  <w:tcW w:w="548" w:type="pct"/>
                  <w:vMerge w:val="restart"/>
                  <w:vAlign w:val="center"/>
                </w:tcPr>
                <w:p w14:paraId="0A8BB390">
                  <w:pPr>
                    <w:pStyle w:val="76"/>
                    <w:jc w:val="center"/>
                    <w:rPr>
                      <w:rFonts w:ascii="Times New Roman" w:hAnsi="Times New Roman"/>
                      <w:color w:val="auto"/>
                      <w:szCs w:val="21"/>
                      <w:u w:val="single"/>
                      <w:lang w:bidi="zh-CN"/>
                    </w:rPr>
                  </w:pPr>
                  <w:r>
                    <w:rPr>
                      <w:rFonts w:ascii="Times New Roman" w:hAnsi="Times New Roman"/>
                      <w:color w:val="auto"/>
                      <w:szCs w:val="21"/>
                      <w:u w:val="single"/>
                    </w:rPr>
                    <w:t>8:30-17:30</w:t>
                  </w:r>
                </w:p>
              </w:tc>
              <w:tc>
                <w:tcPr>
                  <w:tcW w:w="436" w:type="pct"/>
                  <w:vMerge w:val="restart"/>
                  <w:vAlign w:val="center"/>
                </w:tcPr>
                <w:p w14:paraId="2C74573F">
                  <w:pPr>
                    <w:pStyle w:val="76"/>
                    <w:jc w:val="center"/>
                    <w:rPr>
                      <w:rFonts w:ascii="Times New Roman" w:hAnsi="Times New Roman"/>
                      <w:color w:val="auto"/>
                      <w:szCs w:val="21"/>
                      <w:u w:val="single"/>
                      <w:lang w:bidi="zh-CN"/>
                    </w:rPr>
                  </w:pPr>
                  <w:r>
                    <w:rPr>
                      <w:rFonts w:ascii="Times New Roman" w:hAnsi="Times New Roman"/>
                      <w:color w:val="auto"/>
                      <w:szCs w:val="21"/>
                      <w:u w:val="single"/>
                    </w:rPr>
                    <w:t>25</w:t>
                  </w:r>
                </w:p>
              </w:tc>
              <w:tc>
                <w:tcPr>
                  <w:tcW w:w="272" w:type="pct"/>
                  <w:vAlign w:val="center"/>
                </w:tcPr>
                <w:p w14:paraId="0643E276">
                  <w:pPr>
                    <w:pStyle w:val="76"/>
                    <w:jc w:val="center"/>
                    <w:rPr>
                      <w:rFonts w:ascii="Times New Roman" w:hAnsi="Times New Roman"/>
                      <w:color w:val="auto"/>
                      <w:szCs w:val="21"/>
                      <w:u w:val="single"/>
                      <w:lang w:bidi="zh-CN"/>
                    </w:rPr>
                  </w:pPr>
                  <w:r>
                    <w:rPr>
                      <w:rFonts w:ascii="Times New Roman" w:hAnsi="Times New Roman"/>
                      <w:color w:val="auto"/>
                      <w:szCs w:val="21"/>
                      <w:u w:val="single"/>
                    </w:rPr>
                    <w:t>东</w:t>
                  </w:r>
                </w:p>
              </w:tc>
              <w:tc>
                <w:tcPr>
                  <w:tcW w:w="270" w:type="pct"/>
                  <w:vAlign w:val="center"/>
                </w:tcPr>
                <w:p w14:paraId="75537BE4">
                  <w:pPr>
                    <w:pStyle w:val="76"/>
                    <w:jc w:val="center"/>
                    <w:rPr>
                      <w:rFonts w:ascii="Times New Roman" w:hAnsi="Times New Roman"/>
                      <w:color w:val="auto"/>
                      <w:szCs w:val="21"/>
                      <w:u w:val="single"/>
                    </w:rPr>
                  </w:pPr>
                  <w:r>
                    <w:rPr>
                      <w:rFonts w:ascii="Times New Roman" w:hAnsi="Times New Roman"/>
                      <w:color w:val="auto"/>
                      <w:szCs w:val="21"/>
                      <w:u w:val="single"/>
                    </w:rPr>
                    <w:t>4</w:t>
                  </w:r>
                  <w:r>
                    <w:rPr>
                      <w:rFonts w:hint="eastAsia" w:ascii="Times New Roman" w:hAnsi="Times New Roman"/>
                      <w:color w:val="auto"/>
                      <w:szCs w:val="21"/>
                      <w:u w:val="single"/>
                    </w:rPr>
                    <w:t>1</w:t>
                  </w:r>
                  <w:r>
                    <w:rPr>
                      <w:rFonts w:ascii="Times New Roman" w:hAnsi="Times New Roman"/>
                      <w:color w:val="auto"/>
                      <w:szCs w:val="21"/>
                      <w:u w:val="single"/>
                    </w:rPr>
                    <w:t>.0</w:t>
                  </w:r>
                </w:p>
              </w:tc>
              <w:tc>
                <w:tcPr>
                  <w:tcW w:w="311" w:type="pct"/>
                  <w:vMerge w:val="restart"/>
                  <w:vAlign w:val="center"/>
                </w:tcPr>
                <w:p w14:paraId="1EC4CE6B">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06F401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62B1881A">
                  <w:pPr>
                    <w:pStyle w:val="76"/>
                    <w:jc w:val="center"/>
                    <w:rPr>
                      <w:rFonts w:ascii="Times New Roman" w:hAnsi="Times New Roman"/>
                      <w:color w:val="auto"/>
                      <w:szCs w:val="21"/>
                      <w:u w:val="single"/>
                    </w:rPr>
                  </w:pPr>
                </w:p>
              </w:tc>
              <w:tc>
                <w:tcPr>
                  <w:tcW w:w="163" w:type="pct"/>
                  <w:vMerge w:val="continue"/>
                  <w:vAlign w:val="center"/>
                </w:tcPr>
                <w:p w14:paraId="4FBF2E7A">
                  <w:pPr>
                    <w:pStyle w:val="76"/>
                    <w:jc w:val="center"/>
                    <w:rPr>
                      <w:rFonts w:ascii="Times New Roman" w:hAnsi="Times New Roman"/>
                      <w:color w:val="auto"/>
                      <w:szCs w:val="21"/>
                      <w:u w:val="single"/>
                    </w:rPr>
                  </w:pPr>
                </w:p>
              </w:tc>
              <w:tc>
                <w:tcPr>
                  <w:tcW w:w="299" w:type="pct"/>
                  <w:vMerge w:val="continue"/>
                  <w:vAlign w:val="center"/>
                </w:tcPr>
                <w:p w14:paraId="7466E0C6">
                  <w:pPr>
                    <w:pStyle w:val="76"/>
                    <w:jc w:val="center"/>
                    <w:rPr>
                      <w:rFonts w:ascii="Times New Roman" w:hAnsi="Times New Roman"/>
                      <w:color w:val="auto"/>
                      <w:szCs w:val="21"/>
                      <w:u w:val="single"/>
                    </w:rPr>
                  </w:pPr>
                </w:p>
              </w:tc>
              <w:tc>
                <w:tcPr>
                  <w:tcW w:w="596" w:type="pct"/>
                  <w:vMerge w:val="continue"/>
                  <w:vAlign w:val="center"/>
                </w:tcPr>
                <w:p w14:paraId="29C9FFB2">
                  <w:pPr>
                    <w:pStyle w:val="76"/>
                    <w:jc w:val="center"/>
                    <w:rPr>
                      <w:rFonts w:ascii="Times New Roman" w:hAnsi="Times New Roman"/>
                      <w:color w:val="auto"/>
                      <w:szCs w:val="21"/>
                      <w:u w:val="single"/>
                    </w:rPr>
                  </w:pPr>
                </w:p>
              </w:tc>
              <w:tc>
                <w:tcPr>
                  <w:tcW w:w="503" w:type="pct"/>
                  <w:vMerge w:val="continue"/>
                  <w:vAlign w:val="center"/>
                </w:tcPr>
                <w:p w14:paraId="45631B91">
                  <w:pPr>
                    <w:pStyle w:val="76"/>
                    <w:jc w:val="center"/>
                    <w:rPr>
                      <w:rFonts w:ascii="Times New Roman" w:hAnsi="Times New Roman"/>
                      <w:color w:val="auto"/>
                      <w:szCs w:val="21"/>
                      <w:u w:val="single"/>
                    </w:rPr>
                  </w:pPr>
                </w:p>
              </w:tc>
              <w:tc>
                <w:tcPr>
                  <w:tcW w:w="170" w:type="pct"/>
                  <w:vMerge w:val="continue"/>
                  <w:vAlign w:val="center"/>
                </w:tcPr>
                <w:p w14:paraId="06256398">
                  <w:pPr>
                    <w:pStyle w:val="76"/>
                    <w:jc w:val="center"/>
                    <w:rPr>
                      <w:rFonts w:ascii="Times New Roman" w:hAnsi="Times New Roman"/>
                      <w:color w:val="auto"/>
                      <w:szCs w:val="21"/>
                      <w:u w:val="single"/>
                    </w:rPr>
                  </w:pPr>
                </w:p>
              </w:tc>
              <w:tc>
                <w:tcPr>
                  <w:tcW w:w="170" w:type="pct"/>
                  <w:vMerge w:val="continue"/>
                  <w:vAlign w:val="center"/>
                </w:tcPr>
                <w:p w14:paraId="636A707E">
                  <w:pPr>
                    <w:pStyle w:val="76"/>
                    <w:jc w:val="center"/>
                    <w:rPr>
                      <w:rFonts w:ascii="Times New Roman" w:hAnsi="Times New Roman"/>
                      <w:color w:val="auto"/>
                      <w:szCs w:val="21"/>
                      <w:u w:val="single"/>
                    </w:rPr>
                  </w:pPr>
                </w:p>
              </w:tc>
              <w:tc>
                <w:tcPr>
                  <w:tcW w:w="125" w:type="pct"/>
                  <w:vMerge w:val="continue"/>
                  <w:vAlign w:val="center"/>
                </w:tcPr>
                <w:p w14:paraId="056A8D69">
                  <w:pPr>
                    <w:pStyle w:val="76"/>
                    <w:jc w:val="center"/>
                    <w:rPr>
                      <w:rFonts w:ascii="Times New Roman" w:hAnsi="Times New Roman"/>
                      <w:color w:val="auto"/>
                      <w:szCs w:val="21"/>
                      <w:u w:val="single"/>
                    </w:rPr>
                  </w:pPr>
                </w:p>
              </w:tc>
              <w:tc>
                <w:tcPr>
                  <w:tcW w:w="208" w:type="pct"/>
                  <w:vAlign w:val="center"/>
                </w:tcPr>
                <w:p w14:paraId="63BF9D61">
                  <w:pPr>
                    <w:pStyle w:val="76"/>
                    <w:jc w:val="center"/>
                    <w:rPr>
                      <w:rFonts w:ascii="Times New Roman" w:hAnsi="Times New Roman"/>
                      <w:color w:val="auto"/>
                      <w:szCs w:val="21"/>
                      <w:u w:val="single"/>
                      <w:lang w:bidi="zh-CN"/>
                    </w:rPr>
                  </w:pPr>
                  <w:r>
                    <w:rPr>
                      <w:rFonts w:ascii="Times New Roman" w:hAnsi="Times New Roman"/>
                      <w:color w:val="auto"/>
                      <w:szCs w:val="21"/>
                      <w:u w:val="single"/>
                    </w:rPr>
                    <w:t>南</w:t>
                  </w:r>
                </w:p>
              </w:tc>
              <w:tc>
                <w:tcPr>
                  <w:tcW w:w="208" w:type="pct"/>
                  <w:vAlign w:val="center"/>
                </w:tcPr>
                <w:p w14:paraId="490580D5">
                  <w:pPr>
                    <w:pStyle w:val="76"/>
                    <w:jc w:val="center"/>
                    <w:rPr>
                      <w:rFonts w:ascii="Times New Roman" w:hAnsi="Times New Roman"/>
                      <w:color w:val="auto"/>
                      <w:szCs w:val="21"/>
                      <w:u w:val="single"/>
                      <w:lang w:bidi="zh-CN"/>
                    </w:rPr>
                  </w:pPr>
                  <w:r>
                    <w:rPr>
                      <w:rFonts w:ascii="Times New Roman" w:hAnsi="Times New Roman"/>
                      <w:color w:val="auto"/>
                      <w:szCs w:val="21"/>
                      <w:u w:val="single"/>
                    </w:rPr>
                    <w:t>1</w:t>
                  </w:r>
                  <w:r>
                    <w:rPr>
                      <w:rFonts w:hint="eastAsia" w:ascii="Times New Roman" w:hAnsi="Times New Roman"/>
                      <w:color w:val="auto"/>
                      <w:szCs w:val="21"/>
                      <w:u w:val="single"/>
                    </w:rPr>
                    <w:t>4</w:t>
                  </w:r>
                </w:p>
              </w:tc>
              <w:tc>
                <w:tcPr>
                  <w:tcW w:w="405" w:type="pct"/>
                  <w:vAlign w:val="center"/>
                </w:tcPr>
                <w:p w14:paraId="732C491D">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6.0</w:t>
                  </w:r>
                </w:p>
              </w:tc>
              <w:tc>
                <w:tcPr>
                  <w:tcW w:w="548" w:type="pct"/>
                  <w:vMerge w:val="continue"/>
                  <w:vAlign w:val="center"/>
                </w:tcPr>
                <w:p w14:paraId="04FDC04B">
                  <w:pPr>
                    <w:pStyle w:val="76"/>
                    <w:jc w:val="center"/>
                    <w:rPr>
                      <w:rFonts w:ascii="Times New Roman" w:hAnsi="Times New Roman"/>
                      <w:color w:val="auto"/>
                      <w:szCs w:val="21"/>
                      <w:u w:val="single"/>
                    </w:rPr>
                  </w:pPr>
                </w:p>
              </w:tc>
              <w:tc>
                <w:tcPr>
                  <w:tcW w:w="436" w:type="pct"/>
                  <w:vMerge w:val="continue"/>
                  <w:vAlign w:val="center"/>
                </w:tcPr>
                <w:p w14:paraId="15C6C04F">
                  <w:pPr>
                    <w:pStyle w:val="76"/>
                    <w:jc w:val="center"/>
                    <w:rPr>
                      <w:rFonts w:ascii="Times New Roman" w:hAnsi="Times New Roman"/>
                      <w:color w:val="auto"/>
                      <w:szCs w:val="21"/>
                      <w:u w:val="single"/>
                    </w:rPr>
                  </w:pPr>
                </w:p>
              </w:tc>
              <w:tc>
                <w:tcPr>
                  <w:tcW w:w="272" w:type="pct"/>
                  <w:vAlign w:val="center"/>
                </w:tcPr>
                <w:p w14:paraId="04CC5FFC">
                  <w:pPr>
                    <w:pStyle w:val="76"/>
                    <w:jc w:val="center"/>
                    <w:rPr>
                      <w:rFonts w:ascii="Times New Roman" w:hAnsi="Times New Roman"/>
                      <w:color w:val="auto"/>
                      <w:szCs w:val="21"/>
                      <w:u w:val="single"/>
                      <w:lang w:bidi="zh-CN"/>
                    </w:rPr>
                  </w:pPr>
                  <w:r>
                    <w:rPr>
                      <w:rFonts w:ascii="Times New Roman" w:hAnsi="Times New Roman"/>
                      <w:color w:val="auto"/>
                      <w:szCs w:val="21"/>
                      <w:u w:val="single"/>
                    </w:rPr>
                    <w:t>南</w:t>
                  </w:r>
                </w:p>
              </w:tc>
              <w:tc>
                <w:tcPr>
                  <w:tcW w:w="270" w:type="pct"/>
                  <w:vAlign w:val="center"/>
                </w:tcPr>
                <w:p w14:paraId="2F8AEC63">
                  <w:pPr>
                    <w:pStyle w:val="76"/>
                    <w:jc w:val="center"/>
                    <w:rPr>
                      <w:rFonts w:ascii="Times New Roman" w:hAnsi="Times New Roman"/>
                      <w:color w:val="auto"/>
                      <w:szCs w:val="21"/>
                      <w:u w:val="single"/>
                    </w:rPr>
                  </w:pPr>
                  <w:r>
                    <w:rPr>
                      <w:rFonts w:ascii="Times New Roman" w:hAnsi="Times New Roman"/>
                      <w:color w:val="auto"/>
                      <w:szCs w:val="21"/>
                      <w:u w:val="single"/>
                    </w:rPr>
                    <w:t>4</w:t>
                  </w:r>
                  <w:r>
                    <w:rPr>
                      <w:rFonts w:hint="eastAsia" w:ascii="Times New Roman" w:hAnsi="Times New Roman"/>
                      <w:color w:val="auto"/>
                      <w:szCs w:val="21"/>
                      <w:u w:val="single"/>
                    </w:rPr>
                    <w:t>1</w:t>
                  </w:r>
                  <w:r>
                    <w:rPr>
                      <w:rFonts w:ascii="Times New Roman" w:hAnsi="Times New Roman"/>
                      <w:color w:val="auto"/>
                      <w:szCs w:val="21"/>
                      <w:u w:val="single"/>
                    </w:rPr>
                    <w:t>.0</w:t>
                  </w:r>
                </w:p>
              </w:tc>
              <w:tc>
                <w:tcPr>
                  <w:tcW w:w="311" w:type="pct"/>
                  <w:vMerge w:val="continue"/>
                  <w:vAlign w:val="center"/>
                </w:tcPr>
                <w:p w14:paraId="7F9B6163">
                  <w:pPr>
                    <w:pStyle w:val="76"/>
                    <w:jc w:val="center"/>
                    <w:rPr>
                      <w:rFonts w:ascii="Times New Roman" w:hAnsi="Times New Roman"/>
                      <w:color w:val="auto"/>
                      <w:szCs w:val="21"/>
                      <w:u w:val="single"/>
                    </w:rPr>
                  </w:pPr>
                </w:p>
              </w:tc>
            </w:tr>
            <w:tr w14:paraId="45A345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59E9C8E3">
                  <w:pPr>
                    <w:pStyle w:val="76"/>
                    <w:jc w:val="center"/>
                    <w:rPr>
                      <w:rFonts w:ascii="Times New Roman" w:hAnsi="Times New Roman"/>
                      <w:color w:val="auto"/>
                      <w:szCs w:val="21"/>
                      <w:u w:val="single"/>
                    </w:rPr>
                  </w:pPr>
                </w:p>
              </w:tc>
              <w:tc>
                <w:tcPr>
                  <w:tcW w:w="163" w:type="pct"/>
                  <w:vMerge w:val="continue"/>
                  <w:vAlign w:val="center"/>
                </w:tcPr>
                <w:p w14:paraId="78CC9A4E">
                  <w:pPr>
                    <w:pStyle w:val="76"/>
                    <w:jc w:val="center"/>
                    <w:rPr>
                      <w:rFonts w:ascii="Times New Roman" w:hAnsi="Times New Roman"/>
                      <w:color w:val="auto"/>
                      <w:szCs w:val="21"/>
                      <w:u w:val="single"/>
                    </w:rPr>
                  </w:pPr>
                </w:p>
              </w:tc>
              <w:tc>
                <w:tcPr>
                  <w:tcW w:w="299" w:type="pct"/>
                  <w:vMerge w:val="continue"/>
                  <w:vAlign w:val="center"/>
                </w:tcPr>
                <w:p w14:paraId="5C48AD7A">
                  <w:pPr>
                    <w:pStyle w:val="76"/>
                    <w:jc w:val="center"/>
                    <w:rPr>
                      <w:rFonts w:ascii="Times New Roman" w:hAnsi="Times New Roman"/>
                      <w:color w:val="auto"/>
                      <w:szCs w:val="21"/>
                      <w:u w:val="single"/>
                    </w:rPr>
                  </w:pPr>
                </w:p>
              </w:tc>
              <w:tc>
                <w:tcPr>
                  <w:tcW w:w="596" w:type="pct"/>
                  <w:vMerge w:val="continue"/>
                  <w:vAlign w:val="center"/>
                </w:tcPr>
                <w:p w14:paraId="6B3406FF">
                  <w:pPr>
                    <w:pStyle w:val="76"/>
                    <w:jc w:val="center"/>
                    <w:rPr>
                      <w:rFonts w:ascii="Times New Roman" w:hAnsi="Times New Roman"/>
                      <w:color w:val="auto"/>
                      <w:szCs w:val="21"/>
                      <w:u w:val="single"/>
                    </w:rPr>
                  </w:pPr>
                </w:p>
              </w:tc>
              <w:tc>
                <w:tcPr>
                  <w:tcW w:w="503" w:type="pct"/>
                  <w:vMerge w:val="continue"/>
                  <w:vAlign w:val="center"/>
                </w:tcPr>
                <w:p w14:paraId="45FD5122">
                  <w:pPr>
                    <w:pStyle w:val="76"/>
                    <w:jc w:val="center"/>
                    <w:rPr>
                      <w:rFonts w:ascii="Times New Roman" w:hAnsi="Times New Roman"/>
                      <w:color w:val="auto"/>
                      <w:szCs w:val="21"/>
                      <w:u w:val="single"/>
                    </w:rPr>
                  </w:pPr>
                </w:p>
              </w:tc>
              <w:tc>
                <w:tcPr>
                  <w:tcW w:w="170" w:type="pct"/>
                  <w:vMerge w:val="continue"/>
                  <w:vAlign w:val="center"/>
                </w:tcPr>
                <w:p w14:paraId="221E5FCB">
                  <w:pPr>
                    <w:pStyle w:val="76"/>
                    <w:jc w:val="center"/>
                    <w:rPr>
                      <w:rFonts w:ascii="Times New Roman" w:hAnsi="Times New Roman"/>
                      <w:color w:val="auto"/>
                      <w:szCs w:val="21"/>
                      <w:u w:val="single"/>
                    </w:rPr>
                  </w:pPr>
                </w:p>
              </w:tc>
              <w:tc>
                <w:tcPr>
                  <w:tcW w:w="170" w:type="pct"/>
                  <w:vMerge w:val="continue"/>
                  <w:vAlign w:val="center"/>
                </w:tcPr>
                <w:p w14:paraId="024DAB71">
                  <w:pPr>
                    <w:pStyle w:val="76"/>
                    <w:jc w:val="center"/>
                    <w:rPr>
                      <w:rFonts w:ascii="Times New Roman" w:hAnsi="Times New Roman"/>
                      <w:color w:val="auto"/>
                      <w:szCs w:val="21"/>
                      <w:u w:val="single"/>
                    </w:rPr>
                  </w:pPr>
                </w:p>
              </w:tc>
              <w:tc>
                <w:tcPr>
                  <w:tcW w:w="125" w:type="pct"/>
                  <w:vMerge w:val="continue"/>
                  <w:vAlign w:val="center"/>
                </w:tcPr>
                <w:p w14:paraId="78B6C678">
                  <w:pPr>
                    <w:pStyle w:val="76"/>
                    <w:jc w:val="center"/>
                    <w:rPr>
                      <w:rFonts w:ascii="Times New Roman" w:hAnsi="Times New Roman"/>
                      <w:color w:val="auto"/>
                      <w:szCs w:val="21"/>
                      <w:u w:val="single"/>
                    </w:rPr>
                  </w:pPr>
                </w:p>
              </w:tc>
              <w:tc>
                <w:tcPr>
                  <w:tcW w:w="208" w:type="pct"/>
                  <w:vAlign w:val="center"/>
                </w:tcPr>
                <w:p w14:paraId="16E8E12F">
                  <w:pPr>
                    <w:pStyle w:val="76"/>
                    <w:jc w:val="center"/>
                    <w:rPr>
                      <w:rFonts w:ascii="Times New Roman" w:hAnsi="Times New Roman"/>
                      <w:color w:val="auto"/>
                      <w:szCs w:val="21"/>
                      <w:u w:val="single"/>
                      <w:lang w:bidi="zh-CN"/>
                    </w:rPr>
                  </w:pPr>
                  <w:r>
                    <w:rPr>
                      <w:rFonts w:ascii="Times New Roman" w:hAnsi="Times New Roman"/>
                      <w:color w:val="auto"/>
                      <w:szCs w:val="21"/>
                      <w:u w:val="single"/>
                    </w:rPr>
                    <w:t>西</w:t>
                  </w:r>
                </w:p>
              </w:tc>
              <w:tc>
                <w:tcPr>
                  <w:tcW w:w="208" w:type="pct"/>
                  <w:vAlign w:val="center"/>
                </w:tcPr>
                <w:p w14:paraId="7F138EBA">
                  <w:pPr>
                    <w:pStyle w:val="76"/>
                    <w:jc w:val="center"/>
                    <w:rPr>
                      <w:rFonts w:ascii="Times New Roman" w:hAnsi="Times New Roman"/>
                      <w:color w:val="auto"/>
                      <w:szCs w:val="21"/>
                      <w:u w:val="single"/>
                      <w:lang w:bidi="zh-CN"/>
                    </w:rPr>
                  </w:pPr>
                  <w:r>
                    <w:rPr>
                      <w:rFonts w:hint="eastAsia" w:ascii="Times New Roman" w:hAnsi="Times New Roman"/>
                      <w:color w:val="auto"/>
                      <w:szCs w:val="21"/>
                      <w:u w:val="single"/>
                    </w:rPr>
                    <w:t>180</w:t>
                  </w:r>
                </w:p>
              </w:tc>
              <w:tc>
                <w:tcPr>
                  <w:tcW w:w="405" w:type="pct"/>
                  <w:vAlign w:val="center"/>
                </w:tcPr>
                <w:p w14:paraId="2C5780CA">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6.0</w:t>
                  </w:r>
                </w:p>
              </w:tc>
              <w:tc>
                <w:tcPr>
                  <w:tcW w:w="548" w:type="pct"/>
                  <w:vMerge w:val="continue"/>
                  <w:vAlign w:val="center"/>
                </w:tcPr>
                <w:p w14:paraId="33F48BBE">
                  <w:pPr>
                    <w:pStyle w:val="76"/>
                    <w:jc w:val="center"/>
                    <w:rPr>
                      <w:rFonts w:ascii="Times New Roman" w:hAnsi="Times New Roman"/>
                      <w:color w:val="auto"/>
                      <w:szCs w:val="21"/>
                      <w:u w:val="single"/>
                    </w:rPr>
                  </w:pPr>
                </w:p>
              </w:tc>
              <w:tc>
                <w:tcPr>
                  <w:tcW w:w="436" w:type="pct"/>
                  <w:vMerge w:val="continue"/>
                  <w:vAlign w:val="center"/>
                </w:tcPr>
                <w:p w14:paraId="47A1C101">
                  <w:pPr>
                    <w:pStyle w:val="76"/>
                    <w:jc w:val="center"/>
                    <w:rPr>
                      <w:rFonts w:ascii="Times New Roman" w:hAnsi="Times New Roman"/>
                      <w:color w:val="auto"/>
                      <w:szCs w:val="21"/>
                      <w:u w:val="single"/>
                    </w:rPr>
                  </w:pPr>
                </w:p>
              </w:tc>
              <w:tc>
                <w:tcPr>
                  <w:tcW w:w="272" w:type="pct"/>
                  <w:vAlign w:val="center"/>
                </w:tcPr>
                <w:p w14:paraId="23761A0F">
                  <w:pPr>
                    <w:pStyle w:val="76"/>
                    <w:jc w:val="center"/>
                    <w:rPr>
                      <w:rFonts w:ascii="Times New Roman" w:hAnsi="Times New Roman"/>
                      <w:color w:val="auto"/>
                      <w:szCs w:val="21"/>
                      <w:u w:val="single"/>
                      <w:lang w:bidi="zh-CN"/>
                    </w:rPr>
                  </w:pPr>
                  <w:r>
                    <w:rPr>
                      <w:rFonts w:ascii="Times New Roman" w:hAnsi="Times New Roman"/>
                      <w:color w:val="auto"/>
                      <w:szCs w:val="21"/>
                      <w:u w:val="single"/>
                    </w:rPr>
                    <w:t>西</w:t>
                  </w:r>
                </w:p>
              </w:tc>
              <w:tc>
                <w:tcPr>
                  <w:tcW w:w="270" w:type="pct"/>
                  <w:vAlign w:val="center"/>
                </w:tcPr>
                <w:p w14:paraId="04D26B00">
                  <w:pPr>
                    <w:pStyle w:val="76"/>
                    <w:jc w:val="center"/>
                    <w:rPr>
                      <w:rFonts w:ascii="Times New Roman" w:hAnsi="Times New Roman"/>
                      <w:color w:val="auto"/>
                      <w:szCs w:val="21"/>
                      <w:u w:val="single"/>
                    </w:rPr>
                  </w:pPr>
                  <w:r>
                    <w:rPr>
                      <w:rFonts w:ascii="Times New Roman" w:hAnsi="Times New Roman"/>
                      <w:color w:val="auto"/>
                      <w:szCs w:val="21"/>
                      <w:u w:val="single"/>
                    </w:rPr>
                    <w:t>4</w:t>
                  </w:r>
                  <w:r>
                    <w:rPr>
                      <w:rFonts w:hint="eastAsia" w:ascii="Times New Roman" w:hAnsi="Times New Roman"/>
                      <w:color w:val="auto"/>
                      <w:szCs w:val="21"/>
                      <w:u w:val="single"/>
                    </w:rPr>
                    <w:t>1.</w:t>
                  </w:r>
                  <w:r>
                    <w:rPr>
                      <w:rFonts w:ascii="Times New Roman" w:hAnsi="Times New Roman"/>
                      <w:color w:val="auto"/>
                      <w:szCs w:val="21"/>
                      <w:u w:val="single"/>
                    </w:rPr>
                    <w:t>0</w:t>
                  </w:r>
                </w:p>
              </w:tc>
              <w:tc>
                <w:tcPr>
                  <w:tcW w:w="311" w:type="pct"/>
                  <w:vMerge w:val="continue"/>
                  <w:vAlign w:val="center"/>
                </w:tcPr>
                <w:p w14:paraId="175F7F4C">
                  <w:pPr>
                    <w:pStyle w:val="76"/>
                    <w:jc w:val="center"/>
                    <w:rPr>
                      <w:rFonts w:ascii="Times New Roman" w:hAnsi="Times New Roman"/>
                      <w:color w:val="auto"/>
                      <w:szCs w:val="21"/>
                      <w:u w:val="single"/>
                    </w:rPr>
                  </w:pPr>
                </w:p>
              </w:tc>
            </w:tr>
            <w:tr w14:paraId="7F5B0B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239EBCA8">
                  <w:pPr>
                    <w:pStyle w:val="76"/>
                    <w:jc w:val="center"/>
                    <w:rPr>
                      <w:rFonts w:ascii="Times New Roman" w:hAnsi="Times New Roman"/>
                      <w:color w:val="auto"/>
                      <w:szCs w:val="21"/>
                      <w:u w:val="single"/>
                    </w:rPr>
                  </w:pPr>
                </w:p>
              </w:tc>
              <w:tc>
                <w:tcPr>
                  <w:tcW w:w="163" w:type="pct"/>
                  <w:vMerge w:val="continue"/>
                  <w:vAlign w:val="center"/>
                </w:tcPr>
                <w:p w14:paraId="1BB83414">
                  <w:pPr>
                    <w:pStyle w:val="76"/>
                    <w:jc w:val="center"/>
                    <w:rPr>
                      <w:rFonts w:ascii="Times New Roman" w:hAnsi="Times New Roman"/>
                      <w:color w:val="auto"/>
                      <w:szCs w:val="21"/>
                      <w:u w:val="single"/>
                    </w:rPr>
                  </w:pPr>
                </w:p>
              </w:tc>
              <w:tc>
                <w:tcPr>
                  <w:tcW w:w="299" w:type="pct"/>
                  <w:vMerge w:val="continue"/>
                  <w:vAlign w:val="center"/>
                </w:tcPr>
                <w:p w14:paraId="04B29BD7">
                  <w:pPr>
                    <w:pStyle w:val="76"/>
                    <w:jc w:val="center"/>
                    <w:rPr>
                      <w:rFonts w:ascii="Times New Roman" w:hAnsi="Times New Roman"/>
                      <w:color w:val="auto"/>
                      <w:szCs w:val="21"/>
                      <w:u w:val="single"/>
                    </w:rPr>
                  </w:pPr>
                </w:p>
              </w:tc>
              <w:tc>
                <w:tcPr>
                  <w:tcW w:w="596" w:type="pct"/>
                  <w:vMerge w:val="continue"/>
                  <w:vAlign w:val="center"/>
                </w:tcPr>
                <w:p w14:paraId="53113FE6">
                  <w:pPr>
                    <w:pStyle w:val="76"/>
                    <w:jc w:val="center"/>
                    <w:rPr>
                      <w:rFonts w:ascii="Times New Roman" w:hAnsi="Times New Roman"/>
                      <w:color w:val="auto"/>
                      <w:szCs w:val="21"/>
                      <w:u w:val="single"/>
                    </w:rPr>
                  </w:pPr>
                </w:p>
              </w:tc>
              <w:tc>
                <w:tcPr>
                  <w:tcW w:w="503" w:type="pct"/>
                  <w:vMerge w:val="continue"/>
                  <w:vAlign w:val="center"/>
                </w:tcPr>
                <w:p w14:paraId="57CD4E9E">
                  <w:pPr>
                    <w:pStyle w:val="76"/>
                    <w:jc w:val="center"/>
                    <w:rPr>
                      <w:rFonts w:ascii="Times New Roman" w:hAnsi="Times New Roman"/>
                      <w:color w:val="auto"/>
                      <w:szCs w:val="21"/>
                      <w:u w:val="single"/>
                    </w:rPr>
                  </w:pPr>
                </w:p>
              </w:tc>
              <w:tc>
                <w:tcPr>
                  <w:tcW w:w="170" w:type="pct"/>
                  <w:vMerge w:val="continue"/>
                  <w:vAlign w:val="center"/>
                </w:tcPr>
                <w:p w14:paraId="7A4DEB19">
                  <w:pPr>
                    <w:pStyle w:val="76"/>
                    <w:jc w:val="center"/>
                    <w:rPr>
                      <w:rFonts w:ascii="Times New Roman" w:hAnsi="Times New Roman"/>
                      <w:color w:val="auto"/>
                      <w:szCs w:val="21"/>
                      <w:u w:val="single"/>
                    </w:rPr>
                  </w:pPr>
                </w:p>
              </w:tc>
              <w:tc>
                <w:tcPr>
                  <w:tcW w:w="170" w:type="pct"/>
                  <w:vMerge w:val="continue"/>
                  <w:vAlign w:val="center"/>
                </w:tcPr>
                <w:p w14:paraId="1A4106E9">
                  <w:pPr>
                    <w:pStyle w:val="76"/>
                    <w:jc w:val="center"/>
                    <w:rPr>
                      <w:rFonts w:ascii="Times New Roman" w:hAnsi="Times New Roman"/>
                      <w:color w:val="auto"/>
                      <w:szCs w:val="21"/>
                      <w:u w:val="single"/>
                    </w:rPr>
                  </w:pPr>
                </w:p>
              </w:tc>
              <w:tc>
                <w:tcPr>
                  <w:tcW w:w="125" w:type="pct"/>
                  <w:vMerge w:val="continue"/>
                  <w:vAlign w:val="center"/>
                </w:tcPr>
                <w:p w14:paraId="4BB2D09E">
                  <w:pPr>
                    <w:pStyle w:val="76"/>
                    <w:jc w:val="center"/>
                    <w:rPr>
                      <w:rFonts w:ascii="Times New Roman" w:hAnsi="Times New Roman"/>
                      <w:color w:val="auto"/>
                      <w:szCs w:val="21"/>
                      <w:u w:val="single"/>
                    </w:rPr>
                  </w:pPr>
                </w:p>
              </w:tc>
              <w:tc>
                <w:tcPr>
                  <w:tcW w:w="208" w:type="pct"/>
                  <w:vAlign w:val="center"/>
                </w:tcPr>
                <w:p w14:paraId="25FA0B2D">
                  <w:pPr>
                    <w:pStyle w:val="76"/>
                    <w:jc w:val="center"/>
                    <w:rPr>
                      <w:rFonts w:ascii="Times New Roman" w:hAnsi="Times New Roman"/>
                      <w:color w:val="auto"/>
                      <w:szCs w:val="21"/>
                      <w:u w:val="single"/>
                      <w:lang w:bidi="zh-CN"/>
                    </w:rPr>
                  </w:pPr>
                  <w:r>
                    <w:rPr>
                      <w:rFonts w:ascii="Times New Roman" w:hAnsi="Times New Roman"/>
                      <w:color w:val="auto"/>
                      <w:szCs w:val="21"/>
                      <w:u w:val="single"/>
                    </w:rPr>
                    <w:t>北</w:t>
                  </w:r>
                </w:p>
              </w:tc>
              <w:tc>
                <w:tcPr>
                  <w:tcW w:w="208" w:type="pct"/>
                  <w:vAlign w:val="center"/>
                </w:tcPr>
                <w:p w14:paraId="048B85A8">
                  <w:pPr>
                    <w:pStyle w:val="76"/>
                    <w:jc w:val="center"/>
                    <w:rPr>
                      <w:rFonts w:ascii="Times New Roman" w:hAnsi="Times New Roman"/>
                      <w:color w:val="auto"/>
                      <w:szCs w:val="21"/>
                      <w:u w:val="single"/>
                      <w:lang w:bidi="zh-CN"/>
                    </w:rPr>
                  </w:pPr>
                  <w:r>
                    <w:rPr>
                      <w:rFonts w:hint="eastAsia" w:ascii="Times New Roman" w:hAnsi="Times New Roman"/>
                      <w:color w:val="auto"/>
                      <w:szCs w:val="21"/>
                      <w:u w:val="single"/>
                    </w:rPr>
                    <w:t>4</w:t>
                  </w:r>
                </w:p>
              </w:tc>
              <w:tc>
                <w:tcPr>
                  <w:tcW w:w="405" w:type="pct"/>
                  <w:vAlign w:val="center"/>
                </w:tcPr>
                <w:p w14:paraId="77933C5E">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w:t>
                  </w:r>
                  <w:r>
                    <w:rPr>
                      <w:rFonts w:hint="eastAsia" w:ascii="Times New Roman" w:hAnsi="Times New Roman"/>
                      <w:color w:val="auto"/>
                      <w:szCs w:val="21"/>
                      <w:u w:val="single"/>
                    </w:rPr>
                    <w:t>2</w:t>
                  </w:r>
                </w:p>
              </w:tc>
              <w:tc>
                <w:tcPr>
                  <w:tcW w:w="548" w:type="pct"/>
                  <w:vMerge w:val="continue"/>
                  <w:vAlign w:val="center"/>
                </w:tcPr>
                <w:p w14:paraId="667FE725">
                  <w:pPr>
                    <w:pStyle w:val="76"/>
                    <w:jc w:val="center"/>
                    <w:rPr>
                      <w:rFonts w:ascii="Times New Roman" w:hAnsi="Times New Roman"/>
                      <w:color w:val="auto"/>
                      <w:szCs w:val="21"/>
                      <w:u w:val="single"/>
                    </w:rPr>
                  </w:pPr>
                </w:p>
              </w:tc>
              <w:tc>
                <w:tcPr>
                  <w:tcW w:w="436" w:type="pct"/>
                  <w:vMerge w:val="continue"/>
                  <w:vAlign w:val="center"/>
                </w:tcPr>
                <w:p w14:paraId="53D3602A">
                  <w:pPr>
                    <w:pStyle w:val="76"/>
                    <w:jc w:val="center"/>
                    <w:rPr>
                      <w:rFonts w:ascii="Times New Roman" w:hAnsi="Times New Roman"/>
                      <w:color w:val="auto"/>
                      <w:szCs w:val="21"/>
                      <w:u w:val="single"/>
                    </w:rPr>
                  </w:pPr>
                </w:p>
              </w:tc>
              <w:tc>
                <w:tcPr>
                  <w:tcW w:w="272" w:type="pct"/>
                  <w:vAlign w:val="center"/>
                </w:tcPr>
                <w:p w14:paraId="6F1D1069">
                  <w:pPr>
                    <w:pStyle w:val="76"/>
                    <w:jc w:val="center"/>
                    <w:rPr>
                      <w:rFonts w:ascii="Times New Roman" w:hAnsi="Times New Roman"/>
                      <w:color w:val="auto"/>
                      <w:szCs w:val="21"/>
                      <w:u w:val="single"/>
                      <w:lang w:bidi="zh-CN"/>
                    </w:rPr>
                  </w:pPr>
                  <w:r>
                    <w:rPr>
                      <w:rFonts w:ascii="Times New Roman" w:hAnsi="Times New Roman"/>
                      <w:color w:val="auto"/>
                      <w:szCs w:val="21"/>
                      <w:u w:val="single"/>
                    </w:rPr>
                    <w:t>北</w:t>
                  </w:r>
                </w:p>
              </w:tc>
              <w:tc>
                <w:tcPr>
                  <w:tcW w:w="270" w:type="pct"/>
                  <w:vAlign w:val="center"/>
                </w:tcPr>
                <w:p w14:paraId="490B6E3A">
                  <w:pPr>
                    <w:pStyle w:val="76"/>
                    <w:jc w:val="center"/>
                    <w:rPr>
                      <w:rFonts w:ascii="Times New Roman" w:hAnsi="Times New Roman"/>
                      <w:color w:val="auto"/>
                      <w:szCs w:val="21"/>
                      <w:u w:val="single"/>
                    </w:rPr>
                  </w:pPr>
                  <w:r>
                    <w:rPr>
                      <w:rFonts w:ascii="Times New Roman" w:hAnsi="Times New Roman"/>
                      <w:color w:val="auto"/>
                      <w:szCs w:val="21"/>
                      <w:u w:val="single"/>
                    </w:rPr>
                    <w:t>4</w:t>
                  </w:r>
                  <w:r>
                    <w:rPr>
                      <w:rFonts w:hint="eastAsia" w:ascii="Times New Roman" w:hAnsi="Times New Roman"/>
                      <w:color w:val="auto"/>
                      <w:szCs w:val="21"/>
                      <w:u w:val="single"/>
                    </w:rPr>
                    <w:t>1</w:t>
                  </w:r>
                  <w:r>
                    <w:rPr>
                      <w:rFonts w:ascii="Times New Roman" w:hAnsi="Times New Roman"/>
                      <w:color w:val="auto"/>
                      <w:szCs w:val="21"/>
                      <w:u w:val="single"/>
                    </w:rPr>
                    <w:t>.</w:t>
                  </w:r>
                  <w:r>
                    <w:rPr>
                      <w:rFonts w:hint="eastAsia" w:ascii="Times New Roman" w:hAnsi="Times New Roman"/>
                      <w:color w:val="auto"/>
                      <w:szCs w:val="21"/>
                      <w:u w:val="single"/>
                    </w:rPr>
                    <w:t>2</w:t>
                  </w:r>
                </w:p>
              </w:tc>
              <w:tc>
                <w:tcPr>
                  <w:tcW w:w="311" w:type="pct"/>
                  <w:vMerge w:val="continue"/>
                  <w:vAlign w:val="center"/>
                </w:tcPr>
                <w:p w14:paraId="56907811">
                  <w:pPr>
                    <w:pStyle w:val="76"/>
                    <w:jc w:val="center"/>
                    <w:rPr>
                      <w:rFonts w:ascii="Times New Roman" w:hAnsi="Times New Roman"/>
                      <w:color w:val="auto"/>
                      <w:szCs w:val="21"/>
                      <w:u w:val="single"/>
                    </w:rPr>
                  </w:pPr>
                </w:p>
              </w:tc>
            </w:tr>
            <w:tr w14:paraId="6CF2BD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62D7F9B7">
                  <w:pPr>
                    <w:pStyle w:val="76"/>
                    <w:numPr>
                      <w:ilvl w:val="0"/>
                      <w:numId w:val="7"/>
                    </w:numPr>
                    <w:jc w:val="center"/>
                    <w:rPr>
                      <w:rFonts w:ascii="Times New Roman" w:hAnsi="Times New Roman"/>
                      <w:color w:val="auto"/>
                      <w:szCs w:val="21"/>
                      <w:u w:val="single"/>
                    </w:rPr>
                  </w:pPr>
                </w:p>
              </w:tc>
              <w:tc>
                <w:tcPr>
                  <w:tcW w:w="163" w:type="pct"/>
                  <w:vMerge w:val="continue"/>
                  <w:vAlign w:val="center"/>
                </w:tcPr>
                <w:p w14:paraId="1293D04D">
                  <w:pPr>
                    <w:pStyle w:val="76"/>
                    <w:jc w:val="center"/>
                    <w:rPr>
                      <w:rFonts w:ascii="Times New Roman" w:hAnsi="Times New Roman"/>
                      <w:color w:val="auto"/>
                      <w:szCs w:val="21"/>
                      <w:u w:val="single"/>
                    </w:rPr>
                  </w:pPr>
                </w:p>
              </w:tc>
              <w:tc>
                <w:tcPr>
                  <w:tcW w:w="299" w:type="pct"/>
                  <w:vMerge w:val="restart"/>
                  <w:vAlign w:val="center"/>
                </w:tcPr>
                <w:p w14:paraId="4BAAE640">
                  <w:pPr>
                    <w:pStyle w:val="76"/>
                    <w:jc w:val="center"/>
                    <w:rPr>
                      <w:rFonts w:ascii="Times New Roman" w:hAnsi="Times New Roman"/>
                      <w:color w:val="auto"/>
                      <w:szCs w:val="21"/>
                      <w:u w:val="single"/>
                    </w:rPr>
                  </w:pPr>
                  <w:r>
                    <w:rPr>
                      <w:rFonts w:ascii="Times New Roman" w:hAnsi="Times New Roman"/>
                      <w:color w:val="auto"/>
                      <w:szCs w:val="21"/>
                      <w:u w:val="single"/>
                    </w:rPr>
                    <w:t>自动泡沫切割机（</w:t>
                  </w:r>
                  <w:r>
                    <w:rPr>
                      <w:rFonts w:hint="eastAsia" w:ascii="Times New Roman" w:hAnsi="Times New Roman"/>
                      <w:color w:val="auto"/>
                      <w:szCs w:val="21"/>
                      <w:u w:val="single"/>
                    </w:rPr>
                    <w:t>1</w:t>
                  </w:r>
                  <w:r>
                    <w:rPr>
                      <w:rFonts w:ascii="Times New Roman" w:hAnsi="Times New Roman"/>
                      <w:color w:val="auto"/>
                      <w:szCs w:val="21"/>
                      <w:u w:val="single"/>
                    </w:rPr>
                    <w:t>台）</w:t>
                  </w:r>
                </w:p>
              </w:tc>
              <w:tc>
                <w:tcPr>
                  <w:tcW w:w="596" w:type="pct"/>
                  <w:vMerge w:val="restart"/>
                  <w:vAlign w:val="center"/>
                </w:tcPr>
                <w:p w14:paraId="764FFBA4">
                  <w:pPr>
                    <w:pStyle w:val="76"/>
                    <w:jc w:val="center"/>
                    <w:rPr>
                      <w:rFonts w:ascii="Times New Roman" w:hAnsi="Times New Roman"/>
                      <w:color w:val="auto"/>
                      <w:szCs w:val="21"/>
                      <w:u w:val="single"/>
                    </w:rPr>
                  </w:pPr>
                  <w:r>
                    <w:rPr>
                      <w:rFonts w:ascii="Times New Roman" w:hAnsi="Times New Roman"/>
                      <w:color w:val="auto"/>
                      <w:szCs w:val="21"/>
                      <w:u w:val="single"/>
                    </w:rPr>
                    <w:t>75</w:t>
                  </w:r>
                </w:p>
              </w:tc>
              <w:tc>
                <w:tcPr>
                  <w:tcW w:w="503" w:type="pct"/>
                  <w:vMerge w:val="restart"/>
                  <w:vAlign w:val="center"/>
                </w:tcPr>
                <w:p w14:paraId="7575ACF9">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3E79C9F6">
                  <w:pPr>
                    <w:pStyle w:val="76"/>
                    <w:jc w:val="center"/>
                    <w:rPr>
                      <w:rFonts w:ascii="Times New Roman" w:hAnsi="Times New Roman"/>
                      <w:color w:val="auto"/>
                      <w:szCs w:val="21"/>
                      <w:u w:val="single"/>
                    </w:rPr>
                  </w:pPr>
                  <w:r>
                    <w:rPr>
                      <w:rFonts w:hint="eastAsia" w:ascii="Times New Roman" w:hAnsi="Times New Roman"/>
                      <w:color w:val="auto"/>
                      <w:szCs w:val="21"/>
                      <w:u w:val="single"/>
                    </w:rPr>
                    <w:t>82</w:t>
                  </w:r>
                </w:p>
              </w:tc>
              <w:tc>
                <w:tcPr>
                  <w:tcW w:w="170" w:type="pct"/>
                  <w:vMerge w:val="restart"/>
                  <w:vAlign w:val="center"/>
                </w:tcPr>
                <w:p w14:paraId="6145C5CC">
                  <w:pPr>
                    <w:pStyle w:val="76"/>
                    <w:jc w:val="center"/>
                    <w:rPr>
                      <w:rFonts w:ascii="Times New Roman" w:hAnsi="Times New Roman"/>
                      <w:color w:val="auto"/>
                      <w:szCs w:val="21"/>
                      <w:u w:val="single"/>
                    </w:rPr>
                  </w:pPr>
                  <w:r>
                    <w:rPr>
                      <w:rFonts w:hint="eastAsia" w:ascii="Times New Roman" w:hAnsi="Times New Roman"/>
                      <w:color w:val="auto"/>
                      <w:szCs w:val="21"/>
                      <w:u w:val="single"/>
                    </w:rPr>
                    <w:t>4</w:t>
                  </w:r>
                </w:p>
              </w:tc>
              <w:tc>
                <w:tcPr>
                  <w:tcW w:w="125" w:type="pct"/>
                  <w:vMerge w:val="restart"/>
                  <w:vAlign w:val="center"/>
                </w:tcPr>
                <w:p w14:paraId="4CC1FE5F">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4948657E">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796A6A96">
                  <w:pPr>
                    <w:pStyle w:val="76"/>
                    <w:jc w:val="center"/>
                    <w:rPr>
                      <w:rFonts w:ascii="Times New Roman" w:hAnsi="Times New Roman"/>
                      <w:color w:val="auto"/>
                      <w:szCs w:val="21"/>
                      <w:u w:val="single"/>
                    </w:rPr>
                  </w:pPr>
                  <w:r>
                    <w:rPr>
                      <w:rFonts w:ascii="Times New Roman" w:hAnsi="Times New Roman"/>
                      <w:color w:val="auto"/>
                      <w:szCs w:val="21"/>
                      <w:u w:val="single"/>
                    </w:rPr>
                    <w:t>1</w:t>
                  </w:r>
                  <w:r>
                    <w:rPr>
                      <w:rFonts w:hint="eastAsia" w:ascii="Times New Roman" w:hAnsi="Times New Roman"/>
                      <w:color w:val="auto"/>
                      <w:szCs w:val="21"/>
                      <w:u w:val="single"/>
                    </w:rPr>
                    <w:t>6</w:t>
                  </w:r>
                </w:p>
              </w:tc>
              <w:tc>
                <w:tcPr>
                  <w:tcW w:w="405" w:type="pct"/>
                  <w:vAlign w:val="center"/>
                </w:tcPr>
                <w:p w14:paraId="0287F834">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restart"/>
                  <w:vAlign w:val="center"/>
                </w:tcPr>
                <w:p w14:paraId="3549922C">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62796D10">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6759EFCD">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00518862">
                  <w:pPr>
                    <w:pStyle w:val="76"/>
                    <w:jc w:val="center"/>
                    <w:rPr>
                      <w:rFonts w:ascii="Times New Roman" w:hAnsi="Times New Roman"/>
                      <w:color w:val="auto"/>
                      <w:szCs w:val="21"/>
                      <w:u w:val="single"/>
                    </w:rPr>
                  </w:pPr>
                  <w:r>
                    <w:rPr>
                      <w:rFonts w:ascii="Times New Roman" w:hAnsi="Times New Roman"/>
                      <w:color w:val="auto"/>
                      <w:szCs w:val="21"/>
                      <w:u w:val="single"/>
                    </w:rPr>
                    <w:t>43.0</w:t>
                  </w:r>
                </w:p>
              </w:tc>
              <w:tc>
                <w:tcPr>
                  <w:tcW w:w="311" w:type="pct"/>
                  <w:vMerge w:val="restart"/>
                  <w:vAlign w:val="center"/>
                </w:tcPr>
                <w:p w14:paraId="52E9C336">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74550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375D6372">
                  <w:pPr>
                    <w:pStyle w:val="76"/>
                    <w:jc w:val="center"/>
                    <w:rPr>
                      <w:rFonts w:ascii="Times New Roman" w:hAnsi="Times New Roman"/>
                      <w:color w:val="auto"/>
                      <w:szCs w:val="21"/>
                      <w:u w:val="single"/>
                    </w:rPr>
                  </w:pPr>
                </w:p>
              </w:tc>
              <w:tc>
                <w:tcPr>
                  <w:tcW w:w="163" w:type="pct"/>
                  <w:vMerge w:val="continue"/>
                  <w:vAlign w:val="center"/>
                </w:tcPr>
                <w:p w14:paraId="14BCD4DF">
                  <w:pPr>
                    <w:pStyle w:val="76"/>
                    <w:jc w:val="center"/>
                    <w:rPr>
                      <w:rFonts w:ascii="Times New Roman" w:hAnsi="Times New Roman"/>
                      <w:color w:val="auto"/>
                      <w:szCs w:val="21"/>
                      <w:u w:val="single"/>
                    </w:rPr>
                  </w:pPr>
                </w:p>
              </w:tc>
              <w:tc>
                <w:tcPr>
                  <w:tcW w:w="299" w:type="pct"/>
                  <w:vMerge w:val="continue"/>
                  <w:vAlign w:val="center"/>
                </w:tcPr>
                <w:p w14:paraId="2B3F3B4A">
                  <w:pPr>
                    <w:pStyle w:val="76"/>
                    <w:jc w:val="center"/>
                    <w:rPr>
                      <w:rFonts w:ascii="Times New Roman" w:hAnsi="Times New Roman"/>
                      <w:color w:val="auto"/>
                      <w:szCs w:val="21"/>
                      <w:u w:val="single"/>
                    </w:rPr>
                  </w:pPr>
                </w:p>
              </w:tc>
              <w:tc>
                <w:tcPr>
                  <w:tcW w:w="596" w:type="pct"/>
                  <w:vMerge w:val="continue"/>
                  <w:vAlign w:val="center"/>
                </w:tcPr>
                <w:p w14:paraId="33D25C47">
                  <w:pPr>
                    <w:pStyle w:val="76"/>
                    <w:jc w:val="center"/>
                    <w:rPr>
                      <w:rFonts w:ascii="Times New Roman" w:hAnsi="Times New Roman"/>
                      <w:color w:val="auto"/>
                      <w:szCs w:val="21"/>
                      <w:u w:val="single"/>
                    </w:rPr>
                  </w:pPr>
                </w:p>
              </w:tc>
              <w:tc>
                <w:tcPr>
                  <w:tcW w:w="503" w:type="pct"/>
                  <w:vMerge w:val="continue"/>
                  <w:vAlign w:val="center"/>
                </w:tcPr>
                <w:p w14:paraId="282AD3D4">
                  <w:pPr>
                    <w:pStyle w:val="76"/>
                    <w:jc w:val="center"/>
                    <w:rPr>
                      <w:rFonts w:ascii="Times New Roman" w:hAnsi="Times New Roman"/>
                      <w:color w:val="auto"/>
                      <w:szCs w:val="21"/>
                      <w:u w:val="single"/>
                    </w:rPr>
                  </w:pPr>
                </w:p>
              </w:tc>
              <w:tc>
                <w:tcPr>
                  <w:tcW w:w="170" w:type="pct"/>
                  <w:vMerge w:val="continue"/>
                  <w:vAlign w:val="center"/>
                </w:tcPr>
                <w:p w14:paraId="0E0D4329">
                  <w:pPr>
                    <w:pStyle w:val="76"/>
                    <w:jc w:val="center"/>
                    <w:rPr>
                      <w:rFonts w:ascii="Times New Roman" w:hAnsi="Times New Roman"/>
                      <w:color w:val="auto"/>
                      <w:szCs w:val="21"/>
                      <w:u w:val="single"/>
                    </w:rPr>
                  </w:pPr>
                </w:p>
              </w:tc>
              <w:tc>
                <w:tcPr>
                  <w:tcW w:w="170" w:type="pct"/>
                  <w:vMerge w:val="continue"/>
                  <w:vAlign w:val="center"/>
                </w:tcPr>
                <w:p w14:paraId="2DD638E3">
                  <w:pPr>
                    <w:pStyle w:val="76"/>
                    <w:jc w:val="center"/>
                    <w:rPr>
                      <w:rFonts w:ascii="Times New Roman" w:hAnsi="Times New Roman"/>
                      <w:color w:val="auto"/>
                      <w:szCs w:val="21"/>
                      <w:u w:val="single"/>
                    </w:rPr>
                  </w:pPr>
                </w:p>
              </w:tc>
              <w:tc>
                <w:tcPr>
                  <w:tcW w:w="125" w:type="pct"/>
                  <w:vMerge w:val="continue"/>
                  <w:vAlign w:val="center"/>
                </w:tcPr>
                <w:p w14:paraId="0E5130C3">
                  <w:pPr>
                    <w:pStyle w:val="76"/>
                    <w:jc w:val="center"/>
                    <w:rPr>
                      <w:rFonts w:ascii="Times New Roman" w:hAnsi="Times New Roman"/>
                      <w:color w:val="auto"/>
                      <w:szCs w:val="21"/>
                      <w:u w:val="single"/>
                    </w:rPr>
                  </w:pPr>
                </w:p>
              </w:tc>
              <w:tc>
                <w:tcPr>
                  <w:tcW w:w="208" w:type="pct"/>
                  <w:vAlign w:val="center"/>
                </w:tcPr>
                <w:p w14:paraId="5BC86994">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32872A35">
                  <w:pPr>
                    <w:pStyle w:val="76"/>
                    <w:jc w:val="center"/>
                    <w:rPr>
                      <w:rFonts w:ascii="Times New Roman" w:hAnsi="Times New Roman"/>
                      <w:color w:val="auto"/>
                      <w:szCs w:val="21"/>
                      <w:u w:val="single"/>
                    </w:rPr>
                  </w:pPr>
                  <w:r>
                    <w:rPr>
                      <w:rFonts w:hint="eastAsia" w:ascii="Times New Roman" w:hAnsi="Times New Roman"/>
                      <w:color w:val="auto"/>
                      <w:szCs w:val="21"/>
                      <w:u w:val="single"/>
                    </w:rPr>
                    <w:t>10</w:t>
                  </w:r>
                </w:p>
              </w:tc>
              <w:tc>
                <w:tcPr>
                  <w:tcW w:w="405" w:type="pct"/>
                  <w:vAlign w:val="center"/>
                </w:tcPr>
                <w:p w14:paraId="066B0C1F">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continue"/>
                  <w:vAlign w:val="center"/>
                </w:tcPr>
                <w:p w14:paraId="53BCC512">
                  <w:pPr>
                    <w:pStyle w:val="76"/>
                    <w:jc w:val="center"/>
                    <w:rPr>
                      <w:rFonts w:ascii="Times New Roman" w:hAnsi="Times New Roman"/>
                      <w:color w:val="auto"/>
                      <w:szCs w:val="21"/>
                      <w:u w:val="single"/>
                    </w:rPr>
                  </w:pPr>
                </w:p>
              </w:tc>
              <w:tc>
                <w:tcPr>
                  <w:tcW w:w="436" w:type="pct"/>
                  <w:vMerge w:val="continue"/>
                  <w:vAlign w:val="center"/>
                </w:tcPr>
                <w:p w14:paraId="0BE12C24">
                  <w:pPr>
                    <w:pStyle w:val="76"/>
                    <w:jc w:val="center"/>
                    <w:rPr>
                      <w:rFonts w:ascii="Times New Roman" w:hAnsi="Times New Roman"/>
                      <w:color w:val="auto"/>
                      <w:szCs w:val="21"/>
                      <w:u w:val="single"/>
                    </w:rPr>
                  </w:pPr>
                </w:p>
              </w:tc>
              <w:tc>
                <w:tcPr>
                  <w:tcW w:w="272" w:type="pct"/>
                  <w:vAlign w:val="center"/>
                </w:tcPr>
                <w:p w14:paraId="58672A6F">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08D3B780">
                  <w:pPr>
                    <w:pStyle w:val="76"/>
                    <w:jc w:val="center"/>
                    <w:rPr>
                      <w:rFonts w:ascii="Times New Roman" w:hAnsi="Times New Roman"/>
                      <w:color w:val="auto"/>
                      <w:szCs w:val="21"/>
                      <w:u w:val="single"/>
                    </w:rPr>
                  </w:pPr>
                  <w:r>
                    <w:rPr>
                      <w:rFonts w:ascii="Times New Roman" w:hAnsi="Times New Roman"/>
                      <w:color w:val="auto"/>
                      <w:szCs w:val="21"/>
                      <w:u w:val="single"/>
                    </w:rPr>
                    <w:t>43.0</w:t>
                  </w:r>
                </w:p>
              </w:tc>
              <w:tc>
                <w:tcPr>
                  <w:tcW w:w="311" w:type="pct"/>
                  <w:vMerge w:val="continue"/>
                  <w:vAlign w:val="center"/>
                </w:tcPr>
                <w:p w14:paraId="3D334E71">
                  <w:pPr>
                    <w:pStyle w:val="76"/>
                    <w:jc w:val="center"/>
                    <w:rPr>
                      <w:rFonts w:ascii="Times New Roman" w:hAnsi="Times New Roman"/>
                      <w:color w:val="auto"/>
                      <w:szCs w:val="21"/>
                      <w:u w:val="single"/>
                    </w:rPr>
                  </w:pPr>
                </w:p>
              </w:tc>
            </w:tr>
            <w:tr w14:paraId="26BC77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7DF6E05F">
                  <w:pPr>
                    <w:pStyle w:val="76"/>
                    <w:jc w:val="center"/>
                    <w:rPr>
                      <w:rFonts w:ascii="Times New Roman" w:hAnsi="Times New Roman"/>
                      <w:color w:val="auto"/>
                      <w:szCs w:val="21"/>
                      <w:u w:val="single"/>
                    </w:rPr>
                  </w:pPr>
                </w:p>
              </w:tc>
              <w:tc>
                <w:tcPr>
                  <w:tcW w:w="163" w:type="pct"/>
                  <w:vMerge w:val="continue"/>
                  <w:vAlign w:val="center"/>
                </w:tcPr>
                <w:p w14:paraId="030A953A">
                  <w:pPr>
                    <w:pStyle w:val="76"/>
                    <w:jc w:val="center"/>
                    <w:rPr>
                      <w:rFonts w:ascii="Times New Roman" w:hAnsi="Times New Roman"/>
                      <w:color w:val="auto"/>
                      <w:szCs w:val="21"/>
                      <w:u w:val="single"/>
                    </w:rPr>
                  </w:pPr>
                </w:p>
              </w:tc>
              <w:tc>
                <w:tcPr>
                  <w:tcW w:w="299" w:type="pct"/>
                  <w:vMerge w:val="continue"/>
                  <w:vAlign w:val="center"/>
                </w:tcPr>
                <w:p w14:paraId="480B7729">
                  <w:pPr>
                    <w:pStyle w:val="76"/>
                    <w:jc w:val="center"/>
                    <w:rPr>
                      <w:rFonts w:ascii="Times New Roman" w:hAnsi="Times New Roman"/>
                      <w:color w:val="auto"/>
                      <w:szCs w:val="21"/>
                      <w:u w:val="single"/>
                    </w:rPr>
                  </w:pPr>
                </w:p>
              </w:tc>
              <w:tc>
                <w:tcPr>
                  <w:tcW w:w="596" w:type="pct"/>
                  <w:vMerge w:val="continue"/>
                  <w:vAlign w:val="center"/>
                </w:tcPr>
                <w:p w14:paraId="7AE7365C">
                  <w:pPr>
                    <w:pStyle w:val="76"/>
                    <w:jc w:val="center"/>
                    <w:rPr>
                      <w:rFonts w:ascii="Times New Roman" w:hAnsi="Times New Roman"/>
                      <w:color w:val="auto"/>
                      <w:szCs w:val="21"/>
                      <w:u w:val="single"/>
                    </w:rPr>
                  </w:pPr>
                </w:p>
              </w:tc>
              <w:tc>
                <w:tcPr>
                  <w:tcW w:w="503" w:type="pct"/>
                  <w:vMerge w:val="continue"/>
                  <w:vAlign w:val="center"/>
                </w:tcPr>
                <w:p w14:paraId="131D6FCB">
                  <w:pPr>
                    <w:pStyle w:val="76"/>
                    <w:jc w:val="center"/>
                    <w:rPr>
                      <w:rFonts w:ascii="Times New Roman" w:hAnsi="Times New Roman"/>
                      <w:color w:val="auto"/>
                      <w:szCs w:val="21"/>
                      <w:u w:val="single"/>
                    </w:rPr>
                  </w:pPr>
                </w:p>
              </w:tc>
              <w:tc>
                <w:tcPr>
                  <w:tcW w:w="170" w:type="pct"/>
                  <w:vMerge w:val="continue"/>
                  <w:vAlign w:val="center"/>
                </w:tcPr>
                <w:p w14:paraId="6B5688B3">
                  <w:pPr>
                    <w:pStyle w:val="76"/>
                    <w:jc w:val="center"/>
                    <w:rPr>
                      <w:rFonts w:ascii="Times New Roman" w:hAnsi="Times New Roman"/>
                      <w:color w:val="auto"/>
                      <w:szCs w:val="21"/>
                      <w:u w:val="single"/>
                    </w:rPr>
                  </w:pPr>
                </w:p>
              </w:tc>
              <w:tc>
                <w:tcPr>
                  <w:tcW w:w="170" w:type="pct"/>
                  <w:vMerge w:val="continue"/>
                  <w:vAlign w:val="center"/>
                </w:tcPr>
                <w:p w14:paraId="71C71F94">
                  <w:pPr>
                    <w:pStyle w:val="76"/>
                    <w:jc w:val="center"/>
                    <w:rPr>
                      <w:rFonts w:ascii="Times New Roman" w:hAnsi="Times New Roman"/>
                      <w:color w:val="auto"/>
                      <w:szCs w:val="21"/>
                      <w:u w:val="single"/>
                    </w:rPr>
                  </w:pPr>
                </w:p>
              </w:tc>
              <w:tc>
                <w:tcPr>
                  <w:tcW w:w="125" w:type="pct"/>
                  <w:vMerge w:val="continue"/>
                  <w:vAlign w:val="center"/>
                </w:tcPr>
                <w:p w14:paraId="7F1367F9">
                  <w:pPr>
                    <w:pStyle w:val="76"/>
                    <w:jc w:val="center"/>
                    <w:rPr>
                      <w:rFonts w:ascii="Times New Roman" w:hAnsi="Times New Roman"/>
                      <w:color w:val="auto"/>
                      <w:szCs w:val="21"/>
                      <w:u w:val="single"/>
                    </w:rPr>
                  </w:pPr>
                </w:p>
              </w:tc>
              <w:tc>
                <w:tcPr>
                  <w:tcW w:w="208" w:type="pct"/>
                  <w:vAlign w:val="center"/>
                </w:tcPr>
                <w:p w14:paraId="2688BB5D">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668894A8">
                  <w:pPr>
                    <w:pStyle w:val="76"/>
                    <w:jc w:val="center"/>
                    <w:rPr>
                      <w:rFonts w:ascii="Times New Roman" w:hAnsi="Times New Roman"/>
                      <w:color w:val="auto"/>
                      <w:szCs w:val="21"/>
                      <w:u w:val="single"/>
                    </w:rPr>
                  </w:pPr>
                  <w:r>
                    <w:rPr>
                      <w:rFonts w:hint="eastAsia" w:ascii="Times New Roman" w:hAnsi="Times New Roman"/>
                      <w:color w:val="auto"/>
                      <w:szCs w:val="21"/>
                      <w:u w:val="single"/>
                    </w:rPr>
                    <w:t>1</w:t>
                  </w:r>
                  <w:r>
                    <w:rPr>
                      <w:rFonts w:ascii="Times New Roman" w:hAnsi="Times New Roman"/>
                      <w:color w:val="auto"/>
                      <w:szCs w:val="21"/>
                      <w:u w:val="single"/>
                    </w:rPr>
                    <w:t>65</w:t>
                  </w:r>
                </w:p>
              </w:tc>
              <w:tc>
                <w:tcPr>
                  <w:tcW w:w="405" w:type="pct"/>
                  <w:vAlign w:val="center"/>
                </w:tcPr>
                <w:p w14:paraId="20BBE1E0">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continue"/>
                  <w:vAlign w:val="center"/>
                </w:tcPr>
                <w:p w14:paraId="62D516FB">
                  <w:pPr>
                    <w:pStyle w:val="76"/>
                    <w:jc w:val="center"/>
                    <w:rPr>
                      <w:rFonts w:ascii="Times New Roman" w:hAnsi="Times New Roman"/>
                      <w:color w:val="auto"/>
                      <w:szCs w:val="21"/>
                      <w:u w:val="single"/>
                    </w:rPr>
                  </w:pPr>
                </w:p>
              </w:tc>
              <w:tc>
                <w:tcPr>
                  <w:tcW w:w="436" w:type="pct"/>
                  <w:vMerge w:val="continue"/>
                  <w:vAlign w:val="center"/>
                </w:tcPr>
                <w:p w14:paraId="23DF7566">
                  <w:pPr>
                    <w:pStyle w:val="76"/>
                    <w:jc w:val="center"/>
                    <w:rPr>
                      <w:rFonts w:ascii="Times New Roman" w:hAnsi="Times New Roman"/>
                      <w:color w:val="auto"/>
                      <w:szCs w:val="21"/>
                      <w:u w:val="single"/>
                    </w:rPr>
                  </w:pPr>
                </w:p>
              </w:tc>
              <w:tc>
                <w:tcPr>
                  <w:tcW w:w="272" w:type="pct"/>
                  <w:vAlign w:val="center"/>
                </w:tcPr>
                <w:p w14:paraId="4EA79834">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0E86EE0B">
                  <w:pPr>
                    <w:pStyle w:val="76"/>
                    <w:jc w:val="center"/>
                    <w:rPr>
                      <w:rFonts w:ascii="Times New Roman" w:hAnsi="Times New Roman"/>
                      <w:color w:val="auto"/>
                      <w:szCs w:val="21"/>
                      <w:u w:val="single"/>
                    </w:rPr>
                  </w:pPr>
                  <w:r>
                    <w:rPr>
                      <w:rFonts w:ascii="Times New Roman" w:hAnsi="Times New Roman"/>
                      <w:color w:val="auto"/>
                      <w:szCs w:val="21"/>
                      <w:u w:val="single"/>
                    </w:rPr>
                    <w:t>43.0</w:t>
                  </w:r>
                </w:p>
              </w:tc>
              <w:tc>
                <w:tcPr>
                  <w:tcW w:w="311" w:type="pct"/>
                  <w:vMerge w:val="continue"/>
                  <w:vAlign w:val="center"/>
                </w:tcPr>
                <w:p w14:paraId="6966C5BB">
                  <w:pPr>
                    <w:pStyle w:val="76"/>
                    <w:jc w:val="center"/>
                    <w:rPr>
                      <w:rFonts w:ascii="Times New Roman" w:hAnsi="Times New Roman"/>
                      <w:color w:val="auto"/>
                      <w:szCs w:val="21"/>
                      <w:u w:val="single"/>
                    </w:rPr>
                  </w:pPr>
                </w:p>
              </w:tc>
            </w:tr>
            <w:tr w14:paraId="51BAC5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273F0218">
                  <w:pPr>
                    <w:pStyle w:val="76"/>
                    <w:jc w:val="center"/>
                    <w:rPr>
                      <w:rFonts w:ascii="Times New Roman" w:hAnsi="Times New Roman"/>
                      <w:color w:val="auto"/>
                      <w:szCs w:val="21"/>
                      <w:u w:val="single"/>
                    </w:rPr>
                  </w:pPr>
                </w:p>
              </w:tc>
              <w:tc>
                <w:tcPr>
                  <w:tcW w:w="163" w:type="pct"/>
                  <w:vMerge w:val="continue"/>
                  <w:vAlign w:val="center"/>
                </w:tcPr>
                <w:p w14:paraId="3740169B">
                  <w:pPr>
                    <w:pStyle w:val="76"/>
                    <w:jc w:val="center"/>
                    <w:rPr>
                      <w:rFonts w:ascii="Times New Roman" w:hAnsi="Times New Roman"/>
                      <w:color w:val="auto"/>
                      <w:szCs w:val="21"/>
                      <w:u w:val="single"/>
                    </w:rPr>
                  </w:pPr>
                </w:p>
              </w:tc>
              <w:tc>
                <w:tcPr>
                  <w:tcW w:w="299" w:type="pct"/>
                  <w:vMerge w:val="continue"/>
                  <w:vAlign w:val="center"/>
                </w:tcPr>
                <w:p w14:paraId="30B00184">
                  <w:pPr>
                    <w:pStyle w:val="76"/>
                    <w:jc w:val="center"/>
                    <w:rPr>
                      <w:rFonts w:ascii="Times New Roman" w:hAnsi="Times New Roman"/>
                      <w:color w:val="auto"/>
                      <w:szCs w:val="21"/>
                      <w:u w:val="single"/>
                    </w:rPr>
                  </w:pPr>
                </w:p>
              </w:tc>
              <w:tc>
                <w:tcPr>
                  <w:tcW w:w="596" w:type="pct"/>
                  <w:vMerge w:val="continue"/>
                  <w:vAlign w:val="center"/>
                </w:tcPr>
                <w:p w14:paraId="6B36EA2F">
                  <w:pPr>
                    <w:pStyle w:val="76"/>
                    <w:jc w:val="center"/>
                    <w:rPr>
                      <w:rFonts w:ascii="Times New Roman" w:hAnsi="Times New Roman"/>
                      <w:color w:val="auto"/>
                      <w:szCs w:val="21"/>
                      <w:u w:val="single"/>
                    </w:rPr>
                  </w:pPr>
                </w:p>
              </w:tc>
              <w:tc>
                <w:tcPr>
                  <w:tcW w:w="503" w:type="pct"/>
                  <w:vMerge w:val="continue"/>
                  <w:vAlign w:val="center"/>
                </w:tcPr>
                <w:p w14:paraId="34C306FC">
                  <w:pPr>
                    <w:pStyle w:val="76"/>
                    <w:jc w:val="center"/>
                    <w:rPr>
                      <w:rFonts w:ascii="Times New Roman" w:hAnsi="Times New Roman"/>
                      <w:color w:val="auto"/>
                      <w:szCs w:val="21"/>
                      <w:u w:val="single"/>
                    </w:rPr>
                  </w:pPr>
                </w:p>
              </w:tc>
              <w:tc>
                <w:tcPr>
                  <w:tcW w:w="170" w:type="pct"/>
                  <w:vMerge w:val="continue"/>
                  <w:vAlign w:val="center"/>
                </w:tcPr>
                <w:p w14:paraId="38EFB967">
                  <w:pPr>
                    <w:pStyle w:val="76"/>
                    <w:jc w:val="center"/>
                    <w:rPr>
                      <w:rFonts w:ascii="Times New Roman" w:hAnsi="Times New Roman"/>
                      <w:color w:val="auto"/>
                      <w:szCs w:val="21"/>
                      <w:u w:val="single"/>
                    </w:rPr>
                  </w:pPr>
                </w:p>
              </w:tc>
              <w:tc>
                <w:tcPr>
                  <w:tcW w:w="170" w:type="pct"/>
                  <w:vMerge w:val="continue"/>
                  <w:vAlign w:val="center"/>
                </w:tcPr>
                <w:p w14:paraId="5FA885AC">
                  <w:pPr>
                    <w:pStyle w:val="76"/>
                    <w:jc w:val="center"/>
                    <w:rPr>
                      <w:rFonts w:ascii="Times New Roman" w:hAnsi="Times New Roman"/>
                      <w:color w:val="auto"/>
                      <w:szCs w:val="21"/>
                      <w:u w:val="single"/>
                    </w:rPr>
                  </w:pPr>
                </w:p>
              </w:tc>
              <w:tc>
                <w:tcPr>
                  <w:tcW w:w="125" w:type="pct"/>
                  <w:vMerge w:val="continue"/>
                  <w:vAlign w:val="center"/>
                </w:tcPr>
                <w:p w14:paraId="5F1D0ED8">
                  <w:pPr>
                    <w:pStyle w:val="76"/>
                    <w:jc w:val="center"/>
                    <w:rPr>
                      <w:rFonts w:ascii="Times New Roman" w:hAnsi="Times New Roman"/>
                      <w:color w:val="auto"/>
                      <w:szCs w:val="21"/>
                      <w:u w:val="single"/>
                    </w:rPr>
                  </w:pPr>
                </w:p>
              </w:tc>
              <w:tc>
                <w:tcPr>
                  <w:tcW w:w="208" w:type="pct"/>
                  <w:vAlign w:val="center"/>
                </w:tcPr>
                <w:p w14:paraId="78CF5BDE">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460446F7">
                  <w:pPr>
                    <w:pStyle w:val="76"/>
                    <w:jc w:val="center"/>
                    <w:rPr>
                      <w:rFonts w:ascii="Times New Roman" w:hAnsi="Times New Roman"/>
                      <w:color w:val="auto"/>
                      <w:szCs w:val="21"/>
                      <w:u w:val="single"/>
                    </w:rPr>
                  </w:pPr>
                  <w:r>
                    <w:rPr>
                      <w:rFonts w:ascii="Times New Roman" w:hAnsi="Times New Roman"/>
                      <w:color w:val="auto"/>
                      <w:szCs w:val="21"/>
                      <w:u w:val="single"/>
                    </w:rPr>
                    <w:t>1</w:t>
                  </w:r>
                  <w:r>
                    <w:rPr>
                      <w:rFonts w:hint="eastAsia" w:ascii="Times New Roman" w:hAnsi="Times New Roman"/>
                      <w:color w:val="auto"/>
                      <w:szCs w:val="21"/>
                      <w:u w:val="single"/>
                    </w:rPr>
                    <w:t>8</w:t>
                  </w:r>
                </w:p>
              </w:tc>
              <w:tc>
                <w:tcPr>
                  <w:tcW w:w="405" w:type="pct"/>
                  <w:vAlign w:val="center"/>
                </w:tcPr>
                <w:p w14:paraId="2D233A30">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continue"/>
                  <w:vAlign w:val="center"/>
                </w:tcPr>
                <w:p w14:paraId="3B7C0FB7">
                  <w:pPr>
                    <w:pStyle w:val="76"/>
                    <w:jc w:val="center"/>
                    <w:rPr>
                      <w:rFonts w:ascii="Times New Roman" w:hAnsi="Times New Roman"/>
                      <w:color w:val="auto"/>
                      <w:szCs w:val="21"/>
                      <w:u w:val="single"/>
                    </w:rPr>
                  </w:pPr>
                </w:p>
              </w:tc>
              <w:tc>
                <w:tcPr>
                  <w:tcW w:w="436" w:type="pct"/>
                  <w:vMerge w:val="continue"/>
                  <w:vAlign w:val="center"/>
                </w:tcPr>
                <w:p w14:paraId="2173B5E0">
                  <w:pPr>
                    <w:pStyle w:val="76"/>
                    <w:jc w:val="center"/>
                    <w:rPr>
                      <w:rFonts w:ascii="Times New Roman" w:hAnsi="Times New Roman"/>
                      <w:color w:val="auto"/>
                      <w:szCs w:val="21"/>
                      <w:u w:val="single"/>
                    </w:rPr>
                  </w:pPr>
                </w:p>
              </w:tc>
              <w:tc>
                <w:tcPr>
                  <w:tcW w:w="272" w:type="pct"/>
                  <w:vAlign w:val="center"/>
                </w:tcPr>
                <w:p w14:paraId="6F151668">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1709914A">
                  <w:pPr>
                    <w:pStyle w:val="76"/>
                    <w:jc w:val="center"/>
                    <w:rPr>
                      <w:rFonts w:ascii="Times New Roman" w:hAnsi="Times New Roman"/>
                      <w:color w:val="auto"/>
                      <w:szCs w:val="21"/>
                      <w:u w:val="single"/>
                    </w:rPr>
                  </w:pPr>
                  <w:r>
                    <w:rPr>
                      <w:rFonts w:ascii="Times New Roman" w:hAnsi="Times New Roman"/>
                      <w:color w:val="auto"/>
                      <w:szCs w:val="21"/>
                      <w:u w:val="single"/>
                    </w:rPr>
                    <w:t>43.0</w:t>
                  </w:r>
                </w:p>
              </w:tc>
              <w:tc>
                <w:tcPr>
                  <w:tcW w:w="311" w:type="pct"/>
                  <w:vMerge w:val="continue"/>
                  <w:vAlign w:val="center"/>
                </w:tcPr>
                <w:p w14:paraId="651780F3">
                  <w:pPr>
                    <w:pStyle w:val="76"/>
                    <w:jc w:val="center"/>
                    <w:rPr>
                      <w:rFonts w:ascii="Times New Roman" w:hAnsi="Times New Roman"/>
                      <w:color w:val="auto"/>
                      <w:szCs w:val="21"/>
                      <w:u w:val="single"/>
                    </w:rPr>
                  </w:pPr>
                </w:p>
              </w:tc>
            </w:tr>
            <w:tr w14:paraId="381086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0539221E">
                  <w:pPr>
                    <w:pStyle w:val="88"/>
                    <w:numPr>
                      <w:ilvl w:val="0"/>
                      <w:numId w:val="7"/>
                    </w:numPr>
                    <w:rPr>
                      <w:color w:val="auto"/>
                      <w:szCs w:val="21"/>
                      <w:u w:val="single"/>
                    </w:rPr>
                  </w:pPr>
                </w:p>
              </w:tc>
              <w:tc>
                <w:tcPr>
                  <w:tcW w:w="163" w:type="pct"/>
                  <w:vMerge w:val="continue"/>
                  <w:vAlign w:val="center"/>
                </w:tcPr>
                <w:p w14:paraId="7BDE8A59">
                  <w:pPr>
                    <w:pStyle w:val="76"/>
                    <w:jc w:val="center"/>
                    <w:rPr>
                      <w:rFonts w:ascii="Times New Roman" w:hAnsi="Times New Roman"/>
                      <w:color w:val="auto"/>
                      <w:szCs w:val="21"/>
                      <w:u w:val="single"/>
                    </w:rPr>
                  </w:pPr>
                </w:p>
              </w:tc>
              <w:tc>
                <w:tcPr>
                  <w:tcW w:w="299" w:type="pct"/>
                  <w:vMerge w:val="restart"/>
                  <w:vAlign w:val="center"/>
                </w:tcPr>
                <w:p w14:paraId="236E740A">
                  <w:pPr>
                    <w:pStyle w:val="76"/>
                    <w:jc w:val="center"/>
                    <w:rPr>
                      <w:rFonts w:ascii="Times New Roman" w:hAnsi="Times New Roman"/>
                      <w:color w:val="auto"/>
                      <w:szCs w:val="21"/>
                      <w:u w:val="single"/>
                    </w:rPr>
                  </w:pPr>
                  <w:r>
                    <w:rPr>
                      <w:rFonts w:ascii="Times New Roman" w:hAnsi="Times New Roman"/>
                      <w:color w:val="auto"/>
                      <w:szCs w:val="21"/>
                      <w:u w:val="single"/>
                    </w:rPr>
                    <w:t>涂料搅拌器（2台）</w:t>
                  </w:r>
                </w:p>
              </w:tc>
              <w:tc>
                <w:tcPr>
                  <w:tcW w:w="596" w:type="pct"/>
                  <w:vMerge w:val="restart"/>
                  <w:vAlign w:val="center"/>
                </w:tcPr>
                <w:p w14:paraId="5F667946">
                  <w:pPr>
                    <w:pStyle w:val="76"/>
                    <w:jc w:val="center"/>
                    <w:rPr>
                      <w:rFonts w:ascii="Times New Roman" w:hAnsi="Times New Roman"/>
                      <w:color w:val="auto"/>
                      <w:szCs w:val="21"/>
                      <w:u w:val="single"/>
                    </w:rPr>
                  </w:pPr>
                  <w:r>
                    <w:rPr>
                      <w:rFonts w:ascii="Times New Roman" w:hAnsi="Times New Roman"/>
                      <w:color w:val="auto"/>
                      <w:szCs w:val="21"/>
                      <w:u w:val="single"/>
                    </w:rPr>
                    <w:t>7</w:t>
                  </w:r>
                  <w:r>
                    <w:rPr>
                      <w:rFonts w:hint="eastAsia" w:ascii="Times New Roman" w:hAnsi="Times New Roman"/>
                      <w:color w:val="auto"/>
                      <w:szCs w:val="21"/>
                      <w:u w:val="single"/>
                    </w:rPr>
                    <w:t>5</w:t>
                  </w:r>
                </w:p>
              </w:tc>
              <w:tc>
                <w:tcPr>
                  <w:tcW w:w="503" w:type="pct"/>
                  <w:vMerge w:val="restart"/>
                  <w:vAlign w:val="center"/>
                </w:tcPr>
                <w:p w14:paraId="794763DE">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42CF3C00">
                  <w:pPr>
                    <w:pStyle w:val="76"/>
                    <w:jc w:val="center"/>
                    <w:rPr>
                      <w:rFonts w:ascii="Times New Roman" w:hAnsi="Times New Roman"/>
                      <w:color w:val="auto"/>
                      <w:szCs w:val="21"/>
                      <w:u w:val="single"/>
                    </w:rPr>
                  </w:pPr>
                  <w:r>
                    <w:rPr>
                      <w:rFonts w:hint="eastAsia" w:ascii="Times New Roman" w:hAnsi="Times New Roman"/>
                      <w:color w:val="auto"/>
                      <w:szCs w:val="21"/>
                      <w:u w:val="single"/>
                    </w:rPr>
                    <w:t>62</w:t>
                  </w:r>
                </w:p>
              </w:tc>
              <w:tc>
                <w:tcPr>
                  <w:tcW w:w="170" w:type="pct"/>
                  <w:vMerge w:val="restart"/>
                  <w:vAlign w:val="center"/>
                </w:tcPr>
                <w:p w14:paraId="233DABAF">
                  <w:pPr>
                    <w:pStyle w:val="76"/>
                    <w:jc w:val="center"/>
                    <w:rPr>
                      <w:rFonts w:ascii="Times New Roman" w:hAnsi="Times New Roman"/>
                      <w:color w:val="auto"/>
                      <w:szCs w:val="21"/>
                      <w:u w:val="single"/>
                    </w:rPr>
                  </w:pPr>
                  <w:r>
                    <w:rPr>
                      <w:rFonts w:hint="eastAsia" w:ascii="Times New Roman" w:hAnsi="Times New Roman"/>
                      <w:color w:val="auto"/>
                      <w:szCs w:val="21"/>
                      <w:u w:val="single"/>
                    </w:rPr>
                    <w:t>-6</w:t>
                  </w:r>
                </w:p>
              </w:tc>
              <w:tc>
                <w:tcPr>
                  <w:tcW w:w="125" w:type="pct"/>
                  <w:vMerge w:val="restart"/>
                  <w:vAlign w:val="center"/>
                </w:tcPr>
                <w:p w14:paraId="0FF030B1">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0C88C128">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7566E09D">
                  <w:pPr>
                    <w:pStyle w:val="76"/>
                    <w:jc w:val="center"/>
                    <w:rPr>
                      <w:rFonts w:ascii="Times New Roman" w:hAnsi="Times New Roman"/>
                      <w:color w:val="auto"/>
                      <w:szCs w:val="21"/>
                      <w:u w:val="single"/>
                    </w:rPr>
                  </w:pPr>
                  <w:r>
                    <w:rPr>
                      <w:rFonts w:hint="eastAsia" w:ascii="Times New Roman" w:hAnsi="Times New Roman"/>
                      <w:color w:val="auto"/>
                      <w:szCs w:val="21"/>
                      <w:u w:val="single"/>
                    </w:rPr>
                    <w:t>34</w:t>
                  </w:r>
                </w:p>
              </w:tc>
              <w:tc>
                <w:tcPr>
                  <w:tcW w:w="405" w:type="pct"/>
                  <w:vAlign w:val="center"/>
                </w:tcPr>
                <w:p w14:paraId="06C3D303">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restart"/>
                  <w:vAlign w:val="center"/>
                </w:tcPr>
                <w:p w14:paraId="2182C3D4">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309F5629">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6BB93AEF">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3C16CD13">
                  <w:pPr>
                    <w:pStyle w:val="76"/>
                    <w:jc w:val="center"/>
                    <w:rPr>
                      <w:rFonts w:ascii="Times New Roman" w:hAnsi="Times New Roman"/>
                      <w:color w:val="auto"/>
                      <w:szCs w:val="21"/>
                      <w:u w:val="single"/>
                    </w:rPr>
                  </w:pPr>
                  <w:r>
                    <w:rPr>
                      <w:rFonts w:ascii="Times New Roman" w:hAnsi="Times New Roman"/>
                      <w:color w:val="auto"/>
                      <w:szCs w:val="21"/>
                      <w:u w:val="single"/>
                    </w:rPr>
                    <w:t>43.0</w:t>
                  </w:r>
                </w:p>
              </w:tc>
              <w:tc>
                <w:tcPr>
                  <w:tcW w:w="311" w:type="pct"/>
                  <w:vMerge w:val="restart"/>
                  <w:vAlign w:val="center"/>
                </w:tcPr>
                <w:p w14:paraId="51C61B42">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3E1543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6CF72B1B">
                  <w:pPr>
                    <w:pStyle w:val="76"/>
                    <w:jc w:val="center"/>
                    <w:rPr>
                      <w:rFonts w:ascii="Times New Roman" w:hAnsi="Times New Roman"/>
                      <w:color w:val="auto"/>
                      <w:szCs w:val="21"/>
                      <w:u w:val="single"/>
                    </w:rPr>
                  </w:pPr>
                </w:p>
              </w:tc>
              <w:tc>
                <w:tcPr>
                  <w:tcW w:w="163" w:type="pct"/>
                  <w:vMerge w:val="continue"/>
                  <w:vAlign w:val="center"/>
                </w:tcPr>
                <w:p w14:paraId="613D99B3">
                  <w:pPr>
                    <w:pStyle w:val="76"/>
                    <w:jc w:val="center"/>
                    <w:rPr>
                      <w:rFonts w:ascii="Times New Roman" w:hAnsi="Times New Roman"/>
                      <w:color w:val="auto"/>
                      <w:szCs w:val="21"/>
                      <w:u w:val="single"/>
                    </w:rPr>
                  </w:pPr>
                </w:p>
              </w:tc>
              <w:tc>
                <w:tcPr>
                  <w:tcW w:w="299" w:type="pct"/>
                  <w:vMerge w:val="continue"/>
                  <w:vAlign w:val="center"/>
                </w:tcPr>
                <w:p w14:paraId="133E61A4">
                  <w:pPr>
                    <w:pStyle w:val="76"/>
                    <w:jc w:val="center"/>
                    <w:rPr>
                      <w:rFonts w:ascii="Times New Roman" w:hAnsi="Times New Roman"/>
                      <w:color w:val="auto"/>
                      <w:szCs w:val="21"/>
                      <w:u w:val="single"/>
                    </w:rPr>
                  </w:pPr>
                </w:p>
              </w:tc>
              <w:tc>
                <w:tcPr>
                  <w:tcW w:w="596" w:type="pct"/>
                  <w:vMerge w:val="continue"/>
                  <w:vAlign w:val="center"/>
                </w:tcPr>
                <w:p w14:paraId="5B347C7C">
                  <w:pPr>
                    <w:pStyle w:val="76"/>
                    <w:jc w:val="center"/>
                    <w:rPr>
                      <w:rFonts w:ascii="Times New Roman" w:hAnsi="Times New Roman"/>
                      <w:color w:val="auto"/>
                      <w:szCs w:val="21"/>
                      <w:u w:val="single"/>
                    </w:rPr>
                  </w:pPr>
                </w:p>
              </w:tc>
              <w:tc>
                <w:tcPr>
                  <w:tcW w:w="503" w:type="pct"/>
                  <w:vMerge w:val="continue"/>
                  <w:vAlign w:val="center"/>
                </w:tcPr>
                <w:p w14:paraId="07988BD3">
                  <w:pPr>
                    <w:pStyle w:val="76"/>
                    <w:jc w:val="center"/>
                    <w:rPr>
                      <w:rFonts w:ascii="Times New Roman" w:hAnsi="Times New Roman"/>
                      <w:color w:val="auto"/>
                      <w:szCs w:val="21"/>
                      <w:u w:val="single"/>
                    </w:rPr>
                  </w:pPr>
                </w:p>
              </w:tc>
              <w:tc>
                <w:tcPr>
                  <w:tcW w:w="170" w:type="pct"/>
                  <w:vMerge w:val="continue"/>
                  <w:vAlign w:val="center"/>
                </w:tcPr>
                <w:p w14:paraId="0238CAEA">
                  <w:pPr>
                    <w:pStyle w:val="76"/>
                    <w:jc w:val="center"/>
                    <w:rPr>
                      <w:rFonts w:ascii="Times New Roman" w:hAnsi="Times New Roman"/>
                      <w:color w:val="auto"/>
                      <w:szCs w:val="21"/>
                      <w:u w:val="single"/>
                    </w:rPr>
                  </w:pPr>
                </w:p>
              </w:tc>
              <w:tc>
                <w:tcPr>
                  <w:tcW w:w="170" w:type="pct"/>
                  <w:vMerge w:val="continue"/>
                  <w:vAlign w:val="center"/>
                </w:tcPr>
                <w:p w14:paraId="57CD1B65">
                  <w:pPr>
                    <w:pStyle w:val="76"/>
                    <w:jc w:val="center"/>
                    <w:rPr>
                      <w:rFonts w:ascii="Times New Roman" w:hAnsi="Times New Roman"/>
                      <w:color w:val="auto"/>
                      <w:szCs w:val="21"/>
                      <w:u w:val="single"/>
                    </w:rPr>
                  </w:pPr>
                </w:p>
              </w:tc>
              <w:tc>
                <w:tcPr>
                  <w:tcW w:w="125" w:type="pct"/>
                  <w:vMerge w:val="continue"/>
                  <w:vAlign w:val="center"/>
                </w:tcPr>
                <w:p w14:paraId="72A0C7DC">
                  <w:pPr>
                    <w:pStyle w:val="76"/>
                    <w:jc w:val="center"/>
                    <w:rPr>
                      <w:rFonts w:ascii="Times New Roman" w:hAnsi="Times New Roman"/>
                      <w:color w:val="auto"/>
                      <w:szCs w:val="21"/>
                      <w:u w:val="single"/>
                    </w:rPr>
                  </w:pPr>
                </w:p>
              </w:tc>
              <w:tc>
                <w:tcPr>
                  <w:tcW w:w="208" w:type="pct"/>
                  <w:vAlign w:val="center"/>
                </w:tcPr>
                <w:p w14:paraId="1D202F6C">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76C7F64E">
                  <w:pPr>
                    <w:pStyle w:val="76"/>
                    <w:jc w:val="center"/>
                    <w:rPr>
                      <w:rFonts w:ascii="Times New Roman" w:hAnsi="Times New Roman"/>
                      <w:color w:val="auto"/>
                      <w:szCs w:val="21"/>
                      <w:u w:val="single"/>
                    </w:rPr>
                  </w:pPr>
                  <w:r>
                    <w:rPr>
                      <w:rFonts w:hint="eastAsia" w:ascii="Times New Roman" w:hAnsi="Times New Roman"/>
                      <w:color w:val="auto"/>
                      <w:szCs w:val="21"/>
                      <w:u w:val="single"/>
                    </w:rPr>
                    <w:t>8</w:t>
                  </w:r>
                </w:p>
              </w:tc>
              <w:tc>
                <w:tcPr>
                  <w:tcW w:w="405" w:type="pct"/>
                  <w:vAlign w:val="center"/>
                </w:tcPr>
                <w:p w14:paraId="704117C0">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continue"/>
                  <w:vAlign w:val="center"/>
                </w:tcPr>
                <w:p w14:paraId="0C39260D">
                  <w:pPr>
                    <w:pStyle w:val="76"/>
                    <w:jc w:val="center"/>
                    <w:rPr>
                      <w:rFonts w:ascii="Times New Roman" w:hAnsi="Times New Roman"/>
                      <w:color w:val="auto"/>
                      <w:szCs w:val="21"/>
                      <w:u w:val="single"/>
                    </w:rPr>
                  </w:pPr>
                </w:p>
              </w:tc>
              <w:tc>
                <w:tcPr>
                  <w:tcW w:w="436" w:type="pct"/>
                  <w:vMerge w:val="continue"/>
                  <w:vAlign w:val="center"/>
                </w:tcPr>
                <w:p w14:paraId="07757999">
                  <w:pPr>
                    <w:pStyle w:val="76"/>
                    <w:jc w:val="center"/>
                    <w:rPr>
                      <w:rFonts w:ascii="Times New Roman" w:hAnsi="Times New Roman"/>
                      <w:color w:val="auto"/>
                      <w:szCs w:val="21"/>
                      <w:u w:val="single"/>
                    </w:rPr>
                  </w:pPr>
                </w:p>
              </w:tc>
              <w:tc>
                <w:tcPr>
                  <w:tcW w:w="272" w:type="pct"/>
                  <w:vAlign w:val="center"/>
                </w:tcPr>
                <w:p w14:paraId="40C690E3">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1CB1380C">
                  <w:pPr>
                    <w:pStyle w:val="76"/>
                    <w:jc w:val="center"/>
                    <w:rPr>
                      <w:rFonts w:ascii="Times New Roman" w:hAnsi="Times New Roman"/>
                      <w:color w:val="auto"/>
                      <w:szCs w:val="21"/>
                      <w:u w:val="single"/>
                    </w:rPr>
                  </w:pPr>
                  <w:r>
                    <w:rPr>
                      <w:rFonts w:ascii="Times New Roman" w:hAnsi="Times New Roman"/>
                      <w:color w:val="auto"/>
                      <w:szCs w:val="21"/>
                      <w:u w:val="single"/>
                    </w:rPr>
                    <w:t>43.0</w:t>
                  </w:r>
                </w:p>
              </w:tc>
              <w:tc>
                <w:tcPr>
                  <w:tcW w:w="311" w:type="pct"/>
                  <w:vMerge w:val="continue"/>
                  <w:vAlign w:val="center"/>
                </w:tcPr>
                <w:p w14:paraId="55BFE732">
                  <w:pPr>
                    <w:pStyle w:val="76"/>
                    <w:jc w:val="center"/>
                    <w:rPr>
                      <w:rFonts w:ascii="Times New Roman" w:hAnsi="Times New Roman"/>
                      <w:color w:val="auto"/>
                      <w:szCs w:val="21"/>
                      <w:u w:val="single"/>
                    </w:rPr>
                  </w:pPr>
                </w:p>
              </w:tc>
            </w:tr>
            <w:tr w14:paraId="446561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50DACD7C">
                  <w:pPr>
                    <w:pStyle w:val="76"/>
                    <w:jc w:val="center"/>
                    <w:rPr>
                      <w:rFonts w:ascii="Times New Roman" w:hAnsi="Times New Roman"/>
                      <w:color w:val="auto"/>
                      <w:szCs w:val="21"/>
                      <w:u w:val="single"/>
                    </w:rPr>
                  </w:pPr>
                </w:p>
              </w:tc>
              <w:tc>
                <w:tcPr>
                  <w:tcW w:w="163" w:type="pct"/>
                  <w:vMerge w:val="continue"/>
                  <w:vAlign w:val="center"/>
                </w:tcPr>
                <w:p w14:paraId="7509DC58">
                  <w:pPr>
                    <w:pStyle w:val="76"/>
                    <w:jc w:val="center"/>
                    <w:rPr>
                      <w:rFonts w:ascii="Times New Roman" w:hAnsi="Times New Roman"/>
                      <w:color w:val="auto"/>
                      <w:szCs w:val="21"/>
                      <w:u w:val="single"/>
                    </w:rPr>
                  </w:pPr>
                </w:p>
              </w:tc>
              <w:tc>
                <w:tcPr>
                  <w:tcW w:w="299" w:type="pct"/>
                  <w:vMerge w:val="continue"/>
                  <w:vAlign w:val="center"/>
                </w:tcPr>
                <w:p w14:paraId="1657150E">
                  <w:pPr>
                    <w:pStyle w:val="76"/>
                    <w:jc w:val="center"/>
                    <w:rPr>
                      <w:rFonts w:ascii="Times New Roman" w:hAnsi="Times New Roman"/>
                      <w:color w:val="auto"/>
                      <w:szCs w:val="21"/>
                      <w:u w:val="single"/>
                    </w:rPr>
                  </w:pPr>
                </w:p>
              </w:tc>
              <w:tc>
                <w:tcPr>
                  <w:tcW w:w="596" w:type="pct"/>
                  <w:vMerge w:val="continue"/>
                  <w:vAlign w:val="center"/>
                </w:tcPr>
                <w:p w14:paraId="25CF81F2">
                  <w:pPr>
                    <w:pStyle w:val="76"/>
                    <w:jc w:val="center"/>
                    <w:rPr>
                      <w:rFonts w:ascii="Times New Roman" w:hAnsi="Times New Roman"/>
                      <w:color w:val="auto"/>
                      <w:szCs w:val="21"/>
                      <w:u w:val="single"/>
                    </w:rPr>
                  </w:pPr>
                </w:p>
              </w:tc>
              <w:tc>
                <w:tcPr>
                  <w:tcW w:w="503" w:type="pct"/>
                  <w:vMerge w:val="continue"/>
                  <w:vAlign w:val="center"/>
                </w:tcPr>
                <w:p w14:paraId="24B8DBCF">
                  <w:pPr>
                    <w:pStyle w:val="76"/>
                    <w:jc w:val="center"/>
                    <w:rPr>
                      <w:rFonts w:ascii="Times New Roman" w:hAnsi="Times New Roman"/>
                      <w:color w:val="auto"/>
                      <w:szCs w:val="21"/>
                      <w:u w:val="single"/>
                    </w:rPr>
                  </w:pPr>
                </w:p>
              </w:tc>
              <w:tc>
                <w:tcPr>
                  <w:tcW w:w="170" w:type="pct"/>
                  <w:vMerge w:val="continue"/>
                  <w:vAlign w:val="center"/>
                </w:tcPr>
                <w:p w14:paraId="62D56532">
                  <w:pPr>
                    <w:pStyle w:val="76"/>
                    <w:jc w:val="center"/>
                    <w:rPr>
                      <w:rFonts w:ascii="Times New Roman" w:hAnsi="Times New Roman"/>
                      <w:color w:val="auto"/>
                      <w:szCs w:val="21"/>
                      <w:u w:val="single"/>
                    </w:rPr>
                  </w:pPr>
                </w:p>
              </w:tc>
              <w:tc>
                <w:tcPr>
                  <w:tcW w:w="170" w:type="pct"/>
                  <w:vMerge w:val="continue"/>
                  <w:vAlign w:val="center"/>
                </w:tcPr>
                <w:p w14:paraId="2F981691">
                  <w:pPr>
                    <w:pStyle w:val="76"/>
                    <w:jc w:val="center"/>
                    <w:rPr>
                      <w:rFonts w:ascii="Times New Roman" w:hAnsi="Times New Roman"/>
                      <w:color w:val="auto"/>
                      <w:szCs w:val="21"/>
                      <w:u w:val="single"/>
                    </w:rPr>
                  </w:pPr>
                </w:p>
              </w:tc>
              <w:tc>
                <w:tcPr>
                  <w:tcW w:w="125" w:type="pct"/>
                  <w:vMerge w:val="continue"/>
                  <w:vAlign w:val="center"/>
                </w:tcPr>
                <w:p w14:paraId="78A685A0">
                  <w:pPr>
                    <w:pStyle w:val="76"/>
                    <w:jc w:val="center"/>
                    <w:rPr>
                      <w:rFonts w:ascii="Times New Roman" w:hAnsi="Times New Roman"/>
                      <w:color w:val="auto"/>
                      <w:szCs w:val="21"/>
                      <w:u w:val="single"/>
                    </w:rPr>
                  </w:pPr>
                </w:p>
              </w:tc>
              <w:tc>
                <w:tcPr>
                  <w:tcW w:w="208" w:type="pct"/>
                  <w:vAlign w:val="center"/>
                </w:tcPr>
                <w:p w14:paraId="276139DF">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57F5E578">
                  <w:pPr>
                    <w:pStyle w:val="76"/>
                    <w:jc w:val="center"/>
                    <w:rPr>
                      <w:rFonts w:ascii="Times New Roman" w:hAnsi="Times New Roman"/>
                      <w:color w:val="auto"/>
                      <w:szCs w:val="21"/>
                      <w:u w:val="single"/>
                    </w:rPr>
                  </w:pPr>
                  <w:r>
                    <w:rPr>
                      <w:rFonts w:hint="eastAsia" w:ascii="Times New Roman" w:hAnsi="Times New Roman"/>
                      <w:color w:val="auto"/>
                      <w:szCs w:val="21"/>
                      <w:u w:val="single"/>
                    </w:rPr>
                    <w:t>152</w:t>
                  </w:r>
                </w:p>
              </w:tc>
              <w:tc>
                <w:tcPr>
                  <w:tcW w:w="405" w:type="pct"/>
                  <w:vAlign w:val="center"/>
                </w:tcPr>
                <w:p w14:paraId="0F71150C">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continue"/>
                  <w:vAlign w:val="center"/>
                </w:tcPr>
                <w:p w14:paraId="004128C8">
                  <w:pPr>
                    <w:pStyle w:val="76"/>
                    <w:jc w:val="center"/>
                    <w:rPr>
                      <w:rFonts w:ascii="Times New Roman" w:hAnsi="Times New Roman"/>
                      <w:color w:val="auto"/>
                      <w:szCs w:val="21"/>
                      <w:u w:val="single"/>
                    </w:rPr>
                  </w:pPr>
                </w:p>
              </w:tc>
              <w:tc>
                <w:tcPr>
                  <w:tcW w:w="436" w:type="pct"/>
                  <w:vMerge w:val="continue"/>
                  <w:vAlign w:val="center"/>
                </w:tcPr>
                <w:p w14:paraId="5EC635B4">
                  <w:pPr>
                    <w:pStyle w:val="76"/>
                    <w:jc w:val="center"/>
                    <w:rPr>
                      <w:rFonts w:ascii="Times New Roman" w:hAnsi="Times New Roman"/>
                      <w:color w:val="auto"/>
                      <w:szCs w:val="21"/>
                      <w:u w:val="single"/>
                    </w:rPr>
                  </w:pPr>
                </w:p>
              </w:tc>
              <w:tc>
                <w:tcPr>
                  <w:tcW w:w="272" w:type="pct"/>
                  <w:vAlign w:val="center"/>
                </w:tcPr>
                <w:p w14:paraId="75072B4E">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2F1553A9">
                  <w:pPr>
                    <w:pStyle w:val="76"/>
                    <w:jc w:val="center"/>
                    <w:rPr>
                      <w:rFonts w:ascii="Times New Roman" w:hAnsi="Times New Roman"/>
                      <w:color w:val="auto"/>
                      <w:szCs w:val="21"/>
                      <w:u w:val="single"/>
                    </w:rPr>
                  </w:pPr>
                  <w:r>
                    <w:rPr>
                      <w:rFonts w:ascii="Times New Roman" w:hAnsi="Times New Roman"/>
                      <w:color w:val="auto"/>
                      <w:szCs w:val="21"/>
                      <w:u w:val="single"/>
                    </w:rPr>
                    <w:t>43.0</w:t>
                  </w:r>
                </w:p>
              </w:tc>
              <w:tc>
                <w:tcPr>
                  <w:tcW w:w="311" w:type="pct"/>
                  <w:vMerge w:val="continue"/>
                  <w:vAlign w:val="center"/>
                </w:tcPr>
                <w:p w14:paraId="60374BD7">
                  <w:pPr>
                    <w:pStyle w:val="76"/>
                    <w:jc w:val="center"/>
                    <w:rPr>
                      <w:rFonts w:ascii="Times New Roman" w:hAnsi="Times New Roman"/>
                      <w:color w:val="auto"/>
                      <w:szCs w:val="21"/>
                      <w:u w:val="single"/>
                    </w:rPr>
                  </w:pPr>
                </w:p>
              </w:tc>
            </w:tr>
            <w:tr w14:paraId="46A0B4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006BA83C">
                  <w:pPr>
                    <w:pStyle w:val="76"/>
                    <w:jc w:val="center"/>
                    <w:rPr>
                      <w:rFonts w:ascii="Times New Roman" w:hAnsi="Times New Roman"/>
                      <w:color w:val="auto"/>
                      <w:szCs w:val="21"/>
                      <w:u w:val="single"/>
                    </w:rPr>
                  </w:pPr>
                </w:p>
              </w:tc>
              <w:tc>
                <w:tcPr>
                  <w:tcW w:w="163" w:type="pct"/>
                  <w:vMerge w:val="continue"/>
                  <w:vAlign w:val="center"/>
                </w:tcPr>
                <w:p w14:paraId="3D21AA10">
                  <w:pPr>
                    <w:pStyle w:val="76"/>
                    <w:jc w:val="center"/>
                    <w:rPr>
                      <w:rFonts w:ascii="Times New Roman" w:hAnsi="Times New Roman"/>
                      <w:color w:val="auto"/>
                      <w:szCs w:val="21"/>
                      <w:u w:val="single"/>
                    </w:rPr>
                  </w:pPr>
                </w:p>
              </w:tc>
              <w:tc>
                <w:tcPr>
                  <w:tcW w:w="299" w:type="pct"/>
                  <w:vMerge w:val="continue"/>
                  <w:vAlign w:val="center"/>
                </w:tcPr>
                <w:p w14:paraId="4F85FE5B">
                  <w:pPr>
                    <w:pStyle w:val="76"/>
                    <w:jc w:val="center"/>
                    <w:rPr>
                      <w:rFonts w:ascii="Times New Roman" w:hAnsi="Times New Roman"/>
                      <w:color w:val="auto"/>
                      <w:szCs w:val="21"/>
                      <w:u w:val="single"/>
                    </w:rPr>
                  </w:pPr>
                </w:p>
              </w:tc>
              <w:tc>
                <w:tcPr>
                  <w:tcW w:w="596" w:type="pct"/>
                  <w:vMerge w:val="continue"/>
                  <w:vAlign w:val="center"/>
                </w:tcPr>
                <w:p w14:paraId="627BC67E">
                  <w:pPr>
                    <w:pStyle w:val="76"/>
                    <w:jc w:val="center"/>
                    <w:rPr>
                      <w:rFonts w:ascii="Times New Roman" w:hAnsi="Times New Roman"/>
                      <w:color w:val="auto"/>
                      <w:szCs w:val="21"/>
                      <w:u w:val="single"/>
                    </w:rPr>
                  </w:pPr>
                </w:p>
              </w:tc>
              <w:tc>
                <w:tcPr>
                  <w:tcW w:w="503" w:type="pct"/>
                  <w:vMerge w:val="continue"/>
                  <w:vAlign w:val="center"/>
                </w:tcPr>
                <w:p w14:paraId="417ABD05">
                  <w:pPr>
                    <w:pStyle w:val="76"/>
                    <w:jc w:val="center"/>
                    <w:rPr>
                      <w:rFonts w:ascii="Times New Roman" w:hAnsi="Times New Roman"/>
                      <w:color w:val="auto"/>
                      <w:szCs w:val="21"/>
                      <w:u w:val="single"/>
                    </w:rPr>
                  </w:pPr>
                </w:p>
              </w:tc>
              <w:tc>
                <w:tcPr>
                  <w:tcW w:w="170" w:type="pct"/>
                  <w:vMerge w:val="continue"/>
                  <w:vAlign w:val="center"/>
                </w:tcPr>
                <w:p w14:paraId="1CB23C37">
                  <w:pPr>
                    <w:pStyle w:val="76"/>
                    <w:jc w:val="center"/>
                    <w:rPr>
                      <w:rFonts w:ascii="Times New Roman" w:hAnsi="Times New Roman"/>
                      <w:color w:val="auto"/>
                      <w:szCs w:val="21"/>
                      <w:u w:val="single"/>
                    </w:rPr>
                  </w:pPr>
                </w:p>
              </w:tc>
              <w:tc>
                <w:tcPr>
                  <w:tcW w:w="170" w:type="pct"/>
                  <w:vMerge w:val="continue"/>
                  <w:vAlign w:val="center"/>
                </w:tcPr>
                <w:p w14:paraId="7CBCC3D2">
                  <w:pPr>
                    <w:pStyle w:val="76"/>
                    <w:jc w:val="center"/>
                    <w:rPr>
                      <w:rFonts w:ascii="Times New Roman" w:hAnsi="Times New Roman"/>
                      <w:color w:val="auto"/>
                      <w:szCs w:val="21"/>
                      <w:u w:val="single"/>
                    </w:rPr>
                  </w:pPr>
                </w:p>
              </w:tc>
              <w:tc>
                <w:tcPr>
                  <w:tcW w:w="125" w:type="pct"/>
                  <w:vMerge w:val="continue"/>
                  <w:vAlign w:val="center"/>
                </w:tcPr>
                <w:p w14:paraId="70B1582E">
                  <w:pPr>
                    <w:pStyle w:val="76"/>
                    <w:jc w:val="center"/>
                    <w:rPr>
                      <w:rFonts w:ascii="Times New Roman" w:hAnsi="Times New Roman"/>
                      <w:color w:val="auto"/>
                      <w:szCs w:val="21"/>
                      <w:u w:val="single"/>
                    </w:rPr>
                  </w:pPr>
                </w:p>
              </w:tc>
              <w:tc>
                <w:tcPr>
                  <w:tcW w:w="208" w:type="pct"/>
                  <w:vAlign w:val="center"/>
                </w:tcPr>
                <w:p w14:paraId="5E90D784">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75A8D810">
                  <w:pPr>
                    <w:pStyle w:val="76"/>
                    <w:jc w:val="center"/>
                    <w:rPr>
                      <w:rFonts w:ascii="Times New Roman" w:hAnsi="Times New Roman"/>
                      <w:color w:val="auto"/>
                      <w:szCs w:val="21"/>
                      <w:u w:val="single"/>
                    </w:rPr>
                  </w:pPr>
                  <w:r>
                    <w:rPr>
                      <w:rFonts w:hint="eastAsia" w:ascii="Times New Roman" w:hAnsi="Times New Roman"/>
                      <w:color w:val="auto"/>
                      <w:szCs w:val="21"/>
                      <w:u w:val="single"/>
                    </w:rPr>
                    <w:t>20</w:t>
                  </w:r>
                </w:p>
              </w:tc>
              <w:tc>
                <w:tcPr>
                  <w:tcW w:w="405" w:type="pct"/>
                  <w:vAlign w:val="center"/>
                </w:tcPr>
                <w:p w14:paraId="6975DA57">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continue"/>
                  <w:vAlign w:val="center"/>
                </w:tcPr>
                <w:p w14:paraId="6946379C">
                  <w:pPr>
                    <w:pStyle w:val="76"/>
                    <w:jc w:val="center"/>
                    <w:rPr>
                      <w:rFonts w:ascii="Times New Roman" w:hAnsi="Times New Roman"/>
                      <w:color w:val="auto"/>
                      <w:szCs w:val="21"/>
                      <w:u w:val="single"/>
                    </w:rPr>
                  </w:pPr>
                </w:p>
              </w:tc>
              <w:tc>
                <w:tcPr>
                  <w:tcW w:w="436" w:type="pct"/>
                  <w:vMerge w:val="continue"/>
                  <w:vAlign w:val="center"/>
                </w:tcPr>
                <w:p w14:paraId="45D04D1D">
                  <w:pPr>
                    <w:pStyle w:val="76"/>
                    <w:jc w:val="center"/>
                    <w:rPr>
                      <w:rFonts w:ascii="Times New Roman" w:hAnsi="Times New Roman"/>
                      <w:color w:val="auto"/>
                      <w:szCs w:val="21"/>
                      <w:u w:val="single"/>
                    </w:rPr>
                  </w:pPr>
                </w:p>
              </w:tc>
              <w:tc>
                <w:tcPr>
                  <w:tcW w:w="272" w:type="pct"/>
                  <w:vAlign w:val="center"/>
                </w:tcPr>
                <w:p w14:paraId="632B2B86">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0A31934B">
                  <w:pPr>
                    <w:pStyle w:val="76"/>
                    <w:jc w:val="center"/>
                    <w:rPr>
                      <w:rFonts w:ascii="Times New Roman" w:hAnsi="Times New Roman"/>
                      <w:color w:val="auto"/>
                      <w:szCs w:val="21"/>
                      <w:u w:val="single"/>
                    </w:rPr>
                  </w:pPr>
                  <w:r>
                    <w:rPr>
                      <w:rFonts w:ascii="Times New Roman" w:hAnsi="Times New Roman"/>
                      <w:color w:val="auto"/>
                      <w:szCs w:val="21"/>
                      <w:u w:val="single"/>
                    </w:rPr>
                    <w:t>43.0</w:t>
                  </w:r>
                </w:p>
              </w:tc>
              <w:tc>
                <w:tcPr>
                  <w:tcW w:w="311" w:type="pct"/>
                  <w:vMerge w:val="continue"/>
                  <w:vAlign w:val="center"/>
                </w:tcPr>
                <w:p w14:paraId="2AEC4F08">
                  <w:pPr>
                    <w:pStyle w:val="76"/>
                    <w:jc w:val="center"/>
                    <w:rPr>
                      <w:rFonts w:ascii="Times New Roman" w:hAnsi="Times New Roman"/>
                      <w:color w:val="auto"/>
                      <w:szCs w:val="21"/>
                      <w:u w:val="single"/>
                    </w:rPr>
                  </w:pPr>
                </w:p>
              </w:tc>
            </w:tr>
            <w:tr w14:paraId="362FA5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1E4806D0">
                  <w:pPr>
                    <w:pStyle w:val="76"/>
                    <w:numPr>
                      <w:ilvl w:val="0"/>
                      <w:numId w:val="7"/>
                    </w:numPr>
                    <w:jc w:val="center"/>
                    <w:rPr>
                      <w:rFonts w:ascii="Times New Roman" w:hAnsi="Times New Roman"/>
                      <w:color w:val="auto"/>
                      <w:szCs w:val="21"/>
                      <w:u w:val="single"/>
                    </w:rPr>
                  </w:pPr>
                </w:p>
              </w:tc>
              <w:tc>
                <w:tcPr>
                  <w:tcW w:w="163" w:type="pct"/>
                  <w:vMerge w:val="continue"/>
                  <w:vAlign w:val="center"/>
                </w:tcPr>
                <w:p w14:paraId="4C3A22B1">
                  <w:pPr>
                    <w:pStyle w:val="76"/>
                    <w:jc w:val="center"/>
                    <w:rPr>
                      <w:rFonts w:ascii="Times New Roman" w:hAnsi="Times New Roman"/>
                      <w:color w:val="auto"/>
                      <w:szCs w:val="21"/>
                      <w:u w:val="single"/>
                    </w:rPr>
                  </w:pPr>
                </w:p>
              </w:tc>
              <w:tc>
                <w:tcPr>
                  <w:tcW w:w="299" w:type="pct"/>
                  <w:vMerge w:val="restart"/>
                  <w:vAlign w:val="center"/>
                </w:tcPr>
                <w:p w14:paraId="6D51C4ED">
                  <w:pPr>
                    <w:pStyle w:val="76"/>
                    <w:jc w:val="center"/>
                    <w:rPr>
                      <w:rFonts w:ascii="Times New Roman" w:hAnsi="Times New Roman"/>
                      <w:color w:val="auto"/>
                      <w:szCs w:val="21"/>
                      <w:u w:val="single"/>
                    </w:rPr>
                  </w:pPr>
                  <w:r>
                    <w:rPr>
                      <w:rFonts w:ascii="Times New Roman" w:hAnsi="Times New Roman"/>
                      <w:color w:val="auto"/>
                      <w:szCs w:val="21"/>
                      <w:u w:val="single"/>
                    </w:rPr>
                    <w:t>涂层干燥设备（</w:t>
                  </w:r>
                  <w:r>
                    <w:rPr>
                      <w:rFonts w:hint="eastAsia" w:ascii="Times New Roman" w:hAnsi="Times New Roman"/>
                      <w:color w:val="auto"/>
                      <w:szCs w:val="21"/>
                      <w:u w:val="single"/>
                    </w:rPr>
                    <w:t>6</w:t>
                  </w:r>
                  <w:r>
                    <w:rPr>
                      <w:rFonts w:ascii="Times New Roman" w:hAnsi="Times New Roman"/>
                      <w:color w:val="auto"/>
                      <w:szCs w:val="21"/>
                      <w:u w:val="single"/>
                    </w:rPr>
                    <w:t>台）</w:t>
                  </w:r>
                </w:p>
              </w:tc>
              <w:tc>
                <w:tcPr>
                  <w:tcW w:w="596" w:type="pct"/>
                  <w:vMerge w:val="restart"/>
                  <w:vAlign w:val="center"/>
                </w:tcPr>
                <w:p w14:paraId="74FCB620">
                  <w:pPr>
                    <w:pStyle w:val="88"/>
                    <w:rPr>
                      <w:color w:val="auto"/>
                      <w:szCs w:val="21"/>
                      <w:u w:val="single"/>
                    </w:rPr>
                  </w:pPr>
                  <w:r>
                    <w:rPr>
                      <w:color w:val="auto"/>
                      <w:u w:val="single"/>
                    </w:rPr>
                    <w:t>70</w:t>
                  </w:r>
                </w:p>
              </w:tc>
              <w:tc>
                <w:tcPr>
                  <w:tcW w:w="503" w:type="pct"/>
                  <w:vMerge w:val="restart"/>
                  <w:vAlign w:val="center"/>
                </w:tcPr>
                <w:p w14:paraId="1DE3D78C">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48D0DB51">
                  <w:pPr>
                    <w:pStyle w:val="76"/>
                    <w:jc w:val="center"/>
                    <w:rPr>
                      <w:rFonts w:ascii="Times New Roman" w:hAnsi="Times New Roman"/>
                      <w:color w:val="auto"/>
                      <w:szCs w:val="21"/>
                      <w:u w:val="single"/>
                    </w:rPr>
                  </w:pPr>
                  <w:r>
                    <w:rPr>
                      <w:rFonts w:hint="eastAsia" w:ascii="Times New Roman" w:hAnsi="Times New Roman"/>
                      <w:color w:val="auto"/>
                      <w:szCs w:val="21"/>
                      <w:u w:val="single"/>
                    </w:rPr>
                    <w:t>60</w:t>
                  </w:r>
                </w:p>
              </w:tc>
              <w:tc>
                <w:tcPr>
                  <w:tcW w:w="170" w:type="pct"/>
                  <w:vMerge w:val="restart"/>
                  <w:vAlign w:val="center"/>
                </w:tcPr>
                <w:p w14:paraId="0F7A9AE1">
                  <w:pPr>
                    <w:pStyle w:val="76"/>
                    <w:jc w:val="center"/>
                    <w:rPr>
                      <w:rFonts w:ascii="Times New Roman" w:hAnsi="Times New Roman"/>
                      <w:color w:val="auto"/>
                      <w:szCs w:val="21"/>
                      <w:u w:val="single"/>
                    </w:rPr>
                  </w:pPr>
                  <w:r>
                    <w:rPr>
                      <w:rFonts w:hint="eastAsia" w:ascii="Times New Roman" w:hAnsi="Times New Roman"/>
                      <w:color w:val="auto"/>
                      <w:szCs w:val="21"/>
                      <w:u w:val="single"/>
                    </w:rPr>
                    <w:t>-5</w:t>
                  </w:r>
                </w:p>
              </w:tc>
              <w:tc>
                <w:tcPr>
                  <w:tcW w:w="125" w:type="pct"/>
                  <w:vMerge w:val="restart"/>
                  <w:vAlign w:val="center"/>
                </w:tcPr>
                <w:p w14:paraId="6D946527">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70F98AF1">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30543078">
                  <w:pPr>
                    <w:pStyle w:val="76"/>
                    <w:jc w:val="center"/>
                    <w:rPr>
                      <w:rFonts w:ascii="Times New Roman" w:hAnsi="Times New Roman"/>
                      <w:color w:val="auto"/>
                      <w:szCs w:val="21"/>
                      <w:u w:val="single"/>
                    </w:rPr>
                  </w:pPr>
                  <w:r>
                    <w:rPr>
                      <w:rFonts w:hint="eastAsia" w:ascii="Times New Roman" w:hAnsi="Times New Roman"/>
                      <w:color w:val="auto"/>
                      <w:szCs w:val="21"/>
                      <w:u w:val="single"/>
                    </w:rPr>
                    <w:t>36</w:t>
                  </w:r>
                </w:p>
              </w:tc>
              <w:tc>
                <w:tcPr>
                  <w:tcW w:w="405" w:type="pct"/>
                  <w:vAlign w:val="center"/>
                </w:tcPr>
                <w:p w14:paraId="28D43B3F">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6.0</w:t>
                  </w:r>
                </w:p>
              </w:tc>
              <w:tc>
                <w:tcPr>
                  <w:tcW w:w="548" w:type="pct"/>
                  <w:vMerge w:val="restart"/>
                  <w:vAlign w:val="center"/>
                </w:tcPr>
                <w:p w14:paraId="70F19695">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7F2AC2E4">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2683B345">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25811D15">
                  <w:pPr>
                    <w:pStyle w:val="76"/>
                    <w:jc w:val="center"/>
                    <w:rPr>
                      <w:rFonts w:ascii="Times New Roman" w:hAnsi="Times New Roman"/>
                      <w:color w:val="auto"/>
                      <w:szCs w:val="21"/>
                      <w:u w:val="single"/>
                    </w:rPr>
                  </w:pPr>
                  <w:r>
                    <w:rPr>
                      <w:rFonts w:hint="eastAsia" w:ascii="Times New Roman" w:hAnsi="Times New Roman"/>
                      <w:color w:val="auto"/>
                      <w:szCs w:val="21"/>
                      <w:u w:val="single"/>
                    </w:rPr>
                    <w:t>4</w:t>
                  </w:r>
                  <w:r>
                    <w:rPr>
                      <w:rFonts w:ascii="Times New Roman" w:hAnsi="Times New Roman"/>
                      <w:color w:val="auto"/>
                      <w:szCs w:val="21"/>
                      <w:u w:val="single"/>
                    </w:rPr>
                    <w:t>1.0</w:t>
                  </w:r>
                </w:p>
              </w:tc>
              <w:tc>
                <w:tcPr>
                  <w:tcW w:w="311" w:type="pct"/>
                  <w:vMerge w:val="restart"/>
                  <w:vAlign w:val="center"/>
                </w:tcPr>
                <w:p w14:paraId="65457F40">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2DA94F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5CE06A8A">
                  <w:pPr>
                    <w:pStyle w:val="88"/>
                    <w:rPr>
                      <w:color w:val="auto"/>
                      <w:u w:val="single"/>
                    </w:rPr>
                  </w:pPr>
                </w:p>
              </w:tc>
              <w:tc>
                <w:tcPr>
                  <w:tcW w:w="163" w:type="pct"/>
                  <w:vMerge w:val="continue"/>
                  <w:vAlign w:val="center"/>
                </w:tcPr>
                <w:p w14:paraId="28641D01">
                  <w:pPr>
                    <w:pStyle w:val="76"/>
                    <w:jc w:val="center"/>
                    <w:rPr>
                      <w:rFonts w:ascii="Times New Roman" w:hAnsi="Times New Roman"/>
                      <w:color w:val="auto"/>
                      <w:szCs w:val="21"/>
                      <w:u w:val="single"/>
                    </w:rPr>
                  </w:pPr>
                </w:p>
              </w:tc>
              <w:tc>
                <w:tcPr>
                  <w:tcW w:w="299" w:type="pct"/>
                  <w:vMerge w:val="continue"/>
                  <w:vAlign w:val="center"/>
                </w:tcPr>
                <w:p w14:paraId="23B98648">
                  <w:pPr>
                    <w:pStyle w:val="76"/>
                    <w:jc w:val="center"/>
                    <w:rPr>
                      <w:rFonts w:ascii="Times New Roman" w:hAnsi="Times New Roman"/>
                      <w:color w:val="auto"/>
                      <w:szCs w:val="21"/>
                      <w:u w:val="single"/>
                    </w:rPr>
                  </w:pPr>
                </w:p>
              </w:tc>
              <w:tc>
                <w:tcPr>
                  <w:tcW w:w="596" w:type="pct"/>
                  <w:vMerge w:val="continue"/>
                  <w:vAlign w:val="center"/>
                </w:tcPr>
                <w:p w14:paraId="1F61469C">
                  <w:pPr>
                    <w:pStyle w:val="76"/>
                    <w:jc w:val="center"/>
                    <w:rPr>
                      <w:rFonts w:ascii="Times New Roman" w:hAnsi="Times New Roman"/>
                      <w:color w:val="auto"/>
                      <w:szCs w:val="21"/>
                      <w:u w:val="single"/>
                    </w:rPr>
                  </w:pPr>
                </w:p>
              </w:tc>
              <w:tc>
                <w:tcPr>
                  <w:tcW w:w="503" w:type="pct"/>
                  <w:vMerge w:val="continue"/>
                  <w:vAlign w:val="center"/>
                </w:tcPr>
                <w:p w14:paraId="71DE88F7">
                  <w:pPr>
                    <w:pStyle w:val="76"/>
                    <w:jc w:val="center"/>
                    <w:rPr>
                      <w:rFonts w:ascii="Times New Roman" w:hAnsi="Times New Roman"/>
                      <w:color w:val="auto"/>
                      <w:szCs w:val="21"/>
                      <w:u w:val="single"/>
                    </w:rPr>
                  </w:pPr>
                </w:p>
              </w:tc>
              <w:tc>
                <w:tcPr>
                  <w:tcW w:w="170" w:type="pct"/>
                  <w:vMerge w:val="continue"/>
                  <w:vAlign w:val="center"/>
                </w:tcPr>
                <w:p w14:paraId="013951B6">
                  <w:pPr>
                    <w:pStyle w:val="76"/>
                    <w:jc w:val="center"/>
                    <w:rPr>
                      <w:rFonts w:ascii="Times New Roman" w:hAnsi="Times New Roman"/>
                      <w:color w:val="auto"/>
                      <w:szCs w:val="21"/>
                      <w:u w:val="single"/>
                    </w:rPr>
                  </w:pPr>
                </w:p>
              </w:tc>
              <w:tc>
                <w:tcPr>
                  <w:tcW w:w="170" w:type="pct"/>
                  <w:vMerge w:val="continue"/>
                  <w:vAlign w:val="center"/>
                </w:tcPr>
                <w:p w14:paraId="0F006ED7">
                  <w:pPr>
                    <w:pStyle w:val="76"/>
                    <w:jc w:val="center"/>
                    <w:rPr>
                      <w:rFonts w:ascii="Times New Roman" w:hAnsi="Times New Roman"/>
                      <w:color w:val="auto"/>
                      <w:szCs w:val="21"/>
                      <w:u w:val="single"/>
                    </w:rPr>
                  </w:pPr>
                </w:p>
              </w:tc>
              <w:tc>
                <w:tcPr>
                  <w:tcW w:w="125" w:type="pct"/>
                  <w:vMerge w:val="continue"/>
                  <w:vAlign w:val="center"/>
                </w:tcPr>
                <w:p w14:paraId="1EA8D8AB">
                  <w:pPr>
                    <w:pStyle w:val="76"/>
                    <w:jc w:val="center"/>
                    <w:rPr>
                      <w:rFonts w:ascii="Times New Roman" w:hAnsi="Times New Roman"/>
                      <w:color w:val="auto"/>
                      <w:szCs w:val="21"/>
                      <w:u w:val="single"/>
                    </w:rPr>
                  </w:pPr>
                </w:p>
              </w:tc>
              <w:tc>
                <w:tcPr>
                  <w:tcW w:w="208" w:type="pct"/>
                  <w:vAlign w:val="center"/>
                </w:tcPr>
                <w:p w14:paraId="4E8CDDB1">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0D21AF06">
                  <w:pPr>
                    <w:pStyle w:val="76"/>
                    <w:jc w:val="center"/>
                    <w:rPr>
                      <w:rFonts w:ascii="Times New Roman" w:hAnsi="Times New Roman"/>
                      <w:color w:val="auto"/>
                      <w:szCs w:val="21"/>
                      <w:u w:val="single"/>
                    </w:rPr>
                  </w:pPr>
                  <w:r>
                    <w:rPr>
                      <w:rFonts w:hint="eastAsia" w:ascii="Times New Roman" w:hAnsi="Times New Roman"/>
                      <w:color w:val="auto"/>
                      <w:szCs w:val="21"/>
                      <w:u w:val="single"/>
                    </w:rPr>
                    <w:t>9</w:t>
                  </w:r>
                </w:p>
              </w:tc>
              <w:tc>
                <w:tcPr>
                  <w:tcW w:w="405" w:type="pct"/>
                  <w:vAlign w:val="center"/>
                </w:tcPr>
                <w:p w14:paraId="6044418F">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6.0</w:t>
                  </w:r>
                </w:p>
              </w:tc>
              <w:tc>
                <w:tcPr>
                  <w:tcW w:w="548" w:type="pct"/>
                  <w:vMerge w:val="continue"/>
                  <w:vAlign w:val="center"/>
                </w:tcPr>
                <w:p w14:paraId="3593F69F">
                  <w:pPr>
                    <w:pStyle w:val="76"/>
                    <w:jc w:val="center"/>
                    <w:rPr>
                      <w:rFonts w:ascii="Times New Roman" w:hAnsi="Times New Roman"/>
                      <w:color w:val="auto"/>
                      <w:szCs w:val="21"/>
                      <w:u w:val="single"/>
                    </w:rPr>
                  </w:pPr>
                </w:p>
              </w:tc>
              <w:tc>
                <w:tcPr>
                  <w:tcW w:w="436" w:type="pct"/>
                  <w:vMerge w:val="continue"/>
                  <w:vAlign w:val="center"/>
                </w:tcPr>
                <w:p w14:paraId="08690C47">
                  <w:pPr>
                    <w:pStyle w:val="76"/>
                    <w:jc w:val="center"/>
                    <w:rPr>
                      <w:rFonts w:ascii="Times New Roman" w:hAnsi="Times New Roman"/>
                      <w:color w:val="auto"/>
                      <w:szCs w:val="21"/>
                      <w:u w:val="single"/>
                    </w:rPr>
                  </w:pPr>
                </w:p>
              </w:tc>
              <w:tc>
                <w:tcPr>
                  <w:tcW w:w="272" w:type="pct"/>
                  <w:vAlign w:val="center"/>
                </w:tcPr>
                <w:p w14:paraId="4108C374">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083F13CF">
                  <w:pPr>
                    <w:pStyle w:val="76"/>
                    <w:jc w:val="center"/>
                    <w:rPr>
                      <w:rFonts w:ascii="Times New Roman" w:hAnsi="Times New Roman"/>
                      <w:color w:val="auto"/>
                      <w:szCs w:val="21"/>
                      <w:u w:val="single"/>
                    </w:rPr>
                  </w:pPr>
                  <w:r>
                    <w:rPr>
                      <w:rFonts w:hint="eastAsia" w:ascii="Times New Roman" w:hAnsi="Times New Roman"/>
                      <w:color w:val="auto"/>
                      <w:szCs w:val="21"/>
                      <w:u w:val="single"/>
                    </w:rPr>
                    <w:t>4</w:t>
                  </w:r>
                  <w:r>
                    <w:rPr>
                      <w:rFonts w:ascii="Times New Roman" w:hAnsi="Times New Roman"/>
                      <w:color w:val="auto"/>
                      <w:szCs w:val="21"/>
                      <w:u w:val="single"/>
                    </w:rPr>
                    <w:t>1.0</w:t>
                  </w:r>
                </w:p>
              </w:tc>
              <w:tc>
                <w:tcPr>
                  <w:tcW w:w="311" w:type="pct"/>
                  <w:vMerge w:val="continue"/>
                  <w:vAlign w:val="center"/>
                </w:tcPr>
                <w:p w14:paraId="76E7976E">
                  <w:pPr>
                    <w:pStyle w:val="76"/>
                    <w:jc w:val="center"/>
                    <w:rPr>
                      <w:rFonts w:ascii="Times New Roman" w:hAnsi="Times New Roman"/>
                      <w:color w:val="auto"/>
                      <w:szCs w:val="21"/>
                      <w:u w:val="single"/>
                    </w:rPr>
                  </w:pPr>
                </w:p>
              </w:tc>
            </w:tr>
            <w:tr w14:paraId="799B1C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536524BB">
                  <w:pPr>
                    <w:pStyle w:val="76"/>
                    <w:jc w:val="center"/>
                    <w:rPr>
                      <w:rFonts w:ascii="Times New Roman" w:hAnsi="Times New Roman"/>
                      <w:color w:val="auto"/>
                      <w:szCs w:val="21"/>
                      <w:u w:val="single"/>
                    </w:rPr>
                  </w:pPr>
                </w:p>
              </w:tc>
              <w:tc>
                <w:tcPr>
                  <w:tcW w:w="163" w:type="pct"/>
                  <w:vMerge w:val="continue"/>
                  <w:vAlign w:val="center"/>
                </w:tcPr>
                <w:p w14:paraId="6A3F0BAC">
                  <w:pPr>
                    <w:pStyle w:val="76"/>
                    <w:jc w:val="center"/>
                    <w:rPr>
                      <w:rFonts w:ascii="Times New Roman" w:hAnsi="Times New Roman"/>
                      <w:color w:val="auto"/>
                      <w:szCs w:val="21"/>
                      <w:u w:val="single"/>
                    </w:rPr>
                  </w:pPr>
                </w:p>
              </w:tc>
              <w:tc>
                <w:tcPr>
                  <w:tcW w:w="299" w:type="pct"/>
                  <w:vMerge w:val="continue"/>
                  <w:vAlign w:val="center"/>
                </w:tcPr>
                <w:p w14:paraId="0FAFBB5A">
                  <w:pPr>
                    <w:pStyle w:val="76"/>
                    <w:jc w:val="center"/>
                    <w:rPr>
                      <w:rFonts w:ascii="Times New Roman" w:hAnsi="Times New Roman"/>
                      <w:color w:val="auto"/>
                      <w:szCs w:val="21"/>
                      <w:u w:val="single"/>
                    </w:rPr>
                  </w:pPr>
                </w:p>
              </w:tc>
              <w:tc>
                <w:tcPr>
                  <w:tcW w:w="596" w:type="pct"/>
                  <w:vMerge w:val="continue"/>
                  <w:vAlign w:val="center"/>
                </w:tcPr>
                <w:p w14:paraId="63B31474">
                  <w:pPr>
                    <w:pStyle w:val="76"/>
                    <w:jc w:val="center"/>
                    <w:rPr>
                      <w:rFonts w:ascii="Times New Roman" w:hAnsi="Times New Roman"/>
                      <w:color w:val="auto"/>
                      <w:szCs w:val="21"/>
                      <w:u w:val="single"/>
                    </w:rPr>
                  </w:pPr>
                </w:p>
              </w:tc>
              <w:tc>
                <w:tcPr>
                  <w:tcW w:w="503" w:type="pct"/>
                  <w:vMerge w:val="continue"/>
                  <w:vAlign w:val="center"/>
                </w:tcPr>
                <w:p w14:paraId="68249F26">
                  <w:pPr>
                    <w:pStyle w:val="76"/>
                    <w:jc w:val="center"/>
                    <w:rPr>
                      <w:rFonts w:ascii="Times New Roman" w:hAnsi="Times New Roman"/>
                      <w:color w:val="auto"/>
                      <w:szCs w:val="21"/>
                      <w:u w:val="single"/>
                    </w:rPr>
                  </w:pPr>
                </w:p>
              </w:tc>
              <w:tc>
                <w:tcPr>
                  <w:tcW w:w="170" w:type="pct"/>
                  <w:vMerge w:val="continue"/>
                  <w:vAlign w:val="center"/>
                </w:tcPr>
                <w:p w14:paraId="5FFA5C0E">
                  <w:pPr>
                    <w:pStyle w:val="76"/>
                    <w:jc w:val="center"/>
                    <w:rPr>
                      <w:rFonts w:ascii="Times New Roman" w:hAnsi="Times New Roman"/>
                      <w:color w:val="auto"/>
                      <w:szCs w:val="21"/>
                      <w:u w:val="single"/>
                    </w:rPr>
                  </w:pPr>
                </w:p>
              </w:tc>
              <w:tc>
                <w:tcPr>
                  <w:tcW w:w="170" w:type="pct"/>
                  <w:vMerge w:val="continue"/>
                  <w:vAlign w:val="center"/>
                </w:tcPr>
                <w:p w14:paraId="22AA6A77">
                  <w:pPr>
                    <w:pStyle w:val="76"/>
                    <w:jc w:val="center"/>
                    <w:rPr>
                      <w:rFonts w:ascii="Times New Roman" w:hAnsi="Times New Roman"/>
                      <w:color w:val="auto"/>
                      <w:szCs w:val="21"/>
                      <w:u w:val="single"/>
                    </w:rPr>
                  </w:pPr>
                </w:p>
              </w:tc>
              <w:tc>
                <w:tcPr>
                  <w:tcW w:w="125" w:type="pct"/>
                  <w:vMerge w:val="continue"/>
                  <w:vAlign w:val="center"/>
                </w:tcPr>
                <w:p w14:paraId="7EC327DA">
                  <w:pPr>
                    <w:pStyle w:val="76"/>
                    <w:jc w:val="center"/>
                    <w:rPr>
                      <w:rFonts w:ascii="Times New Roman" w:hAnsi="Times New Roman"/>
                      <w:color w:val="auto"/>
                      <w:szCs w:val="21"/>
                      <w:u w:val="single"/>
                    </w:rPr>
                  </w:pPr>
                </w:p>
              </w:tc>
              <w:tc>
                <w:tcPr>
                  <w:tcW w:w="208" w:type="pct"/>
                  <w:vAlign w:val="center"/>
                </w:tcPr>
                <w:p w14:paraId="1FDCC11F">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72E97D87">
                  <w:pPr>
                    <w:pStyle w:val="76"/>
                    <w:jc w:val="center"/>
                    <w:rPr>
                      <w:rFonts w:ascii="Times New Roman" w:hAnsi="Times New Roman"/>
                      <w:color w:val="auto"/>
                      <w:szCs w:val="21"/>
                      <w:u w:val="single"/>
                    </w:rPr>
                  </w:pPr>
                  <w:r>
                    <w:rPr>
                      <w:rFonts w:hint="eastAsia" w:ascii="Times New Roman" w:hAnsi="Times New Roman"/>
                      <w:color w:val="auto"/>
                      <w:szCs w:val="21"/>
                      <w:u w:val="single"/>
                    </w:rPr>
                    <w:t>150</w:t>
                  </w:r>
                </w:p>
              </w:tc>
              <w:tc>
                <w:tcPr>
                  <w:tcW w:w="405" w:type="pct"/>
                  <w:vAlign w:val="center"/>
                </w:tcPr>
                <w:p w14:paraId="028197E3">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6.0</w:t>
                  </w:r>
                </w:p>
              </w:tc>
              <w:tc>
                <w:tcPr>
                  <w:tcW w:w="548" w:type="pct"/>
                  <w:vMerge w:val="continue"/>
                  <w:vAlign w:val="center"/>
                </w:tcPr>
                <w:p w14:paraId="40AC8C0C">
                  <w:pPr>
                    <w:pStyle w:val="76"/>
                    <w:jc w:val="center"/>
                    <w:rPr>
                      <w:rFonts w:ascii="Times New Roman" w:hAnsi="Times New Roman"/>
                      <w:color w:val="auto"/>
                      <w:szCs w:val="21"/>
                      <w:u w:val="single"/>
                    </w:rPr>
                  </w:pPr>
                </w:p>
              </w:tc>
              <w:tc>
                <w:tcPr>
                  <w:tcW w:w="436" w:type="pct"/>
                  <w:vMerge w:val="continue"/>
                  <w:vAlign w:val="center"/>
                </w:tcPr>
                <w:p w14:paraId="36858520">
                  <w:pPr>
                    <w:pStyle w:val="76"/>
                    <w:jc w:val="center"/>
                    <w:rPr>
                      <w:rFonts w:ascii="Times New Roman" w:hAnsi="Times New Roman"/>
                      <w:color w:val="auto"/>
                      <w:szCs w:val="21"/>
                      <w:u w:val="single"/>
                    </w:rPr>
                  </w:pPr>
                </w:p>
              </w:tc>
              <w:tc>
                <w:tcPr>
                  <w:tcW w:w="272" w:type="pct"/>
                  <w:vAlign w:val="center"/>
                </w:tcPr>
                <w:p w14:paraId="3B50E229">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290107F4">
                  <w:pPr>
                    <w:pStyle w:val="76"/>
                    <w:jc w:val="center"/>
                    <w:rPr>
                      <w:rFonts w:ascii="Times New Roman" w:hAnsi="Times New Roman"/>
                      <w:color w:val="auto"/>
                      <w:szCs w:val="21"/>
                      <w:u w:val="single"/>
                    </w:rPr>
                  </w:pPr>
                  <w:r>
                    <w:rPr>
                      <w:rFonts w:hint="eastAsia" w:ascii="Times New Roman" w:hAnsi="Times New Roman"/>
                      <w:color w:val="auto"/>
                      <w:szCs w:val="21"/>
                      <w:u w:val="single"/>
                    </w:rPr>
                    <w:t>4</w:t>
                  </w:r>
                  <w:r>
                    <w:rPr>
                      <w:rFonts w:ascii="Times New Roman" w:hAnsi="Times New Roman"/>
                      <w:color w:val="auto"/>
                      <w:szCs w:val="21"/>
                      <w:u w:val="single"/>
                    </w:rPr>
                    <w:t>1.0</w:t>
                  </w:r>
                </w:p>
              </w:tc>
              <w:tc>
                <w:tcPr>
                  <w:tcW w:w="311" w:type="pct"/>
                  <w:vMerge w:val="continue"/>
                  <w:vAlign w:val="center"/>
                </w:tcPr>
                <w:p w14:paraId="279AD2F1">
                  <w:pPr>
                    <w:pStyle w:val="76"/>
                    <w:jc w:val="center"/>
                    <w:rPr>
                      <w:rFonts w:ascii="Times New Roman" w:hAnsi="Times New Roman"/>
                      <w:color w:val="auto"/>
                      <w:szCs w:val="21"/>
                      <w:u w:val="single"/>
                    </w:rPr>
                  </w:pPr>
                </w:p>
              </w:tc>
            </w:tr>
            <w:tr w14:paraId="13DA29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4EB369DA">
                  <w:pPr>
                    <w:pStyle w:val="76"/>
                    <w:jc w:val="center"/>
                    <w:rPr>
                      <w:rFonts w:ascii="Times New Roman" w:hAnsi="Times New Roman"/>
                      <w:color w:val="auto"/>
                      <w:szCs w:val="21"/>
                      <w:u w:val="single"/>
                    </w:rPr>
                  </w:pPr>
                </w:p>
              </w:tc>
              <w:tc>
                <w:tcPr>
                  <w:tcW w:w="163" w:type="pct"/>
                  <w:vMerge w:val="continue"/>
                  <w:vAlign w:val="center"/>
                </w:tcPr>
                <w:p w14:paraId="53F0B187">
                  <w:pPr>
                    <w:pStyle w:val="76"/>
                    <w:jc w:val="center"/>
                    <w:rPr>
                      <w:rFonts w:ascii="Times New Roman" w:hAnsi="Times New Roman"/>
                      <w:color w:val="auto"/>
                      <w:szCs w:val="21"/>
                      <w:u w:val="single"/>
                    </w:rPr>
                  </w:pPr>
                </w:p>
              </w:tc>
              <w:tc>
                <w:tcPr>
                  <w:tcW w:w="299" w:type="pct"/>
                  <w:vMerge w:val="continue"/>
                  <w:vAlign w:val="center"/>
                </w:tcPr>
                <w:p w14:paraId="53D76002">
                  <w:pPr>
                    <w:pStyle w:val="76"/>
                    <w:jc w:val="center"/>
                    <w:rPr>
                      <w:rFonts w:ascii="Times New Roman" w:hAnsi="Times New Roman"/>
                      <w:color w:val="auto"/>
                      <w:szCs w:val="21"/>
                      <w:u w:val="single"/>
                    </w:rPr>
                  </w:pPr>
                </w:p>
              </w:tc>
              <w:tc>
                <w:tcPr>
                  <w:tcW w:w="596" w:type="pct"/>
                  <w:vMerge w:val="continue"/>
                  <w:vAlign w:val="center"/>
                </w:tcPr>
                <w:p w14:paraId="088B1003">
                  <w:pPr>
                    <w:pStyle w:val="76"/>
                    <w:jc w:val="center"/>
                    <w:rPr>
                      <w:rFonts w:ascii="Times New Roman" w:hAnsi="Times New Roman"/>
                      <w:color w:val="auto"/>
                      <w:szCs w:val="21"/>
                      <w:u w:val="single"/>
                    </w:rPr>
                  </w:pPr>
                </w:p>
              </w:tc>
              <w:tc>
                <w:tcPr>
                  <w:tcW w:w="503" w:type="pct"/>
                  <w:vMerge w:val="continue"/>
                  <w:vAlign w:val="center"/>
                </w:tcPr>
                <w:p w14:paraId="59F1EA0D">
                  <w:pPr>
                    <w:pStyle w:val="76"/>
                    <w:jc w:val="center"/>
                    <w:rPr>
                      <w:rFonts w:ascii="Times New Roman" w:hAnsi="Times New Roman"/>
                      <w:color w:val="auto"/>
                      <w:szCs w:val="21"/>
                      <w:u w:val="single"/>
                    </w:rPr>
                  </w:pPr>
                </w:p>
              </w:tc>
              <w:tc>
                <w:tcPr>
                  <w:tcW w:w="170" w:type="pct"/>
                  <w:vMerge w:val="continue"/>
                  <w:vAlign w:val="center"/>
                </w:tcPr>
                <w:p w14:paraId="30ACDFF2">
                  <w:pPr>
                    <w:pStyle w:val="76"/>
                    <w:jc w:val="center"/>
                    <w:rPr>
                      <w:rFonts w:ascii="Times New Roman" w:hAnsi="Times New Roman"/>
                      <w:color w:val="auto"/>
                      <w:szCs w:val="21"/>
                      <w:u w:val="single"/>
                    </w:rPr>
                  </w:pPr>
                </w:p>
              </w:tc>
              <w:tc>
                <w:tcPr>
                  <w:tcW w:w="170" w:type="pct"/>
                  <w:vMerge w:val="continue"/>
                  <w:vAlign w:val="center"/>
                </w:tcPr>
                <w:p w14:paraId="73181DFA">
                  <w:pPr>
                    <w:pStyle w:val="76"/>
                    <w:jc w:val="center"/>
                    <w:rPr>
                      <w:rFonts w:ascii="Times New Roman" w:hAnsi="Times New Roman"/>
                      <w:color w:val="auto"/>
                      <w:szCs w:val="21"/>
                      <w:u w:val="single"/>
                    </w:rPr>
                  </w:pPr>
                </w:p>
              </w:tc>
              <w:tc>
                <w:tcPr>
                  <w:tcW w:w="125" w:type="pct"/>
                  <w:vMerge w:val="continue"/>
                  <w:vAlign w:val="center"/>
                </w:tcPr>
                <w:p w14:paraId="7F430291">
                  <w:pPr>
                    <w:pStyle w:val="76"/>
                    <w:jc w:val="center"/>
                    <w:rPr>
                      <w:rFonts w:ascii="Times New Roman" w:hAnsi="Times New Roman"/>
                      <w:color w:val="auto"/>
                      <w:szCs w:val="21"/>
                      <w:u w:val="single"/>
                    </w:rPr>
                  </w:pPr>
                </w:p>
              </w:tc>
              <w:tc>
                <w:tcPr>
                  <w:tcW w:w="208" w:type="pct"/>
                  <w:vAlign w:val="center"/>
                </w:tcPr>
                <w:p w14:paraId="48C67387">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004AEFD1">
                  <w:pPr>
                    <w:pStyle w:val="76"/>
                    <w:jc w:val="center"/>
                    <w:rPr>
                      <w:rFonts w:ascii="Times New Roman" w:hAnsi="Times New Roman"/>
                      <w:color w:val="auto"/>
                      <w:szCs w:val="21"/>
                      <w:u w:val="single"/>
                    </w:rPr>
                  </w:pPr>
                  <w:r>
                    <w:rPr>
                      <w:rFonts w:hint="eastAsia" w:ascii="Times New Roman" w:hAnsi="Times New Roman"/>
                      <w:color w:val="auto"/>
                      <w:szCs w:val="21"/>
                      <w:u w:val="single"/>
                    </w:rPr>
                    <w:t>19</w:t>
                  </w:r>
                </w:p>
              </w:tc>
              <w:tc>
                <w:tcPr>
                  <w:tcW w:w="405" w:type="pct"/>
                  <w:vAlign w:val="center"/>
                </w:tcPr>
                <w:p w14:paraId="55DEDC5F">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w:t>
                  </w:r>
                  <w:r>
                    <w:rPr>
                      <w:rFonts w:hint="eastAsia" w:ascii="Times New Roman" w:hAnsi="Times New Roman"/>
                      <w:color w:val="auto"/>
                      <w:szCs w:val="21"/>
                      <w:u w:val="single"/>
                    </w:rPr>
                    <w:t>0</w:t>
                  </w:r>
                </w:p>
              </w:tc>
              <w:tc>
                <w:tcPr>
                  <w:tcW w:w="548" w:type="pct"/>
                  <w:vMerge w:val="continue"/>
                  <w:vAlign w:val="center"/>
                </w:tcPr>
                <w:p w14:paraId="61B9123C">
                  <w:pPr>
                    <w:pStyle w:val="76"/>
                    <w:jc w:val="center"/>
                    <w:rPr>
                      <w:rFonts w:ascii="Times New Roman" w:hAnsi="Times New Roman"/>
                      <w:color w:val="auto"/>
                      <w:szCs w:val="21"/>
                      <w:u w:val="single"/>
                    </w:rPr>
                  </w:pPr>
                </w:p>
              </w:tc>
              <w:tc>
                <w:tcPr>
                  <w:tcW w:w="436" w:type="pct"/>
                  <w:vMerge w:val="continue"/>
                  <w:vAlign w:val="center"/>
                </w:tcPr>
                <w:p w14:paraId="13FD7B57">
                  <w:pPr>
                    <w:pStyle w:val="76"/>
                    <w:jc w:val="center"/>
                    <w:rPr>
                      <w:rFonts w:ascii="Times New Roman" w:hAnsi="Times New Roman"/>
                      <w:color w:val="auto"/>
                      <w:szCs w:val="21"/>
                      <w:u w:val="single"/>
                    </w:rPr>
                  </w:pPr>
                </w:p>
              </w:tc>
              <w:tc>
                <w:tcPr>
                  <w:tcW w:w="272" w:type="pct"/>
                  <w:vAlign w:val="center"/>
                </w:tcPr>
                <w:p w14:paraId="7E716F86">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60D06D5A">
                  <w:pPr>
                    <w:pStyle w:val="76"/>
                    <w:jc w:val="center"/>
                    <w:rPr>
                      <w:rFonts w:ascii="Times New Roman" w:hAnsi="Times New Roman"/>
                      <w:color w:val="auto"/>
                      <w:szCs w:val="21"/>
                      <w:u w:val="single"/>
                    </w:rPr>
                  </w:pPr>
                  <w:r>
                    <w:rPr>
                      <w:rFonts w:hint="eastAsia" w:ascii="Times New Roman" w:hAnsi="Times New Roman"/>
                      <w:color w:val="auto"/>
                      <w:szCs w:val="21"/>
                      <w:u w:val="single"/>
                    </w:rPr>
                    <w:t>4</w:t>
                  </w:r>
                  <w:r>
                    <w:rPr>
                      <w:rFonts w:ascii="Times New Roman" w:hAnsi="Times New Roman"/>
                      <w:color w:val="auto"/>
                      <w:szCs w:val="21"/>
                      <w:u w:val="single"/>
                    </w:rPr>
                    <w:t>1.</w:t>
                  </w:r>
                  <w:r>
                    <w:rPr>
                      <w:rFonts w:hint="eastAsia" w:ascii="Times New Roman" w:hAnsi="Times New Roman"/>
                      <w:color w:val="auto"/>
                      <w:szCs w:val="21"/>
                      <w:u w:val="single"/>
                    </w:rPr>
                    <w:t>0</w:t>
                  </w:r>
                </w:p>
              </w:tc>
              <w:tc>
                <w:tcPr>
                  <w:tcW w:w="311" w:type="pct"/>
                  <w:vMerge w:val="continue"/>
                  <w:vAlign w:val="center"/>
                </w:tcPr>
                <w:p w14:paraId="36FFF155">
                  <w:pPr>
                    <w:pStyle w:val="76"/>
                    <w:jc w:val="center"/>
                    <w:rPr>
                      <w:rFonts w:ascii="Times New Roman" w:hAnsi="Times New Roman"/>
                      <w:color w:val="auto"/>
                      <w:szCs w:val="21"/>
                      <w:u w:val="single"/>
                    </w:rPr>
                  </w:pPr>
                </w:p>
              </w:tc>
            </w:tr>
            <w:tr w14:paraId="39C1FC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313" w:type="pct"/>
                  <w:vMerge w:val="restart"/>
                  <w:vAlign w:val="center"/>
                </w:tcPr>
                <w:p w14:paraId="3370B1D1">
                  <w:pPr>
                    <w:pStyle w:val="76"/>
                    <w:numPr>
                      <w:ilvl w:val="0"/>
                      <w:numId w:val="7"/>
                    </w:numPr>
                    <w:jc w:val="center"/>
                    <w:rPr>
                      <w:rFonts w:ascii="Times New Roman" w:hAnsi="Times New Roman"/>
                      <w:color w:val="auto"/>
                      <w:szCs w:val="21"/>
                      <w:u w:val="single"/>
                    </w:rPr>
                  </w:pPr>
                </w:p>
              </w:tc>
              <w:tc>
                <w:tcPr>
                  <w:tcW w:w="163" w:type="pct"/>
                  <w:vMerge w:val="continue"/>
                  <w:vAlign w:val="center"/>
                </w:tcPr>
                <w:p w14:paraId="05627625">
                  <w:pPr>
                    <w:pStyle w:val="76"/>
                    <w:jc w:val="center"/>
                    <w:rPr>
                      <w:rFonts w:ascii="Times New Roman" w:hAnsi="Times New Roman"/>
                      <w:color w:val="auto"/>
                      <w:szCs w:val="21"/>
                      <w:u w:val="single"/>
                    </w:rPr>
                  </w:pPr>
                </w:p>
              </w:tc>
              <w:tc>
                <w:tcPr>
                  <w:tcW w:w="299" w:type="pct"/>
                  <w:vMerge w:val="restart"/>
                  <w:vAlign w:val="center"/>
                </w:tcPr>
                <w:p w14:paraId="2D5B2D67">
                  <w:pPr>
                    <w:pStyle w:val="76"/>
                    <w:jc w:val="center"/>
                    <w:rPr>
                      <w:rFonts w:ascii="Times New Roman" w:hAnsi="Times New Roman"/>
                      <w:color w:val="auto"/>
                      <w:szCs w:val="21"/>
                      <w:u w:val="single"/>
                    </w:rPr>
                  </w:pPr>
                  <w:r>
                    <w:rPr>
                      <w:rFonts w:hint="eastAsia" w:ascii="Times New Roman" w:hAnsi="Times New Roman"/>
                      <w:color w:val="auto"/>
                      <w:szCs w:val="21"/>
                      <w:u w:val="single"/>
                    </w:rPr>
                    <w:t>混砂机</w:t>
                  </w:r>
                </w:p>
              </w:tc>
              <w:tc>
                <w:tcPr>
                  <w:tcW w:w="596" w:type="pct"/>
                  <w:vMerge w:val="restart"/>
                  <w:vAlign w:val="center"/>
                </w:tcPr>
                <w:p w14:paraId="1DE99898">
                  <w:pPr>
                    <w:pStyle w:val="88"/>
                    <w:rPr>
                      <w:color w:val="auto"/>
                      <w:szCs w:val="21"/>
                      <w:u w:val="single"/>
                    </w:rPr>
                  </w:pPr>
                  <w:r>
                    <w:rPr>
                      <w:color w:val="auto"/>
                      <w:u w:val="single"/>
                    </w:rPr>
                    <w:t>85</w:t>
                  </w:r>
                </w:p>
              </w:tc>
              <w:tc>
                <w:tcPr>
                  <w:tcW w:w="503" w:type="pct"/>
                  <w:vMerge w:val="restart"/>
                  <w:vAlign w:val="center"/>
                </w:tcPr>
                <w:p w14:paraId="258FC055">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16D250CD">
                  <w:pPr>
                    <w:pStyle w:val="76"/>
                    <w:jc w:val="center"/>
                    <w:rPr>
                      <w:rFonts w:ascii="Times New Roman" w:hAnsi="Times New Roman"/>
                      <w:color w:val="auto"/>
                      <w:szCs w:val="21"/>
                      <w:u w:val="single"/>
                    </w:rPr>
                  </w:pPr>
                  <w:r>
                    <w:rPr>
                      <w:rFonts w:hint="eastAsia" w:ascii="Times New Roman" w:hAnsi="Times New Roman"/>
                      <w:color w:val="auto"/>
                      <w:szCs w:val="21"/>
                      <w:u w:val="single"/>
                    </w:rPr>
                    <w:t>2</w:t>
                  </w:r>
                </w:p>
              </w:tc>
              <w:tc>
                <w:tcPr>
                  <w:tcW w:w="170" w:type="pct"/>
                  <w:vMerge w:val="restart"/>
                  <w:vAlign w:val="center"/>
                </w:tcPr>
                <w:p w14:paraId="1D728CBC">
                  <w:pPr>
                    <w:pStyle w:val="76"/>
                    <w:jc w:val="center"/>
                    <w:rPr>
                      <w:rFonts w:ascii="Times New Roman" w:hAnsi="Times New Roman"/>
                      <w:color w:val="auto"/>
                      <w:szCs w:val="21"/>
                      <w:u w:val="single"/>
                    </w:rPr>
                  </w:pPr>
                  <w:r>
                    <w:rPr>
                      <w:rFonts w:hint="eastAsia" w:ascii="Times New Roman" w:hAnsi="Times New Roman"/>
                      <w:color w:val="auto"/>
                      <w:szCs w:val="21"/>
                      <w:u w:val="single"/>
                    </w:rPr>
                    <w:t>2</w:t>
                  </w:r>
                </w:p>
              </w:tc>
              <w:tc>
                <w:tcPr>
                  <w:tcW w:w="125" w:type="pct"/>
                  <w:vMerge w:val="restart"/>
                  <w:vAlign w:val="center"/>
                </w:tcPr>
                <w:p w14:paraId="4E8DCDFB">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3123ED2D">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4A4EACC4">
                  <w:pPr>
                    <w:pStyle w:val="76"/>
                    <w:jc w:val="center"/>
                    <w:rPr>
                      <w:rFonts w:ascii="Times New Roman" w:hAnsi="Times New Roman"/>
                      <w:color w:val="auto"/>
                      <w:szCs w:val="21"/>
                      <w:u w:val="single"/>
                    </w:rPr>
                  </w:pPr>
                  <w:r>
                    <w:rPr>
                      <w:rFonts w:ascii="Times New Roman" w:hAnsi="Times New Roman"/>
                      <w:color w:val="auto"/>
                      <w:szCs w:val="21"/>
                      <w:u w:val="single"/>
                    </w:rPr>
                    <w:t>21</w:t>
                  </w:r>
                </w:p>
              </w:tc>
              <w:tc>
                <w:tcPr>
                  <w:tcW w:w="405" w:type="pct"/>
                  <w:vAlign w:val="center"/>
                </w:tcPr>
                <w:p w14:paraId="4746B7BD">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restart"/>
                  <w:vAlign w:val="center"/>
                </w:tcPr>
                <w:p w14:paraId="7F03B402">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4C1DB593">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2ACBA431">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6166B2D5">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restart"/>
                  <w:vAlign w:val="center"/>
                </w:tcPr>
                <w:p w14:paraId="3BE776B6">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1AE3F5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61F094E8">
                  <w:pPr>
                    <w:pStyle w:val="76"/>
                    <w:jc w:val="center"/>
                    <w:rPr>
                      <w:rFonts w:ascii="Times New Roman" w:hAnsi="Times New Roman"/>
                      <w:color w:val="auto"/>
                      <w:szCs w:val="21"/>
                      <w:u w:val="single"/>
                    </w:rPr>
                  </w:pPr>
                </w:p>
              </w:tc>
              <w:tc>
                <w:tcPr>
                  <w:tcW w:w="163" w:type="pct"/>
                  <w:vMerge w:val="continue"/>
                  <w:vAlign w:val="center"/>
                </w:tcPr>
                <w:p w14:paraId="658D7BF8">
                  <w:pPr>
                    <w:pStyle w:val="76"/>
                    <w:jc w:val="center"/>
                    <w:rPr>
                      <w:rFonts w:ascii="Times New Roman" w:hAnsi="Times New Roman"/>
                      <w:color w:val="auto"/>
                      <w:szCs w:val="21"/>
                      <w:u w:val="single"/>
                    </w:rPr>
                  </w:pPr>
                </w:p>
              </w:tc>
              <w:tc>
                <w:tcPr>
                  <w:tcW w:w="299" w:type="pct"/>
                  <w:vMerge w:val="continue"/>
                  <w:vAlign w:val="center"/>
                </w:tcPr>
                <w:p w14:paraId="7FD9C450">
                  <w:pPr>
                    <w:pStyle w:val="76"/>
                    <w:jc w:val="center"/>
                    <w:rPr>
                      <w:rFonts w:ascii="Times New Roman" w:hAnsi="Times New Roman"/>
                      <w:color w:val="auto"/>
                      <w:szCs w:val="21"/>
                      <w:u w:val="single"/>
                    </w:rPr>
                  </w:pPr>
                </w:p>
              </w:tc>
              <w:tc>
                <w:tcPr>
                  <w:tcW w:w="596" w:type="pct"/>
                  <w:vMerge w:val="continue"/>
                  <w:vAlign w:val="center"/>
                </w:tcPr>
                <w:p w14:paraId="604D2E7E">
                  <w:pPr>
                    <w:pStyle w:val="76"/>
                    <w:jc w:val="center"/>
                    <w:rPr>
                      <w:rFonts w:ascii="Times New Roman" w:hAnsi="Times New Roman"/>
                      <w:color w:val="auto"/>
                      <w:szCs w:val="21"/>
                      <w:u w:val="single"/>
                    </w:rPr>
                  </w:pPr>
                </w:p>
              </w:tc>
              <w:tc>
                <w:tcPr>
                  <w:tcW w:w="503" w:type="pct"/>
                  <w:vMerge w:val="continue"/>
                  <w:vAlign w:val="center"/>
                </w:tcPr>
                <w:p w14:paraId="0BFD7450">
                  <w:pPr>
                    <w:pStyle w:val="76"/>
                    <w:jc w:val="center"/>
                    <w:rPr>
                      <w:rFonts w:ascii="Times New Roman" w:hAnsi="Times New Roman"/>
                      <w:color w:val="auto"/>
                      <w:szCs w:val="21"/>
                      <w:u w:val="single"/>
                    </w:rPr>
                  </w:pPr>
                </w:p>
              </w:tc>
              <w:tc>
                <w:tcPr>
                  <w:tcW w:w="170" w:type="pct"/>
                  <w:vMerge w:val="continue"/>
                  <w:vAlign w:val="center"/>
                </w:tcPr>
                <w:p w14:paraId="1563E10E">
                  <w:pPr>
                    <w:pStyle w:val="76"/>
                    <w:jc w:val="center"/>
                    <w:rPr>
                      <w:rFonts w:ascii="Times New Roman" w:hAnsi="Times New Roman"/>
                      <w:color w:val="auto"/>
                      <w:szCs w:val="21"/>
                      <w:u w:val="single"/>
                    </w:rPr>
                  </w:pPr>
                </w:p>
              </w:tc>
              <w:tc>
                <w:tcPr>
                  <w:tcW w:w="170" w:type="pct"/>
                  <w:vMerge w:val="continue"/>
                  <w:vAlign w:val="center"/>
                </w:tcPr>
                <w:p w14:paraId="33BD8E35">
                  <w:pPr>
                    <w:pStyle w:val="76"/>
                    <w:jc w:val="center"/>
                    <w:rPr>
                      <w:rFonts w:ascii="Times New Roman" w:hAnsi="Times New Roman"/>
                      <w:color w:val="auto"/>
                      <w:szCs w:val="21"/>
                      <w:u w:val="single"/>
                    </w:rPr>
                  </w:pPr>
                </w:p>
              </w:tc>
              <w:tc>
                <w:tcPr>
                  <w:tcW w:w="125" w:type="pct"/>
                  <w:vMerge w:val="continue"/>
                  <w:vAlign w:val="center"/>
                </w:tcPr>
                <w:p w14:paraId="0A0562F8">
                  <w:pPr>
                    <w:pStyle w:val="76"/>
                    <w:jc w:val="center"/>
                    <w:rPr>
                      <w:rFonts w:ascii="Times New Roman" w:hAnsi="Times New Roman"/>
                      <w:color w:val="auto"/>
                      <w:szCs w:val="21"/>
                      <w:u w:val="single"/>
                    </w:rPr>
                  </w:pPr>
                </w:p>
              </w:tc>
              <w:tc>
                <w:tcPr>
                  <w:tcW w:w="208" w:type="pct"/>
                  <w:vAlign w:val="center"/>
                </w:tcPr>
                <w:p w14:paraId="0BB28429">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5A84D7FC">
                  <w:pPr>
                    <w:pStyle w:val="76"/>
                    <w:jc w:val="center"/>
                    <w:rPr>
                      <w:rFonts w:ascii="Times New Roman" w:hAnsi="Times New Roman"/>
                      <w:color w:val="auto"/>
                      <w:szCs w:val="21"/>
                      <w:u w:val="single"/>
                    </w:rPr>
                  </w:pPr>
                  <w:r>
                    <w:rPr>
                      <w:rFonts w:hint="eastAsia" w:ascii="Times New Roman" w:hAnsi="Times New Roman"/>
                      <w:color w:val="auto"/>
                      <w:szCs w:val="21"/>
                      <w:u w:val="single"/>
                    </w:rPr>
                    <w:t>10</w:t>
                  </w:r>
                </w:p>
              </w:tc>
              <w:tc>
                <w:tcPr>
                  <w:tcW w:w="405" w:type="pct"/>
                  <w:vAlign w:val="center"/>
                </w:tcPr>
                <w:p w14:paraId="355EB624">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continue"/>
                  <w:vAlign w:val="center"/>
                </w:tcPr>
                <w:p w14:paraId="0D7E4385">
                  <w:pPr>
                    <w:pStyle w:val="76"/>
                    <w:jc w:val="center"/>
                    <w:rPr>
                      <w:rFonts w:ascii="Times New Roman" w:hAnsi="Times New Roman"/>
                      <w:color w:val="auto"/>
                      <w:szCs w:val="21"/>
                      <w:u w:val="single"/>
                    </w:rPr>
                  </w:pPr>
                </w:p>
              </w:tc>
              <w:tc>
                <w:tcPr>
                  <w:tcW w:w="436" w:type="pct"/>
                  <w:vMerge w:val="continue"/>
                  <w:vAlign w:val="center"/>
                </w:tcPr>
                <w:p w14:paraId="3FF100E2">
                  <w:pPr>
                    <w:pStyle w:val="76"/>
                    <w:jc w:val="center"/>
                    <w:rPr>
                      <w:rFonts w:ascii="Times New Roman" w:hAnsi="Times New Roman"/>
                      <w:color w:val="auto"/>
                      <w:szCs w:val="21"/>
                      <w:u w:val="single"/>
                    </w:rPr>
                  </w:pPr>
                </w:p>
              </w:tc>
              <w:tc>
                <w:tcPr>
                  <w:tcW w:w="272" w:type="pct"/>
                  <w:vAlign w:val="center"/>
                </w:tcPr>
                <w:p w14:paraId="1BBBC774">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0DDF6F75">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vAlign w:val="center"/>
                </w:tcPr>
                <w:p w14:paraId="4FC38577">
                  <w:pPr>
                    <w:pStyle w:val="76"/>
                    <w:jc w:val="center"/>
                    <w:rPr>
                      <w:rFonts w:ascii="Times New Roman" w:hAnsi="Times New Roman"/>
                      <w:color w:val="auto"/>
                      <w:szCs w:val="21"/>
                      <w:u w:val="single"/>
                    </w:rPr>
                  </w:pPr>
                </w:p>
              </w:tc>
            </w:tr>
            <w:tr w14:paraId="4F3EBE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364596D6">
                  <w:pPr>
                    <w:pStyle w:val="76"/>
                    <w:jc w:val="center"/>
                    <w:rPr>
                      <w:rFonts w:ascii="Times New Roman" w:hAnsi="Times New Roman"/>
                      <w:color w:val="auto"/>
                      <w:szCs w:val="21"/>
                      <w:u w:val="single"/>
                    </w:rPr>
                  </w:pPr>
                </w:p>
              </w:tc>
              <w:tc>
                <w:tcPr>
                  <w:tcW w:w="163" w:type="pct"/>
                  <w:vMerge w:val="continue"/>
                  <w:vAlign w:val="center"/>
                </w:tcPr>
                <w:p w14:paraId="26B854C1">
                  <w:pPr>
                    <w:pStyle w:val="76"/>
                    <w:jc w:val="center"/>
                    <w:rPr>
                      <w:rFonts w:ascii="Times New Roman" w:hAnsi="Times New Roman"/>
                      <w:color w:val="auto"/>
                      <w:szCs w:val="21"/>
                      <w:u w:val="single"/>
                    </w:rPr>
                  </w:pPr>
                </w:p>
              </w:tc>
              <w:tc>
                <w:tcPr>
                  <w:tcW w:w="299" w:type="pct"/>
                  <w:vMerge w:val="continue"/>
                  <w:vAlign w:val="center"/>
                </w:tcPr>
                <w:p w14:paraId="08982EC2">
                  <w:pPr>
                    <w:pStyle w:val="76"/>
                    <w:jc w:val="center"/>
                    <w:rPr>
                      <w:rFonts w:ascii="Times New Roman" w:hAnsi="Times New Roman"/>
                      <w:color w:val="auto"/>
                      <w:szCs w:val="21"/>
                      <w:u w:val="single"/>
                    </w:rPr>
                  </w:pPr>
                </w:p>
              </w:tc>
              <w:tc>
                <w:tcPr>
                  <w:tcW w:w="596" w:type="pct"/>
                  <w:vMerge w:val="continue"/>
                  <w:vAlign w:val="center"/>
                </w:tcPr>
                <w:p w14:paraId="51467642">
                  <w:pPr>
                    <w:pStyle w:val="76"/>
                    <w:jc w:val="center"/>
                    <w:rPr>
                      <w:rFonts w:ascii="Times New Roman" w:hAnsi="Times New Roman"/>
                      <w:color w:val="auto"/>
                      <w:szCs w:val="21"/>
                      <w:u w:val="single"/>
                    </w:rPr>
                  </w:pPr>
                </w:p>
              </w:tc>
              <w:tc>
                <w:tcPr>
                  <w:tcW w:w="503" w:type="pct"/>
                  <w:vMerge w:val="continue"/>
                  <w:vAlign w:val="center"/>
                </w:tcPr>
                <w:p w14:paraId="17339B25">
                  <w:pPr>
                    <w:pStyle w:val="76"/>
                    <w:jc w:val="center"/>
                    <w:rPr>
                      <w:rFonts w:ascii="Times New Roman" w:hAnsi="Times New Roman"/>
                      <w:color w:val="auto"/>
                      <w:szCs w:val="21"/>
                      <w:u w:val="single"/>
                    </w:rPr>
                  </w:pPr>
                </w:p>
              </w:tc>
              <w:tc>
                <w:tcPr>
                  <w:tcW w:w="170" w:type="pct"/>
                  <w:vMerge w:val="continue"/>
                  <w:vAlign w:val="center"/>
                </w:tcPr>
                <w:p w14:paraId="31D393C3">
                  <w:pPr>
                    <w:pStyle w:val="76"/>
                    <w:jc w:val="center"/>
                    <w:rPr>
                      <w:rFonts w:ascii="Times New Roman" w:hAnsi="Times New Roman"/>
                      <w:color w:val="auto"/>
                      <w:szCs w:val="21"/>
                      <w:u w:val="single"/>
                    </w:rPr>
                  </w:pPr>
                </w:p>
              </w:tc>
              <w:tc>
                <w:tcPr>
                  <w:tcW w:w="170" w:type="pct"/>
                  <w:vMerge w:val="continue"/>
                  <w:vAlign w:val="center"/>
                </w:tcPr>
                <w:p w14:paraId="1CD877F5">
                  <w:pPr>
                    <w:pStyle w:val="76"/>
                    <w:jc w:val="center"/>
                    <w:rPr>
                      <w:rFonts w:ascii="Times New Roman" w:hAnsi="Times New Roman"/>
                      <w:color w:val="auto"/>
                      <w:szCs w:val="21"/>
                      <w:u w:val="single"/>
                    </w:rPr>
                  </w:pPr>
                </w:p>
              </w:tc>
              <w:tc>
                <w:tcPr>
                  <w:tcW w:w="125" w:type="pct"/>
                  <w:vMerge w:val="continue"/>
                  <w:vAlign w:val="center"/>
                </w:tcPr>
                <w:p w14:paraId="377EBCDC">
                  <w:pPr>
                    <w:pStyle w:val="76"/>
                    <w:jc w:val="center"/>
                    <w:rPr>
                      <w:rFonts w:ascii="Times New Roman" w:hAnsi="Times New Roman"/>
                      <w:color w:val="auto"/>
                      <w:szCs w:val="21"/>
                      <w:u w:val="single"/>
                    </w:rPr>
                  </w:pPr>
                </w:p>
              </w:tc>
              <w:tc>
                <w:tcPr>
                  <w:tcW w:w="208" w:type="pct"/>
                  <w:vAlign w:val="center"/>
                </w:tcPr>
                <w:p w14:paraId="14200902">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2C065756">
                  <w:pPr>
                    <w:pStyle w:val="76"/>
                    <w:jc w:val="center"/>
                    <w:rPr>
                      <w:rFonts w:ascii="Times New Roman" w:hAnsi="Times New Roman"/>
                      <w:color w:val="auto"/>
                      <w:szCs w:val="21"/>
                      <w:u w:val="single"/>
                    </w:rPr>
                  </w:pPr>
                  <w:r>
                    <w:rPr>
                      <w:rFonts w:ascii="Times New Roman" w:hAnsi="Times New Roman"/>
                      <w:color w:val="auto"/>
                      <w:szCs w:val="21"/>
                      <w:u w:val="single"/>
                    </w:rPr>
                    <w:t>62</w:t>
                  </w:r>
                </w:p>
              </w:tc>
              <w:tc>
                <w:tcPr>
                  <w:tcW w:w="405" w:type="pct"/>
                  <w:vAlign w:val="center"/>
                </w:tcPr>
                <w:p w14:paraId="0A514E45">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continue"/>
                  <w:vAlign w:val="center"/>
                </w:tcPr>
                <w:p w14:paraId="6C34603D">
                  <w:pPr>
                    <w:pStyle w:val="76"/>
                    <w:jc w:val="center"/>
                    <w:rPr>
                      <w:rFonts w:ascii="Times New Roman" w:hAnsi="Times New Roman"/>
                      <w:color w:val="auto"/>
                      <w:szCs w:val="21"/>
                      <w:u w:val="single"/>
                    </w:rPr>
                  </w:pPr>
                </w:p>
              </w:tc>
              <w:tc>
                <w:tcPr>
                  <w:tcW w:w="436" w:type="pct"/>
                  <w:vMerge w:val="continue"/>
                  <w:vAlign w:val="center"/>
                </w:tcPr>
                <w:p w14:paraId="305D06B0">
                  <w:pPr>
                    <w:pStyle w:val="76"/>
                    <w:jc w:val="center"/>
                    <w:rPr>
                      <w:rFonts w:ascii="Times New Roman" w:hAnsi="Times New Roman"/>
                      <w:color w:val="auto"/>
                      <w:szCs w:val="21"/>
                      <w:u w:val="single"/>
                    </w:rPr>
                  </w:pPr>
                </w:p>
              </w:tc>
              <w:tc>
                <w:tcPr>
                  <w:tcW w:w="272" w:type="pct"/>
                  <w:vAlign w:val="center"/>
                </w:tcPr>
                <w:p w14:paraId="7BD65198">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6805353E">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vAlign w:val="center"/>
                </w:tcPr>
                <w:p w14:paraId="2AD883A3">
                  <w:pPr>
                    <w:pStyle w:val="76"/>
                    <w:jc w:val="center"/>
                    <w:rPr>
                      <w:rFonts w:ascii="Times New Roman" w:hAnsi="Times New Roman"/>
                      <w:color w:val="auto"/>
                      <w:szCs w:val="21"/>
                      <w:u w:val="single"/>
                    </w:rPr>
                  </w:pPr>
                </w:p>
              </w:tc>
            </w:tr>
            <w:tr w14:paraId="78BEF8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13" w:type="pct"/>
                  <w:vMerge w:val="continue"/>
                  <w:vAlign w:val="center"/>
                </w:tcPr>
                <w:p w14:paraId="3513E7B9">
                  <w:pPr>
                    <w:pStyle w:val="76"/>
                    <w:jc w:val="center"/>
                    <w:rPr>
                      <w:rFonts w:ascii="Times New Roman" w:hAnsi="Times New Roman"/>
                      <w:color w:val="auto"/>
                      <w:szCs w:val="21"/>
                      <w:u w:val="single"/>
                    </w:rPr>
                  </w:pPr>
                </w:p>
              </w:tc>
              <w:tc>
                <w:tcPr>
                  <w:tcW w:w="163" w:type="pct"/>
                  <w:vMerge w:val="continue"/>
                  <w:vAlign w:val="center"/>
                </w:tcPr>
                <w:p w14:paraId="57AD7055">
                  <w:pPr>
                    <w:pStyle w:val="76"/>
                    <w:jc w:val="center"/>
                    <w:rPr>
                      <w:rFonts w:ascii="Times New Roman" w:hAnsi="Times New Roman"/>
                      <w:color w:val="auto"/>
                      <w:szCs w:val="21"/>
                      <w:u w:val="single"/>
                    </w:rPr>
                  </w:pPr>
                </w:p>
              </w:tc>
              <w:tc>
                <w:tcPr>
                  <w:tcW w:w="299" w:type="pct"/>
                  <w:vMerge w:val="continue"/>
                  <w:vAlign w:val="center"/>
                </w:tcPr>
                <w:p w14:paraId="33BB5BB3">
                  <w:pPr>
                    <w:pStyle w:val="76"/>
                    <w:jc w:val="center"/>
                    <w:rPr>
                      <w:rFonts w:ascii="Times New Roman" w:hAnsi="Times New Roman"/>
                      <w:color w:val="auto"/>
                      <w:szCs w:val="21"/>
                      <w:u w:val="single"/>
                    </w:rPr>
                  </w:pPr>
                </w:p>
              </w:tc>
              <w:tc>
                <w:tcPr>
                  <w:tcW w:w="596" w:type="pct"/>
                  <w:vMerge w:val="continue"/>
                  <w:vAlign w:val="center"/>
                </w:tcPr>
                <w:p w14:paraId="35B9AE4E">
                  <w:pPr>
                    <w:pStyle w:val="76"/>
                    <w:jc w:val="center"/>
                    <w:rPr>
                      <w:rFonts w:ascii="Times New Roman" w:hAnsi="Times New Roman"/>
                      <w:color w:val="auto"/>
                      <w:szCs w:val="21"/>
                      <w:u w:val="single"/>
                    </w:rPr>
                  </w:pPr>
                </w:p>
              </w:tc>
              <w:tc>
                <w:tcPr>
                  <w:tcW w:w="503" w:type="pct"/>
                  <w:vMerge w:val="continue"/>
                  <w:vAlign w:val="center"/>
                </w:tcPr>
                <w:p w14:paraId="2F60BCBB">
                  <w:pPr>
                    <w:pStyle w:val="76"/>
                    <w:jc w:val="center"/>
                    <w:rPr>
                      <w:rFonts w:ascii="Times New Roman" w:hAnsi="Times New Roman"/>
                      <w:color w:val="auto"/>
                      <w:szCs w:val="21"/>
                      <w:u w:val="single"/>
                    </w:rPr>
                  </w:pPr>
                </w:p>
              </w:tc>
              <w:tc>
                <w:tcPr>
                  <w:tcW w:w="170" w:type="pct"/>
                  <w:vMerge w:val="continue"/>
                  <w:vAlign w:val="center"/>
                </w:tcPr>
                <w:p w14:paraId="2D3515F8">
                  <w:pPr>
                    <w:pStyle w:val="76"/>
                    <w:jc w:val="center"/>
                    <w:rPr>
                      <w:rFonts w:ascii="Times New Roman" w:hAnsi="Times New Roman"/>
                      <w:color w:val="auto"/>
                      <w:szCs w:val="21"/>
                      <w:u w:val="single"/>
                    </w:rPr>
                  </w:pPr>
                </w:p>
              </w:tc>
              <w:tc>
                <w:tcPr>
                  <w:tcW w:w="170" w:type="pct"/>
                  <w:vMerge w:val="continue"/>
                  <w:vAlign w:val="center"/>
                </w:tcPr>
                <w:p w14:paraId="6898A23C">
                  <w:pPr>
                    <w:pStyle w:val="76"/>
                    <w:jc w:val="center"/>
                    <w:rPr>
                      <w:rFonts w:ascii="Times New Roman" w:hAnsi="Times New Roman"/>
                      <w:color w:val="auto"/>
                      <w:szCs w:val="21"/>
                      <w:u w:val="single"/>
                    </w:rPr>
                  </w:pPr>
                </w:p>
              </w:tc>
              <w:tc>
                <w:tcPr>
                  <w:tcW w:w="125" w:type="pct"/>
                  <w:vMerge w:val="continue"/>
                  <w:vAlign w:val="center"/>
                </w:tcPr>
                <w:p w14:paraId="4294BB27">
                  <w:pPr>
                    <w:pStyle w:val="76"/>
                    <w:jc w:val="center"/>
                    <w:rPr>
                      <w:rFonts w:ascii="Times New Roman" w:hAnsi="Times New Roman"/>
                      <w:color w:val="auto"/>
                      <w:szCs w:val="21"/>
                      <w:u w:val="single"/>
                    </w:rPr>
                  </w:pPr>
                </w:p>
              </w:tc>
              <w:tc>
                <w:tcPr>
                  <w:tcW w:w="208" w:type="pct"/>
                  <w:vAlign w:val="center"/>
                </w:tcPr>
                <w:p w14:paraId="5EDC9B76">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5044E4F8">
                  <w:pPr>
                    <w:pStyle w:val="76"/>
                    <w:jc w:val="center"/>
                    <w:rPr>
                      <w:rFonts w:ascii="Times New Roman" w:hAnsi="Times New Roman"/>
                      <w:color w:val="auto"/>
                      <w:szCs w:val="21"/>
                      <w:u w:val="single"/>
                    </w:rPr>
                  </w:pPr>
                  <w:r>
                    <w:rPr>
                      <w:rFonts w:ascii="Times New Roman" w:hAnsi="Times New Roman"/>
                      <w:color w:val="auto"/>
                      <w:szCs w:val="21"/>
                      <w:u w:val="single"/>
                    </w:rPr>
                    <w:t>15</w:t>
                  </w:r>
                </w:p>
              </w:tc>
              <w:tc>
                <w:tcPr>
                  <w:tcW w:w="405" w:type="pct"/>
                  <w:vAlign w:val="center"/>
                </w:tcPr>
                <w:p w14:paraId="7E10D588">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0</w:t>
                  </w:r>
                </w:p>
              </w:tc>
              <w:tc>
                <w:tcPr>
                  <w:tcW w:w="548" w:type="pct"/>
                  <w:vMerge w:val="continue"/>
                  <w:vAlign w:val="center"/>
                </w:tcPr>
                <w:p w14:paraId="66DCC1A2">
                  <w:pPr>
                    <w:pStyle w:val="76"/>
                    <w:jc w:val="center"/>
                    <w:rPr>
                      <w:rFonts w:ascii="Times New Roman" w:hAnsi="Times New Roman"/>
                      <w:color w:val="auto"/>
                      <w:szCs w:val="21"/>
                      <w:u w:val="single"/>
                    </w:rPr>
                  </w:pPr>
                </w:p>
              </w:tc>
              <w:tc>
                <w:tcPr>
                  <w:tcW w:w="436" w:type="pct"/>
                  <w:vMerge w:val="continue"/>
                  <w:vAlign w:val="center"/>
                </w:tcPr>
                <w:p w14:paraId="3DFD4E2D">
                  <w:pPr>
                    <w:pStyle w:val="76"/>
                    <w:jc w:val="center"/>
                    <w:rPr>
                      <w:rFonts w:ascii="Times New Roman" w:hAnsi="Times New Roman"/>
                      <w:color w:val="auto"/>
                      <w:szCs w:val="21"/>
                      <w:u w:val="single"/>
                    </w:rPr>
                  </w:pPr>
                </w:p>
              </w:tc>
              <w:tc>
                <w:tcPr>
                  <w:tcW w:w="272" w:type="pct"/>
                  <w:vAlign w:val="center"/>
                </w:tcPr>
                <w:p w14:paraId="39ACE486">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38C7A9CB">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0</w:t>
                  </w:r>
                </w:p>
              </w:tc>
              <w:tc>
                <w:tcPr>
                  <w:tcW w:w="311" w:type="pct"/>
                  <w:vMerge w:val="continue"/>
                  <w:vAlign w:val="center"/>
                </w:tcPr>
                <w:p w14:paraId="5EC9A4AA">
                  <w:pPr>
                    <w:pStyle w:val="76"/>
                    <w:jc w:val="center"/>
                    <w:rPr>
                      <w:rFonts w:ascii="Times New Roman" w:hAnsi="Times New Roman"/>
                      <w:color w:val="auto"/>
                      <w:szCs w:val="21"/>
                      <w:u w:val="single"/>
                    </w:rPr>
                  </w:pPr>
                </w:p>
              </w:tc>
            </w:tr>
            <w:tr w14:paraId="4C7FD8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514B8D49">
                  <w:pPr>
                    <w:pStyle w:val="76"/>
                    <w:numPr>
                      <w:ilvl w:val="0"/>
                      <w:numId w:val="7"/>
                    </w:numPr>
                    <w:jc w:val="center"/>
                    <w:rPr>
                      <w:rFonts w:ascii="Times New Roman" w:hAnsi="Times New Roman"/>
                      <w:color w:val="auto"/>
                      <w:szCs w:val="21"/>
                      <w:u w:val="single"/>
                    </w:rPr>
                  </w:pPr>
                </w:p>
              </w:tc>
              <w:tc>
                <w:tcPr>
                  <w:tcW w:w="163" w:type="pct"/>
                  <w:vMerge w:val="continue"/>
                  <w:vAlign w:val="center"/>
                </w:tcPr>
                <w:p w14:paraId="5A7800A9">
                  <w:pPr>
                    <w:pStyle w:val="76"/>
                    <w:jc w:val="center"/>
                    <w:rPr>
                      <w:rFonts w:ascii="Times New Roman" w:hAnsi="Times New Roman"/>
                      <w:color w:val="auto"/>
                      <w:szCs w:val="21"/>
                      <w:u w:val="single"/>
                    </w:rPr>
                  </w:pPr>
                </w:p>
              </w:tc>
              <w:tc>
                <w:tcPr>
                  <w:tcW w:w="299" w:type="pct"/>
                  <w:vMerge w:val="restart"/>
                  <w:vAlign w:val="center"/>
                </w:tcPr>
                <w:p w14:paraId="48BE36C0">
                  <w:pPr>
                    <w:pStyle w:val="76"/>
                    <w:jc w:val="center"/>
                    <w:rPr>
                      <w:rFonts w:ascii="Times New Roman" w:hAnsi="Times New Roman"/>
                      <w:color w:val="auto"/>
                      <w:szCs w:val="21"/>
                      <w:u w:val="single"/>
                    </w:rPr>
                  </w:pPr>
                  <w:r>
                    <w:rPr>
                      <w:rFonts w:ascii="Times New Roman" w:hAnsi="Times New Roman"/>
                      <w:color w:val="auto"/>
                      <w:szCs w:val="21"/>
                      <w:u w:val="single"/>
                    </w:rPr>
                    <w:t>升降式震动紧实台</w:t>
                  </w:r>
                </w:p>
              </w:tc>
              <w:tc>
                <w:tcPr>
                  <w:tcW w:w="596" w:type="pct"/>
                  <w:vMerge w:val="restart"/>
                  <w:vAlign w:val="center"/>
                </w:tcPr>
                <w:p w14:paraId="4447380B">
                  <w:pPr>
                    <w:pStyle w:val="88"/>
                    <w:rPr>
                      <w:color w:val="auto"/>
                      <w:szCs w:val="21"/>
                      <w:u w:val="single"/>
                    </w:rPr>
                  </w:pPr>
                  <w:r>
                    <w:rPr>
                      <w:color w:val="auto"/>
                      <w:u w:val="single"/>
                    </w:rPr>
                    <w:t>85</w:t>
                  </w:r>
                </w:p>
              </w:tc>
              <w:tc>
                <w:tcPr>
                  <w:tcW w:w="503" w:type="pct"/>
                  <w:vMerge w:val="restart"/>
                  <w:vAlign w:val="center"/>
                </w:tcPr>
                <w:p w14:paraId="7B3DE518">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108AC787">
                  <w:pPr>
                    <w:pStyle w:val="76"/>
                    <w:jc w:val="center"/>
                    <w:rPr>
                      <w:rFonts w:ascii="Times New Roman" w:hAnsi="Times New Roman"/>
                      <w:color w:val="auto"/>
                      <w:szCs w:val="21"/>
                      <w:u w:val="single"/>
                    </w:rPr>
                  </w:pPr>
                  <w:r>
                    <w:rPr>
                      <w:rFonts w:hint="eastAsia" w:ascii="Times New Roman" w:hAnsi="Times New Roman"/>
                      <w:color w:val="auto"/>
                      <w:szCs w:val="21"/>
                      <w:u w:val="single"/>
                    </w:rPr>
                    <w:t>-6</w:t>
                  </w:r>
                </w:p>
              </w:tc>
              <w:tc>
                <w:tcPr>
                  <w:tcW w:w="170" w:type="pct"/>
                  <w:vMerge w:val="restart"/>
                  <w:vAlign w:val="center"/>
                </w:tcPr>
                <w:p w14:paraId="3715389F">
                  <w:pPr>
                    <w:pStyle w:val="76"/>
                    <w:jc w:val="center"/>
                    <w:rPr>
                      <w:rFonts w:ascii="Times New Roman" w:hAnsi="Times New Roman"/>
                      <w:color w:val="auto"/>
                      <w:szCs w:val="21"/>
                      <w:u w:val="single"/>
                    </w:rPr>
                  </w:pPr>
                  <w:r>
                    <w:rPr>
                      <w:rFonts w:ascii="Times New Roman" w:hAnsi="Times New Roman"/>
                      <w:color w:val="auto"/>
                      <w:szCs w:val="21"/>
                      <w:u w:val="single"/>
                    </w:rPr>
                    <w:t>9</w:t>
                  </w:r>
                </w:p>
              </w:tc>
              <w:tc>
                <w:tcPr>
                  <w:tcW w:w="125" w:type="pct"/>
                  <w:vMerge w:val="restart"/>
                  <w:vAlign w:val="center"/>
                </w:tcPr>
                <w:p w14:paraId="4429F68A">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18E3F09D">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7B9280C3">
                  <w:pPr>
                    <w:pStyle w:val="76"/>
                    <w:jc w:val="center"/>
                    <w:rPr>
                      <w:rFonts w:ascii="Times New Roman" w:hAnsi="Times New Roman"/>
                      <w:color w:val="auto"/>
                      <w:szCs w:val="21"/>
                      <w:u w:val="single"/>
                    </w:rPr>
                  </w:pPr>
                  <w:r>
                    <w:rPr>
                      <w:rFonts w:ascii="Times New Roman" w:hAnsi="Times New Roman"/>
                      <w:color w:val="auto"/>
                      <w:szCs w:val="21"/>
                      <w:u w:val="single"/>
                    </w:rPr>
                    <w:t>45</w:t>
                  </w:r>
                </w:p>
              </w:tc>
              <w:tc>
                <w:tcPr>
                  <w:tcW w:w="405" w:type="pct"/>
                  <w:vAlign w:val="center"/>
                </w:tcPr>
                <w:p w14:paraId="3E62AEDA">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restart"/>
                  <w:vAlign w:val="center"/>
                </w:tcPr>
                <w:p w14:paraId="6ADABE54">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64C49440">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64783F47">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74207370">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restart"/>
                  <w:vAlign w:val="center"/>
                </w:tcPr>
                <w:p w14:paraId="1BF97811">
                  <w:pPr>
                    <w:pStyle w:val="76"/>
                    <w:jc w:val="center"/>
                    <w:rPr>
                      <w:rFonts w:ascii="Times New Roman" w:hAnsi="Times New Roman"/>
                      <w:color w:val="auto"/>
                      <w:szCs w:val="21"/>
                      <w:u w:val="single"/>
                      <w:lang w:bidi="zh-CN"/>
                    </w:rPr>
                  </w:pPr>
                  <w:r>
                    <w:rPr>
                      <w:rFonts w:ascii="Times New Roman" w:hAnsi="Times New Roman"/>
                      <w:color w:val="auto"/>
                      <w:szCs w:val="21"/>
                      <w:u w:val="single"/>
                    </w:rPr>
                    <w:t>1m</w:t>
                  </w:r>
                </w:p>
              </w:tc>
            </w:tr>
            <w:tr w14:paraId="4327E6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5FA93187">
                  <w:pPr>
                    <w:pStyle w:val="76"/>
                    <w:jc w:val="center"/>
                    <w:rPr>
                      <w:rFonts w:ascii="Times New Roman" w:hAnsi="Times New Roman"/>
                      <w:color w:val="auto"/>
                      <w:szCs w:val="21"/>
                      <w:u w:val="single"/>
                    </w:rPr>
                  </w:pPr>
                </w:p>
              </w:tc>
              <w:tc>
                <w:tcPr>
                  <w:tcW w:w="163" w:type="pct"/>
                  <w:vMerge w:val="continue"/>
                  <w:vAlign w:val="center"/>
                </w:tcPr>
                <w:p w14:paraId="78DDF476">
                  <w:pPr>
                    <w:pStyle w:val="76"/>
                    <w:jc w:val="center"/>
                    <w:rPr>
                      <w:rFonts w:ascii="Times New Roman" w:hAnsi="Times New Roman"/>
                      <w:color w:val="auto"/>
                      <w:szCs w:val="21"/>
                      <w:u w:val="single"/>
                    </w:rPr>
                  </w:pPr>
                </w:p>
              </w:tc>
              <w:tc>
                <w:tcPr>
                  <w:tcW w:w="299" w:type="pct"/>
                  <w:vMerge w:val="continue"/>
                  <w:vAlign w:val="center"/>
                </w:tcPr>
                <w:p w14:paraId="75F84CB3">
                  <w:pPr>
                    <w:pStyle w:val="76"/>
                    <w:jc w:val="center"/>
                    <w:rPr>
                      <w:rFonts w:ascii="Times New Roman" w:hAnsi="Times New Roman"/>
                      <w:color w:val="auto"/>
                      <w:szCs w:val="21"/>
                      <w:u w:val="single"/>
                    </w:rPr>
                  </w:pPr>
                </w:p>
              </w:tc>
              <w:tc>
                <w:tcPr>
                  <w:tcW w:w="596" w:type="pct"/>
                  <w:vMerge w:val="continue"/>
                  <w:vAlign w:val="center"/>
                </w:tcPr>
                <w:p w14:paraId="51A3565A">
                  <w:pPr>
                    <w:pStyle w:val="76"/>
                    <w:jc w:val="center"/>
                    <w:rPr>
                      <w:rFonts w:ascii="Times New Roman" w:hAnsi="Times New Roman"/>
                      <w:color w:val="auto"/>
                      <w:szCs w:val="21"/>
                      <w:u w:val="single"/>
                    </w:rPr>
                  </w:pPr>
                </w:p>
              </w:tc>
              <w:tc>
                <w:tcPr>
                  <w:tcW w:w="503" w:type="pct"/>
                  <w:vMerge w:val="continue"/>
                  <w:vAlign w:val="center"/>
                </w:tcPr>
                <w:p w14:paraId="0234A71F">
                  <w:pPr>
                    <w:pStyle w:val="76"/>
                    <w:jc w:val="center"/>
                    <w:rPr>
                      <w:rFonts w:ascii="Times New Roman" w:hAnsi="Times New Roman"/>
                      <w:color w:val="auto"/>
                      <w:szCs w:val="21"/>
                      <w:u w:val="single"/>
                    </w:rPr>
                  </w:pPr>
                </w:p>
              </w:tc>
              <w:tc>
                <w:tcPr>
                  <w:tcW w:w="170" w:type="pct"/>
                  <w:vMerge w:val="continue"/>
                  <w:vAlign w:val="center"/>
                </w:tcPr>
                <w:p w14:paraId="38FBFD5F">
                  <w:pPr>
                    <w:pStyle w:val="76"/>
                    <w:jc w:val="center"/>
                    <w:rPr>
                      <w:rFonts w:ascii="Times New Roman" w:hAnsi="Times New Roman"/>
                      <w:color w:val="auto"/>
                      <w:szCs w:val="21"/>
                      <w:u w:val="single"/>
                    </w:rPr>
                  </w:pPr>
                </w:p>
              </w:tc>
              <w:tc>
                <w:tcPr>
                  <w:tcW w:w="170" w:type="pct"/>
                  <w:vMerge w:val="continue"/>
                  <w:vAlign w:val="center"/>
                </w:tcPr>
                <w:p w14:paraId="3633E654">
                  <w:pPr>
                    <w:pStyle w:val="76"/>
                    <w:jc w:val="center"/>
                    <w:rPr>
                      <w:rFonts w:ascii="Times New Roman" w:hAnsi="Times New Roman"/>
                      <w:color w:val="auto"/>
                      <w:szCs w:val="21"/>
                      <w:u w:val="single"/>
                    </w:rPr>
                  </w:pPr>
                </w:p>
              </w:tc>
              <w:tc>
                <w:tcPr>
                  <w:tcW w:w="125" w:type="pct"/>
                  <w:vMerge w:val="continue"/>
                  <w:vAlign w:val="center"/>
                </w:tcPr>
                <w:p w14:paraId="0017F392">
                  <w:pPr>
                    <w:pStyle w:val="76"/>
                    <w:jc w:val="center"/>
                    <w:rPr>
                      <w:rFonts w:ascii="Times New Roman" w:hAnsi="Times New Roman"/>
                      <w:color w:val="auto"/>
                      <w:szCs w:val="21"/>
                      <w:u w:val="single"/>
                    </w:rPr>
                  </w:pPr>
                </w:p>
              </w:tc>
              <w:tc>
                <w:tcPr>
                  <w:tcW w:w="208" w:type="pct"/>
                  <w:vAlign w:val="center"/>
                </w:tcPr>
                <w:p w14:paraId="31E7CD5B">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24BDE112">
                  <w:pPr>
                    <w:pStyle w:val="76"/>
                    <w:jc w:val="center"/>
                    <w:rPr>
                      <w:rFonts w:ascii="Times New Roman" w:hAnsi="Times New Roman"/>
                      <w:color w:val="auto"/>
                      <w:szCs w:val="21"/>
                      <w:u w:val="single"/>
                    </w:rPr>
                  </w:pPr>
                  <w:r>
                    <w:rPr>
                      <w:rFonts w:ascii="Times New Roman" w:hAnsi="Times New Roman"/>
                      <w:color w:val="auto"/>
                      <w:szCs w:val="21"/>
                      <w:u w:val="single"/>
                    </w:rPr>
                    <w:t>15</w:t>
                  </w:r>
                </w:p>
              </w:tc>
              <w:tc>
                <w:tcPr>
                  <w:tcW w:w="405" w:type="pct"/>
                  <w:vAlign w:val="center"/>
                </w:tcPr>
                <w:p w14:paraId="23703BD1">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continue"/>
                  <w:vAlign w:val="center"/>
                </w:tcPr>
                <w:p w14:paraId="23B39752">
                  <w:pPr>
                    <w:pStyle w:val="76"/>
                    <w:jc w:val="center"/>
                    <w:rPr>
                      <w:rFonts w:ascii="Times New Roman" w:hAnsi="Times New Roman"/>
                      <w:color w:val="auto"/>
                      <w:szCs w:val="21"/>
                      <w:u w:val="single"/>
                    </w:rPr>
                  </w:pPr>
                </w:p>
              </w:tc>
              <w:tc>
                <w:tcPr>
                  <w:tcW w:w="436" w:type="pct"/>
                  <w:vMerge w:val="continue"/>
                  <w:vAlign w:val="center"/>
                </w:tcPr>
                <w:p w14:paraId="3BC0E8D3">
                  <w:pPr>
                    <w:pStyle w:val="76"/>
                    <w:jc w:val="center"/>
                    <w:rPr>
                      <w:rFonts w:ascii="Times New Roman" w:hAnsi="Times New Roman"/>
                      <w:color w:val="auto"/>
                      <w:szCs w:val="21"/>
                      <w:u w:val="single"/>
                    </w:rPr>
                  </w:pPr>
                </w:p>
              </w:tc>
              <w:tc>
                <w:tcPr>
                  <w:tcW w:w="272" w:type="pct"/>
                  <w:vAlign w:val="center"/>
                </w:tcPr>
                <w:p w14:paraId="72B0BDCB">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016DF81B">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vAlign w:val="center"/>
                </w:tcPr>
                <w:p w14:paraId="72D3D1E3">
                  <w:pPr>
                    <w:pStyle w:val="76"/>
                    <w:jc w:val="center"/>
                    <w:rPr>
                      <w:rFonts w:ascii="Times New Roman" w:hAnsi="Times New Roman"/>
                      <w:color w:val="auto"/>
                      <w:szCs w:val="21"/>
                      <w:u w:val="single"/>
                    </w:rPr>
                  </w:pPr>
                </w:p>
              </w:tc>
            </w:tr>
            <w:tr w14:paraId="0174B0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6CC2BD99">
                  <w:pPr>
                    <w:pStyle w:val="76"/>
                    <w:jc w:val="center"/>
                    <w:rPr>
                      <w:rFonts w:ascii="Times New Roman" w:hAnsi="Times New Roman"/>
                      <w:color w:val="auto"/>
                      <w:szCs w:val="21"/>
                      <w:u w:val="single"/>
                    </w:rPr>
                  </w:pPr>
                </w:p>
              </w:tc>
              <w:tc>
                <w:tcPr>
                  <w:tcW w:w="163" w:type="pct"/>
                  <w:vMerge w:val="continue"/>
                  <w:vAlign w:val="center"/>
                </w:tcPr>
                <w:p w14:paraId="05F09584">
                  <w:pPr>
                    <w:pStyle w:val="76"/>
                    <w:jc w:val="center"/>
                    <w:rPr>
                      <w:rFonts w:ascii="Times New Roman" w:hAnsi="Times New Roman"/>
                      <w:color w:val="auto"/>
                      <w:szCs w:val="21"/>
                      <w:u w:val="single"/>
                    </w:rPr>
                  </w:pPr>
                </w:p>
              </w:tc>
              <w:tc>
                <w:tcPr>
                  <w:tcW w:w="299" w:type="pct"/>
                  <w:vMerge w:val="continue"/>
                  <w:vAlign w:val="center"/>
                </w:tcPr>
                <w:p w14:paraId="79A49109">
                  <w:pPr>
                    <w:pStyle w:val="76"/>
                    <w:jc w:val="center"/>
                    <w:rPr>
                      <w:rFonts w:ascii="Times New Roman" w:hAnsi="Times New Roman"/>
                      <w:color w:val="auto"/>
                      <w:szCs w:val="21"/>
                      <w:u w:val="single"/>
                    </w:rPr>
                  </w:pPr>
                </w:p>
              </w:tc>
              <w:tc>
                <w:tcPr>
                  <w:tcW w:w="596" w:type="pct"/>
                  <w:vMerge w:val="continue"/>
                  <w:vAlign w:val="center"/>
                </w:tcPr>
                <w:p w14:paraId="395D0D4B">
                  <w:pPr>
                    <w:pStyle w:val="76"/>
                    <w:jc w:val="center"/>
                    <w:rPr>
                      <w:rFonts w:ascii="Times New Roman" w:hAnsi="Times New Roman"/>
                      <w:color w:val="auto"/>
                      <w:szCs w:val="21"/>
                      <w:u w:val="single"/>
                    </w:rPr>
                  </w:pPr>
                </w:p>
              </w:tc>
              <w:tc>
                <w:tcPr>
                  <w:tcW w:w="503" w:type="pct"/>
                  <w:vMerge w:val="continue"/>
                  <w:vAlign w:val="center"/>
                </w:tcPr>
                <w:p w14:paraId="41D3B603">
                  <w:pPr>
                    <w:pStyle w:val="76"/>
                    <w:jc w:val="center"/>
                    <w:rPr>
                      <w:rFonts w:ascii="Times New Roman" w:hAnsi="Times New Roman"/>
                      <w:color w:val="auto"/>
                      <w:szCs w:val="21"/>
                      <w:u w:val="single"/>
                    </w:rPr>
                  </w:pPr>
                </w:p>
              </w:tc>
              <w:tc>
                <w:tcPr>
                  <w:tcW w:w="170" w:type="pct"/>
                  <w:vMerge w:val="continue"/>
                  <w:vAlign w:val="center"/>
                </w:tcPr>
                <w:p w14:paraId="71FA5AAB">
                  <w:pPr>
                    <w:pStyle w:val="76"/>
                    <w:jc w:val="center"/>
                    <w:rPr>
                      <w:rFonts w:ascii="Times New Roman" w:hAnsi="Times New Roman"/>
                      <w:color w:val="auto"/>
                      <w:szCs w:val="21"/>
                      <w:u w:val="single"/>
                    </w:rPr>
                  </w:pPr>
                </w:p>
              </w:tc>
              <w:tc>
                <w:tcPr>
                  <w:tcW w:w="170" w:type="pct"/>
                  <w:vMerge w:val="continue"/>
                  <w:vAlign w:val="center"/>
                </w:tcPr>
                <w:p w14:paraId="2C753A33">
                  <w:pPr>
                    <w:pStyle w:val="76"/>
                    <w:jc w:val="center"/>
                    <w:rPr>
                      <w:rFonts w:ascii="Times New Roman" w:hAnsi="Times New Roman"/>
                      <w:color w:val="auto"/>
                      <w:szCs w:val="21"/>
                      <w:u w:val="single"/>
                    </w:rPr>
                  </w:pPr>
                </w:p>
              </w:tc>
              <w:tc>
                <w:tcPr>
                  <w:tcW w:w="125" w:type="pct"/>
                  <w:vMerge w:val="continue"/>
                  <w:vAlign w:val="center"/>
                </w:tcPr>
                <w:p w14:paraId="2846758B">
                  <w:pPr>
                    <w:pStyle w:val="76"/>
                    <w:jc w:val="center"/>
                    <w:rPr>
                      <w:rFonts w:ascii="Times New Roman" w:hAnsi="Times New Roman"/>
                      <w:color w:val="auto"/>
                      <w:szCs w:val="21"/>
                      <w:u w:val="single"/>
                    </w:rPr>
                  </w:pPr>
                </w:p>
              </w:tc>
              <w:tc>
                <w:tcPr>
                  <w:tcW w:w="208" w:type="pct"/>
                  <w:vAlign w:val="center"/>
                </w:tcPr>
                <w:p w14:paraId="3218261F">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637B37D2">
                  <w:pPr>
                    <w:pStyle w:val="76"/>
                    <w:jc w:val="center"/>
                    <w:rPr>
                      <w:rFonts w:ascii="Times New Roman" w:hAnsi="Times New Roman"/>
                      <w:color w:val="auto"/>
                      <w:szCs w:val="21"/>
                      <w:u w:val="single"/>
                    </w:rPr>
                  </w:pPr>
                  <w:r>
                    <w:rPr>
                      <w:rFonts w:ascii="Times New Roman" w:hAnsi="Times New Roman"/>
                      <w:color w:val="auto"/>
                      <w:szCs w:val="21"/>
                      <w:u w:val="single"/>
                    </w:rPr>
                    <w:t>38</w:t>
                  </w:r>
                </w:p>
              </w:tc>
              <w:tc>
                <w:tcPr>
                  <w:tcW w:w="405" w:type="pct"/>
                  <w:vAlign w:val="center"/>
                </w:tcPr>
                <w:p w14:paraId="091954D9">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continue"/>
                  <w:vAlign w:val="center"/>
                </w:tcPr>
                <w:p w14:paraId="2BD8CF57">
                  <w:pPr>
                    <w:pStyle w:val="76"/>
                    <w:jc w:val="center"/>
                    <w:rPr>
                      <w:rFonts w:ascii="Times New Roman" w:hAnsi="Times New Roman"/>
                      <w:color w:val="auto"/>
                      <w:szCs w:val="21"/>
                      <w:u w:val="single"/>
                    </w:rPr>
                  </w:pPr>
                </w:p>
              </w:tc>
              <w:tc>
                <w:tcPr>
                  <w:tcW w:w="436" w:type="pct"/>
                  <w:vMerge w:val="continue"/>
                  <w:vAlign w:val="center"/>
                </w:tcPr>
                <w:p w14:paraId="37971386">
                  <w:pPr>
                    <w:pStyle w:val="76"/>
                    <w:jc w:val="center"/>
                    <w:rPr>
                      <w:rFonts w:ascii="Times New Roman" w:hAnsi="Times New Roman"/>
                      <w:color w:val="auto"/>
                      <w:szCs w:val="21"/>
                      <w:u w:val="single"/>
                    </w:rPr>
                  </w:pPr>
                </w:p>
              </w:tc>
              <w:tc>
                <w:tcPr>
                  <w:tcW w:w="272" w:type="pct"/>
                  <w:vAlign w:val="center"/>
                </w:tcPr>
                <w:p w14:paraId="39D4CA21">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335B34A6">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vAlign w:val="center"/>
                </w:tcPr>
                <w:p w14:paraId="4CFF83EB">
                  <w:pPr>
                    <w:pStyle w:val="76"/>
                    <w:jc w:val="center"/>
                    <w:rPr>
                      <w:rFonts w:ascii="Times New Roman" w:hAnsi="Times New Roman"/>
                      <w:color w:val="auto"/>
                      <w:szCs w:val="21"/>
                      <w:u w:val="single"/>
                    </w:rPr>
                  </w:pPr>
                </w:p>
              </w:tc>
            </w:tr>
            <w:tr w14:paraId="7C31E9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749F4331">
                  <w:pPr>
                    <w:pStyle w:val="76"/>
                    <w:jc w:val="center"/>
                    <w:rPr>
                      <w:rFonts w:ascii="Times New Roman" w:hAnsi="Times New Roman"/>
                      <w:color w:val="auto"/>
                      <w:szCs w:val="21"/>
                      <w:u w:val="single"/>
                    </w:rPr>
                  </w:pPr>
                </w:p>
              </w:tc>
              <w:tc>
                <w:tcPr>
                  <w:tcW w:w="163" w:type="pct"/>
                  <w:vMerge w:val="continue"/>
                  <w:vAlign w:val="center"/>
                </w:tcPr>
                <w:p w14:paraId="1CE1935C">
                  <w:pPr>
                    <w:pStyle w:val="76"/>
                    <w:jc w:val="center"/>
                    <w:rPr>
                      <w:rFonts w:ascii="Times New Roman" w:hAnsi="Times New Roman"/>
                      <w:color w:val="auto"/>
                      <w:szCs w:val="21"/>
                      <w:u w:val="single"/>
                    </w:rPr>
                  </w:pPr>
                </w:p>
              </w:tc>
              <w:tc>
                <w:tcPr>
                  <w:tcW w:w="299" w:type="pct"/>
                  <w:vMerge w:val="continue"/>
                  <w:vAlign w:val="center"/>
                </w:tcPr>
                <w:p w14:paraId="14DEE64C">
                  <w:pPr>
                    <w:pStyle w:val="76"/>
                    <w:jc w:val="center"/>
                    <w:rPr>
                      <w:rFonts w:ascii="Times New Roman" w:hAnsi="Times New Roman"/>
                      <w:color w:val="auto"/>
                      <w:szCs w:val="21"/>
                      <w:u w:val="single"/>
                    </w:rPr>
                  </w:pPr>
                </w:p>
              </w:tc>
              <w:tc>
                <w:tcPr>
                  <w:tcW w:w="596" w:type="pct"/>
                  <w:vMerge w:val="continue"/>
                  <w:vAlign w:val="center"/>
                </w:tcPr>
                <w:p w14:paraId="4635BC17">
                  <w:pPr>
                    <w:pStyle w:val="76"/>
                    <w:jc w:val="center"/>
                    <w:rPr>
                      <w:rFonts w:ascii="Times New Roman" w:hAnsi="Times New Roman"/>
                      <w:color w:val="auto"/>
                      <w:szCs w:val="21"/>
                      <w:u w:val="single"/>
                    </w:rPr>
                  </w:pPr>
                </w:p>
              </w:tc>
              <w:tc>
                <w:tcPr>
                  <w:tcW w:w="503" w:type="pct"/>
                  <w:vMerge w:val="continue"/>
                  <w:vAlign w:val="center"/>
                </w:tcPr>
                <w:p w14:paraId="167D86F7">
                  <w:pPr>
                    <w:pStyle w:val="76"/>
                    <w:jc w:val="center"/>
                    <w:rPr>
                      <w:rFonts w:ascii="Times New Roman" w:hAnsi="Times New Roman"/>
                      <w:color w:val="auto"/>
                      <w:szCs w:val="21"/>
                      <w:u w:val="single"/>
                    </w:rPr>
                  </w:pPr>
                </w:p>
              </w:tc>
              <w:tc>
                <w:tcPr>
                  <w:tcW w:w="170" w:type="pct"/>
                  <w:vMerge w:val="continue"/>
                  <w:vAlign w:val="center"/>
                </w:tcPr>
                <w:p w14:paraId="68AF6594">
                  <w:pPr>
                    <w:pStyle w:val="76"/>
                    <w:jc w:val="center"/>
                    <w:rPr>
                      <w:rFonts w:ascii="Times New Roman" w:hAnsi="Times New Roman"/>
                      <w:color w:val="auto"/>
                      <w:szCs w:val="21"/>
                      <w:u w:val="single"/>
                    </w:rPr>
                  </w:pPr>
                </w:p>
              </w:tc>
              <w:tc>
                <w:tcPr>
                  <w:tcW w:w="170" w:type="pct"/>
                  <w:vMerge w:val="continue"/>
                  <w:vAlign w:val="center"/>
                </w:tcPr>
                <w:p w14:paraId="2BD8D348">
                  <w:pPr>
                    <w:pStyle w:val="76"/>
                    <w:jc w:val="center"/>
                    <w:rPr>
                      <w:rFonts w:ascii="Times New Roman" w:hAnsi="Times New Roman"/>
                      <w:color w:val="auto"/>
                      <w:szCs w:val="21"/>
                      <w:u w:val="single"/>
                    </w:rPr>
                  </w:pPr>
                </w:p>
              </w:tc>
              <w:tc>
                <w:tcPr>
                  <w:tcW w:w="125" w:type="pct"/>
                  <w:vMerge w:val="continue"/>
                  <w:vAlign w:val="center"/>
                </w:tcPr>
                <w:p w14:paraId="382E35F1">
                  <w:pPr>
                    <w:pStyle w:val="76"/>
                    <w:jc w:val="center"/>
                    <w:rPr>
                      <w:rFonts w:ascii="Times New Roman" w:hAnsi="Times New Roman"/>
                      <w:color w:val="auto"/>
                      <w:szCs w:val="21"/>
                      <w:u w:val="single"/>
                    </w:rPr>
                  </w:pPr>
                </w:p>
              </w:tc>
              <w:tc>
                <w:tcPr>
                  <w:tcW w:w="208" w:type="pct"/>
                  <w:vAlign w:val="center"/>
                </w:tcPr>
                <w:p w14:paraId="5FD82EA6">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038276D1">
                  <w:pPr>
                    <w:pStyle w:val="76"/>
                    <w:jc w:val="center"/>
                    <w:rPr>
                      <w:rFonts w:ascii="Times New Roman" w:hAnsi="Times New Roman"/>
                      <w:color w:val="auto"/>
                      <w:szCs w:val="21"/>
                      <w:u w:val="single"/>
                    </w:rPr>
                  </w:pPr>
                  <w:r>
                    <w:rPr>
                      <w:rFonts w:hint="eastAsia" w:ascii="Times New Roman" w:hAnsi="Times New Roman"/>
                      <w:color w:val="auto"/>
                      <w:szCs w:val="21"/>
                      <w:u w:val="single"/>
                    </w:rPr>
                    <w:t>8</w:t>
                  </w:r>
                </w:p>
              </w:tc>
              <w:tc>
                <w:tcPr>
                  <w:tcW w:w="405" w:type="pct"/>
                  <w:vAlign w:val="center"/>
                </w:tcPr>
                <w:p w14:paraId="3F14E19B">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0</w:t>
                  </w:r>
                </w:p>
              </w:tc>
              <w:tc>
                <w:tcPr>
                  <w:tcW w:w="548" w:type="pct"/>
                  <w:vMerge w:val="continue"/>
                  <w:vAlign w:val="center"/>
                </w:tcPr>
                <w:p w14:paraId="1F1FBB32">
                  <w:pPr>
                    <w:pStyle w:val="76"/>
                    <w:jc w:val="center"/>
                    <w:rPr>
                      <w:rFonts w:ascii="Times New Roman" w:hAnsi="Times New Roman"/>
                      <w:color w:val="auto"/>
                      <w:szCs w:val="21"/>
                      <w:u w:val="single"/>
                    </w:rPr>
                  </w:pPr>
                </w:p>
              </w:tc>
              <w:tc>
                <w:tcPr>
                  <w:tcW w:w="436" w:type="pct"/>
                  <w:vMerge w:val="continue"/>
                  <w:vAlign w:val="center"/>
                </w:tcPr>
                <w:p w14:paraId="1F5D365F">
                  <w:pPr>
                    <w:pStyle w:val="76"/>
                    <w:jc w:val="center"/>
                    <w:rPr>
                      <w:rFonts w:ascii="Times New Roman" w:hAnsi="Times New Roman"/>
                      <w:color w:val="auto"/>
                      <w:szCs w:val="21"/>
                      <w:u w:val="single"/>
                    </w:rPr>
                  </w:pPr>
                </w:p>
              </w:tc>
              <w:tc>
                <w:tcPr>
                  <w:tcW w:w="272" w:type="pct"/>
                  <w:vAlign w:val="center"/>
                </w:tcPr>
                <w:p w14:paraId="55FB9FBF">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312C35EF">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0</w:t>
                  </w:r>
                </w:p>
              </w:tc>
              <w:tc>
                <w:tcPr>
                  <w:tcW w:w="311" w:type="pct"/>
                  <w:vMerge w:val="continue"/>
                  <w:vAlign w:val="center"/>
                </w:tcPr>
                <w:p w14:paraId="081DD99C">
                  <w:pPr>
                    <w:pStyle w:val="76"/>
                    <w:jc w:val="center"/>
                    <w:rPr>
                      <w:rFonts w:ascii="Times New Roman" w:hAnsi="Times New Roman"/>
                      <w:color w:val="auto"/>
                      <w:szCs w:val="21"/>
                      <w:u w:val="single"/>
                    </w:rPr>
                  </w:pPr>
                </w:p>
              </w:tc>
            </w:tr>
            <w:tr w14:paraId="0CBECE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21DB67B4">
                  <w:pPr>
                    <w:pStyle w:val="88"/>
                    <w:numPr>
                      <w:ilvl w:val="0"/>
                      <w:numId w:val="7"/>
                    </w:numPr>
                    <w:rPr>
                      <w:color w:val="auto"/>
                      <w:szCs w:val="21"/>
                      <w:u w:val="single"/>
                    </w:rPr>
                  </w:pPr>
                </w:p>
              </w:tc>
              <w:tc>
                <w:tcPr>
                  <w:tcW w:w="163" w:type="pct"/>
                  <w:vMerge w:val="continue"/>
                  <w:vAlign w:val="center"/>
                </w:tcPr>
                <w:p w14:paraId="7926250D">
                  <w:pPr>
                    <w:pStyle w:val="76"/>
                    <w:jc w:val="center"/>
                    <w:rPr>
                      <w:rFonts w:ascii="Times New Roman" w:hAnsi="Times New Roman"/>
                      <w:color w:val="auto"/>
                      <w:szCs w:val="21"/>
                      <w:u w:val="single"/>
                    </w:rPr>
                  </w:pPr>
                </w:p>
              </w:tc>
              <w:tc>
                <w:tcPr>
                  <w:tcW w:w="299" w:type="pct"/>
                  <w:vMerge w:val="restart"/>
                  <w:vAlign w:val="center"/>
                </w:tcPr>
                <w:p w14:paraId="47685A8F">
                  <w:pPr>
                    <w:pStyle w:val="76"/>
                    <w:jc w:val="center"/>
                    <w:rPr>
                      <w:rFonts w:ascii="Times New Roman" w:hAnsi="Times New Roman"/>
                      <w:color w:val="auto"/>
                      <w:szCs w:val="21"/>
                      <w:u w:val="single"/>
                    </w:rPr>
                  </w:pPr>
                  <w:r>
                    <w:rPr>
                      <w:rFonts w:ascii="Times New Roman" w:hAnsi="Times New Roman"/>
                      <w:color w:val="auto"/>
                      <w:szCs w:val="21"/>
                      <w:u w:val="single"/>
                    </w:rPr>
                    <w:t>型砂筛分设备</w:t>
                  </w:r>
                </w:p>
              </w:tc>
              <w:tc>
                <w:tcPr>
                  <w:tcW w:w="596" w:type="pct"/>
                  <w:vMerge w:val="restart"/>
                  <w:vAlign w:val="center"/>
                </w:tcPr>
                <w:p w14:paraId="0966FD17">
                  <w:pPr>
                    <w:pStyle w:val="88"/>
                    <w:rPr>
                      <w:color w:val="auto"/>
                      <w:szCs w:val="21"/>
                      <w:u w:val="single"/>
                    </w:rPr>
                  </w:pPr>
                  <w:r>
                    <w:rPr>
                      <w:color w:val="auto"/>
                      <w:u w:val="single"/>
                    </w:rPr>
                    <w:t>80</w:t>
                  </w:r>
                </w:p>
              </w:tc>
              <w:tc>
                <w:tcPr>
                  <w:tcW w:w="503" w:type="pct"/>
                  <w:vMerge w:val="restart"/>
                  <w:vAlign w:val="center"/>
                </w:tcPr>
                <w:p w14:paraId="4F08065D">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01E901AB">
                  <w:pPr>
                    <w:pStyle w:val="76"/>
                    <w:jc w:val="center"/>
                    <w:rPr>
                      <w:rFonts w:ascii="Times New Roman" w:hAnsi="Times New Roman"/>
                      <w:color w:val="auto"/>
                      <w:szCs w:val="21"/>
                      <w:u w:val="single"/>
                    </w:rPr>
                  </w:pPr>
                  <w:r>
                    <w:rPr>
                      <w:rFonts w:hint="eastAsia" w:ascii="Times New Roman" w:hAnsi="Times New Roman"/>
                      <w:color w:val="auto"/>
                      <w:szCs w:val="21"/>
                      <w:u w:val="single"/>
                    </w:rPr>
                    <w:t>2</w:t>
                  </w:r>
                </w:p>
              </w:tc>
              <w:tc>
                <w:tcPr>
                  <w:tcW w:w="170" w:type="pct"/>
                  <w:vMerge w:val="restart"/>
                  <w:vAlign w:val="center"/>
                </w:tcPr>
                <w:p w14:paraId="62F1B577">
                  <w:pPr>
                    <w:pStyle w:val="76"/>
                    <w:jc w:val="center"/>
                    <w:rPr>
                      <w:rFonts w:ascii="Times New Roman" w:hAnsi="Times New Roman"/>
                      <w:color w:val="auto"/>
                      <w:szCs w:val="21"/>
                      <w:u w:val="single"/>
                    </w:rPr>
                  </w:pPr>
                  <w:r>
                    <w:rPr>
                      <w:rFonts w:hint="eastAsia" w:ascii="Times New Roman" w:hAnsi="Times New Roman"/>
                      <w:color w:val="auto"/>
                      <w:szCs w:val="21"/>
                      <w:u w:val="single"/>
                    </w:rPr>
                    <w:t>-4</w:t>
                  </w:r>
                </w:p>
              </w:tc>
              <w:tc>
                <w:tcPr>
                  <w:tcW w:w="125" w:type="pct"/>
                  <w:vMerge w:val="restart"/>
                  <w:vAlign w:val="center"/>
                </w:tcPr>
                <w:p w14:paraId="6DCB86D9">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340123E6">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2ACB0C24">
                  <w:pPr>
                    <w:pStyle w:val="76"/>
                    <w:jc w:val="center"/>
                    <w:rPr>
                      <w:rFonts w:ascii="Times New Roman" w:hAnsi="Times New Roman"/>
                      <w:color w:val="auto"/>
                      <w:szCs w:val="21"/>
                      <w:u w:val="single"/>
                    </w:rPr>
                  </w:pPr>
                  <w:r>
                    <w:rPr>
                      <w:rFonts w:hint="eastAsia" w:ascii="Times New Roman" w:hAnsi="Times New Roman"/>
                      <w:color w:val="auto"/>
                      <w:szCs w:val="21"/>
                      <w:u w:val="single"/>
                    </w:rPr>
                    <w:t>94</w:t>
                  </w:r>
                </w:p>
              </w:tc>
              <w:tc>
                <w:tcPr>
                  <w:tcW w:w="405" w:type="pct"/>
                  <w:vAlign w:val="center"/>
                </w:tcPr>
                <w:p w14:paraId="4A9D95E6">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restart"/>
                  <w:vAlign w:val="center"/>
                </w:tcPr>
                <w:p w14:paraId="1A8C63B6">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16D9F7B7">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4300DC9B">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131BF7D5">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restart"/>
                  <w:vAlign w:val="center"/>
                </w:tcPr>
                <w:p w14:paraId="32FF71D5">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4E0F01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0F1225D7">
                  <w:pPr>
                    <w:pStyle w:val="76"/>
                    <w:jc w:val="center"/>
                    <w:rPr>
                      <w:rFonts w:ascii="Times New Roman" w:hAnsi="Times New Roman"/>
                      <w:color w:val="auto"/>
                      <w:szCs w:val="21"/>
                      <w:u w:val="single"/>
                    </w:rPr>
                  </w:pPr>
                </w:p>
              </w:tc>
              <w:tc>
                <w:tcPr>
                  <w:tcW w:w="163" w:type="pct"/>
                  <w:vMerge w:val="continue"/>
                  <w:vAlign w:val="center"/>
                </w:tcPr>
                <w:p w14:paraId="464255C3">
                  <w:pPr>
                    <w:pStyle w:val="76"/>
                    <w:jc w:val="center"/>
                    <w:rPr>
                      <w:rFonts w:ascii="Times New Roman" w:hAnsi="Times New Roman"/>
                      <w:color w:val="auto"/>
                      <w:szCs w:val="21"/>
                      <w:u w:val="single"/>
                    </w:rPr>
                  </w:pPr>
                </w:p>
              </w:tc>
              <w:tc>
                <w:tcPr>
                  <w:tcW w:w="299" w:type="pct"/>
                  <w:vMerge w:val="continue"/>
                  <w:vAlign w:val="center"/>
                </w:tcPr>
                <w:p w14:paraId="79E0FD91">
                  <w:pPr>
                    <w:pStyle w:val="76"/>
                    <w:jc w:val="center"/>
                    <w:rPr>
                      <w:rFonts w:ascii="Times New Roman" w:hAnsi="Times New Roman"/>
                      <w:color w:val="auto"/>
                      <w:szCs w:val="21"/>
                      <w:u w:val="single"/>
                    </w:rPr>
                  </w:pPr>
                </w:p>
              </w:tc>
              <w:tc>
                <w:tcPr>
                  <w:tcW w:w="596" w:type="pct"/>
                  <w:vMerge w:val="continue"/>
                  <w:vAlign w:val="center"/>
                </w:tcPr>
                <w:p w14:paraId="476C9AD0">
                  <w:pPr>
                    <w:pStyle w:val="76"/>
                    <w:jc w:val="center"/>
                    <w:rPr>
                      <w:rFonts w:ascii="Times New Roman" w:hAnsi="Times New Roman"/>
                      <w:color w:val="auto"/>
                      <w:szCs w:val="21"/>
                      <w:u w:val="single"/>
                    </w:rPr>
                  </w:pPr>
                </w:p>
              </w:tc>
              <w:tc>
                <w:tcPr>
                  <w:tcW w:w="503" w:type="pct"/>
                  <w:vMerge w:val="continue"/>
                  <w:vAlign w:val="center"/>
                </w:tcPr>
                <w:p w14:paraId="2C7BF036">
                  <w:pPr>
                    <w:pStyle w:val="76"/>
                    <w:jc w:val="center"/>
                    <w:rPr>
                      <w:rFonts w:ascii="Times New Roman" w:hAnsi="Times New Roman"/>
                      <w:color w:val="auto"/>
                      <w:szCs w:val="21"/>
                      <w:u w:val="single"/>
                    </w:rPr>
                  </w:pPr>
                </w:p>
              </w:tc>
              <w:tc>
                <w:tcPr>
                  <w:tcW w:w="170" w:type="pct"/>
                  <w:vMerge w:val="continue"/>
                  <w:vAlign w:val="center"/>
                </w:tcPr>
                <w:p w14:paraId="29BB0882">
                  <w:pPr>
                    <w:pStyle w:val="76"/>
                    <w:jc w:val="center"/>
                    <w:rPr>
                      <w:rFonts w:ascii="Times New Roman" w:hAnsi="Times New Roman"/>
                      <w:color w:val="auto"/>
                      <w:szCs w:val="21"/>
                      <w:u w:val="single"/>
                    </w:rPr>
                  </w:pPr>
                </w:p>
              </w:tc>
              <w:tc>
                <w:tcPr>
                  <w:tcW w:w="170" w:type="pct"/>
                  <w:vMerge w:val="continue"/>
                  <w:vAlign w:val="center"/>
                </w:tcPr>
                <w:p w14:paraId="0742223F">
                  <w:pPr>
                    <w:pStyle w:val="76"/>
                    <w:jc w:val="center"/>
                    <w:rPr>
                      <w:rFonts w:ascii="Times New Roman" w:hAnsi="Times New Roman"/>
                      <w:color w:val="auto"/>
                      <w:szCs w:val="21"/>
                      <w:u w:val="single"/>
                    </w:rPr>
                  </w:pPr>
                </w:p>
              </w:tc>
              <w:tc>
                <w:tcPr>
                  <w:tcW w:w="125" w:type="pct"/>
                  <w:vMerge w:val="continue"/>
                  <w:vAlign w:val="center"/>
                </w:tcPr>
                <w:p w14:paraId="0F287526">
                  <w:pPr>
                    <w:pStyle w:val="76"/>
                    <w:jc w:val="center"/>
                    <w:rPr>
                      <w:rFonts w:ascii="Times New Roman" w:hAnsi="Times New Roman"/>
                      <w:color w:val="auto"/>
                      <w:szCs w:val="21"/>
                      <w:u w:val="single"/>
                    </w:rPr>
                  </w:pPr>
                </w:p>
              </w:tc>
              <w:tc>
                <w:tcPr>
                  <w:tcW w:w="208" w:type="pct"/>
                  <w:vAlign w:val="center"/>
                </w:tcPr>
                <w:p w14:paraId="1E22F75E">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3E788C58">
                  <w:pPr>
                    <w:pStyle w:val="76"/>
                    <w:jc w:val="center"/>
                    <w:rPr>
                      <w:rFonts w:ascii="Times New Roman" w:hAnsi="Times New Roman"/>
                      <w:color w:val="auto"/>
                      <w:szCs w:val="21"/>
                      <w:u w:val="single"/>
                    </w:rPr>
                  </w:pPr>
                  <w:r>
                    <w:rPr>
                      <w:rFonts w:ascii="Times New Roman" w:hAnsi="Times New Roman"/>
                      <w:color w:val="auto"/>
                      <w:szCs w:val="21"/>
                      <w:u w:val="single"/>
                    </w:rPr>
                    <w:t>1</w:t>
                  </w:r>
                  <w:r>
                    <w:rPr>
                      <w:rFonts w:hint="eastAsia" w:ascii="Times New Roman" w:hAnsi="Times New Roman"/>
                      <w:color w:val="auto"/>
                      <w:szCs w:val="21"/>
                      <w:u w:val="single"/>
                    </w:rPr>
                    <w:t>0</w:t>
                  </w:r>
                </w:p>
              </w:tc>
              <w:tc>
                <w:tcPr>
                  <w:tcW w:w="405" w:type="pct"/>
                  <w:vAlign w:val="center"/>
                </w:tcPr>
                <w:p w14:paraId="31ACD27A">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continue"/>
                  <w:vAlign w:val="center"/>
                </w:tcPr>
                <w:p w14:paraId="4E13693D">
                  <w:pPr>
                    <w:pStyle w:val="76"/>
                    <w:jc w:val="center"/>
                    <w:rPr>
                      <w:rFonts w:ascii="Times New Roman" w:hAnsi="Times New Roman"/>
                      <w:color w:val="auto"/>
                      <w:szCs w:val="21"/>
                      <w:u w:val="single"/>
                    </w:rPr>
                  </w:pPr>
                </w:p>
              </w:tc>
              <w:tc>
                <w:tcPr>
                  <w:tcW w:w="436" w:type="pct"/>
                  <w:vMerge w:val="continue"/>
                  <w:vAlign w:val="center"/>
                </w:tcPr>
                <w:p w14:paraId="59B9179C">
                  <w:pPr>
                    <w:pStyle w:val="76"/>
                    <w:jc w:val="center"/>
                    <w:rPr>
                      <w:rFonts w:ascii="Times New Roman" w:hAnsi="Times New Roman"/>
                      <w:color w:val="auto"/>
                      <w:szCs w:val="21"/>
                      <w:u w:val="single"/>
                    </w:rPr>
                  </w:pPr>
                </w:p>
              </w:tc>
              <w:tc>
                <w:tcPr>
                  <w:tcW w:w="272" w:type="pct"/>
                  <w:vAlign w:val="center"/>
                </w:tcPr>
                <w:p w14:paraId="2CCB9C55">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1A39287F">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vAlign w:val="center"/>
                </w:tcPr>
                <w:p w14:paraId="1DD34BC8">
                  <w:pPr>
                    <w:pStyle w:val="76"/>
                    <w:jc w:val="center"/>
                    <w:rPr>
                      <w:rFonts w:ascii="Times New Roman" w:hAnsi="Times New Roman"/>
                      <w:color w:val="auto"/>
                      <w:szCs w:val="21"/>
                      <w:u w:val="single"/>
                    </w:rPr>
                  </w:pPr>
                </w:p>
              </w:tc>
            </w:tr>
            <w:tr w14:paraId="11CC98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30BDA23A">
                  <w:pPr>
                    <w:pStyle w:val="76"/>
                    <w:jc w:val="center"/>
                    <w:rPr>
                      <w:rFonts w:ascii="Times New Roman" w:hAnsi="Times New Roman"/>
                      <w:color w:val="auto"/>
                      <w:szCs w:val="21"/>
                      <w:u w:val="single"/>
                    </w:rPr>
                  </w:pPr>
                </w:p>
              </w:tc>
              <w:tc>
                <w:tcPr>
                  <w:tcW w:w="163" w:type="pct"/>
                  <w:vMerge w:val="continue"/>
                  <w:vAlign w:val="center"/>
                </w:tcPr>
                <w:p w14:paraId="76055BC4">
                  <w:pPr>
                    <w:pStyle w:val="76"/>
                    <w:jc w:val="center"/>
                    <w:rPr>
                      <w:rFonts w:ascii="Times New Roman" w:hAnsi="Times New Roman"/>
                      <w:color w:val="auto"/>
                      <w:szCs w:val="21"/>
                      <w:u w:val="single"/>
                    </w:rPr>
                  </w:pPr>
                </w:p>
              </w:tc>
              <w:tc>
                <w:tcPr>
                  <w:tcW w:w="299" w:type="pct"/>
                  <w:vMerge w:val="continue"/>
                  <w:vAlign w:val="center"/>
                </w:tcPr>
                <w:p w14:paraId="469E6018">
                  <w:pPr>
                    <w:pStyle w:val="76"/>
                    <w:jc w:val="center"/>
                    <w:rPr>
                      <w:rFonts w:ascii="Times New Roman" w:hAnsi="Times New Roman"/>
                      <w:color w:val="auto"/>
                      <w:szCs w:val="21"/>
                      <w:u w:val="single"/>
                    </w:rPr>
                  </w:pPr>
                </w:p>
              </w:tc>
              <w:tc>
                <w:tcPr>
                  <w:tcW w:w="596" w:type="pct"/>
                  <w:vMerge w:val="continue"/>
                  <w:vAlign w:val="center"/>
                </w:tcPr>
                <w:p w14:paraId="44D95628">
                  <w:pPr>
                    <w:pStyle w:val="76"/>
                    <w:jc w:val="center"/>
                    <w:rPr>
                      <w:rFonts w:ascii="Times New Roman" w:hAnsi="Times New Roman"/>
                      <w:color w:val="auto"/>
                      <w:szCs w:val="21"/>
                      <w:u w:val="single"/>
                    </w:rPr>
                  </w:pPr>
                </w:p>
              </w:tc>
              <w:tc>
                <w:tcPr>
                  <w:tcW w:w="503" w:type="pct"/>
                  <w:vMerge w:val="continue"/>
                  <w:vAlign w:val="center"/>
                </w:tcPr>
                <w:p w14:paraId="60CB0369">
                  <w:pPr>
                    <w:pStyle w:val="76"/>
                    <w:jc w:val="center"/>
                    <w:rPr>
                      <w:rFonts w:ascii="Times New Roman" w:hAnsi="Times New Roman"/>
                      <w:color w:val="auto"/>
                      <w:szCs w:val="21"/>
                      <w:u w:val="single"/>
                    </w:rPr>
                  </w:pPr>
                </w:p>
              </w:tc>
              <w:tc>
                <w:tcPr>
                  <w:tcW w:w="170" w:type="pct"/>
                  <w:vMerge w:val="continue"/>
                  <w:vAlign w:val="center"/>
                </w:tcPr>
                <w:p w14:paraId="674ECCE7">
                  <w:pPr>
                    <w:pStyle w:val="76"/>
                    <w:jc w:val="center"/>
                    <w:rPr>
                      <w:rFonts w:ascii="Times New Roman" w:hAnsi="Times New Roman"/>
                      <w:color w:val="auto"/>
                      <w:szCs w:val="21"/>
                      <w:u w:val="single"/>
                    </w:rPr>
                  </w:pPr>
                </w:p>
              </w:tc>
              <w:tc>
                <w:tcPr>
                  <w:tcW w:w="170" w:type="pct"/>
                  <w:vMerge w:val="continue"/>
                  <w:vAlign w:val="center"/>
                </w:tcPr>
                <w:p w14:paraId="55179A20">
                  <w:pPr>
                    <w:pStyle w:val="76"/>
                    <w:jc w:val="center"/>
                    <w:rPr>
                      <w:rFonts w:ascii="Times New Roman" w:hAnsi="Times New Roman"/>
                      <w:color w:val="auto"/>
                      <w:szCs w:val="21"/>
                      <w:u w:val="single"/>
                    </w:rPr>
                  </w:pPr>
                </w:p>
              </w:tc>
              <w:tc>
                <w:tcPr>
                  <w:tcW w:w="125" w:type="pct"/>
                  <w:vMerge w:val="continue"/>
                  <w:vAlign w:val="center"/>
                </w:tcPr>
                <w:p w14:paraId="0580A029">
                  <w:pPr>
                    <w:pStyle w:val="76"/>
                    <w:jc w:val="center"/>
                    <w:rPr>
                      <w:rFonts w:ascii="Times New Roman" w:hAnsi="Times New Roman"/>
                      <w:color w:val="auto"/>
                      <w:szCs w:val="21"/>
                      <w:u w:val="single"/>
                    </w:rPr>
                  </w:pPr>
                </w:p>
              </w:tc>
              <w:tc>
                <w:tcPr>
                  <w:tcW w:w="208" w:type="pct"/>
                  <w:vAlign w:val="center"/>
                </w:tcPr>
                <w:p w14:paraId="328CF2E7">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644F4F9F">
                  <w:pPr>
                    <w:pStyle w:val="76"/>
                    <w:jc w:val="center"/>
                    <w:rPr>
                      <w:rFonts w:ascii="Times New Roman" w:hAnsi="Times New Roman"/>
                      <w:color w:val="auto"/>
                      <w:szCs w:val="21"/>
                      <w:u w:val="single"/>
                    </w:rPr>
                  </w:pPr>
                  <w:r>
                    <w:rPr>
                      <w:rFonts w:hint="eastAsia" w:ascii="Times New Roman" w:hAnsi="Times New Roman"/>
                      <w:color w:val="auto"/>
                      <w:szCs w:val="21"/>
                      <w:u w:val="single"/>
                    </w:rPr>
                    <w:t>92</w:t>
                  </w:r>
                </w:p>
              </w:tc>
              <w:tc>
                <w:tcPr>
                  <w:tcW w:w="405" w:type="pct"/>
                  <w:vAlign w:val="center"/>
                </w:tcPr>
                <w:p w14:paraId="51AE8072">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continue"/>
                  <w:vAlign w:val="center"/>
                </w:tcPr>
                <w:p w14:paraId="2E826EA8">
                  <w:pPr>
                    <w:pStyle w:val="76"/>
                    <w:jc w:val="center"/>
                    <w:rPr>
                      <w:rFonts w:ascii="Times New Roman" w:hAnsi="Times New Roman"/>
                      <w:color w:val="auto"/>
                      <w:szCs w:val="21"/>
                      <w:u w:val="single"/>
                    </w:rPr>
                  </w:pPr>
                </w:p>
              </w:tc>
              <w:tc>
                <w:tcPr>
                  <w:tcW w:w="436" w:type="pct"/>
                  <w:vMerge w:val="continue"/>
                  <w:vAlign w:val="center"/>
                </w:tcPr>
                <w:p w14:paraId="5CDBE351">
                  <w:pPr>
                    <w:pStyle w:val="76"/>
                    <w:jc w:val="center"/>
                    <w:rPr>
                      <w:rFonts w:ascii="Times New Roman" w:hAnsi="Times New Roman"/>
                      <w:color w:val="auto"/>
                      <w:szCs w:val="21"/>
                      <w:u w:val="single"/>
                    </w:rPr>
                  </w:pPr>
                </w:p>
              </w:tc>
              <w:tc>
                <w:tcPr>
                  <w:tcW w:w="272" w:type="pct"/>
                  <w:vAlign w:val="center"/>
                </w:tcPr>
                <w:p w14:paraId="7AAC94C8">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49D4AE3F">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vAlign w:val="center"/>
                </w:tcPr>
                <w:p w14:paraId="7F2D8ECF">
                  <w:pPr>
                    <w:pStyle w:val="76"/>
                    <w:jc w:val="center"/>
                    <w:rPr>
                      <w:rFonts w:ascii="Times New Roman" w:hAnsi="Times New Roman"/>
                      <w:color w:val="auto"/>
                      <w:szCs w:val="21"/>
                      <w:u w:val="single"/>
                    </w:rPr>
                  </w:pPr>
                </w:p>
              </w:tc>
            </w:tr>
            <w:tr w14:paraId="7BA100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7113B481">
                  <w:pPr>
                    <w:pStyle w:val="76"/>
                    <w:jc w:val="center"/>
                    <w:rPr>
                      <w:rFonts w:ascii="Times New Roman" w:hAnsi="Times New Roman"/>
                      <w:color w:val="auto"/>
                      <w:szCs w:val="21"/>
                      <w:u w:val="single"/>
                    </w:rPr>
                  </w:pPr>
                </w:p>
              </w:tc>
              <w:tc>
                <w:tcPr>
                  <w:tcW w:w="163" w:type="pct"/>
                  <w:vMerge w:val="continue"/>
                </w:tcPr>
                <w:p w14:paraId="1C00B519">
                  <w:pPr>
                    <w:pStyle w:val="76"/>
                    <w:jc w:val="center"/>
                    <w:rPr>
                      <w:rFonts w:ascii="Times New Roman" w:hAnsi="Times New Roman"/>
                      <w:color w:val="auto"/>
                      <w:szCs w:val="21"/>
                      <w:u w:val="single"/>
                    </w:rPr>
                  </w:pPr>
                </w:p>
              </w:tc>
              <w:tc>
                <w:tcPr>
                  <w:tcW w:w="299" w:type="pct"/>
                  <w:vMerge w:val="continue"/>
                </w:tcPr>
                <w:p w14:paraId="623039DA">
                  <w:pPr>
                    <w:pStyle w:val="76"/>
                    <w:jc w:val="center"/>
                    <w:rPr>
                      <w:rFonts w:ascii="Times New Roman" w:hAnsi="Times New Roman"/>
                      <w:color w:val="auto"/>
                      <w:szCs w:val="21"/>
                      <w:u w:val="single"/>
                    </w:rPr>
                  </w:pPr>
                </w:p>
              </w:tc>
              <w:tc>
                <w:tcPr>
                  <w:tcW w:w="596" w:type="pct"/>
                  <w:vMerge w:val="continue"/>
                </w:tcPr>
                <w:p w14:paraId="6F283BC1">
                  <w:pPr>
                    <w:pStyle w:val="76"/>
                    <w:jc w:val="center"/>
                    <w:rPr>
                      <w:rFonts w:ascii="Times New Roman" w:hAnsi="Times New Roman"/>
                      <w:color w:val="auto"/>
                      <w:szCs w:val="21"/>
                      <w:u w:val="single"/>
                    </w:rPr>
                  </w:pPr>
                </w:p>
              </w:tc>
              <w:tc>
                <w:tcPr>
                  <w:tcW w:w="503" w:type="pct"/>
                  <w:vMerge w:val="continue"/>
                </w:tcPr>
                <w:p w14:paraId="758959F7">
                  <w:pPr>
                    <w:pStyle w:val="76"/>
                    <w:jc w:val="center"/>
                    <w:rPr>
                      <w:rFonts w:ascii="Times New Roman" w:hAnsi="Times New Roman"/>
                      <w:color w:val="auto"/>
                      <w:szCs w:val="21"/>
                      <w:u w:val="single"/>
                    </w:rPr>
                  </w:pPr>
                </w:p>
              </w:tc>
              <w:tc>
                <w:tcPr>
                  <w:tcW w:w="170" w:type="pct"/>
                  <w:vMerge w:val="continue"/>
                </w:tcPr>
                <w:p w14:paraId="314D4680">
                  <w:pPr>
                    <w:pStyle w:val="76"/>
                    <w:jc w:val="center"/>
                    <w:rPr>
                      <w:rFonts w:ascii="Times New Roman" w:hAnsi="Times New Roman"/>
                      <w:color w:val="auto"/>
                      <w:szCs w:val="21"/>
                      <w:u w:val="single"/>
                    </w:rPr>
                  </w:pPr>
                </w:p>
              </w:tc>
              <w:tc>
                <w:tcPr>
                  <w:tcW w:w="170" w:type="pct"/>
                  <w:vMerge w:val="continue"/>
                </w:tcPr>
                <w:p w14:paraId="7C967A62">
                  <w:pPr>
                    <w:pStyle w:val="76"/>
                    <w:jc w:val="center"/>
                    <w:rPr>
                      <w:rFonts w:ascii="Times New Roman" w:hAnsi="Times New Roman"/>
                      <w:color w:val="auto"/>
                      <w:szCs w:val="21"/>
                      <w:u w:val="single"/>
                    </w:rPr>
                  </w:pPr>
                </w:p>
              </w:tc>
              <w:tc>
                <w:tcPr>
                  <w:tcW w:w="125" w:type="pct"/>
                  <w:vMerge w:val="continue"/>
                </w:tcPr>
                <w:p w14:paraId="33E1F24B">
                  <w:pPr>
                    <w:pStyle w:val="76"/>
                    <w:jc w:val="center"/>
                    <w:rPr>
                      <w:rFonts w:ascii="Times New Roman" w:hAnsi="Times New Roman"/>
                      <w:color w:val="auto"/>
                      <w:szCs w:val="21"/>
                      <w:u w:val="single"/>
                    </w:rPr>
                  </w:pPr>
                </w:p>
              </w:tc>
              <w:tc>
                <w:tcPr>
                  <w:tcW w:w="208" w:type="pct"/>
                  <w:vAlign w:val="center"/>
                </w:tcPr>
                <w:p w14:paraId="7E190846">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215F6E40">
                  <w:pPr>
                    <w:pStyle w:val="76"/>
                    <w:jc w:val="center"/>
                    <w:rPr>
                      <w:rFonts w:ascii="Times New Roman" w:hAnsi="Times New Roman"/>
                      <w:color w:val="auto"/>
                      <w:szCs w:val="21"/>
                      <w:u w:val="single"/>
                    </w:rPr>
                  </w:pPr>
                  <w:r>
                    <w:rPr>
                      <w:rFonts w:hint="eastAsia" w:ascii="Times New Roman" w:hAnsi="Times New Roman"/>
                      <w:color w:val="auto"/>
                      <w:szCs w:val="21"/>
                      <w:u w:val="single"/>
                    </w:rPr>
                    <w:t>18</w:t>
                  </w:r>
                </w:p>
              </w:tc>
              <w:tc>
                <w:tcPr>
                  <w:tcW w:w="405" w:type="pct"/>
                  <w:vAlign w:val="center"/>
                </w:tcPr>
                <w:p w14:paraId="65155ACD">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0</w:t>
                  </w:r>
                </w:p>
              </w:tc>
              <w:tc>
                <w:tcPr>
                  <w:tcW w:w="548" w:type="pct"/>
                  <w:vMerge w:val="continue"/>
                </w:tcPr>
                <w:p w14:paraId="7F49443C">
                  <w:pPr>
                    <w:pStyle w:val="76"/>
                    <w:jc w:val="center"/>
                    <w:rPr>
                      <w:rFonts w:ascii="Times New Roman" w:hAnsi="Times New Roman"/>
                      <w:color w:val="auto"/>
                      <w:szCs w:val="21"/>
                      <w:u w:val="single"/>
                    </w:rPr>
                  </w:pPr>
                </w:p>
              </w:tc>
              <w:tc>
                <w:tcPr>
                  <w:tcW w:w="436" w:type="pct"/>
                  <w:vMerge w:val="continue"/>
                </w:tcPr>
                <w:p w14:paraId="38CBA2DD">
                  <w:pPr>
                    <w:pStyle w:val="76"/>
                    <w:jc w:val="center"/>
                    <w:rPr>
                      <w:rFonts w:ascii="Times New Roman" w:hAnsi="Times New Roman"/>
                      <w:color w:val="auto"/>
                      <w:szCs w:val="21"/>
                      <w:u w:val="single"/>
                    </w:rPr>
                  </w:pPr>
                </w:p>
              </w:tc>
              <w:tc>
                <w:tcPr>
                  <w:tcW w:w="272" w:type="pct"/>
                  <w:vAlign w:val="center"/>
                </w:tcPr>
                <w:p w14:paraId="7733D5DE">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1AA0A0D5">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0</w:t>
                  </w:r>
                </w:p>
              </w:tc>
              <w:tc>
                <w:tcPr>
                  <w:tcW w:w="311" w:type="pct"/>
                  <w:vMerge w:val="continue"/>
                </w:tcPr>
                <w:p w14:paraId="1F46D689">
                  <w:pPr>
                    <w:pStyle w:val="76"/>
                    <w:jc w:val="center"/>
                    <w:rPr>
                      <w:rFonts w:ascii="Times New Roman" w:hAnsi="Times New Roman"/>
                      <w:color w:val="auto"/>
                      <w:szCs w:val="21"/>
                      <w:u w:val="single"/>
                    </w:rPr>
                  </w:pPr>
                </w:p>
              </w:tc>
            </w:tr>
            <w:tr w14:paraId="3CA68D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6A97CB45">
                  <w:pPr>
                    <w:pStyle w:val="76"/>
                    <w:numPr>
                      <w:ilvl w:val="0"/>
                      <w:numId w:val="7"/>
                    </w:numPr>
                    <w:jc w:val="center"/>
                    <w:rPr>
                      <w:rFonts w:ascii="Times New Roman" w:hAnsi="Times New Roman"/>
                      <w:color w:val="auto"/>
                      <w:szCs w:val="21"/>
                      <w:u w:val="single"/>
                    </w:rPr>
                  </w:pPr>
                </w:p>
              </w:tc>
              <w:tc>
                <w:tcPr>
                  <w:tcW w:w="163" w:type="pct"/>
                  <w:vMerge w:val="continue"/>
                  <w:vAlign w:val="center"/>
                </w:tcPr>
                <w:p w14:paraId="5C5E0E06">
                  <w:pPr>
                    <w:pStyle w:val="76"/>
                    <w:jc w:val="center"/>
                    <w:rPr>
                      <w:rFonts w:ascii="Times New Roman" w:hAnsi="Times New Roman"/>
                      <w:color w:val="auto"/>
                      <w:szCs w:val="21"/>
                      <w:u w:val="single"/>
                    </w:rPr>
                  </w:pPr>
                </w:p>
              </w:tc>
              <w:tc>
                <w:tcPr>
                  <w:tcW w:w="299" w:type="pct"/>
                  <w:vMerge w:val="restart"/>
                  <w:vAlign w:val="center"/>
                </w:tcPr>
                <w:p w14:paraId="1F4CF4F7">
                  <w:pPr>
                    <w:pStyle w:val="76"/>
                    <w:jc w:val="center"/>
                    <w:rPr>
                      <w:rFonts w:ascii="Times New Roman" w:hAnsi="Times New Roman"/>
                      <w:color w:val="auto"/>
                      <w:szCs w:val="21"/>
                      <w:u w:val="single"/>
                    </w:rPr>
                  </w:pPr>
                  <w:r>
                    <w:rPr>
                      <w:rFonts w:ascii="Times New Roman" w:hAnsi="Times New Roman"/>
                      <w:color w:val="auto"/>
                      <w:szCs w:val="21"/>
                      <w:u w:val="single"/>
                    </w:rPr>
                    <w:t>磁选设备</w:t>
                  </w:r>
                </w:p>
              </w:tc>
              <w:tc>
                <w:tcPr>
                  <w:tcW w:w="596" w:type="pct"/>
                  <w:vMerge w:val="restart"/>
                  <w:vAlign w:val="center"/>
                </w:tcPr>
                <w:p w14:paraId="665E7A13">
                  <w:pPr>
                    <w:pStyle w:val="88"/>
                    <w:rPr>
                      <w:color w:val="auto"/>
                      <w:szCs w:val="21"/>
                      <w:u w:val="single"/>
                    </w:rPr>
                  </w:pPr>
                  <w:r>
                    <w:rPr>
                      <w:color w:val="auto"/>
                      <w:u w:val="single"/>
                    </w:rPr>
                    <w:t>80</w:t>
                  </w:r>
                </w:p>
              </w:tc>
              <w:tc>
                <w:tcPr>
                  <w:tcW w:w="503" w:type="pct"/>
                  <w:vMerge w:val="restart"/>
                  <w:vAlign w:val="center"/>
                </w:tcPr>
                <w:p w14:paraId="517E1CA5">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6E1DB570">
                  <w:pPr>
                    <w:pStyle w:val="76"/>
                    <w:jc w:val="center"/>
                    <w:rPr>
                      <w:rFonts w:ascii="Times New Roman" w:hAnsi="Times New Roman"/>
                      <w:color w:val="auto"/>
                      <w:szCs w:val="21"/>
                      <w:u w:val="single"/>
                    </w:rPr>
                  </w:pPr>
                  <w:r>
                    <w:rPr>
                      <w:rFonts w:hint="eastAsia" w:ascii="Times New Roman" w:hAnsi="Times New Roman"/>
                      <w:color w:val="auto"/>
                      <w:szCs w:val="21"/>
                      <w:u w:val="single"/>
                    </w:rPr>
                    <w:t>-8</w:t>
                  </w:r>
                </w:p>
              </w:tc>
              <w:tc>
                <w:tcPr>
                  <w:tcW w:w="170" w:type="pct"/>
                  <w:vMerge w:val="restart"/>
                  <w:vAlign w:val="center"/>
                </w:tcPr>
                <w:p w14:paraId="04C67F2E">
                  <w:pPr>
                    <w:pStyle w:val="76"/>
                    <w:jc w:val="center"/>
                    <w:rPr>
                      <w:rFonts w:ascii="Times New Roman" w:hAnsi="Times New Roman"/>
                      <w:color w:val="auto"/>
                      <w:szCs w:val="21"/>
                      <w:u w:val="single"/>
                    </w:rPr>
                  </w:pPr>
                  <w:r>
                    <w:rPr>
                      <w:rFonts w:ascii="Times New Roman" w:hAnsi="Times New Roman"/>
                      <w:color w:val="auto"/>
                      <w:szCs w:val="21"/>
                      <w:u w:val="single"/>
                    </w:rPr>
                    <w:t>-</w:t>
                  </w:r>
                  <w:r>
                    <w:rPr>
                      <w:rFonts w:hint="eastAsia" w:ascii="Times New Roman" w:hAnsi="Times New Roman"/>
                      <w:color w:val="auto"/>
                      <w:szCs w:val="21"/>
                      <w:u w:val="single"/>
                    </w:rPr>
                    <w:t>10</w:t>
                  </w:r>
                </w:p>
              </w:tc>
              <w:tc>
                <w:tcPr>
                  <w:tcW w:w="125" w:type="pct"/>
                  <w:vMerge w:val="restart"/>
                  <w:vAlign w:val="center"/>
                </w:tcPr>
                <w:p w14:paraId="4E09B3FE">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654AFE86">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09134010">
                  <w:pPr>
                    <w:pStyle w:val="76"/>
                    <w:jc w:val="center"/>
                    <w:rPr>
                      <w:rFonts w:ascii="Times New Roman" w:hAnsi="Times New Roman"/>
                      <w:color w:val="auto"/>
                      <w:szCs w:val="21"/>
                      <w:u w:val="single"/>
                    </w:rPr>
                  </w:pPr>
                  <w:r>
                    <w:rPr>
                      <w:rFonts w:hint="eastAsia" w:ascii="Times New Roman" w:hAnsi="Times New Roman"/>
                      <w:color w:val="auto"/>
                      <w:szCs w:val="21"/>
                      <w:u w:val="single"/>
                    </w:rPr>
                    <w:t>104</w:t>
                  </w:r>
                </w:p>
              </w:tc>
              <w:tc>
                <w:tcPr>
                  <w:tcW w:w="405" w:type="pct"/>
                  <w:vAlign w:val="center"/>
                </w:tcPr>
                <w:p w14:paraId="428D5012">
                  <w:pPr>
                    <w:pStyle w:val="76"/>
                    <w:jc w:val="center"/>
                    <w:rPr>
                      <w:rFonts w:ascii="Times New Roman" w:hAnsi="Times New Roman"/>
                      <w:color w:val="auto"/>
                      <w:szCs w:val="21"/>
                      <w:u w:val="single"/>
                    </w:rPr>
                  </w:pPr>
                  <w:r>
                    <w:rPr>
                      <w:rFonts w:ascii="Times New Roman" w:hAnsi="Times New Roman"/>
                      <w:color w:val="auto"/>
                      <w:szCs w:val="21"/>
                      <w:u w:val="single"/>
                    </w:rPr>
                    <w:t>73.0</w:t>
                  </w:r>
                </w:p>
              </w:tc>
              <w:tc>
                <w:tcPr>
                  <w:tcW w:w="548" w:type="pct"/>
                  <w:vMerge w:val="restart"/>
                  <w:vAlign w:val="center"/>
                </w:tcPr>
                <w:p w14:paraId="4245AD76">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061C696D">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0B05411C">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639F7FB9">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restart"/>
                  <w:vAlign w:val="center"/>
                </w:tcPr>
                <w:p w14:paraId="78F3D104">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4A2612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5C8E4115">
                  <w:pPr>
                    <w:pStyle w:val="76"/>
                    <w:jc w:val="center"/>
                    <w:rPr>
                      <w:rFonts w:ascii="Times New Roman" w:hAnsi="Times New Roman"/>
                      <w:color w:val="auto"/>
                      <w:szCs w:val="21"/>
                      <w:u w:val="single"/>
                    </w:rPr>
                  </w:pPr>
                </w:p>
              </w:tc>
              <w:tc>
                <w:tcPr>
                  <w:tcW w:w="163" w:type="pct"/>
                  <w:vMerge w:val="continue"/>
                </w:tcPr>
                <w:p w14:paraId="5863B292">
                  <w:pPr>
                    <w:pStyle w:val="76"/>
                    <w:jc w:val="center"/>
                    <w:rPr>
                      <w:rFonts w:ascii="Times New Roman" w:hAnsi="Times New Roman"/>
                      <w:color w:val="auto"/>
                      <w:szCs w:val="21"/>
                      <w:u w:val="single"/>
                    </w:rPr>
                  </w:pPr>
                </w:p>
              </w:tc>
              <w:tc>
                <w:tcPr>
                  <w:tcW w:w="299" w:type="pct"/>
                  <w:vMerge w:val="continue"/>
                </w:tcPr>
                <w:p w14:paraId="03C6731E">
                  <w:pPr>
                    <w:pStyle w:val="76"/>
                    <w:jc w:val="center"/>
                    <w:rPr>
                      <w:rFonts w:ascii="Times New Roman" w:hAnsi="Times New Roman"/>
                      <w:color w:val="auto"/>
                      <w:szCs w:val="21"/>
                      <w:u w:val="single"/>
                    </w:rPr>
                  </w:pPr>
                </w:p>
              </w:tc>
              <w:tc>
                <w:tcPr>
                  <w:tcW w:w="596" w:type="pct"/>
                  <w:vMerge w:val="continue"/>
                </w:tcPr>
                <w:p w14:paraId="6F3B04D6">
                  <w:pPr>
                    <w:pStyle w:val="76"/>
                    <w:jc w:val="center"/>
                    <w:rPr>
                      <w:rFonts w:ascii="Times New Roman" w:hAnsi="Times New Roman"/>
                      <w:color w:val="auto"/>
                      <w:szCs w:val="21"/>
                      <w:u w:val="single"/>
                    </w:rPr>
                  </w:pPr>
                </w:p>
              </w:tc>
              <w:tc>
                <w:tcPr>
                  <w:tcW w:w="503" w:type="pct"/>
                  <w:vMerge w:val="continue"/>
                </w:tcPr>
                <w:p w14:paraId="463575C3">
                  <w:pPr>
                    <w:pStyle w:val="76"/>
                    <w:jc w:val="center"/>
                    <w:rPr>
                      <w:rFonts w:ascii="Times New Roman" w:hAnsi="Times New Roman"/>
                      <w:color w:val="auto"/>
                      <w:szCs w:val="21"/>
                      <w:u w:val="single"/>
                    </w:rPr>
                  </w:pPr>
                </w:p>
              </w:tc>
              <w:tc>
                <w:tcPr>
                  <w:tcW w:w="170" w:type="pct"/>
                  <w:vMerge w:val="continue"/>
                </w:tcPr>
                <w:p w14:paraId="0BF38299">
                  <w:pPr>
                    <w:pStyle w:val="76"/>
                    <w:jc w:val="center"/>
                    <w:rPr>
                      <w:rFonts w:ascii="Times New Roman" w:hAnsi="Times New Roman"/>
                      <w:color w:val="auto"/>
                      <w:szCs w:val="21"/>
                      <w:u w:val="single"/>
                    </w:rPr>
                  </w:pPr>
                </w:p>
              </w:tc>
              <w:tc>
                <w:tcPr>
                  <w:tcW w:w="170" w:type="pct"/>
                  <w:vMerge w:val="continue"/>
                </w:tcPr>
                <w:p w14:paraId="17E5E95F">
                  <w:pPr>
                    <w:pStyle w:val="76"/>
                    <w:jc w:val="center"/>
                    <w:rPr>
                      <w:rFonts w:ascii="Times New Roman" w:hAnsi="Times New Roman"/>
                      <w:color w:val="auto"/>
                      <w:szCs w:val="21"/>
                      <w:u w:val="single"/>
                    </w:rPr>
                  </w:pPr>
                </w:p>
              </w:tc>
              <w:tc>
                <w:tcPr>
                  <w:tcW w:w="125" w:type="pct"/>
                  <w:vMerge w:val="continue"/>
                </w:tcPr>
                <w:p w14:paraId="6A36A76B">
                  <w:pPr>
                    <w:pStyle w:val="76"/>
                    <w:jc w:val="center"/>
                    <w:rPr>
                      <w:rFonts w:ascii="Times New Roman" w:hAnsi="Times New Roman"/>
                      <w:color w:val="auto"/>
                      <w:szCs w:val="21"/>
                      <w:u w:val="single"/>
                    </w:rPr>
                  </w:pPr>
                </w:p>
              </w:tc>
              <w:tc>
                <w:tcPr>
                  <w:tcW w:w="208" w:type="pct"/>
                  <w:vAlign w:val="center"/>
                </w:tcPr>
                <w:p w14:paraId="4DC19FC4">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181B11A0">
                  <w:pPr>
                    <w:pStyle w:val="76"/>
                    <w:jc w:val="center"/>
                    <w:rPr>
                      <w:rFonts w:ascii="Times New Roman" w:hAnsi="Times New Roman"/>
                      <w:color w:val="auto"/>
                      <w:szCs w:val="21"/>
                      <w:u w:val="single"/>
                    </w:rPr>
                  </w:pPr>
                  <w:r>
                    <w:rPr>
                      <w:rFonts w:ascii="Times New Roman" w:hAnsi="Times New Roman"/>
                      <w:color w:val="auto"/>
                      <w:szCs w:val="21"/>
                      <w:u w:val="single"/>
                    </w:rPr>
                    <w:t>2</w:t>
                  </w:r>
                </w:p>
              </w:tc>
              <w:tc>
                <w:tcPr>
                  <w:tcW w:w="405" w:type="pct"/>
                  <w:vAlign w:val="center"/>
                </w:tcPr>
                <w:p w14:paraId="617FDE6C">
                  <w:pPr>
                    <w:pStyle w:val="76"/>
                    <w:jc w:val="center"/>
                    <w:rPr>
                      <w:rFonts w:ascii="Times New Roman" w:hAnsi="Times New Roman"/>
                      <w:color w:val="auto"/>
                      <w:szCs w:val="21"/>
                      <w:u w:val="single"/>
                    </w:rPr>
                  </w:pPr>
                  <w:r>
                    <w:rPr>
                      <w:rFonts w:ascii="Times New Roman" w:hAnsi="Times New Roman"/>
                      <w:color w:val="auto"/>
                      <w:szCs w:val="21"/>
                      <w:u w:val="single"/>
                    </w:rPr>
                    <w:t>73.3</w:t>
                  </w:r>
                </w:p>
              </w:tc>
              <w:tc>
                <w:tcPr>
                  <w:tcW w:w="548" w:type="pct"/>
                  <w:vMerge w:val="continue"/>
                </w:tcPr>
                <w:p w14:paraId="0184B107">
                  <w:pPr>
                    <w:pStyle w:val="76"/>
                    <w:jc w:val="center"/>
                    <w:rPr>
                      <w:rFonts w:ascii="Times New Roman" w:hAnsi="Times New Roman"/>
                      <w:color w:val="auto"/>
                      <w:szCs w:val="21"/>
                      <w:u w:val="single"/>
                    </w:rPr>
                  </w:pPr>
                </w:p>
              </w:tc>
              <w:tc>
                <w:tcPr>
                  <w:tcW w:w="436" w:type="pct"/>
                  <w:vMerge w:val="continue"/>
                </w:tcPr>
                <w:p w14:paraId="5A87FA36">
                  <w:pPr>
                    <w:pStyle w:val="76"/>
                    <w:jc w:val="center"/>
                    <w:rPr>
                      <w:rFonts w:ascii="Times New Roman" w:hAnsi="Times New Roman"/>
                      <w:color w:val="auto"/>
                      <w:szCs w:val="21"/>
                      <w:u w:val="single"/>
                    </w:rPr>
                  </w:pPr>
                </w:p>
              </w:tc>
              <w:tc>
                <w:tcPr>
                  <w:tcW w:w="272" w:type="pct"/>
                  <w:vAlign w:val="center"/>
                </w:tcPr>
                <w:p w14:paraId="2D96CAF4">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0CF4AFB6">
                  <w:pPr>
                    <w:pStyle w:val="76"/>
                    <w:jc w:val="center"/>
                    <w:rPr>
                      <w:rFonts w:ascii="Times New Roman" w:hAnsi="Times New Roman"/>
                      <w:color w:val="auto"/>
                      <w:szCs w:val="21"/>
                      <w:u w:val="single"/>
                    </w:rPr>
                  </w:pPr>
                  <w:r>
                    <w:rPr>
                      <w:rFonts w:ascii="Times New Roman" w:hAnsi="Times New Roman"/>
                      <w:color w:val="auto"/>
                      <w:szCs w:val="21"/>
                      <w:u w:val="single"/>
                    </w:rPr>
                    <w:t>51.3</w:t>
                  </w:r>
                </w:p>
              </w:tc>
              <w:tc>
                <w:tcPr>
                  <w:tcW w:w="311" w:type="pct"/>
                  <w:vMerge w:val="continue"/>
                </w:tcPr>
                <w:p w14:paraId="22058E05">
                  <w:pPr>
                    <w:pStyle w:val="76"/>
                    <w:jc w:val="center"/>
                    <w:rPr>
                      <w:rFonts w:ascii="Times New Roman" w:hAnsi="Times New Roman"/>
                      <w:color w:val="auto"/>
                      <w:szCs w:val="21"/>
                      <w:u w:val="single"/>
                    </w:rPr>
                  </w:pPr>
                </w:p>
              </w:tc>
            </w:tr>
            <w:tr w14:paraId="627A67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319E0424">
                  <w:pPr>
                    <w:pStyle w:val="76"/>
                    <w:jc w:val="center"/>
                    <w:rPr>
                      <w:rFonts w:ascii="Times New Roman" w:hAnsi="Times New Roman"/>
                      <w:color w:val="auto"/>
                      <w:szCs w:val="21"/>
                      <w:u w:val="single"/>
                    </w:rPr>
                  </w:pPr>
                </w:p>
              </w:tc>
              <w:tc>
                <w:tcPr>
                  <w:tcW w:w="163" w:type="pct"/>
                  <w:vMerge w:val="continue"/>
                </w:tcPr>
                <w:p w14:paraId="1611AE6D">
                  <w:pPr>
                    <w:pStyle w:val="76"/>
                    <w:jc w:val="center"/>
                    <w:rPr>
                      <w:rFonts w:ascii="Times New Roman" w:hAnsi="Times New Roman"/>
                      <w:color w:val="auto"/>
                      <w:szCs w:val="21"/>
                      <w:u w:val="single"/>
                    </w:rPr>
                  </w:pPr>
                </w:p>
              </w:tc>
              <w:tc>
                <w:tcPr>
                  <w:tcW w:w="299" w:type="pct"/>
                  <w:vMerge w:val="continue"/>
                </w:tcPr>
                <w:p w14:paraId="3F5D3ACE">
                  <w:pPr>
                    <w:pStyle w:val="76"/>
                    <w:jc w:val="center"/>
                    <w:rPr>
                      <w:rFonts w:ascii="Times New Roman" w:hAnsi="Times New Roman"/>
                      <w:color w:val="auto"/>
                      <w:szCs w:val="21"/>
                      <w:u w:val="single"/>
                    </w:rPr>
                  </w:pPr>
                </w:p>
              </w:tc>
              <w:tc>
                <w:tcPr>
                  <w:tcW w:w="596" w:type="pct"/>
                  <w:vMerge w:val="continue"/>
                </w:tcPr>
                <w:p w14:paraId="76A5B4F1">
                  <w:pPr>
                    <w:pStyle w:val="76"/>
                    <w:jc w:val="center"/>
                    <w:rPr>
                      <w:rFonts w:ascii="Times New Roman" w:hAnsi="Times New Roman"/>
                      <w:color w:val="auto"/>
                      <w:szCs w:val="21"/>
                      <w:u w:val="single"/>
                    </w:rPr>
                  </w:pPr>
                </w:p>
              </w:tc>
              <w:tc>
                <w:tcPr>
                  <w:tcW w:w="503" w:type="pct"/>
                  <w:vMerge w:val="continue"/>
                </w:tcPr>
                <w:p w14:paraId="4E1B8606">
                  <w:pPr>
                    <w:pStyle w:val="76"/>
                    <w:jc w:val="center"/>
                    <w:rPr>
                      <w:rFonts w:ascii="Times New Roman" w:hAnsi="Times New Roman"/>
                      <w:color w:val="auto"/>
                      <w:szCs w:val="21"/>
                      <w:u w:val="single"/>
                    </w:rPr>
                  </w:pPr>
                </w:p>
              </w:tc>
              <w:tc>
                <w:tcPr>
                  <w:tcW w:w="170" w:type="pct"/>
                  <w:vMerge w:val="continue"/>
                </w:tcPr>
                <w:p w14:paraId="10F1736B">
                  <w:pPr>
                    <w:pStyle w:val="76"/>
                    <w:jc w:val="center"/>
                    <w:rPr>
                      <w:rFonts w:ascii="Times New Roman" w:hAnsi="Times New Roman"/>
                      <w:color w:val="auto"/>
                      <w:szCs w:val="21"/>
                      <w:u w:val="single"/>
                    </w:rPr>
                  </w:pPr>
                </w:p>
              </w:tc>
              <w:tc>
                <w:tcPr>
                  <w:tcW w:w="170" w:type="pct"/>
                  <w:vMerge w:val="continue"/>
                </w:tcPr>
                <w:p w14:paraId="19E57E2E">
                  <w:pPr>
                    <w:pStyle w:val="76"/>
                    <w:jc w:val="center"/>
                    <w:rPr>
                      <w:rFonts w:ascii="Times New Roman" w:hAnsi="Times New Roman"/>
                      <w:color w:val="auto"/>
                      <w:szCs w:val="21"/>
                      <w:u w:val="single"/>
                    </w:rPr>
                  </w:pPr>
                </w:p>
              </w:tc>
              <w:tc>
                <w:tcPr>
                  <w:tcW w:w="125" w:type="pct"/>
                  <w:vMerge w:val="continue"/>
                </w:tcPr>
                <w:p w14:paraId="142667EE">
                  <w:pPr>
                    <w:pStyle w:val="76"/>
                    <w:jc w:val="center"/>
                    <w:rPr>
                      <w:rFonts w:ascii="Times New Roman" w:hAnsi="Times New Roman"/>
                      <w:color w:val="auto"/>
                      <w:szCs w:val="21"/>
                      <w:u w:val="single"/>
                    </w:rPr>
                  </w:pPr>
                </w:p>
              </w:tc>
              <w:tc>
                <w:tcPr>
                  <w:tcW w:w="208" w:type="pct"/>
                  <w:vAlign w:val="center"/>
                </w:tcPr>
                <w:p w14:paraId="206DD84D">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310FB659">
                  <w:pPr>
                    <w:pStyle w:val="76"/>
                    <w:jc w:val="center"/>
                    <w:rPr>
                      <w:rFonts w:ascii="Times New Roman" w:hAnsi="Times New Roman"/>
                      <w:color w:val="auto"/>
                      <w:szCs w:val="21"/>
                      <w:u w:val="single"/>
                    </w:rPr>
                  </w:pPr>
                  <w:r>
                    <w:rPr>
                      <w:rFonts w:hint="eastAsia" w:ascii="Times New Roman" w:hAnsi="Times New Roman"/>
                      <w:color w:val="auto"/>
                      <w:szCs w:val="21"/>
                      <w:u w:val="single"/>
                    </w:rPr>
                    <w:t>8</w:t>
                  </w:r>
                  <w:r>
                    <w:rPr>
                      <w:rFonts w:ascii="Times New Roman" w:hAnsi="Times New Roman"/>
                      <w:color w:val="auto"/>
                      <w:szCs w:val="21"/>
                      <w:u w:val="single"/>
                    </w:rPr>
                    <w:t>2</w:t>
                  </w:r>
                </w:p>
              </w:tc>
              <w:tc>
                <w:tcPr>
                  <w:tcW w:w="405" w:type="pct"/>
                  <w:vAlign w:val="center"/>
                </w:tcPr>
                <w:p w14:paraId="42D34CE6">
                  <w:pPr>
                    <w:pStyle w:val="76"/>
                    <w:jc w:val="center"/>
                    <w:rPr>
                      <w:rFonts w:ascii="Times New Roman" w:hAnsi="Times New Roman"/>
                      <w:color w:val="auto"/>
                      <w:szCs w:val="21"/>
                      <w:u w:val="single"/>
                    </w:rPr>
                  </w:pPr>
                  <w:r>
                    <w:rPr>
                      <w:rFonts w:ascii="Times New Roman" w:hAnsi="Times New Roman"/>
                      <w:color w:val="auto"/>
                      <w:szCs w:val="21"/>
                      <w:u w:val="single"/>
                    </w:rPr>
                    <w:t>73.0</w:t>
                  </w:r>
                </w:p>
              </w:tc>
              <w:tc>
                <w:tcPr>
                  <w:tcW w:w="548" w:type="pct"/>
                  <w:vMerge w:val="continue"/>
                </w:tcPr>
                <w:p w14:paraId="3F39E1DB">
                  <w:pPr>
                    <w:pStyle w:val="76"/>
                    <w:jc w:val="center"/>
                    <w:rPr>
                      <w:rFonts w:ascii="Times New Roman" w:hAnsi="Times New Roman"/>
                      <w:color w:val="auto"/>
                      <w:szCs w:val="21"/>
                      <w:u w:val="single"/>
                    </w:rPr>
                  </w:pPr>
                </w:p>
              </w:tc>
              <w:tc>
                <w:tcPr>
                  <w:tcW w:w="436" w:type="pct"/>
                  <w:vMerge w:val="continue"/>
                </w:tcPr>
                <w:p w14:paraId="2A9A6148">
                  <w:pPr>
                    <w:pStyle w:val="76"/>
                    <w:jc w:val="center"/>
                    <w:rPr>
                      <w:rFonts w:ascii="Times New Roman" w:hAnsi="Times New Roman"/>
                      <w:color w:val="auto"/>
                      <w:szCs w:val="21"/>
                      <w:u w:val="single"/>
                    </w:rPr>
                  </w:pPr>
                </w:p>
              </w:tc>
              <w:tc>
                <w:tcPr>
                  <w:tcW w:w="272" w:type="pct"/>
                  <w:vAlign w:val="center"/>
                </w:tcPr>
                <w:p w14:paraId="7F92CF02">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3E1C8759">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tcPr>
                <w:p w14:paraId="6781327A">
                  <w:pPr>
                    <w:pStyle w:val="76"/>
                    <w:jc w:val="center"/>
                    <w:rPr>
                      <w:rFonts w:ascii="Times New Roman" w:hAnsi="Times New Roman"/>
                      <w:color w:val="auto"/>
                      <w:szCs w:val="21"/>
                      <w:u w:val="single"/>
                    </w:rPr>
                  </w:pPr>
                </w:p>
              </w:tc>
            </w:tr>
            <w:tr w14:paraId="50483D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0CE7831B">
                  <w:pPr>
                    <w:pStyle w:val="76"/>
                    <w:jc w:val="center"/>
                    <w:rPr>
                      <w:rFonts w:ascii="Times New Roman" w:hAnsi="Times New Roman"/>
                      <w:color w:val="auto"/>
                      <w:szCs w:val="21"/>
                      <w:u w:val="single"/>
                    </w:rPr>
                  </w:pPr>
                </w:p>
              </w:tc>
              <w:tc>
                <w:tcPr>
                  <w:tcW w:w="163" w:type="pct"/>
                  <w:vMerge w:val="continue"/>
                </w:tcPr>
                <w:p w14:paraId="289D6BF1">
                  <w:pPr>
                    <w:pStyle w:val="76"/>
                    <w:jc w:val="center"/>
                    <w:rPr>
                      <w:rFonts w:ascii="Times New Roman" w:hAnsi="Times New Roman"/>
                      <w:color w:val="auto"/>
                      <w:szCs w:val="21"/>
                      <w:u w:val="single"/>
                    </w:rPr>
                  </w:pPr>
                </w:p>
              </w:tc>
              <w:tc>
                <w:tcPr>
                  <w:tcW w:w="299" w:type="pct"/>
                  <w:vMerge w:val="continue"/>
                </w:tcPr>
                <w:p w14:paraId="3A42BAD1">
                  <w:pPr>
                    <w:pStyle w:val="76"/>
                    <w:jc w:val="center"/>
                    <w:rPr>
                      <w:rFonts w:ascii="Times New Roman" w:hAnsi="Times New Roman"/>
                      <w:color w:val="auto"/>
                      <w:szCs w:val="21"/>
                      <w:u w:val="single"/>
                    </w:rPr>
                  </w:pPr>
                </w:p>
              </w:tc>
              <w:tc>
                <w:tcPr>
                  <w:tcW w:w="596" w:type="pct"/>
                  <w:vMerge w:val="continue"/>
                </w:tcPr>
                <w:p w14:paraId="2D05BB98">
                  <w:pPr>
                    <w:pStyle w:val="76"/>
                    <w:jc w:val="center"/>
                    <w:rPr>
                      <w:rFonts w:ascii="Times New Roman" w:hAnsi="Times New Roman"/>
                      <w:color w:val="auto"/>
                      <w:szCs w:val="21"/>
                      <w:u w:val="single"/>
                    </w:rPr>
                  </w:pPr>
                </w:p>
              </w:tc>
              <w:tc>
                <w:tcPr>
                  <w:tcW w:w="503" w:type="pct"/>
                  <w:vMerge w:val="continue"/>
                </w:tcPr>
                <w:p w14:paraId="4FFA7DA0">
                  <w:pPr>
                    <w:pStyle w:val="76"/>
                    <w:jc w:val="center"/>
                    <w:rPr>
                      <w:rFonts w:ascii="Times New Roman" w:hAnsi="Times New Roman"/>
                      <w:color w:val="auto"/>
                      <w:szCs w:val="21"/>
                      <w:u w:val="single"/>
                    </w:rPr>
                  </w:pPr>
                </w:p>
              </w:tc>
              <w:tc>
                <w:tcPr>
                  <w:tcW w:w="170" w:type="pct"/>
                  <w:vMerge w:val="continue"/>
                </w:tcPr>
                <w:p w14:paraId="57B240EF">
                  <w:pPr>
                    <w:pStyle w:val="76"/>
                    <w:jc w:val="center"/>
                    <w:rPr>
                      <w:rFonts w:ascii="Times New Roman" w:hAnsi="Times New Roman"/>
                      <w:color w:val="auto"/>
                      <w:szCs w:val="21"/>
                      <w:u w:val="single"/>
                    </w:rPr>
                  </w:pPr>
                </w:p>
              </w:tc>
              <w:tc>
                <w:tcPr>
                  <w:tcW w:w="170" w:type="pct"/>
                  <w:vMerge w:val="continue"/>
                </w:tcPr>
                <w:p w14:paraId="6C71FA8C">
                  <w:pPr>
                    <w:pStyle w:val="76"/>
                    <w:jc w:val="center"/>
                    <w:rPr>
                      <w:rFonts w:ascii="Times New Roman" w:hAnsi="Times New Roman"/>
                      <w:color w:val="auto"/>
                      <w:szCs w:val="21"/>
                      <w:u w:val="single"/>
                    </w:rPr>
                  </w:pPr>
                </w:p>
              </w:tc>
              <w:tc>
                <w:tcPr>
                  <w:tcW w:w="125" w:type="pct"/>
                  <w:vMerge w:val="continue"/>
                </w:tcPr>
                <w:p w14:paraId="6BA5B203">
                  <w:pPr>
                    <w:pStyle w:val="76"/>
                    <w:jc w:val="center"/>
                    <w:rPr>
                      <w:rFonts w:ascii="Times New Roman" w:hAnsi="Times New Roman"/>
                      <w:color w:val="auto"/>
                      <w:szCs w:val="21"/>
                      <w:u w:val="single"/>
                    </w:rPr>
                  </w:pPr>
                </w:p>
              </w:tc>
              <w:tc>
                <w:tcPr>
                  <w:tcW w:w="208" w:type="pct"/>
                  <w:vAlign w:val="center"/>
                </w:tcPr>
                <w:p w14:paraId="4EAAFF52">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1111CBBA">
                  <w:pPr>
                    <w:pStyle w:val="76"/>
                    <w:jc w:val="center"/>
                    <w:rPr>
                      <w:rFonts w:ascii="Times New Roman" w:hAnsi="Times New Roman"/>
                      <w:color w:val="auto"/>
                      <w:szCs w:val="21"/>
                      <w:u w:val="single"/>
                    </w:rPr>
                  </w:pPr>
                  <w:r>
                    <w:rPr>
                      <w:rFonts w:hint="eastAsia" w:ascii="Times New Roman" w:hAnsi="Times New Roman"/>
                      <w:color w:val="auto"/>
                      <w:szCs w:val="21"/>
                      <w:u w:val="single"/>
                    </w:rPr>
                    <w:t>26</w:t>
                  </w:r>
                </w:p>
              </w:tc>
              <w:tc>
                <w:tcPr>
                  <w:tcW w:w="405" w:type="pct"/>
                  <w:vAlign w:val="center"/>
                </w:tcPr>
                <w:p w14:paraId="72C1575D">
                  <w:pPr>
                    <w:pStyle w:val="76"/>
                    <w:jc w:val="center"/>
                    <w:rPr>
                      <w:rFonts w:ascii="Times New Roman" w:hAnsi="Times New Roman"/>
                      <w:color w:val="auto"/>
                      <w:szCs w:val="21"/>
                      <w:u w:val="single"/>
                    </w:rPr>
                  </w:pPr>
                  <w:r>
                    <w:rPr>
                      <w:rFonts w:ascii="Times New Roman" w:hAnsi="Times New Roman"/>
                      <w:color w:val="auto"/>
                      <w:szCs w:val="21"/>
                      <w:u w:val="single"/>
                    </w:rPr>
                    <w:t>73.0</w:t>
                  </w:r>
                </w:p>
              </w:tc>
              <w:tc>
                <w:tcPr>
                  <w:tcW w:w="548" w:type="pct"/>
                  <w:vMerge w:val="continue"/>
                </w:tcPr>
                <w:p w14:paraId="7E417ED8">
                  <w:pPr>
                    <w:pStyle w:val="76"/>
                    <w:jc w:val="center"/>
                    <w:rPr>
                      <w:rFonts w:ascii="Times New Roman" w:hAnsi="Times New Roman"/>
                      <w:color w:val="auto"/>
                      <w:szCs w:val="21"/>
                      <w:u w:val="single"/>
                    </w:rPr>
                  </w:pPr>
                </w:p>
              </w:tc>
              <w:tc>
                <w:tcPr>
                  <w:tcW w:w="436" w:type="pct"/>
                  <w:vMerge w:val="continue"/>
                </w:tcPr>
                <w:p w14:paraId="31AC329C">
                  <w:pPr>
                    <w:pStyle w:val="76"/>
                    <w:jc w:val="center"/>
                    <w:rPr>
                      <w:rFonts w:ascii="Times New Roman" w:hAnsi="Times New Roman"/>
                      <w:color w:val="auto"/>
                      <w:szCs w:val="21"/>
                      <w:u w:val="single"/>
                    </w:rPr>
                  </w:pPr>
                </w:p>
              </w:tc>
              <w:tc>
                <w:tcPr>
                  <w:tcW w:w="272" w:type="pct"/>
                  <w:vAlign w:val="center"/>
                </w:tcPr>
                <w:p w14:paraId="361E542D">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44902374">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tcPr>
                <w:p w14:paraId="68AD0290">
                  <w:pPr>
                    <w:pStyle w:val="76"/>
                    <w:jc w:val="center"/>
                    <w:rPr>
                      <w:rFonts w:ascii="Times New Roman" w:hAnsi="Times New Roman"/>
                      <w:color w:val="auto"/>
                      <w:szCs w:val="21"/>
                      <w:u w:val="single"/>
                    </w:rPr>
                  </w:pPr>
                </w:p>
              </w:tc>
            </w:tr>
            <w:tr w14:paraId="2E76E3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7E7DAC34">
                  <w:pPr>
                    <w:pStyle w:val="76"/>
                    <w:numPr>
                      <w:ilvl w:val="0"/>
                      <w:numId w:val="7"/>
                    </w:numPr>
                    <w:jc w:val="center"/>
                    <w:rPr>
                      <w:rFonts w:ascii="Times New Roman" w:hAnsi="Times New Roman"/>
                      <w:color w:val="auto"/>
                      <w:szCs w:val="21"/>
                      <w:u w:val="single"/>
                    </w:rPr>
                  </w:pPr>
                </w:p>
              </w:tc>
              <w:tc>
                <w:tcPr>
                  <w:tcW w:w="163" w:type="pct"/>
                  <w:vMerge w:val="continue"/>
                  <w:vAlign w:val="center"/>
                </w:tcPr>
                <w:p w14:paraId="36443CAE">
                  <w:pPr>
                    <w:pStyle w:val="76"/>
                    <w:jc w:val="center"/>
                    <w:rPr>
                      <w:rFonts w:ascii="Times New Roman" w:hAnsi="Times New Roman"/>
                      <w:color w:val="auto"/>
                      <w:szCs w:val="21"/>
                      <w:u w:val="single"/>
                    </w:rPr>
                  </w:pPr>
                </w:p>
              </w:tc>
              <w:tc>
                <w:tcPr>
                  <w:tcW w:w="299" w:type="pct"/>
                  <w:vMerge w:val="restart"/>
                  <w:vAlign w:val="center"/>
                </w:tcPr>
                <w:p w14:paraId="72D8A75D">
                  <w:pPr>
                    <w:pStyle w:val="76"/>
                    <w:jc w:val="center"/>
                    <w:rPr>
                      <w:rFonts w:ascii="Times New Roman" w:hAnsi="Times New Roman"/>
                      <w:color w:val="auto"/>
                      <w:szCs w:val="21"/>
                      <w:u w:val="single"/>
                    </w:rPr>
                  </w:pPr>
                  <w:r>
                    <w:rPr>
                      <w:rFonts w:ascii="Times New Roman" w:hAnsi="Times New Roman"/>
                      <w:color w:val="auto"/>
                      <w:szCs w:val="21"/>
                      <w:u w:val="single"/>
                    </w:rPr>
                    <w:t>水冷落砂平台</w:t>
                  </w:r>
                </w:p>
              </w:tc>
              <w:tc>
                <w:tcPr>
                  <w:tcW w:w="596" w:type="pct"/>
                  <w:vMerge w:val="restart"/>
                  <w:vAlign w:val="center"/>
                </w:tcPr>
                <w:p w14:paraId="7C9997E9">
                  <w:pPr>
                    <w:pStyle w:val="88"/>
                    <w:rPr>
                      <w:color w:val="auto"/>
                      <w:szCs w:val="21"/>
                      <w:u w:val="single"/>
                    </w:rPr>
                  </w:pPr>
                  <w:r>
                    <w:rPr>
                      <w:color w:val="auto"/>
                      <w:u w:val="single"/>
                    </w:rPr>
                    <w:t>85</w:t>
                  </w:r>
                </w:p>
              </w:tc>
              <w:tc>
                <w:tcPr>
                  <w:tcW w:w="503" w:type="pct"/>
                  <w:vMerge w:val="restart"/>
                  <w:vAlign w:val="center"/>
                </w:tcPr>
                <w:p w14:paraId="2B65D309">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7C5DD0D0">
                  <w:pPr>
                    <w:pStyle w:val="76"/>
                    <w:jc w:val="center"/>
                    <w:rPr>
                      <w:rFonts w:ascii="Times New Roman" w:hAnsi="Times New Roman"/>
                      <w:color w:val="auto"/>
                      <w:szCs w:val="21"/>
                      <w:u w:val="single"/>
                    </w:rPr>
                  </w:pPr>
                  <w:r>
                    <w:rPr>
                      <w:rFonts w:hint="eastAsia" w:ascii="Times New Roman" w:hAnsi="Times New Roman"/>
                      <w:color w:val="auto"/>
                      <w:szCs w:val="21"/>
                      <w:u w:val="single"/>
                    </w:rPr>
                    <w:t>-6</w:t>
                  </w:r>
                </w:p>
              </w:tc>
              <w:tc>
                <w:tcPr>
                  <w:tcW w:w="170" w:type="pct"/>
                  <w:vMerge w:val="restart"/>
                  <w:vAlign w:val="center"/>
                </w:tcPr>
                <w:p w14:paraId="3620C5E2">
                  <w:pPr>
                    <w:pStyle w:val="76"/>
                    <w:jc w:val="center"/>
                    <w:rPr>
                      <w:rFonts w:ascii="Times New Roman" w:hAnsi="Times New Roman"/>
                      <w:color w:val="auto"/>
                      <w:szCs w:val="21"/>
                      <w:u w:val="single"/>
                    </w:rPr>
                  </w:pPr>
                  <w:r>
                    <w:rPr>
                      <w:rFonts w:hint="eastAsia" w:ascii="Times New Roman" w:hAnsi="Times New Roman"/>
                      <w:color w:val="auto"/>
                      <w:szCs w:val="21"/>
                      <w:u w:val="single"/>
                    </w:rPr>
                    <w:t>-1</w:t>
                  </w:r>
                </w:p>
              </w:tc>
              <w:tc>
                <w:tcPr>
                  <w:tcW w:w="125" w:type="pct"/>
                  <w:vMerge w:val="restart"/>
                  <w:vAlign w:val="center"/>
                </w:tcPr>
                <w:p w14:paraId="22542E91">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128B44C0">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03D92596">
                  <w:pPr>
                    <w:pStyle w:val="76"/>
                    <w:jc w:val="center"/>
                    <w:rPr>
                      <w:rFonts w:ascii="Times New Roman" w:hAnsi="Times New Roman"/>
                      <w:color w:val="auto"/>
                      <w:szCs w:val="21"/>
                      <w:u w:val="single"/>
                    </w:rPr>
                  </w:pPr>
                  <w:r>
                    <w:rPr>
                      <w:rFonts w:hint="eastAsia" w:ascii="Times New Roman" w:hAnsi="Times New Roman"/>
                      <w:color w:val="auto"/>
                      <w:szCs w:val="21"/>
                      <w:u w:val="single"/>
                    </w:rPr>
                    <w:t>102</w:t>
                  </w:r>
                </w:p>
              </w:tc>
              <w:tc>
                <w:tcPr>
                  <w:tcW w:w="405" w:type="pct"/>
                  <w:vAlign w:val="center"/>
                </w:tcPr>
                <w:p w14:paraId="3C83A8EF">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restart"/>
                  <w:vAlign w:val="center"/>
                </w:tcPr>
                <w:p w14:paraId="21F4B091">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4326790D">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35FEC16A">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094EC33F">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restart"/>
                  <w:vAlign w:val="center"/>
                </w:tcPr>
                <w:p w14:paraId="2DA50328">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6B6227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21EF9686">
                  <w:pPr>
                    <w:pStyle w:val="76"/>
                    <w:jc w:val="center"/>
                    <w:rPr>
                      <w:rFonts w:ascii="Times New Roman" w:hAnsi="Times New Roman"/>
                      <w:color w:val="auto"/>
                      <w:szCs w:val="21"/>
                      <w:u w:val="single"/>
                    </w:rPr>
                  </w:pPr>
                </w:p>
              </w:tc>
              <w:tc>
                <w:tcPr>
                  <w:tcW w:w="163" w:type="pct"/>
                  <w:vMerge w:val="continue"/>
                </w:tcPr>
                <w:p w14:paraId="7F6E6180">
                  <w:pPr>
                    <w:pStyle w:val="76"/>
                    <w:jc w:val="center"/>
                    <w:rPr>
                      <w:rFonts w:ascii="Times New Roman" w:hAnsi="Times New Roman"/>
                      <w:color w:val="auto"/>
                      <w:szCs w:val="21"/>
                      <w:u w:val="single"/>
                    </w:rPr>
                  </w:pPr>
                </w:p>
              </w:tc>
              <w:tc>
                <w:tcPr>
                  <w:tcW w:w="299" w:type="pct"/>
                  <w:vMerge w:val="continue"/>
                </w:tcPr>
                <w:p w14:paraId="489F6F00">
                  <w:pPr>
                    <w:pStyle w:val="76"/>
                    <w:jc w:val="center"/>
                    <w:rPr>
                      <w:rFonts w:ascii="Times New Roman" w:hAnsi="Times New Roman"/>
                      <w:color w:val="auto"/>
                      <w:szCs w:val="21"/>
                      <w:u w:val="single"/>
                    </w:rPr>
                  </w:pPr>
                </w:p>
              </w:tc>
              <w:tc>
                <w:tcPr>
                  <w:tcW w:w="596" w:type="pct"/>
                  <w:vMerge w:val="continue"/>
                </w:tcPr>
                <w:p w14:paraId="27722473">
                  <w:pPr>
                    <w:pStyle w:val="76"/>
                    <w:jc w:val="center"/>
                    <w:rPr>
                      <w:rFonts w:ascii="Times New Roman" w:hAnsi="Times New Roman"/>
                      <w:color w:val="auto"/>
                      <w:szCs w:val="21"/>
                      <w:u w:val="single"/>
                    </w:rPr>
                  </w:pPr>
                </w:p>
              </w:tc>
              <w:tc>
                <w:tcPr>
                  <w:tcW w:w="503" w:type="pct"/>
                  <w:vMerge w:val="continue"/>
                </w:tcPr>
                <w:p w14:paraId="60ED1443">
                  <w:pPr>
                    <w:pStyle w:val="76"/>
                    <w:jc w:val="center"/>
                    <w:rPr>
                      <w:rFonts w:ascii="Times New Roman" w:hAnsi="Times New Roman"/>
                      <w:color w:val="auto"/>
                      <w:szCs w:val="21"/>
                      <w:u w:val="single"/>
                    </w:rPr>
                  </w:pPr>
                </w:p>
              </w:tc>
              <w:tc>
                <w:tcPr>
                  <w:tcW w:w="170" w:type="pct"/>
                  <w:vMerge w:val="continue"/>
                </w:tcPr>
                <w:p w14:paraId="022F28EF">
                  <w:pPr>
                    <w:pStyle w:val="76"/>
                    <w:jc w:val="center"/>
                    <w:rPr>
                      <w:rFonts w:ascii="Times New Roman" w:hAnsi="Times New Roman"/>
                      <w:color w:val="auto"/>
                      <w:szCs w:val="21"/>
                      <w:u w:val="single"/>
                    </w:rPr>
                  </w:pPr>
                </w:p>
              </w:tc>
              <w:tc>
                <w:tcPr>
                  <w:tcW w:w="170" w:type="pct"/>
                  <w:vMerge w:val="continue"/>
                </w:tcPr>
                <w:p w14:paraId="6641FD16">
                  <w:pPr>
                    <w:pStyle w:val="76"/>
                    <w:jc w:val="center"/>
                    <w:rPr>
                      <w:rFonts w:ascii="Times New Roman" w:hAnsi="Times New Roman"/>
                      <w:color w:val="auto"/>
                      <w:szCs w:val="21"/>
                      <w:u w:val="single"/>
                    </w:rPr>
                  </w:pPr>
                </w:p>
              </w:tc>
              <w:tc>
                <w:tcPr>
                  <w:tcW w:w="125" w:type="pct"/>
                  <w:vMerge w:val="continue"/>
                </w:tcPr>
                <w:p w14:paraId="0C9731E7">
                  <w:pPr>
                    <w:pStyle w:val="76"/>
                    <w:jc w:val="center"/>
                    <w:rPr>
                      <w:rFonts w:ascii="Times New Roman" w:hAnsi="Times New Roman"/>
                      <w:color w:val="auto"/>
                      <w:szCs w:val="21"/>
                      <w:u w:val="single"/>
                    </w:rPr>
                  </w:pPr>
                </w:p>
              </w:tc>
              <w:tc>
                <w:tcPr>
                  <w:tcW w:w="208" w:type="pct"/>
                  <w:vAlign w:val="center"/>
                </w:tcPr>
                <w:p w14:paraId="1F622D88">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1479803E">
                  <w:pPr>
                    <w:pStyle w:val="76"/>
                    <w:jc w:val="center"/>
                    <w:rPr>
                      <w:rFonts w:ascii="Times New Roman" w:hAnsi="Times New Roman"/>
                      <w:color w:val="auto"/>
                      <w:szCs w:val="21"/>
                      <w:u w:val="single"/>
                    </w:rPr>
                  </w:pPr>
                  <w:r>
                    <w:rPr>
                      <w:rFonts w:ascii="Times New Roman" w:hAnsi="Times New Roman"/>
                      <w:color w:val="auto"/>
                      <w:szCs w:val="21"/>
                      <w:u w:val="single"/>
                    </w:rPr>
                    <w:t>1</w:t>
                  </w:r>
                  <w:r>
                    <w:rPr>
                      <w:rFonts w:hint="eastAsia" w:ascii="Times New Roman" w:hAnsi="Times New Roman"/>
                      <w:color w:val="auto"/>
                      <w:szCs w:val="21"/>
                      <w:u w:val="single"/>
                    </w:rPr>
                    <w:t>3</w:t>
                  </w:r>
                </w:p>
              </w:tc>
              <w:tc>
                <w:tcPr>
                  <w:tcW w:w="405" w:type="pct"/>
                  <w:vAlign w:val="center"/>
                </w:tcPr>
                <w:p w14:paraId="14398917">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continue"/>
                </w:tcPr>
                <w:p w14:paraId="7E4D0487">
                  <w:pPr>
                    <w:pStyle w:val="76"/>
                    <w:jc w:val="center"/>
                    <w:rPr>
                      <w:rFonts w:ascii="Times New Roman" w:hAnsi="Times New Roman"/>
                      <w:color w:val="auto"/>
                      <w:szCs w:val="21"/>
                      <w:u w:val="single"/>
                    </w:rPr>
                  </w:pPr>
                </w:p>
              </w:tc>
              <w:tc>
                <w:tcPr>
                  <w:tcW w:w="436" w:type="pct"/>
                  <w:vMerge w:val="continue"/>
                </w:tcPr>
                <w:p w14:paraId="6BB3B2B1">
                  <w:pPr>
                    <w:pStyle w:val="76"/>
                    <w:jc w:val="center"/>
                    <w:rPr>
                      <w:rFonts w:ascii="Times New Roman" w:hAnsi="Times New Roman"/>
                      <w:color w:val="auto"/>
                      <w:szCs w:val="21"/>
                      <w:u w:val="single"/>
                    </w:rPr>
                  </w:pPr>
                </w:p>
              </w:tc>
              <w:tc>
                <w:tcPr>
                  <w:tcW w:w="272" w:type="pct"/>
                  <w:vAlign w:val="center"/>
                </w:tcPr>
                <w:p w14:paraId="67DB0FAF">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59F58F41">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0</w:t>
                  </w:r>
                </w:p>
              </w:tc>
              <w:tc>
                <w:tcPr>
                  <w:tcW w:w="311" w:type="pct"/>
                  <w:vMerge w:val="continue"/>
                </w:tcPr>
                <w:p w14:paraId="3C8592EB">
                  <w:pPr>
                    <w:pStyle w:val="76"/>
                    <w:jc w:val="center"/>
                    <w:rPr>
                      <w:rFonts w:ascii="Times New Roman" w:hAnsi="Times New Roman"/>
                      <w:color w:val="auto"/>
                      <w:szCs w:val="21"/>
                      <w:u w:val="single"/>
                    </w:rPr>
                  </w:pPr>
                </w:p>
              </w:tc>
            </w:tr>
            <w:tr w14:paraId="4C366E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2F86A399">
                  <w:pPr>
                    <w:pStyle w:val="76"/>
                    <w:jc w:val="center"/>
                    <w:rPr>
                      <w:rFonts w:ascii="Times New Roman" w:hAnsi="Times New Roman"/>
                      <w:color w:val="auto"/>
                      <w:szCs w:val="21"/>
                      <w:u w:val="single"/>
                    </w:rPr>
                  </w:pPr>
                </w:p>
              </w:tc>
              <w:tc>
                <w:tcPr>
                  <w:tcW w:w="163" w:type="pct"/>
                  <w:vMerge w:val="continue"/>
                </w:tcPr>
                <w:p w14:paraId="5B3EF6ED">
                  <w:pPr>
                    <w:pStyle w:val="76"/>
                    <w:jc w:val="center"/>
                    <w:rPr>
                      <w:rFonts w:ascii="Times New Roman" w:hAnsi="Times New Roman"/>
                      <w:color w:val="auto"/>
                      <w:szCs w:val="21"/>
                      <w:u w:val="single"/>
                    </w:rPr>
                  </w:pPr>
                </w:p>
              </w:tc>
              <w:tc>
                <w:tcPr>
                  <w:tcW w:w="299" w:type="pct"/>
                  <w:vMerge w:val="continue"/>
                </w:tcPr>
                <w:p w14:paraId="1993D3D7">
                  <w:pPr>
                    <w:pStyle w:val="76"/>
                    <w:jc w:val="center"/>
                    <w:rPr>
                      <w:rFonts w:ascii="Times New Roman" w:hAnsi="Times New Roman"/>
                      <w:color w:val="auto"/>
                      <w:szCs w:val="21"/>
                      <w:u w:val="single"/>
                    </w:rPr>
                  </w:pPr>
                </w:p>
              </w:tc>
              <w:tc>
                <w:tcPr>
                  <w:tcW w:w="596" w:type="pct"/>
                  <w:vMerge w:val="continue"/>
                </w:tcPr>
                <w:p w14:paraId="5732AE9A">
                  <w:pPr>
                    <w:pStyle w:val="76"/>
                    <w:jc w:val="center"/>
                    <w:rPr>
                      <w:rFonts w:ascii="Times New Roman" w:hAnsi="Times New Roman"/>
                      <w:color w:val="auto"/>
                      <w:szCs w:val="21"/>
                      <w:u w:val="single"/>
                    </w:rPr>
                  </w:pPr>
                </w:p>
              </w:tc>
              <w:tc>
                <w:tcPr>
                  <w:tcW w:w="503" w:type="pct"/>
                  <w:vMerge w:val="continue"/>
                </w:tcPr>
                <w:p w14:paraId="4E613F6F">
                  <w:pPr>
                    <w:pStyle w:val="76"/>
                    <w:jc w:val="center"/>
                    <w:rPr>
                      <w:rFonts w:ascii="Times New Roman" w:hAnsi="Times New Roman"/>
                      <w:color w:val="auto"/>
                      <w:szCs w:val="21"/>
                      <w:u w:val="single"/>
                    </w:rPr>
                  </w:pPr>
                </w:p>
              </w:tc>
              <w:tc>
                <w:tcPr>
                  <w:tcW w:w="170" w:type="pct"/>
                  <w:vMerge w:val="continue"/>
                </w:tcPr>
                <w:p w14:paraId="03CB57F9">
                  <w:pPr>
                    <w:pStyle w:val="76"/>
                    <w:jc w:val="center"/>
                    <w:rPr>
                      <w:rFonts w:ascii="Times New Roman" w:hAnsi="Times New Roman"/>
                      <w:color w:val="auto"/>
                      <w:szCs w:val="21"/>
                      <w:u w:val="single"/>
                    </w:rPr>
                  </w:pPr>
                </w:p>
              </w:tc>
              <w:tc>
                <w:tcPr>
                  <w:tcW w:w="170" w:type="pct"/>
                  <w:vMerge w:val="continue"/>
                </w:tcPr>
                <w:p w14:paraId="2AFAAC59">
                  <w:pPr>
                    <w:pStyle w:val="76"/>
                    <w:jc w:val="center"/>
                    <w:rPr>
                      <w:rFonts w:ascii="Times New Roman" w:hAnsi="Times New Roman"/>
                      <w:color w:val="auto"/>
                      <w:szCs w:val="21"/>
                      <w:u w:val="single"/>
                    </w:rPr>
                  </w:pPr>
                </w:p>
              </w:tc>
              <w:tc>
                <w:tcPr>
                  <w:tcW w:w="125" w:type="pct"/>
                  <w:vMerge w:val="continue"/>
                </w:tcPr>
                <w:p w14:paraId="6DB29158">
                  <w:pPr>
                    <w:pStyle w:val="76"/>
                    <w:jc w:val="center"/>
                    <w:rPr>
                      <w:rFonts w:ascii="Times New Roman" w:hAnsi="Times New Roman"/>
                      <w:color w:val="auto"/>
                      <w:szCs w:val="21"/>
                      <w:u w:val="single"/>
                    </w:rPr>
                  </w:pPr>
                </w:p>
              </w:tc>
              <w:tc>
                <w:tcPr>
                  <w:tcW w:w="208" w:type="pct"/>
                  <w:vAlign w:val="center"/>
                </w:tcPr>
                <w:p w14:paraId="767ED3F4">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7A96228F">
                  <w:pPr>
                    <w:pStyle w:val="76"/>
                    <w:jc w:val="center"/>
                    <w:rPr>
                      <w:rFonts w:ascii="Times New Roman" w:hAnsi="Times New Roman"/>
                      <w:color w:val="auto"/>
                      <w:szCs w:val="21"/>
                      <w:u w:val="single"/>
                    </w:rPr>
                  </w:pPr>
                  <w:r>
                    <w:rPr>
                      <w:rFonts w:hint="eastAsia" w:ascii="Times New Roman" w:hAnsi="Times New Roman"/>
                      <w:color w:val="auto"/>
                      <w:szCs w:val="21"/>
                      <w:u w:val="single"/>
                    </w:rPr>
                    <w:t>84</w:t>
                  </w:r>
                </w:p>
              </w:tc>
              <w:tc>
                <w:tcPr>
                  <w:tcW w:w="405" w:type="pct"/>
                  <w:vAlign w:val="center"/>
                </w:tcPr>
                <w:p w14:paraId="6CB8CFF1">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continue"/>
                </w:tcPr>
                <w:p w14:paraId="090E4478">
                  <w:pPr>
                    <w:pStyle w:val="76"/>
                    <w:jc w:val="center"/>
                    <w:rPr>
                      <w:rFonts w:ascii="Times New Roman" w:hAnsi="Times New Roman"/>
                      <w:color w:val="auto"/>
                      <w:szCs w:val="21"/>
                      <w:u w:val="single"/>
                    </w:rPr>
                  </w:pPr>
                </w:p>
              </w:tc>
              <w:tc>
                <w:tcPr>
                  <w:tcW w:w="436" w:type="pct"/>
                  <w:vMerge w:val="continue"/>
                </w:tcPr>
                <w:p w14:paraId="03656313">
                  <w:pPr>
                    <w:pStyle w:val="76"/>
                    <w:jc w:val="center"/>
                    <w:rPr>
                      <w:rFonts w:ascii="Times New Roman" w:hAnsi="Times New Roman"/>
                      <w:color w:val="auto"/>
                      <w:szCs w:val="21"/>
                      <w:u w:val="single"/>
                    </w:rPr>
                  </w:pPr>
                </w:p>
              </w:tc>
              <w:tc>
                <w:tcPr>
                  <w:tcW w:w="272" w:type="pct"/>
                  <w:vAlign w:val="center"/>
                </w:tcPr>
                <w:p w14:paraId="63967B36">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1F01A002">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tcPr>
                <w:p w14:paraId="1C643AF4">
                  <w:pPr>
                    <w:pStyle w:val="76"/>
                    <w:jc w:val="center"/>
                    <w:rPr>
                      <w:rFonts w:ascii="Times New Roman" w:hAnsi="Times New Roman"/>
                      <w:color w:val="auto"/>
                      <w:szCs w:val="21"/>
                      <w:u w:val="single"/>
                    </w:rPr>
                  </w:pPr>
                </w:p>
              </w:tc>
            </w:tr>
            <w:tr w14:paraId="7C84D9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5F35E4AB">
                  <w:pPr>
                    <w:pStyle w:val="76"/>
                    <w:jc w:val="center"/>
                    <w:rPr>
                      <w:rFonts w:ascii="Times New Roman" w:hAnsi="Times New Roman"/>
                      <w:color w:val="auto"/>
                      <w:szCs w:val="21"/>
                      <w:u w:val="single"/>
                    </w:rPr>
                  </w:pPr>
                </w:p>
              </w:tc>
              <w:tc>
                <w:tcPr>
                  <w:tcW w:w="163" w:type="pct"/>
                  <w:vMerge w:val="continue"/>
                </w:tcPr>
                <w:p w14:paraId="31925501">
                  <w:pPr>
                    <w:pStyle w:val="76"/>
                    <w:jc w:val="center"/>
                    <w:rPr>
                      <w:rFonts w:ascii="Times New Roman" w:hAnsi="Times New Roman"/>
                      <w:color w:val="auto"/>
                      <w:szCs w:val="21"/>
                      <w:u w:val="single"/>
                    </w:rPr>
                  </w:pPr>
                </w:p>
              </w:tc>
              <w:tc>
                <w:tcPr>
                  <w:tcW w:w="299" w:type="pct"/>
                  <w:vMerge w:val="continue"/>
                </w:tcPr>
                <w:p w14:paraId="55D3DBE2">
                  <w:pPr>
                    <w:pStyle w:val="76"/>
                    <w:jc w:val="center"/>
                    <w:rPr>
                      <w:rFonts w:ascii="Times New Roman" w:hAnsi="Times New Roman"/>
                      <w:color w:val="auto"/>
                      <w:szCs w:val="21"/>
                      <w:u w:val="single"/>
                    </w:rPr>
                  </w:pPr>
                </w:p>
              </w:tc>
              <w:tc>
                <w:tcPr>
                  <w:tcW w:w="596" w:type="pct"/>
                  <w:vMerge w:val="continue"/>
                </w:tcPr>
                <w:p w14:paraId="3BA742BF">
                  <w:pPr>
                    <w:pStyle w:val="76"/>
                    <w:jc w:val="center"/>
                    <w:rPr>
                      <w:rFonts w:ascii="Times New Roman" w:hAnsi="Times New Roman"/>
                      <w:color w:val="auto"/>
                      <w:szCs w:val="21"/>
                      <w:u w:val="single"/>
                    </w:rPr>
                  </w:pPr>
                </w:p>
              </w:tc>
              <w:tc>
                <w:tcPr>
                  <w:tcW w:w="503" w:type="pct"/>
                  <w:vMerge w:val="continue"/>
                </w:tcPr>
                <w:p w14:paraId="1AB86478">
                  <w:pPr>
                    <w:pStyle w:val="76"/>
                    <w:jc w:val="center"/>
                    <w:rPr>
                      <w:rFonts w:ascii="Times New Roman" w:hAnsi="Times New Roman"/>
                      <w:color w:val="auto"/>
                      <w:szCs w:val="21"/>
                      <w:u w:val="single"/>
                    </w:rPr>
                  </w:pPr>
                </w:p>
              </w:tc>
              <w:tc>
                <w:tcPr>
                  <w:tcW w:w="170" w:type="pct"/>
                  <w:vMerge w:val="continue"/>
                </w:tcPr>
                <w:p w14:paraId="2EF30339">
                  <w:pPr>
                    <w:pStyle w:val="76"/>
                    <w:jc w:val="center"/>
                    <w:rPr>
                      <w:rFonts w:ascii="Times New Roman" w:hAnsi="Times New Roman"/>
                      <w:color w:val="auto"/>
                      <w:szCs w:val="21"/>
                      <w:u w:val="single"/>
                    </w:rPr>
                  </w:pPr>
                </w:p>
              </w:tc>
              <w:tc>
                <w:tcPr>
                  <w:tcW w:w="170" w:type="pct"/>
                  <w:vMerge w:val="continue"/>
                </w:tcPr>
                <w:p w14:paraId="3BCF5AF4">
                  <w:pPr>
                    <w:pStyle w:val="76"/>
                    <w:jc w:val="center"/>
                    <w:rPr>
                      <w:rFonts w:ascii="Times New Roman" w:hAnsi="Times New Roman"/>
                      <w:color w:val="auto"/>
                      <w:szCs w:val="21"/>
                      <w:u w:val="single"/>
                    </w:rPr>
                  </w:pPr>
                </w:p>
              </w:tc>
              <w:tc>
                <w:tcPr>
                  <w:tcW w:w="125" w:type="pct"/>
                  <w:vMerge w:val="continue"/>
                </w:tcPr>
                <w:p w14:paraId="1CE113CA">
                  <w:pPr>
                    <w:pStyle w:val="76"/>
                    <w:jc w:val="center"/>
                    <w:rPr>
                      <w:rFonts w:ascii="Times New Roman" w:hAnsi="Times New Roman"/>
                      <w:color w:val="auto"/>
                      <w:szCs w:val="21"/>
                      <w:u w:val="single"/>
                    </w:rPr>
                  </w:pPr>
                </w:p>
              </w:tc>
              <w:tc>
                <w:tcPr>
                  <w:tcW w:w="208" w:type="pct"/>
                  <w:vAlign w:val="center"/>
                </w:tcPr>
                <w:p w14:paraId="01C0FB5D">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6377BD21">
                  <w:pPr>
                    <w:pStyle w:val="76"/>
                    <w:jc w:val="center"/>
                    <w:rPr>
                      <w:rFonts w:ascii="Times New Roman" w:hAnsi="Times New Roman"/>
                      <w:color w:val="auto"/>
                      <w:szCs w:val="21"/>
                      <w:u w:val="single"/>
                    </w:rPr>
                  </w:pPr>
                  <w:r>
                    <w:rPr>
                      <w:rFonts w:hint="eastAsia" w:ascii="Times New Roman" w:hAnsi="Times New Roman"/>
                      <w:color w:val="auto"/>
                      <w:szCs w:val="21"/>
                      <w:u w:val="single"/>
                    </w:rPr>
                    <w:t>15</w:t>
                  </w:r>
                </w:p>
              </w:tc>
              <w:tc>
                <w:tcPr>
                  <w:tcW w:w="405" w:type="pct"/>
                  <w:vAlign w:val="center"/>
                </w:tcPr>
                <w:p w14:paraId="039F8A7D">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0</w:t>
                  </w:r>
                </w:p>
              </w:tc>
              <w:tc>
                <w:tcPr>
                  <w:tcW w:w="548" w:type="pct"/>
                  <w:vMerge w:val="continue"/>
                </w:tcPr>
                <w:p w14:paraId="1A908C51">
                  <w:pPr>
                    <w:pStyle w:val="76"/>
                    <w:jc w:val="center"/>
                    <w:rPr>
                      <w:rFonts w:ascii="Times New Roman" w:hAnsi="Times New Roman"/>
                      <w:color w:val="auto"/>
                      <w:szCs w:val="21"/>
                      <w:u w:val="single"/>
                    </w:rPr>
                  </w:pPr>
                </w:p>
              </w:tc>
              <w:tc>
                <w:tcPr>
                  <w:tcW w:w="436" w:type="pct"/>
                  <w:vMerge w:val="continue"/>
                </w:tcPr>
                <w:p w14:paraId="3663CE07">
                  <w:pPr>
                    <w:pStyle w:val="76"/>
                    <w:jc w:val="center"/>
                    <w:rPr>
                      <w:rFonts w:ascii="Times New Roman" w:hAnsi="Times New Roman"/>
                      <w:color w:val="auto"/>
                      <w:szCs w:val="21"/>
                      <w:u w:val="single"/>
                    </w:rPr>
                  </w:pPr>
                </w:p>
              </w:tc>
              <w:tc>
                <w:tcPr>
                  <w:tcW w:w="272" w:type="pct"/>
                  <w:vAlign w:val="center"/>
                </w:tcPr>
                <w:p w14:paraId="2DE3AAC6">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121B4BAB">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0</w:t>
                  </w:r>
                </w:p>
              </w:tc>
              <w:tc>
                <w:tcPr>
                  <w:tcW w:w="311" w:type="pct"/>
                  <w:vMerge w:val="continue"/>
                </w:tcPr>
                <w:p w14:paraId="3C329B84">
                  <w:pPr>
                    <w:pStyle w:val="76"/>
                    <w:jc w:val="center"/>
                    <w:rPr>
                      <w:rFonts w:ascii="Times New Roman" w:hAnsi="Times New Roman"/>
                      <w:color w:val="auto"/>
                      <w:szCs w:val="21"/>
                      <w:u w:val="single"/>
                    </w:rPr>
                  </w:pPr>
                </w:p>
              </w:tc>
            </w:tr>
            <w:tr w14:paraId="5C87AE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313" w:type="pct"/>
                  <w:vMerge w:val="restart"/>
                  <w:vAlign w:val="center"/>
                </w:tcPr>
                <w:p w14:paraId="0FA6D4FF">
                  <w:pPr>
                    <w:pStyle w:val="88"/>
                    <w:numPr>
                      <w:ilvl w:val="0"/>
                      <w:numId w:val="7"/>
                    </w:numPr>
                    <w:tabs>
                      <w:tab w:val="clear" w:pos="420"/>
                    </w:tabs>
                    <w:rPr>
                      <w:color w:val="auto"/>
                      <w:szCs w:val="21"/>
                      <w:u w:val="single"/>
                    </w:rPr>
                  </w:pPr>
                </w:p>
              </w:tc>
              <w:tc>
                <w:tcPr>
                  <w:tcW w:w="163" w:type="pct"/>
                  <w:vMerge w:val="continue"/>
                  <w:vAlign w:val="center"/>
                </w:tcPr>
                <w:p w14:paraId="0E45E8B9">
                  <w:pPr>
                    <w:pStyle w:val="76"/>
                    <w:jc w:val="center"/>
                    <w:rPr>
                      <w:rFonts w:ascii="Times New Roman" w:hAnsi="Times New Roman"/>
                      <w:color w:val="auto"/>
                      <w:szCs w:val="21"/>
                      <w:u w:val="single"/>
                    </w:rPr>
                  </w:pPr>
                </w:p>
              </w:tc>
              <w:tc>
                <w:tcPr>
                  <w:tcW w:w="299" w:type="pct"/>
                  <w:vMerge w:val="restart"/>
                  <w:vAlign w:val="center"/>
                </w:tcPr>
                <w:p w14:paraId="2AFDA985">
                  <w:pPr>
                    <w:pStyle w:val="76"/>
                    <w:jc w:val="center"/>
                    <w:rPr>
                      <w:rFonts w:ascii="Times New Roman" w:hAnsi="Times New Roman"/>
                      <w:color w:val="auto"/>
                      <w:szCs w:val="21"/>
                      <w:u w:val="single"/>
                    </w:rPr>
                  </w:pPr>
                  <w:r>
                    <w:rPr>
                      <w:rFonts w:ascii="Times New Roman" w:hAnsi="Times New Roman"/>
                      <w:color w:val="auto"/>
                      <w:szCs w:val="21"/>
                      <w:u w:val="single"/>
                    </w:rPr>
                    <w:t>变频微震浇注平台</w:t>
                  </w:r>
                </w:p>
              </w:tc>
              <w:tc>
                <w:tcPr>
                  <w:tcW w:w="596" w:type="pct"/>
                  <w:vMerge w:val="restart"/>
                  <w:vAlign w:val="center"/>
                </w:tcPr>
                <w:p w14:paraId="605D2284">
                  <w:pPr>
                    <w:pStyle w:val="88"/>
                    <w:rPr>
                      <w:color w:val="auto"/>
                      <w:szCs w:val="21"/>
                      <w:u w:val="single"/>
                    </w:rPr>
                  </w:pPr>
                  <w:r>
                    <w:rPr>
                      <w:rFonts w:hint="eastAsia"/>
                      <w:color w:val="auto"/>
                      <w:u w:val="single"/>
                    </w:rPr>
                    <w:t>7</w:t>
                  </w:r>
                  <w:r>
                    <w:rPr>
                      <w:color w:val="auto"/>
                      <w:u w:val="single"/>
                    </w:rPr>
                    <w:t>0</w:t>
                  </w:r>
                </w:p>
              </w:tc>
              <w:tc>
                <w:tcPr>
                  <w:tcW w:w="503" w:type="pct"/>
                  <w:vMerge w:val="restart"/>
                  <w:vAlign w:val="center"/>
                </w:tcPr>
                <w:p w14:paraId="7001FB91">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171CCCCF">
                  <w:pPr>
                    <w:pStyle w:val="76"/>
                    <w:jc w:val="center"/>
                    <w:rPr>
                      <w:rFonts w:ascii="Times New Roman" w:hAnsi="Times New Roman"/>
                      <w:color w:val="auto"/>
                      <w:szCs w:val="21"/>
                      <w:u w:val="single"/>
                    </w:rPr>
                  </w:pPr>
                  <w:r>
                    <w:rPr>
                      <w:rFonts w:hint="eastAsia" w:ascii="Times New Roman" w:hAnsi="Times New Roman"/>
                      <w:color w:val="auto"/>
                      <w:szCs w:val="21"/>
                      <w:u w:val="single"/>
                    </w:rPr>
                    <w:t>-</w:t>
                  </w:r>
                  <w:r>
                    <w:rPr>
                      <w:rFonts w:ascii="Times New Roman" w:hAnsi="Times New Roman"/>
                      <w:color w:val="auto"/>
                      <w:szCs w:val="21"/>
                      <w:u w:val="single"/>
                    </w:rPr>
                    <w:t>4</w:t>
                  </w:r>
                </w:p>
              </w:tc>
              <w:tc>
                <w:tcPr>
                  <w:tcW w:w="170" w:type="pct"/>
                  <w:vMerge w:val="restart"/>
                  <w:vAlign w:val="center"/>
                </w:tcPr>
                <w:p w14:paraId="46E9E0AA">
                  <w:pPr>
                    <w:pStyle w:val="76"/>
                    <w:jc w:val="center"/>
                    <w:rPr>
                      <w:rFonts w:ascii="Times New Roman" w:hAnsi="Times New Roman"/>
                      <w:color w:val="auto"/>
                      <w:szCs w:val="21"/>
                      <w:u w:val="single"/>
                    </w:rPr>
                  </w:pPr>
                  <w:r>
                    <w:rPr>
                      <w:rFonts w:hint="eastAsia" w:ascii="Times New Roman" w:hAnsi="Times New Roman"/>
                      <w:color w:val="auto"/>
                      <w:szCs w:val="21"/>
                      <w:u w:val="single"/>
                    </w:rPr>
                    <w:t>6</w:t>
                  </w:r>
                </w:p>
              </w:tc>
              <w:tc>
                <w:tcPr>
                  <w:tcW w:w="125" w:type="pct"/>
                  <w:vMerge w:val="restart"/>
                  <w:vAlign w:val="center"/>
                </w:tcPr>
                <w:p w14:paraId="155CADD5">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1F857037">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5D2EAB6C">
                  <w:pPr>
                    <w:pStyle w:val="76"/>
                    <w:jc w:val="center"/>
                    <w:rPr>
                      <w:rFonts w:ascii="Times New Roman" w:hAnsi="Times New Roman"/>
                      <w:color w:val="auto"/>
                      <w:szCs w:val="21"/>
                      <w:u w:val="single"/>
                    </w:rPr>
                  </w:pPr>
                  <w:r>
                    <w:rPr>
                      <w:rFonts w:hint="eastAsia" w:ascii="Times New Roman" w:hAnsi="Times New Roman"/>
                      <w:color w:val="auto"/>
                      <w:szCs w:val="21"/>
                      <w:u w:val="single"/>
                    </w:rPr>
                    <w:t>100</w:t>
                  </w:r>
                </w:p>
              </w:tc>
              <w:tc>
                <w:tcPr>
                  <w:tcW w:w="405" w:type="pct"/>
                  <w:vAlign w:val="center"/>
                </w:tcPr>
                <w:p w14:paraId="627325F9">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6.0</w:t>
                  </w:r>
                </w:p>
              </w:tc>
              <w:tc>
                <w:tcPr>
                  <w:tcW w:w="548" w:type="pct"/>
                  <w:vMerge w:val="restart"/>
                  <w:vAlign w:val="center"/>
                </w:tcPr>
                <w:p w14:paraId="7684B631">
                  <w:pPr>
                    <w:pStyle w:val="76"/>
                    <w:jc w:val="center"/>
                    <w:rPr>
                      <w:rFonts w:ascii="Times New Roman" w:hAnsi="Times New Roman"/>
                      <w:color w:val="auto"/>
                      <w:szCs w:val="21"/>
                      <w:u w:val="single"/>
                    </w:rPr>
                  </w:pPr>
                  <w:r>
                    <w:rPr>
                      <w:rFonts w:hint="eastAsia" w:ascii="Times New Roman" w:hAnsi="Times New Roman"/>
                      <w:color w:val="auto"/>
                      <w:szCs w:val="21"/>
                      <w:u w:val="single"/>
                    </w:rPr>
                    <w:t>22</w:t>
                  </w:r>
                  <w:r>
                    <w:rPr>
                      <w:rFonts w:ascii="Times New Roman" w:hAnsi="Times New Roman"/>
                      <w:color w:val="auto"/>
                      <w:szCs w:val="21"/>
                      <w:u w:val="single"/>
                    </w:rPr>
                    <w:t>:</w:t>
                  </w:r>
                  <w:r>
                    <w:rPr>
                      <w:rFonts w:hint="eastAsia" w:ascii="Times New Roman" w:hAnsi="Times New Roman"/>
                      <w:color w:val="auto"/>
                      <w:szCs w:val="21"/>
                      <w:u w:val="single"/>
                    </w:rPr>
                    <w:t>0</w:t>
                  </w:r>
                  <w:r>
                    <w:rPr>
                      <w:rFonts w:ascii="Times New Roman" w:hAnsi="Times New Roman"/>
                      <w:color w:val="auto"/>
                      <w:szCs w:val="21"/>
                      <w:u w:val="single"/>
                    </w:rPr>
                    <w:t>0-</w:t>
                  </w:r>
                  <w:r>
                    <w:rPr>
                      <w:rFonts w:hint="eastAsia" w:ascii="Times New Roman" w:hAnsi="Times New Roman"/>
                      <w:color w:val="auto"/>
                      <w:szCs w:val="21"/>
                      <w:u w:val="single"/>
                    </w:rPr>
                    <w:t>6</w:t>
                  </w:r>
                  <w:r>
                    <w:rPr>
                      <w:rFonts w:ascii="Times New Roman" w:hAnsi="Times New Roman"/>
                      <w:color w:val="auto"/>
                      <w:szCs w:val="21"/>
                      <w:u w:val="single"/>
                    </w:rPr>
                    <w:t>:</w:t>
                  </w:r>
                  <w:r>
                    <w:rPr>
                      <w:rFonts w:hint="eastAsia" w:ascii="Times New Roman" w:hAnsi="Times New Roman"/>
                      <w:color w:val="auto"/>
                      <w:szCs w:val="21"/>
                      <w:u w:val="single"/>
                    </w:rPr>
                    <w:t>0</w:t>
                  </w:r>
                  <w:r>
                    <w:rPr>
                      <w:rFonts w:ascii="Times New Roman" w:hAnsi="Times New Roman"/>
                      <w:color w:val="auto"/>
                      <w:szCs w:val="21"/>
                      <w:u w:val="single"/>
                    </w:rPr>
                    <w:t>0</w:t>
                  </w:r>
                </w:p>
              </w:tc>
              <w:tc>
                <w:tcPr>
                  <w:tcW w:w="436" w:type="pct"/>
                  <w:vMerge w:val="restart"/>
                  <w:vAlign w:val="center"/>
                </w:tcPr>
                <w:p w14:paraId="5C4E75DA">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490C165E">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6FC2FCBF">
                  <w:pPr>
                    <w:pStyle w:val="76"/>
                    <w:jc w:val="center"/>
                    <w:rPr>
                      <w:rFonts w:ascii="Times New Roman" w:hAnsi="Times New Roman"/>
                      <w:color w:val="auto"/>
                      <w:szCs w:val="21"/>
                      <w:u w:val="single"/>
                    </w:rPr>
                  </w:pPr>
                  <w:r>
                    <w:rPr>
                      <w:rFonts w:hint="eastAsia" w:ascii="Times New Roman" w:hAnsi="Times New Roman"/>
                      <w:color w:val="auto"/>
                      <w:szCs w:val="21"/>
                      <w:u w:val="single"/>
                    </w:rPr>
                    <w:t>4</w:t>
                  </w:r>
                  <w:r>
                    <w:rPr>
                      <w:rFonts w:ascii="Times New Roman" w:hAnsi="Times New Roman"/>
                      <w:color w:val="auto"/>
                      <w:szCs w:val="21"/>
                      <w:u w:val="single"/>
                    </w:rPr>
                    <w:t>1.0</w:t>
                  </w:r>
                </w:p>
              </w:tc>
              <w:tc>
                <w:tcPr>
                  <w:tcW w:w="311" w:type="pct"/>
                  <w:vMerge w:val="restart"/>
                  <w:vAlign w:val="center"/>
                </w:tcPr>
                <w:p w14:paraId="26671B1B">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401688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5C2D215B">
                  <w:pPr>
                    <w:pStyle w:val="76"/>
                    <w:jc w:val="center"/>
                    <w:rPr>
                      <w:rFonts w:ascii="Times New Roman" w:hAnsi="Times New Roman"/>
                      <w:color w:val="auto"/>
                      <w:szCs w:val="21"/>
                      <w:u w:val="single"/>
                    </w:rPr>
                  </w:pPr>
                </w:p>
              </w:tc>
              <w:tc>
                <w:tcPr>
                  <w:tcW w:w="163" w:type="pct"/>
                  <w:vMerge w:val="continue"/>
                </w:tcPr>
                <w:p w14:paraId="4A658AD5">
                  <w:pPr>
                    <w:pStyle w:val="76"/>
                    <w:jc w:val="center"/>
                    <w:rPr>
                      <w:rFonts w:ascii="Times New Roman" w:hAnsi="Times New Roman"/>
                      <w:color w:val="auto"/>
                      <w:szCs w:val="21"/>
                      <w:u w:val="single"/>
                    </w:rPr>
                  </w:pPr>
                </w:p>
              </w:tc>
              <w:tc>
                <w:tcPr>
                  <w:tcW w:w="299" w:type="pct"/>
                  <w:vMerge w:val="continue"/>
                </w:tcPr>
                <w:p w14:paraId="348BE100">
                  <w:pPr>
                    <w:pStyle w:val="76"/>
                    <w:jc w:val="center"/>
                    <w:rPr>
                      <w:rFonts w:ascii="Times New Roman" w:hAnsi="Times New Roman"/>
                      <w:color w:val="auto"/>
                      <w:szCs w:val="21"/>
                      <w:u w:val="single"/>
                    </w:rPr>
                  </w:pPr>
                </w:p>
              </w:tc>
              <w:tc>
                <w:tcPr>
                  <w:tcW w:w="596" w:type="pct"/>
                  <w:vMerge w:val="continue"/>
                </w:tcPr>
                <w:p w14:paraId="75438BBF">
                  <w:pPr>
                    <w:pStyle w:val="76"/>
                    <w:jc w:val="center"/>
                    <w:rPr>
                      <w:rFonts w:ascii="Times New Roman" w:hAnsi="Times New Roman"/>
                      <w:color w:val="auto"/>
                      <w:szCs w:val="21"/>
                      <w:u w:val="single"/>
                    </w:rPr>
                  </w:pPr>
                </w:p>
              </w:tc>
              <w:tc>
                <w:tcPr>
                  <w:tcW w:w="503" w:type="pct"/>
                  <w:vMerge w:val="continue"/>
                </w:tcPr>
                <w:p w14:paraId="3B551AEB">
                  <w:pPr>
                    <w:pStyle w:val="76"/>
                    <w:jc w:val="center"/>
                    <w:rPr>
                      <w:rFonts w:ascii="Times New Roman" w:hAnsi="Times New Roman"/>
                      <w:color w:val="auto"/>
                      <w:szCs w:val="21"/>
                      <w:u w:val="single"/>
                    </w:rPr>
                  </w:pPr>
                </w:p>
              </w:tc>
              <w:tc>
                <w:tcPr>
                  <w:tcW w:w="170" w:type="pct"/>
                  <w:vMerge w:val="continue"/>
                </w:tcPr>
                <w:p w14:paraId="4AF67F04">
                  <w:pPr>
                    <w:pStyle w:val="76"/>
                    <w:jc w:val="center"/>
                    <w:rPr>
                      <w:rFonts w:ascii="Times New Roman" w:hAnsi="Times New Roman"/>
                      <w:color w:val="auto"/>
                      <w:szCs w:val="21"/>
                      <w:u w:val="single"/>
                    </w:rPr>
                  </w:pPr>
                </w:p>
              </w:tc>
              <w:tc>
                <w:tcPr>
                  <w:tcW w:w="170" w:type="pct"/>
                  <w:vMerge w:val="continue"/>
                </w:tcPr>
                <w:p w14:paraId="6D738787">
                  <w:pPr>
                    <w:pStyle w:val="76"/>
                    <w:jc w:val="center"/>
                    <w:rPr>
                      <w:rFonts w:ascii="Times New Roman" w:hAnsi="Times New Roman"/>
                      <w:color w:val="auto"/>
                      <w:szCs w:val="21"/>
                      <w:u w:val="single"/>
                    </w:rPr>
                  </w:pPr>
                </w:p>
              </w:tc>
              <w:tc>
                <w:tcPr>
                  <w:tcW w:w="125" w:type="pct"/>
                  <w:vMerge w:val="continue"/>
                </w:tcPr>
                <w:p w14:paraId="04234666">
                  <w:pPr>
                    <w:pStyle w:val="76"/>
                    <w:jc w:val="center"/>
                    <w:rPr>
                      <w:rFonts w:ascii="Times New Roman" w:hAnsi="Times New Roman"/>
                      <w:color w:val="auto"/>
                      <w:szCs w:val="21"/>
                      <w:u w:val="single"/>
                    </w:rPr>
                  </w:pPr>
                </w:p>
              </w:tc>
              <w:tc>
                <w:tcPr>
                  <w:tcW w:w="208" w:type="pct"/>
                  <w:vAlign w:val="center"/>
                </w:tcPr>
                <w:p w14:paraId="58507060">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20F3EAFE">
                  <w:pPr>
                    <w:pStyle w:val="76"/>
                    <w:jc w:val="center"/>
                    <w:rPr>
                      <w:rFonts w:ascii="Times New Roman" w:hAnsi="Times New Roman"/>
                      <w:color w:val="auto"/>
                      <w:szCs w:val="21"/>
                      <w:u w:val="single"/>
                    </w:rPr>
                  </w:pPr>
                  <w:r>
                    <w:rPr>
                      <w:rFonts w:hint="eastAsia" w:ascii="Times New Roman" w:hAnsi="Times New Roman"/>
                      <w:color w:val="auto"/>
                      <w:szCs w:val="21"/>
                      <w:u w:val="single"/>
                    </w:rPr>
                    <w:t>20</w:t>
                  </w:r>
                </w:p>
              </w:tc>
              <w:tc>
                <w:tcPr>
                  <w:tcW w:w="405" w:type="pct"/>
                  <w:vAlign w:val="center"/>
                </w:tcPr>
                <w:p w14:paraId="488ADD20">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6.0</w:t>
                  </w:r>
                </w:p>
              </w:tc>
              <w:tc>
                <w:tcPr>
                  <w:tcW w:w="548" w:type="pct"/>
                  <w:vMerge w:val="continue"/>
                </w:tcPr>
                <w:p w14:paraId="12520013">
                  <w:pPr>
                    <w:pStyle w:val="76"/>
                    <w:jc w:val="center"/>
                    <w:rPr>
                      <w:rFonts w:ascii="Times New Roman" w:hAnsi="Times New Roman"/>
                      <w:color w:val="auto"/>
                      <w:szCs w:val="21"/>
                      <w:u w:val="single"/>
                    </w:rPr>
                  </w:pPr>
                </w:p>
              </w:tc>
              <w:tc>
                <w:tcPr>
                  <w:tcW w:w="436" w:type="pct"/>
                  <w:vMerge w:val="continue"/>
                </w:tcPr>
                <w:p w14:paraId="6ED99E82">
                  <w:pPr>
                    <w:pStyle w:val="76"/>
                    <w:jc w:val="center"/>
                    <w:rPr>
                      <w:rFonts w:ascii="Times New Roman" w:hAnsi="Times New Roman"/>
                      <w:color w:val="auto"/>
                      <w:szCs w:val="21"/>
                      <w:u w:val="single"/>
                    </w:rPr>
                  </w:pPr>
                </w:p>
              </w:tc>
              <w:tc>
                <w:tcPr>
                  <w:tcW w:w="272" w:type="pct"/>
                  <w:vAlign w:val="center"/>
                </w:tcPr>
                <w:p w14:paraId="2DA2D79D">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5B367B93">
                  <w:pPr>
                    <w:pStyle w:val="76"/>
                    <w:jc w:val="center"/>
                    <w:rPr>
                      <w:rFonts w:ascii="Times New Roman" w:hAnsi="Times New Roman"/>
                      <w:color w:val="auto"/>
                      <w:szCs w:val="21"/>
                      <w:u w:val="single"/>
                    </w:rPr>
                  </w:pPr>
                  <w:r>
                    <w:rPr>
                      <w:rFonts w:hint="eastAsia" w:ascii="Times New Roman" w:hAnsi="Times New Roman"/>
                      <w:color w:val="auto"/>
                      <w:szCs w:val="21"/>
                      <w:u w:val="single"/>
                    </w:rPr>
                    <w:t>4</w:t>
                  </w:r>
                  <w:r>
                    <w:rPr>
                      <w:rFonts w:ascii="Times New Roman" w:hAnsi="Times New Roman"/>
                      <w:color w:val="auto"/>
                      <w:szCs w:val="21"/>
                      <w:u w:val="single"/>
                    </w:rPr>
                    <w:t>1.0</w:t>
                  </w:r>
                </w:p>
              </w:tc>
              <w:tc>
                <w:tcPr>
                  <w:tcW w:w="311" w:type="pct"/>
                  <w:vMerge w:val="continue"/>
                </w:tcPr>
                <w:p w14:paraId="542F9290">
                  <w:pPr>
                    <w:pStyle w:val="76"/>
                    <w:jc w:val="center"/>
                    <w:rPr>
                      <w:rFonts w:ascii="Times New Roman" w:hAnsi="Times New Roman"/>
                      <w:color w:val="auto"/>
                      <w:szCs w:val="21"/>
                      <w:u w:val="single"/>
                    </w:rPr>
                  </w:pPr>
                </w:p>
              </w:tc>
            </w:tr>
            <w:tr w14:paraId="4B034D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3B73662A">
                  <w:pPr>
                    <w:pStyle w:val="76"/>
                    <w:jc w:val="center"/>
                    <w:rPr>
                      <w:rFonts w:ascii="Times New Roman" w:hAnsi="Times New Roman"/>
                      <w:color w:val="auto"/>
                      <w:szCs w:val="21"/>
                      <w:u w:val="single"/>
                    </w:rPr>
                  </w:pPr>
                </w:p>
              </w:tc>
              <w:tc>
                <w:tcPr>
                  <w:tcW w:w="163" w:type="pct"/>
                  <w:vMerge w:val="continue"/>
                </w:tcPr>
                <w:p w14:paraId="55233319">
                  <w:pPr>
                    <w:pStyle w:val="76"/>
                    <w:jc w:val="center"/>
                    <w:rPr>
                      <w:rFonts w:ascii="Times New Roman" w:hAnsi="Times New Roman"/>
                      <w:color w:val="auto"/>
                      <w:szCs w:val="21"/>
                      <w:u w:val="single"/>
                    </w:rPr>
                  </w:pPr>
                </w:p>
              </w:tc>
              <w:tc>
                <w:tcPr>
                  <w:tcW w:w="299" w:type="pct"/>
                  <w:vMerge w:val="continue"/>
                </w:tcPr>
                <w:p w14:paraId="426C17C1">
                  <w:pPr>
                    <w:pStyle w:val="76"/>
                    <w:jc w:val="center"/>
                    <w:rPr>
                      <w:rFonts w:ascii="Times New Roman" w:hAnsi="Times New Roman"/>
                      <w:color w:val="auto"/>
                      <w:szCs w:val="21"/>
                      <w:u w:val="single"/>
                    </w:rPr>
                  </w:pPr>
                </w:p>
              </w:tc>
              <w:tc>
                <w:tcPr>
                  <w:tcW w:w="596" w:type="pct"/>
                  <w:vMerge w:val="continue"/>
                </w:tcPr>
                <w:p w14:paraId="47D82081">
                  <w:pPr>
                    <w:pStyle w:val="76"/>
                    <w:jc w:val="center"/>
                    <w:rPr>
                      <w:rFonts w:ascii="Times New Roman" w:hAnsi="Times New Roman"/>
                      <w:color w:val="auto"/>
                      <w:szCs w:val="21"/>
                      <w:u w:val="single"/>
                    </w:rPr>
                  </w:pPr>
                </w:p>
              </w:tc>
              <w:tc>
                <w:tcPr>
                  <w:tcW w:w="503" w:type="pct"/>
                  <w:vMerge w:val="continue"/>
                </w:tcPr>
                <w:p w14:paraId="4963C317">
                  <w:pPr>
                    <w:pStyle w:val="76"/>
                    <w:jc w:val="center"/>
                    <w:rPr>
                      <w:rFonts w:ascii="Times New Roman" w:hAnsi="Times New Roman"/>
                      <w:color w:val="auto"/>
                      <w:szCs w:val="21"/>
                      <w:u w:val="single"/>
                    </w:rPr>
                  </w:pPr>
                </w:p>
              </w:tc>
              <w:tc>
                <w:tcPr>
                  <w:tcW w:w="170" w:type="pct"/>
                  <w:vMerge w:val="continue"/>
                </w:tcPr>
                <w:p w14:paraId="1340151C">
                  <w:pPr>
                    <w:pStyle w:val="76"/>
                    <w:jc w:val="center"/>
                    <w:rPr>
                      <w:rFonts w:ascii="Times New Roman" w:hAnsi="Times New Roman"/>
                      <w:color w:val="auto"/>
                      <w:szCs w:val="21"/>
                      <w:u w:val="single"/>
                    </w:rPr>
                  </w:pPr>
                </w:p>
              </w:tc>
              <w:tc>
                <w:tcPr>
                  <w:tcW w:w="170" w:type="pct"/>
                  <w:vMerge w:val="continue"/>
                </w:tcPr>
                <w:p w14:paraId="1C769F27">
                  <w:pPr>
                    <w:pStyle w:val="76"/>
                    <w:jc w:val="center"/>
                    <w:rPr>
                      <w:rFonts w:ascii="Times New Roman" w:hAnsi="Times New Roman"/>
                      <w:color w:val="auto"/>
                      <w:szCs w:val="21"/>
                      <w:u w:val="single"/>
                    </w:rPr>
                  </w:pPr>
                </w:p>
              </w:tc>
              <w:tc>
                <w:tcPr>
                  <w:tcW w:w="125" w:type="pct"/>
                  <w:vMerge w:val="continue"/>
                </w:tcPr>
                <w:p w14:paraId="0DC455B1">
                  <w:pPr>
                    <w:pStyle w:val="76"/>
                    <w:jc w:val="center"/>
                    <w:rPr>
                      <w:rFonts w:ascii="Times New Roman" w:hAnsi="Times New Roman"/>
                      <w:color w:val="auto"/>
                      <w:szCs w:val="21"/>
                      <w:u w:val="single"/>
                    </w:rPr>
                  </w:pPr>
                </w:p>
              </w:tc>
              <w:tc>
                <w:tcPr>
                  <w:tcW w:w="208" w:type="pct"/>
                  <w:vAlign w:val="center"/>
                </w:tcPr>
                <w:p w14:paraId="40181575">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76FBFF25">
                  <w:pPr>
                    <w:pStyle w:val="76"/>
                    <w:jc w:val="center"/>
                    <w:rPr>
                      <w:rFonts w:ascii="Times New Roman" w:hAnsi="Times New Roman"/>
                      <w:color w:val="auto"/>
                      <w:szCs w:val="21"/>
                      <w:u w:val="single"/>
                    </w:rPr>
                  </w:pPr>
                  <w:r>
                    <w:rPr>
                      <w:rFonts w:hint="eastAsia" w:ascii="Times New Roman" w:hAnsi="Times New Roman"/>
                      <w:color w:val="auto"/>
                      <w:szCs w:val="21"/>
                      <w:u w:val="single"/>
                    </w:rPr>
                    <w:t>86</w:t>
                  </w:r>
                </w:p>
              </w:tc>
              <w:tc>
                <w:tcPr>
                  <w:tcW w:w="405" w:type="pct"/>
                  <w:vAlign w:val="center"/>
                </w:tcPr>
                <w:p w14:paraId="3C781FE2">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6.0</w:t>
                  </w:r>
                </w:p>
              </w:tc>
              <w:tc>
                <w:tcPr>
                  <w:tcW w:w="548" w:type="pct"/>
                  <w:vMerge w:val="continue"/>
                </w:tcPr>
                <w:p w14:paraId="676BFB3D">
                  <w:pPr>
                    <w:pStyle w:val="76"/>
                    <w:jc w:val="center"/>
                    <w:rPr>
                      <w:rFonts w:ascii="Times New Roman" w:hAnsi="Times New Roman"/>
                      <w:color w:val="auto"/>
                      <w:szCs w:val="21"/>
                      <w:u w:val="single"/>
                    </w:rPr>
                  </w:pPr>
                </w:p>
              </w:tc>
              <w:tc>
                <w:tcPr>
                  <w:tcW w:w="436" w:type="pct"/>
                  <w:vMerge w:val="continue"/>
                </w:tcPr>
                <w:p w14:paraId="349240B5">
                  <w:pPr>
                    <w:pStyle w:val="76"/>
                    <w:jc w:val="center"/>
                    <w:rPr>
                      <w:rFonts w:ascii="Times New Roman" w:hAnsi="Times New Roman"/>
                      <w:color w:val="auto"/>
                      <w:szCs w:val="21"/>
                      <w:u w:val="single"/>
                    </w:rPr>
                  </w:pPr>
                </w:p>
              </w:tc>
              <w:tc>
                <w:tcPr>
                  <w:tcW w:w="272" w:type="pct"/>
                  <w:vAlign w:val="center"/>
                </w:tcPr>
                <w:p w14:paraId="69C928A8">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6529AB1E">
                  <w:pPr>
                    <w:pStyle w:val="76"/>
                    <w:jc w:val="center"/>
                    <w:rPr>
                      <w:rFonts w:ascii="Times New Roman" w:hAnsi="Times New Roman"/>
                      <w:color w:val="auto"/>
                      <w:szCs w:val="21"/>
                      <w:u w:val="single"/>
                    </w:rPr>
                  </w:pPr>
                  <w:r>
                    <w:rPr>
                      <w:rFonts w:hint="eastAsia" w:ascii="Times New Roman" w:hAnsi="Times New Roman"/>
                      <w:color w:val="auto"/>
                      <w:szCs w:val="21"/>
                      <w:u w:val="single"/>
                    </w:rPr>
                    <w:t>4</w:t>
                  </w:r>
                  <w:r>
                    <w:rPr>
                      <w:rFonts w:ascii="Times New Roman" w:hAnsi="Times New Roman"/>
                      <w:color w:val="auto"/>
                      <w:szCs w:val="21"/>
                      <w:u w:val="single"/>
                    </w:rPr>
                    <w:t>1.0</w:t>
                  </w:r>
                </w:p>
              </w:tc>
              <w:tc>
                <w:tcPr>
                  <w:tcW w:w="311" w:type="pct"/>
                  <w:vMerge w:val="continue"/>
                </w:tcPr>
                <w:p w14:paraId="0A9681EE">
                  <w:pPr>
                    <w:pStyle w:val="76"/>
                    <w:jc w:val="center"/>
                    <w:rPr>
                      <w:rFonts w:ascii="Times New Roman" w:hAnsi="Times New Roman"/>
                      <w:color w:val="auto"/>
                      <w:szCs w:val="21"/>
                      <w:u w:val="single"/>
                    </w:rPr>
                  </w:pPr>
                </w:p>
              </w:tc>
            </w:tr>
            <w:tr w14:paraId="43DB2D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58CA5A66">
                  <w:pPr>
                    <w:pStyle w:val="76"/>
                    <w:jc w:val="center"/>
                    <w:rPr>
                      <w:rFonts w:ascii="Times New Roman" w:hAnsi="Times New Roman"/>
                      <w:color w:val="auto"/>
                      <w:szCs w:val="21"/>
                      <w:u w:val="single"/>
                    </w:rPr>
                  </w:pPr>
                </w:p>
              </w:tc>
              <w:tc>
                <w:tcPr>
                  <w:tcW w:w="163" w:type="pct"/>
                  <w:vMerge w:val="continue"/>
                </w:tcPr>
                <w:p w14:paraId="65FAD5DE">
                  <w:pPr>
                    <w:pStyle w:val="76"/>
                    <w:jc w:val="center"/>
                    <w:rPr>
                      <w:rFonts w:ascii="Times New Roman" w:hAnsi="Times New Roman"/>
                      <w:color w:val="auto"/>
                      <w:szCs w:val="21"/>
                      <w:u w:val="single"/>
                    </w:rPr>
                  </w:pPr>
                </w:p>
              </w:tc>
              <w:tc>
                <w:tcPr>
                  <w:tcW w:w="299" w:type="pct"/>
                  <w:vMerge w:val="continue"/>
                </w:tcPr>
                <w:p w14:paraId="62EB852E">
                  <w:pPr>
                    <w:pStyle w:val="76"/>
                    <w:jc w:val="center"/>
                    <w:rPr>
                      <w:rFonts w:ascii="Times New Roman" w:hAnsi="Times New Roman"/>
                      <w:color w:val="auto"/>
                      <w:szCs w:val="21"/>
                      <w:u w:val="single"/>
                    </w:rPr>
                  </w:pPr>
                </w:p>
              </w:tc>
              <w:tc>
                <w:tcPr>
                  <w:tcW w:w="596" w:type="pct"/>
                  <w:vMerge w:val="continue"/>
                </w:tcPr>
                <w:p w14:paraId="00612642">
                  <w:pPr>
                    <w:pStyle w:val="76"/>
                    <w:jc w:val="center"/>
                    <w:rPr>
                      <w:rFonts w:ascii="Times New Roman" w:hAnsi="Times New Roman"/>
                      <w:color w:val="auto"/>
                      <w:szCs w:val="21"/>
                      <w:u w:val="single"/>
                    </w:rPr>
                  </w:pPr>
                </w:p>
              </w:tc>
              <w:tc>
                <w:tcPr>
                  <w:tcW w:w="503" w:type="pct"/>
                  <w:vMerge w:val="continue"/>
                </w:tcPr>
                <w:p w14:paraId="2A055EB6">
                  <w:pPr>
                    <w:pStyle w:val="76"/>
                    <w:jc w:val="center"/>
                    <w:rPr>
                      <w:rFonts w:ascii="Times New Roman" w:hAnsi="Times New Roman"/>
                      <w:color w:val="auto"/>
                      <w:szCs w:val="21"/>
                      <w:u w:val="single"/>
                    </w:rPr>
                  </w:pPr>
                </w:p>
              </w:tc>
              <w:tc>
                <w:tcPr>
                  <w:tcW w:w="170" w:type="pct"/>
                  <w:vMerge w:val="continue"/>
                </w:tcPr>
                <w:p w14:paraId="2B0F3074">
                  <w:pPr>
                    <w:pStyle w:val="76"/>
                    <w:jc w:val="center"/>
                    <w:rPr>
                      <w:rFonts w:ascii="Times New Roman" w:hAnsi="Times New Roman"/>
                      <w:color w:val="auto"/>
                      <w:szCs w:val="21"/>
                      <w:u w:val="single"/>
                    </w:rPr>
                  </w:pPr>
                </w:p>
              </w:tc>
              <w:tc>
                <w:tcPr>
                  <w:tcW w:w="170" w:type="pct"/>
                  <w:vMerge w:val="continue"/>
                </w:tcPr>
                <w:p w14:paraId="00C2AD2F">
                  <w:pPr>
                    <w:pStyle w:val="76"/>
                    <w:jc w:val="center"/>
                    <w:rPr>
                      <w:rFonts w:ascii="Times New Roman" w:hAnsi="Times New Roman"/>
                      <w:color w:val="auto"/>
                      <w:szCs w:val="21"/>
                      <w:u w:val="single"/>
                    </w:rPr>
                  </w:pPr>
                </w:p>
              </w:tc>
              <w:tc>
                <w:tcPr>
                  <w:tcW w:w="125" w:type="pct"/>
                  <w:vMerge w:val="continue"/>
                </w:tcPr>
                <w:p w14:paraId="477A8BC9">
                  <w:pPr>
                    <w:pStyle w:val="76"/>
                    <w:jc w:val="center"/>
                    <w:rPr>
                      <w:rFonts w:ascii="Times New Roman" w:hAnsi="Times New Roman"/>
                      <w:color w:val="auto"/>
                      <w:szCs w:val="21"/>
                      <w:u w:val="single"/>
                    </w:rPr>
                  </w:pPr>
                </w:p>
              </w:tc>
              <w:tc>
                <w:tcPr>
                  <w:tcW w:w="208" w:type="pct"/>
                  <w:vAlign w:val="center"/>
                </w:tcPr>
                <w:p w14:paraId="43518233">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28FCBE36">
                  <w:pPr>
                    <w:pStyle w:val="76"/>
                    <w:jc w:val="center"/>
                    <w:rPr>
                      <w:rFonts w:ascii="Times New Roman" w:hAnsi="Times New Roman"/>
                      <w:color w:val="auto"/>
                      <w:szCs w:val="21"/>
                      <w:u w:val="single"/>
                    </w:rPr>
                  </w:pPr>
                  <w:r>
                    <w:rPr>
                      <w:rFonts w:hint="eastAsia" w:ascii="Times New Roman" w:hAnsi="Times New Roman"/>
                      <w:color w:val="auto"/>
                      <w:szCs w:val="21"/>
                      <w:u w:val="single"/>
                    </w:rPr>
                    <w:t>8</w:t>
                  </w:r>
                </w:p>
              </w:tc>
              <w:tc>
                <w:tcPr>
                  <w:tcW w:w="405" w:type="pct"/>
                  <w:vAlign w:val="center"/>
                </w:tcPr>
                <w:p w14:paraId="0319F5BD">
                  <w:pPr>
                    <w:pStyle w:val="76"/>
                    <w:jc w:val="center"/>
                    <w:rPr>
                      <w:rFonts w:ascii="Times New Roman" w:hAnsi="Times New Roman"/>
                      <w:color w:val="auto"/>
                      <w:szCs w:val="21"/>
                      <w:u w:val="single"/>
                    </w:rPr>
                  </w:pPr>
                  <w:r>
                    <w:rPr>
                      <w:rFonts w:hint="eastAsia" w:ascii="Times New Roman" w:hAnsi="Times New Roman"/>
                      <w:color w:val="auto"/>
                      <w:szCs w:val="21"/>
                      <w:u w:val="single"/>
                    </w:rPr>
                    <w:t>6</w:t>
                  </w:r>
                  <w:r>
                    <w:rPr>
                      <w:rFonts w:ascii="Times New Roman" w:hAnsi="Times New Roman"/>
                      <w:color w:val="auto"/>
                      <w:szCs w:val="21"/>
                      <w:u w:val="single"/>
                    </w:rPr>
                    <w:t>6.</w:t>
                  </w:r>
                  <w:r>
                    <w:rPr>
                      <w:rFonts w:hint="eastAsia" w:ascii="Times New Roman" w:hAnsi="Times New Roman"/>
                      <w:color w:val="auto"/>
                      <w:szCs w:val="21"/>
                      <w:u w:val="single"/>
                    </w:rPr>
                    <w:t>0</w:t>
                  </w:r>
                </w:p>
              </w:tc>
              <w:tc>
                <w:tcPr>
                  <w:tcW w:w="548" w:type="pct"/>
                  <w:vMerge w:val="continue"/>
                </w:tcPr>
                <w:p w14:paraId="15F4F827">
                  <w:pPr>
                    <w:pStyle w:val="76"/>
                    <w:jc w:val="center"/>
                    <w:rPr>
                      <w:rFonts w:ascii="Times New Roman" w:hAnsi="Times New Roman"/>
                      <w:color w:val="auto"/>
                      <w:szCs w:val="21"/>
                      <w:u w:val="single"/>
                    </w:rPr>
                  </w:pPr>
                </w:p>
              </w:tc>
              <w:tc>
                <w:tcPr>
                  <w:tcW w:w="436" w:type="pct"/>
                  <w:vMerge w:val="continue"/>
                </w:tcPr>
                <w:p w14:paraId="71E0B540">
                  <w:pPr>
                    <w:pStyle w:val="76"/>
                    <w:jc w:val="center"/>
                    <w:rPr>
                      <w:rFonts w:ascii="Times New Roman" w:hAnsi="Times New Roman"/>
                      <w:color w:val="auto"/>
                      <w:szCs w:val="21"/>
                      <w:u w:val="single"/>
                    </w:rPr>
                  </w:pPr>
                </w:p>
              </w:tc>
              <w:tc>
                <w:tcPr>
                  <w:tcW w:w="272" w:type="pct"/>
                  <w:vAlign w:val="center"/>
                </w:tcPr>
                <w:p w14:paraId="54965B39">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27368707">
                  <w:pPr>
                    <w:pStyle w:val="76"/>
                    <w:jc w:val="center"/>
                    <w:rPr>
                      <w:rFonts w:ascii="Times New Roman" w:hAnsi="Times New Roman"/>
                      <w:color w:val="auto"/>
                      <w:szCs w:val="21"/>
                      <w:u w:val="single"/>
                    </w:rPr>
                  </w:pPr>
                  <w:r>
                    <w:rPr>
                      <w:rFonts w:hint="eastAsia" w:ascii="Times New Roman" w:hAnsi="Times New Roman"/>
                      <w:color w:val="auto"/>
                      <w:szCs w:val="21"/>
                      <w:u w:val="single"/>
                    </w:rPr>
                    <w:t>4</w:t>
                  </w:r>
                  <w:r>
                    <w:rPr>
                      <w:rFonts w:ascii="Times New Roman" w:hAnsi="Times New Roman"/>
                      <w:color w:val="auto"/>
                      <w:szCs w:val="21"/>
                      <w:u w:val="single"/>
                    </w:rPr>
                    <w:t>1.</w:t>
                  </w:r>
                  <w:r>
                    <w:rPr>
                      <w:rFonts w:hint="eastAsia" w:ascii="Times New Roman" w:hAnsi="Times New Roman"/>
                      <w:color w:val="auto"/>
                      <w:szCs w:val="21"/>
                      <w:u w:val="single"/>
                    </w:rPr>
                    <w:t>0</w:t>
                  </w:r>
                </w:p>
              </w:tc>
              <w:tc>
                <w:tcPr>
                  <w:tcW w:w="311" w:type="pct"/>
                  <w:vMerge w:val="continue"/>
                </w:tcPr>
                <w:p w14:paraId="71E6F1E7">
                  <w:pPr>
                    <w:pStyle w:val="76"/>
                    <w:jc w:val="center"/>
                    <w:rPr>
                      <w:rFonts w:ascii="Times New Roman" w:hAnsi="Times New Roman"/>
                      <w:color w:val="auto"/>
                      <w:szCs w:val="21"/>
                      <w:u w:val="single"/>
                    </w:rPr>
                  </w:pPr>
                </w:p>
              </w:tc>
            </w:tr>
            <w:tr w14:paraId="3880A5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4A685221">
                  <w:pPr>
                    <w:pStyle w:val="76"/>
                    <w:numPr>
                      <w:ilvl w:val="0"/>
                      <w:numId w:val="7"/>
                    </w:numPr>
                    <w:jc w:val="center"/>
                    <w:rPr>
                      <w:rFonts w:ascii="Times New Roman" w:hAnsi="Times New Roman"/>
                      <w:color w:val="auto"/>
                      <w:szCs w:val="21"/>
                      <w:u w:val="single"/>
                    </w:rPr>
                  </w:pPr>
                </w:p>
              </w:tc>
              <w:tc>
                <w:tcPr>
                  <w:tcW w:w="163" w:type="pct"/>
                  <w:vMerge w:val="continue"/>
                </w:tcPr>
                <w:p w14:paraId="1F2393CE">
                  <w:pPr>
                    <w:pStyle w:val="76"/>
                    <w:jc w:val="center"/>
                    <w:rPr>
                      <w:rFonts w:ascii="Times New Roman" w:hAnsi="Times New Roman"/>
                      <w:color w:val="auto"/>
                      <w:szCs w:val="21"/>
                      <w:u w:val="single"/>
                    </w:rPr>
                  </w:pPr>
                </w:p>
              </w:tc>
              <w:tc>
                <w:tcPr>
                  <w:tcW w:w="299" w:type="pct"/>
                  <w:vMerge w:val="restart"/>
                  <w:vAlign w:val="center"/>
                </w:tcPr>
                <w:p w14:paraId="32EA1B2E">
                  <w:pPr>
                    <w:pStyle w:val="76"/>
                    <w:jc w:val="center"/>
                    <w:rPr>
                      <w:rFonts w:ascii="Times New Roman" w:hAnsi="Times New Roman"/>
                      <w:color w:val="auto"/>
                      <w:szCs w:val="21"/>
                      <w:u w:val="single"/>
                    </w:rPr>
                  </w:pPr>
                  <w:r>
                    <w:rPr>
                      <w:rFonts w:hint="eastAsia" w:ascii="Times New Roman" w:hAnsi="Times New Roman"/>
                      <w:color w:val="auto"/>
                      <w:szCs w:val="21"/>
                      <w:u w:val="single"/>
                    </w:rPr>
                    <w:t>水环真空</w:t>
                  </w:r>
                  <w:r>
                    <w:rPr>
                      <w:rFonts w:ascii="Times New Roman" w:hAnsi="Times New Roman"/>
                      <w:color w:val="auto"/>
                      <w:szCs w:val="21"/>
                      <w:u w:val="single"/>
                    </w:rPr>
                    <w:t>泵</w:t>
                  </w:r>
                  <w:r>
                    <w:rPr>
                      <w:rFonts w:hint="eastAsia" w:ascii="Times New Roman" w:hAnsi="Times New Roman"/>
                      <w:color w:val="auto"/>
                      <w:szCs w:val="21"/>
                      <w:u w:val="single"/>
                    </w:rPr>
                    <w:t>（2台）</w:t>
                  </w:r>
                </w:p>
              </w:tc>
              <w:tc>
                <w:tcPr>
                  <w:tcW w:w="596" w:type="pct"/>
                  <w:vMerge w:val="restart"/>
                  <w:vAlign w:val="center"/>
                </w:tcPr>
                <w:p w14:paraId="5A218947">
                  <w:pPr>
                    <w:pStyle w:val="76"/>
                    <w:jc w:val="center"/>
                    <w:rPr>
                      <w:rFonts w:ascii="Times New Roman" w:hAnsi="Times New Roman"/>
                      <w:color w:val="auto"/>
                      <w:szCs w:val="21"/>
                      <w:u w:val="single"/>
                    </w:rPr>
                  </w:pPr>
                  <w:r>
                    <w:rPr>
                      <w:rFonts w:hint="eastAsia" w:ascii="Times New Roman" w:hAnsi="Times New Roman"/>
                      <w:color w:val="auto"/>
                      <w:szCs w:val="21"/>
                      <w:u w:val="single"/>
                    </w:rPr>
                    <w:t>80</w:t>
                  </w:r>
                </w:p>
              </w:tc>
              <w:tc>
                <w:tcPr>
                  <w:tcW w:w="503" w:type="pct"/>
                  <w:vMerge w:val="restart"/>
                  <w:vAlign w:val="center"/>
                </w:tcPr>
                <w:p w14:paraId="539C5344">
                  <w:pPr>
                    <w:pStyle w:val="76"/>
                    <w:jc w:val="center"/>
                    <w:rPr>
                      <w:rFonts w:ascii="Times New Roman" w:hAnsi="Times New Roman"/>
                      <w:color w:val="auto"/>
                      <w:szCs w:val="21"/>
                      <w:u w:val="single"/>
                    </w:rPr>
                  </w:pPr>
                  <w:r>
                    <w:rPr>
                      <w:rFonts w:ascii="Times New Roman" w:hAnsi="Times New Roman"/>
                      <w:color w:val="auto"/>
                      <w:szCs w:val="21"/>
                      <w:u w:val="single"/>
                    </w:rPr>
                    <w:t>减振降噪、厂房隔声</w:t>
                  </w:r>
                </w:p>
              </w:tc>
              <w:tc>
                <w:tcPr>
                  <w:tcW w:w="170" w:type="pct"/>
                  <w:vMerge w:val="restart"/>
                  <w:vAlign w:val="center"/>
                </w:tcPr>
                <w:p w14:paraId="2F3335D0">
                  <w:pPr>
                    <w:pStyle w:val="76"/>
                    <w:jc w:val="center"/>
                    <w:rPr>
                      <w:rFonts w:ascii="Times New Roman" w:hAnsi="Times New Roman"/>
                      <w:color w:val="auto"/>
                      <w:szCs w:val="21"/>
                      <w:u w:val="single"/>
                    </w:rPr>
                  </w:pPr>
                  <w:r>
                    <w:rPr>
                      <w:rFonts w:hint="eastAsia" w:ascii="Times New Roman" w:hAnsi="Times New Roman"/>
                      <w:color w:val="auto"/>
                      <w:szCs w:val="21"/>
                      <w:u w:val="single"/>
                    </w:rPr>
                    <w:t>-2</w:t>
                  </w:r>
                </w:p>
              </w:tc>
              <w:tc>
                <w:tcPr>
                  <w:tcW w:w="170" w:type="pct"/>
                  <w:vMerge w:val="restart"/>
                  <w:vAlign w:val="center"/>
                </w:tcPr>
                <w:p w14:paraId="5AA44BCC">
                  <w:pPr>
                    <w:pStyle w:val="76"/>
                    <w:jc w:val="center"/>
                    <w:rPr>
                      <w:rFonts w:ascii="Times New Roman" w:hAnsi="Times New Roman"/>
                      <w:color w:val="auto"/>
                      <w:szCs w:val="21"/>
                      <w:u w:val="single"/>
                    </w:rPr>
                  </w:pPr>
                  <w:r>
                    <w:rPr>
                      <w:rFonts w:hint="eastAsia" w:ascii="Times New Roman" w:hAnsi="Times New Roman"/>
                      <w:color w:val="auto"/>
                      <w:szCs w:val="21"/>
                      <w:u w:val="single"/>
                    </w:rPr>
                    <w:t>-9</w:t>
                  </w:r>
                </w:p>
              </w:tc>
              <w:tc>
                <w:tcPr>
                  <w:tcW w:w="125" w:type="pct"/>
                  <w:vMerge w:val="restart"/>
                  <w:vAlign w:val="center"/>
                </w:tcPr>
                <w:p w14:paraId="6BFCA5C7">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5670A6DF">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3ABEA249">
                  <w:pPr>
                    <w:pStyle w:val="76"/>
                    <w:jc w:val="center"/>
                    <w:rPr>
                      <w:rFonts w:ascii="Times New Roman" w:hAnsi="Times New Roman"/>
                      <w:color w:val="auto"/>
                      <w:szCs w:val="21"/>
                      <w:u w:val="single"/>
                    </w:rPr>
                  </w:pPr>
                  <w:r>
                    <w:rPr>
                      <w:rFonts w:hint="eastAsia" w:ascii="Times New Roman" w:hAnsi="Times New Roman"/>
                      <w:color w:val="auto"/>
                      <w:szCs w:val="21"/>
                      <w:u w:val="single"/>
                    </w:rPr>
                    <w:t>98</w:t>
                  </w:r>
                </w:p>
              </w:tc>
              <w:tc>
                <w:tcPr>
                  <w:tcW w:w="405" w:type="pct"/>
                  <w:vAlign w:val="center"/>
                </w:tcPr>
                <w:p w14:paraId="3E64AC3A">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restart"/>
                  <w:vAlign w:val="center"/>
                </w:tcPr>
                <w:p w14:paraId="37300184">
                  <w:pPr>
                    <w:pStyle w:val="76"/>
                    <w:jc w:val="center"/>
                    <w:rPr>
                      <w:rFonts w:ascii="Times New Roman" w:hAnsi="Times New Roman"/>
                      <w:color w:val="auto"/>
                      <w:szCs w:val="21"/>
                      <w:u w:val="single"/>
                    </w:rPr>
                  </w:pPr>
                  <w:r>
                    <w:rPr>
                      <w:rFonts w:hint="eastAsia" w:ascii="Times New Roman" w:hAnsi="Times New Roman"/>
                      <w:color w:val="auto"/>
                      <w:szCs w:val="21"/>
                      <w:u w:val="single"/>
                    </w:rPr>
                    <w:t>22</w:t>
                  </w:r>
                  <w:r>
                    <w:rPr>
                      <w:rFonts w:ascii="Times New Roman" w:hAnsi="Times New Roman"/>
                      <w:color w:val="auto"/>
                      <w:szCs w:val="21"/>
                      <w:u w:val="single"/>
                    </w:rPr>
                    <w:t>:</w:t>
                  </w:r>
                  <w:r>
                    <w:rPr>
                      <w:rFonts w:hint="eastAsia" w:ascii="Times New Roman" w:hAnsi="Times New Roman"/>
                      <w:color w:val="auto"/>
                      <w:szCs w:val="21"/>
                      <w:u w:val="single"/>
                    </w:rPr>
                    <w:t>0</w:t>
                  </w:r>
                  <w:r>
                    <w:rPr>
                      <w:rFonts w:ascii="Times New Roman" w:hAnsi="Times New Roman"/>
                      <w:color w:val="auto"/>
                      <w:szCs w:val="21"/>
                      <w:u w:val="single"/>
                    </w:rPr>
                    <w:t>0-</w:t>
                  </w:r>
                  <w:r>
                    <w:rPr>
                      <w:rFonts w:hint="eastAsia" w:ascii="Times New Roman" w:hAnsi="Times New Roman"/>
                      <w:color w:val="auto"/>
                      <w:szCs w:val="21"/>
                      <w:u w:val="single"/>
                    </w:rPr>
                    <w:t>6</w:t>
                  </w:r>
                  <w:r>
                    <w:rPr>
                      <w:rFonts w:ascii="Times New Roman" w:hAnsi="Times New Roman"/>
                      <w:color w:val="auto"/>
                      <w:szCs w:val="21"/>
                      <w:u w:val="single"/>
                    </w:rPr>
                    <w:t>:</w:t>
                  </w:r>
                  <w:r>
                    <w:rPr>
                      <w:rFonts w:hint="eastAsia" w:ascii="Times New Roman" w:hAnsi="Times New Roman"/>
                      <w:color w:val="auto"/>
                      <w:szCs w:val="21"/>
                      <w:u w:val="single"/>
                    </w:rPr>
                    <w:t>0</w:t>
                  </w:r>
                  <w:r>
                    <w:rPr>
                      <w:rFonts w:ascii="Times New Roman" w:hAnsi="Times New Roman"/>
                      <w:color w:val="auto"/>
                      <w:szCs w:val="21"/>
                      <w:u w:val="single"/>
                    </w:rPr>
                    <w:t>0</w:t>
                  </w:r>
                </w:p>
              </w:tc>
              <w:tc>
                <w:tcPr>
                  <w:tcW w:w="436" w:type="pct"/>
                  <w:vMerge w:val="restart"/>
                  <w:vAlign w:val="center"/>
                </w:tcPr>
                <w:p w14:paraId="47B6F3A1">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50AD36B0">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2017D78E">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restart"/>
                  <w:vAlign w:val="center"/>
                </w:tcPr>
                <w:p w14:paraId="4DB51F5A">
                  <w:pPr>
                    <w:pStyle w:val="76"/>
                    <w:jc w:val="center"/>
                    <w:rPr>
                      <w:rFonts w:ascii="Times New Roman" w:hAnsi="Times New Roman"/>
                      <w:color w:val="auto"/>
                      <w:szCs w:val="21"/>
                      <w:u w:val="single"/>
                    </w:rPr>
                  </w:pPr>
                  <w:r>
                    <w:rPr>
                      <w:rFonts w:hint="eastAsia" w:ascii="Times New Roman" w:hAnsi="Times New Roman"/>
                      <w:color w:val="auto"/>
                      <w:szCs w:val="21"/>
                      <w:u w:val="single"/>
                    </w:rPr>
                    <w:t>1m</w:t>
                  </w:r>
                </w:p>
              </w:tc>
            </w:tr>
            <w:tr w14:paraId="13A4BD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3A57F9E1">
                  <w:pPr>
                    <w:pStyle w:val="76"/>
                    <w:jc w:val="center"/>
                    <w:rPr>
                      <w:rFonts w:ascii="Times New Roman" w:hAnsi="Times New Roman"/>
                      <w:color w:val="auto"/>
                      <w:szCs w:val="21"/>
                      <w:u w:val="single"/>
                    </w:rPr>
                  </w:pPr>
                </w:p>
              </w:tc>
              <w:tc>
                <w:tcPr>
                  <w:tcW w:w="163" w:type="pct"/>
                  <w:vMerge w:val="continue"/>
                </w:tcPr>
                <w:p w14:paraId="5C1A030E">
                  <w:pPr>
                    <w:pStyle w:val="76"/>
                    <w:jc w:val="center"/>
                    <w:rPr>
                      <w:rFonts w:ascii="Times New Roman" w:hAnsi="Times New Roman"/>
                      <w:color w:val="auto"/>
                      <w:szCs w:val="21"/>
                      <w:u w:val="single"/>
                    </w:rPr>
                  </w:pPr>
                </w:p>
              </w:tc>
              <w:tc>
                <w:tcPr>
                  <w:tcW w:w="299" w:type="pct"/>
                  <w:vMerge w:val="continue"/>
                  <w:vAlign w:val="center"/>
                </w:tcPr>
                <w:p w14:paraId="6CF41383">
                  <w:pPr>
                    <w:pStyle w:val="76"/>
                    <w:jc w:val="center"/>
                    <w:rPr>
                      <w:rFonts w:ascii="Times New Roman" w:hAnsi="Times New Roman"/>
                      <w:color w:val="auto"/>
                      <w:szCs w:val="21"/>
                      <w:u w:val="single"/>
                    </w:rPr>
                  </w:pPr>
                </w:p>
              </w:tc>
              <w:tc>
                <w:tcPr>
                  <w:tcW w:w="596" w:type="pct"/>
                  <w:vMerge w:val="continue"/>
                  <w:vAlign w:val="center"/>
                </w:tcPr>
                <w:p w14:paraId="6A9D8A37">
                  <w:pPr>
                    <w:pStyle w:val="76"/>
                    <w:jc w:val="center"/>
                    <w:rPr>
                      <w:rFonts w:ascii="Times New Roman" w:hAnsi="Times New Roman"/>
                      <w:color w:val="auto"/>
                      <w:szCs w:val="21"/>
                      <w:u w:val="single"/>
                    </w:rPr>
                  </w:pPr>
                </w:p>
              </w:tc>
              <w:tc>
                <w:tcPr>
                  <w:tcW w:w="503" w:type="pct"/>
                  <w:vMerge w:val="continue"/>
                  <w:vAlign w:val="center"/>
                </w:tcPr>
                <w:p w14:paraId="38CC431D">
                  <w:pPr>
                    <w:pStyle w:val="76"/>
                    <w:jc w:val="center"/>
                    <w:rPr>
                      <w:rFonts w:ascii="Times New Roman" w:hAnsi="Times New Roman"/>
                      <w:color w:val="auto"/>
                      <w:szCs w:val="21"/>
                      <w:u w:val="single"/>
                    </w:rPr>
                  </w:pPr>
                </w:p>
              </w:tc>
              <w:tc>
                <w:tcPr>
                  <w:tcW w:w="170" w:type="pct"/>
                  <w:vMerge w:val="continue"/>
                  <w:vAlign w:val="center"/>
                </w:tcPr>
                <w:p w14:paraId="0F376EEE">
                  <w:pPr>
                    <w:pStyle w:val="76"/>
                    <w:jc w:val="center"/>
                    <w:rPr>
                      <w:rFonts w:ascii="Times New Roman" w:hAnsi="Times New Roman"/>
                      <w:color w:val="auto"/>
                      <w:szCs w:val="21"/>
                      <w:u w:val="single"/>
                    </w:rPr>
                  </w:pPr>
                </w:p>
              </w:tc>
              <w:tc>
                <w:tcPr>
                  <w:tcW w:w="170" w:type="pct"/>
                  <w:vMerge w:val="continue"/>
                  <w:vAlign w:val="center"/>
                </w:tcPr>
                <w:p w14:paraId="5CA74733">
                  <w:pPr>
                    <w:pStyle w:val="76"/>
                    <w:jc w:val="center"/>
                    <w:rPr>
                      <w:rFonts w:ascii="Times New Roman" w:hAnsi="Times New Roman"/>
                      <w:color w:val="auto"/>
                      <w:szCs w:val="21"/>
                      <w:u w:val="single"/>
                    </w:rPr>
                  </w:pPr>
                </w:p>
              </w:tc>
              <w:tc>
                <w:tcPr>
                  <w:tcW w:w="125" w:type="pct"/>
                  <w:vMerge w:val="continue"/>
                  <w:vAlign w:val="center"/>
                </w:tcPr>
                <w:p w14:paraId="186345D9">
                  <w:pPr>
                    <w:pStyle w:val="76"/>
                    <w:jc w:val="center"/>
                    <w:rPr>
                      <w:rFonts w:ascii="Times New Roman" w:hAnsi="Times New Roman"/>
                      <w:color w:val="auto"/>
                      <w:szCs w:val="21"/>
                      <w:u w:val="single"/>
                    </w:rPr>
                  </w:pPr>
                </w:p>
              </w:tc>
              <w:tc>
                <w:tcPr>
                  <w:tcW w:w="208" w:type="pct"/>
                  <w:vAlign w:val="center"/>
                </w:tcPr>
                <w:p w14:paraId="337B52E6">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1D281CD2">
                  <w:pPr>
                    <w:pStyle w:val="76"/>
                    <w:jc w:val="center"/>
                    <w:rPr>
                      <w:rFonts w:ascii="Times New Roman" w:hAnsi="Times New Roman"/>
                      <w:color w:val="auto"/>
                      <w:szCs w:val="21"/>
                      <w:u w:val="single"/>
                    </w:rPr>
                  </w:pPr>
                  <w:r>
                    <w:rPr>
                      <w:rFonts w:hint="eastAsia" w:ascii="Times New Roman" w:hAnsi="Times New Roman"/>
                      <w:color w:val="auto"/>
                      <w:szCs w:val="21"/>
                      <w:u w:val="single"/>
                    </w:rPr>
                    <w:t>5</w:t>
                  </w:r>
                </w:p>
              </w:tc>
              <w:tc>
                <w:tcPr>
                  <w:tcW w:w="405" w:type="pct"/>
                  <w:vAlign w:val="center"/>
                </w:tcPr>
                <w:p w14:paraId="26E660E8">
                  <w:pPr>
                    <w:pStyle w:val="76"/>
                    <w:jc w:val="center"/>
                    <w:rPr>
                      <w:rFonts w:ascii="Times New Roman" w:hAnsi="Times New Roman"/>
                      <w:color w:val="auto"/>
                      <w:szCs w:val="21"/>
                      <w:u w:val="single"/>
                    </w:rPr>
                  </w:pPr>
                  <w:r>
                    <w:rPr>
                      <w:rFonts w:ascii="Times New Roman" w:hAnsi="Times New Roman"/>
                      <w:color w:val="auto"/>
                      <w:szCs w:val="21"/>
                      <w:u w:val="single"/>
                    </w:rPr>
                    <w:t>68.</w:t>
                  </w:r>
                  <w:r>
                    <w:rPr>
                      <w:rFonts w:hint="eastAsia" w:ascii="Times New Roman" w:hAnsi="Times New Roman"/>
                      <w:color w:val="auto"/>
                      <w:szCs w:val="21"/>
                      <w:u w:val="single"/>
                    </w:rPr>
                    <w:t>0</w:t>
                  </w:r>
                </w:p>
              </w:tc>
              <w:tc>
                <w:tcPr>
                  <w:tcW w:w="548" w:type="pct"/>
                  <w:vMerge w:val="continue"/>
                  <w:vAlign w:val="center"/>
                </w:tcPr>
                <w:p w14:paraId="6F207C18">
                  <w:pPr>
                    <w:pStyle w:val="76"/>
                    <w:jc w:val="center"/>
                    <w:rPr>
                      <w:rFonts w:ascii="Times New Roman" w:hAnsi="Times New Roman"/>
                      <w:color w:val="auto"/>
                      <w:szCs w:val="21"/>
                      <w:u w:val="single"/>
                    </w:rPr>
                  </w:pPr>
                </w:p>
              </w:tc>
              <w:tc>
                <w:tcPr>
                  <w:tcW w:w="436" w:type="pct"/>
                  <w:vMerge w:val="continue"/>
                  <w:vAlign w:val="center"/>
                </w:tcPr>
                <w:p w14:paraId="4C45A06D">
                  <w:pPr>
                    <w:pStyle w:val="76"/>
                    <w:jc w:val="center"/>
                    <w:rPr>
                      <w:rFonts w:ascii="Times New Roman" w:hAnsi="Times New Roman"/>
                      <w:color w:val="auto"/>
                      <w:szCs w:val="21"/>
                      <w:u w:val="single"/>
                    </w:rPr>
                  </w:pPr>
                </w:p>
              </w:tc>
              <w:tc>
                <w:tcPr>
                  <w:tcW w:w="272" w:type="pct"/>
                  <w:vAlign w:val="center"/>
                </w:tcPr>
                <w:p w14:paraId="26284B3E">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72DB5499">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tcPr>
                <w:p w14:paraId="634971EF">
                  <w:pPr>
                    <w:pStyle w:val="76"/>
                    <w:jc w:val="center"/>
                    <w:rPr>
                      <w:rFonts w:ascii="Times New Roman" w:hAnsi="Times New Roman"/>
                      <w:color w:val="auto"/>
                      <w:szCs w:val="21"/>
                      <w:u w:val="single"/>
                    </w:rPr>
                  </w:pPr>
                </w:p>
              </w:tc>
            </w:tr>
            <w:tr w14:paraId="75E0C6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3206FC58">
                  <w:pPr>
                    <w:pStyle w:val="76"/>
                    <w:jc w:val="center"/>
                    <w:rPr>
                      <w:rFonts w:ascii="Times New Roman" w:hAnsi="Times New Roman"/>
                      <w:color w:val="auto"/>
                      <w:szCs w:val="21"/>
                      <w:u w:val="single"/>
                    </w:rPr>
                  </w:pPr>
                </w:p>
              </w:tc>
              <w:tc>
                <w:tcPr>
                  <w:tcW w:w="163" w:type="pct"/>
                  <w:vMerge w:val="continue"/>
                </w:tcPr>
                <w:p w14:paraId="510B86D2">
                  <w:pPr>
                    <w:pStyle w:val="76"/>
                    <w:jc w:val="center"/>
                    <w:rPr>
                      <w:rFonts w:ascii="Times New Roman" w:hAnsi="Times New Roman"/>
                      <w:color w:val="auto"/>
                      <w:szCs w:val="21"/>
                      <w:u w:val="single"/>
                    </w:rPr>
                  </w:pPr>
                </w:p>
              </w:tc>
              <w:tc>
                <w:tcPr>
                  <w:tcW w:w="299" w:type="pct"/>
                  <w:vMerge w:val="continue"/>
                  <w:vAlign w:val="center"/>
                </w:tcPr>
                <w:p w14:paraId="424011BD">
                  <w:pPr>
                    <w:pStyle w:val="76"/>
                    <w:jc w:val="center"/>
                    <w:rPr>
                      <w:rFonts w:ascii="Times New Roman" w:hAnsi="Times New Roman"/>
                      <w:color w:val="auto"/>
                      <w:szCs w:val="21"/>
                      <w:u w:val="single"/>
                    </w:rPr>
                  </w:pPr>
                </w:p>
              </w:tc>
              <w:tc>
                <w:tcPr>
                  <w:tcW w:w="596" w:type="pct"/>
                  <w:vMerge w:val="continue"/>
                  <w:vAlign w:val="center"/>
                </w:tcPr>
                <w:p w14:paraId="2EF54545">
                  <w:pPr>
                    <w:pStyle w:val="76"/>
                    <w:jc w:val="center"/>
                    <w:rPr>
                      <w:rFonts w:ascii="Times New Roman" w:hAnsi="Times New Roman"/>
                      <w:color w:val="auto"/>
                      <w:szCs w:val="21"/>
                      <w:u w:val="single"/>
                    </w:rPr>
                  </w:pPr>
                </w:p>
              </w:tc>
              <w:tc>
                <w:tcPr>
                  <w:tcW w:w="503" w:type="pct"/>
                  <w:vMerge w:val="continue"/>
                  <w:vAlign w:val="center"/>
                </w:tcPr>
                <w:p w14:paraId="126F3818">
                  <w:pPr>
                    <w:pStyle w:val="76"/>
                    <w:jc w:val="center"/>
                    <w:rPr>
                      <w:rFonts w:ascii="Times New Roman" w:hAnsi="Times New Roman"/>
                      <w:color w:val="auto"/>
                      <w:szCs w:val="21"/>
                      <w:u w:val="single"/>
                    </w:rPr>
                  </w:pPr>
                </w:p>
              </w:tc>
              <w:tc>
                <w:tcPr>
                  <w:tcW w:w="170" w:type="pct"/>
                  <w:vMerge w:val="continue"/>
                  <w:vAlign w:val="center"/>
                </w:tcPr>
                <w:p w14:paraId="4FC7A3E5">
                  <w:pPr>
                    <w:pStyle w:val="76"/>
                    <w:jc w:val="center"/>
                    <w:rPr>
                      <w:rFonts w:ascii="Times New Roman" w:hAnsi="Times New Roman"/>
                      <w:color w:val="auto"/>
                      <w:szCs w:val="21"/>
                      <w:u w:val="single"/>
                    </w:rPr>
                  </w:pPr>
                </w:p>
              </w:tc>
              <w:tc>
                <w:tcPr>
                  <w:tcW w:w="170" w:type="pct"/>
                  <w:vMerge w:val="continue"/>
                  <w:vAlign w:val="center"/>
                </w:tcPr>
                <w:p w14:paraId="38E7645B">
                  <w:pPr>
                    <w:pStyle w:val="76"/>
                    <w:jc w:val="center"/>
                    <w:rPr>
                      <w:rFonts w:ascii="Times New Roman" w:hAnsi="Times New Roman"/>
                      <w:color w:val="auto"/>
                      <w:szCs w:val="21"/>
                      <w:u w:val="single"/>
                    </w:rPr>
                  </w:pPr>
                </w:p>
              </w:tc>
              <w:tc>
                <w:tcPr>
                  <w:tcW w:w="125" w:type="pct"/>
                  <w:vMerge w:val="continue"/>
                  <w:vAlign w:val="center"/>
                </w:tcPr>
                <w:p w14:paraId="2001BA92">
                  <w:pPr>
                    <w:pStyle w:val="76"/>
                    <w:jc w:val="center"/>
                    <w:rPr>
                      <w:rFonts w:ascii="Times New Roman" w:hAnsi="Times New Roman"/>
                      <w:color w:val="auto"/>
                      <w:szCs w:val="21"/>
                      <w:u w:val="single"/>
                    </w:rPr>
                  </w:pPr>
                </w:p>
              </w:tc>
              <w:tc>
                <w:tcPr>
                  <w:tcW w:w="208" w:type="pct"/>
                  <w:vAlign w:val="center"/>
                </w:tcPr>
                <w:p w14:paraId="7D5F3FC3">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4A1E1C0B">
                  <w:pPr>
                    <w:pStyle w:val="76"/>
                    <w:jc w:val="center"/>
                    <w:rPr>
                      <w:rFonts w:ascii="Times New Roman" w:hAnsi="Times New Roman"/>
                      <w:color w:val="auto"/>
                      <w:szCs w:val="21"/>
                      <w:u w:val="single"/>
                    </w:rPr>
                  </w:pPr>
                  <w:r>
                    <w:rPr>
                      <w:rFonts w:hint="eastAsia" w:ascii="Times New Roman" w:hAnsi="Times New Roman"/>
                      <w:color w:val="auto"/>
                      <w:szCs w:val="21"/>
                      <w:u w:val="single"/>
                    </w:rPr>
                    <w:t>87</w:t>
                  </w:r>
                </w:p>
              </w:tc>
              <w:tc>
                <w:tcPr>
                  <w:tcW w:w="405" w:type="pct"/>
                  <w:vAlign w:val="center"/>
                </w:tcPr>
                <w:p w14:paraId="0026A3BF">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continue"/>
                  <w:vAlign w:val="center"/>
                </w:tcPr>
                <w:p w14:paraId="65649061">
                  <w:pPr>
                    <w:pStyle w:val="76"/>
                    <w:jc w:val="center"/>
                    <w:rPr>
                      <w:rFonts w:ascii="Times New Roman" w:hAnsi="Times New Roman"/>
                      <w:color w:val="auto"/>
                      <w:szCs w:val="21"/>
                      <w:u w:val="single"/>
                    </w:rPr>
                  </w:pPr>
                </w:p>
              </w:tc>
              <w:tc>
                <w:tcPr>
                  <w:tcW w:w="436" w:type="pct"/>
                  <w:vMerge w:val="continue"/>
                  <w:vAlign w:val="center"/>
                </w:tcPr>
                <w:p w14:paraId="5E03C9B5">
                  <w:pPr>
                    <w:pStyle w:val="76"/>
                    <w:jc w:val="center"/>
                    <w:rPr>
                      <w:rFonts w:ascii="Times New Roman" w:hAnsi="Times New Roman"/>
                      <w:color w:val="auto"/>
                      <w:szCs w:val="21"/>
                      <w:u w:val="single"/>
                    </w:rPr>
                  </w:pPr>
                </w:p>
              </w:tc>
              <w:tc>
                <w:tcPr>
                  <w:tcW w:w="272" w:type="pct"/>
                  <w:vAlign w:val="center"/>
                </w:tcPr>
                <w:p w14:paraId="525DFF44">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7B16BDB9">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tcPr>
                <w:p w14:paraId="3279633C">
                  <w:pPr>
                    <w:pStyle w:val="76"/>
                    <w:jc w:val="center"/>
                    <w:rPr>
                      <w:rFonts w:ascii="Times New Roman" w:hAnsi="Times New Roman"/>
                      <w:color w:val="auto"/>
                      <w:szCs w:val="21"/>
                      <w:u w:val="single"/>
                    </w:rPr>
                  </w:pPr>
                </w:p>
              </w:tc>
            </w:tr>
            <w:tr w14:paraId="2746F7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4B2DA2DB">
                  <w:pPr>
                    <w:pStyle w:val="76"/>
                    <w:jc w:val="center"/>
                    <w:rPr>
                      <w:rFonts w:ascii="Times New Roman" w:hAnsi="Times New Roman"/>
                      <w:color w:val="auto"/>
                      <w:szCs w:val="21"/>
                      <w:u w:val="single"/>
                    </w:rPr>
                  </w:pPr>
                </w:p>
              </w:tc>
              <w:tc>
                <w:tcPr>
                  <w:tcW w:w="163" w:type="pct"/>
                  <w:vMerge w:val="continue"/>
                </w:tcPr>
                <w:p w14:paraId="30CD75D0">
                  <w:pPr>
                    <w:pStyle w:val="76"/>
                    <w:jc w:val="center"/>
                    <w:rPr>
                      <w:rFonts w:ascii="Times New Roman" w:hAnsi="Times New Roman"/>
                      <w:color w:val="auto"/>
                      <w:szCs w:val="21"/>
                      <w:u w:val="single"/>
                    </w:rPr>
                  </w:pPr>
                </w:p>
              </w:tc>
              <w:tc>
                <w:tcPr>
                  <w:tcW w:w="299" w:type="pct"/>
                  <w:vMerge w:val="continue"/>
                  <w:vAlign w:val="center"/>
                </w:tcPr>
                <w:p w14:paraId="552D86A0">
                  <w:pPr>
                    <w:pStyle w:val="76"/>
                    <w:jc w:val="center"/>
                    <w:rPr>
                      <w:rFonts w:ascii="Times New Roman" w:hAnsi="Times New Roman"/>
                      <w:color w:val="auto"/>
                      <w:szCs w:val="21"/>
                      <w:u w:val="single"/>
                    </w:rPr>
                  </w:pPr>
                </w:p>
              </w:tc>
              <w:tc>
                <w:tcPr>
                  <w:tcW w:w="596" w:type="pct"/>
                  <w:vMerge w:val="continue"/>
                  <w:vAlign w:val="center"/>
                </w:tcPr>
                <w:p w14:paraId="4E928EB4">
                  <w:pPr>
                    <w:pStyle w:val="76"/>
                    <w:jc w:val="center"/>
                    <w:rPr>
                      <w:rFonts w:ascii="Times New Roman" w:hAnsi="Times New Roman"/>
                      <w:color w:val="auto"/>
                      <w:szCs w:val="21"/>
                      <w:u w:val="single"/>
                    </w:rPr>
                  </w:pPr>
                </w:p>
              </w:tc>
              <w:tc>
                <w:tcPr>
                  <w:tcW w:w="503" w:type="pct"/>
                  <w:vMerge w:val="continue"/>
                  <w:vAlign w:val="center"/>
                </w:tcPr>
                <w:p w14:paraId="67795C6A">
                  <w:pPr>
                    <w:pStyle w:val="76"/>
                    <w:jc w:val="center"/>
                    <w:rPr>
                      <w:rFonts w:ascii="Times New Roman" w:hAnsi="Times New Roman"/>
                      <w:color w:val="auto"/>
                      <w:szCs w:val="21"/>
                      <w:u w:val="single"/>
                    </w:rPr>
                  </w:pPr>
                </w:p>
              </w:tc>
              <w:tc>
                <w:tcPr>
                  <w:tcW w:w="170" w:type="pct"/>
                  <w:vMerge w:val="continue"/>
                  <w:vAlign w:val="center"/>
                </w:tcPr>
                <w:p w14:paraId="35DB4439">
                  <w:pPr>
                    <w:pStyle w:val="76"/>
                    <w:jc w:val="center"/>
                    <w:rPr>
                      <w:rFonts w:ascii="Times New Roman" w:hAnsi="Times New Roman"/>
                      <w:color w:val="auto"/>
                      <w:szCs w:val="21"/>
                      <w:u w:val="single"/>
                    </w:rPr>
                  </w:pPr>
                </w:p>
              </w:tc>
              <w:tc>
                <w:tcPr>
                  <w:tcW w:w="170" w:type="pct"/>
                  <w:vMerge w:val="continue"/>
                  <w:vAlign w:val="center"/>
                </w:tcPr>
                <w:p w14:paraId="37D4FFE5">
                  <w:pPr>
                    <w:pStyle w:val="76"/>
                    <w:jc w:val="center"/>
                    <w:rPr>
                      <w:rFonts w:ascii="Times New Roman" w:hAnsi="Times New Roman"/>
                      <w:color w:val="auto"/>
                      <w:szCs w:val="21"/>
                      <w:u w:val="single"/>
                    </w:rPr>
                  </w:pPr>
                </w:p>
              </w:tc>
              <w:tc>
                <w:tcPr>
                  <w:tcW w:w="125" w:type="pct"/>
                  <w:vMerge w:val="continue"/>
                  <w:vAlign w:val="center"/>
                </w:tcPr>
                <w:p w14:paraId="0169CF15">
                  <w:pPr>
                    <w:pStyle w:val="76"/>
                    <w:jc w:val="center"/>
                    <w:rPr>
                      <w:rFonts w:ascii="Times New Roman" w:hAnsi="Times New Roman"/>
                      <w:color w:val="auto"/>
                      <w:szCs w:val="21"/>
                      <w:u w:val="single"/>
                    </w:rPr>
                  </w:pPr>
                </w:p>
              </w:tc>
              <w:tc>
                <w:tcPr>
                  <w:tcW w:w="208" w:type="pct"/>
                  <w:vAlign w:val="center"/>
                </w:tcPr>
                <w:p w14:paraId="533A18C4">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76D5039F">
                  <w:pPr>
                    <w:pStyle w:val="76"/>
                    <w:jc w:val="center"/>
                    <w:rPr>
                      <w:rFonts w:ascii="Times New Roman" w:hAnsi="Times New Roman"/>
                      <w:color w:val="auto"/>
                      <w:szCs w:val="21"/>
                      <w:u w:val="single"/>
                    </w:rPr>
                  </w:pPr>
                  <w:r>
                    <w:rPr>
                      <w:rFonts w:hint="eastAsia" w:ascii="Times New Roman" w:hAnsi="Times New Roman"/>
                      <w:color w:val="auto"/>
                      <w:szCs w:val="21"/>
                      <w:u w:val="single"/>
                    </w:rPr>
                    <w:t>23</w:t>
                  </w:r>
                </w:p>
              </w:tc>
              <w:tc>
                <w:tcPr>
                  <w:tcW w:w="405" w:type="pct"/>
                  <w:vAlign w:val="center"/>
                </w:tcPr>
                <w:p w14:paraId="64F8F00F">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continue"/>
                  <w:vAlign w:val="center"/>
                </w:tcPr>
                <w:p w14:paraId="3D1E4EAF">
                  <w:pPr>
                    <w:pStyle w:val="76"/>
                    <w:jc w:val="center"/>
                    <w:rPr>
                      <w:rFonts w:ascii="Times New Roman" w:hAnsi="Times New Roman"/>
                      <w:color w:val="auto"/>
                      <w:szCs w:val="21"/>
                      <w:u w:val="single"/>
                    </w:rPr>
                  </w:pPr>
                </w:p>
              </w:tc>
              <w:tc>
                <w:tcPr>
                  <w:tcW w:w="436" w:type="pct"/>
                  <w:vMerge w:val="continue"/>
                  <w:vAlign w:val="center"/>
                </w:tcPr>
                <w:p w14:paraId="4EBD643E">
                  <w:pPr>
                    <w:pStyle w:val="76"/>
                    <w:jc w:val="center"/>
                    <w:rPr>
                      <w:rFonts w:ascii="Times New Roman" w:hAnsi="Times New Roman"/>
                      <w:color w:val="auto"/>
                      <w:szCs w:val="21"/>
                      <w:u w:val="single"/>
                    </w:rPr>
                  </w:pPr>
                </w:p>
              </w:tc>
              <w:tc>
                <w:tcPr>
                  <w:tcW w:w="272" w:type="pct"/>
                  <w:vAlign w:val="center"/>
                </w:tcPr>
                <w:p w14:paraId="52BB821A">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7E7B08A4">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0</w:t>
                  </w:r>
                </w:p>
              </w:tc>
              <w:tc>
                <w:tcPr>
                  <w:tcW w:w="311" w:type="pct"/>
                  <w:vMerge w:val="continue"/>
                </w:tcPr>
                <w:p w14:paraId="51077CAE">
                  <w:pPr>
                    <w:pStyle w:val="76"/>
                    <w:jc w:val="center"/>
                    <w:rPr>
                      <w:rFonts w:ascii="Times New Roman" w:hAnsi="Times New Roman"/>
                      <w:color w:val="auto"/>
                      <w:szCs w:val="21"/>
                      <w:u w:val="single"/>
                    </w:rPr>
                  </w:pPr>
                </w:p>
              </w:tc>
            </w:tr>
            <w:tr w14:paraId="2E4F85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689F3B76">
                  <w:pPr>
                    <w:pStyle w:val="76"/>
                    <w:numPr>
                      <w:ilvl w:val="0"/>
                      <w:numId w:val="7"/>
                    </w:numPr>
                    <w:jc w:val="center"/>
                    <w:rPr>
                      <w:rFonts w:ascii="Times New Roman" w:hAnsi="Times New Roman"/>
                      <w:color w:val="auto"/>
                      <w:szCs w:val="21"/>
                      <w:u w:val="single"/>
                    </w:rPr>
                  </w:pPr>
                </w:p>
              </w:tc>
              <w:tc>
                <w:tcPr>
                  <w:tcW w:w="163" w:type="pct"/>
                  <w:vMerge w:val="continue"/>
                  <w:vAlign w:val="center"/>
                </w:tcPr>
                <w:p w14:paraId="3FB912D5">
                  <w:pPr>
                    <w:pStyle w:val="76"/>
                    <w:jc w:val="center"/>
                    <w:rPr>
                      <w:rFonts w:ascii="Times New Roman" w:hAnsi="Times New Roman"/>
                      <w:color w:val="auto"/>
                      <w:szCs w:val="21"/>
                      <w:u w:val="single"/>
                    </w:rPr>
                  </w:pPr>
                </w:p>
              </w:tc>
              <w:tc>
                <w:tcPr>
                  <w:tcW w:w="299" w:type="pct"/>
                  <w:vMerge w:val="restart"/>
                  <w:vAlign w:val="center"/>
                </w:tcPr>
                <w:p w14:paraId="3A143D9C">
                  <w:pPr>
                    <w:pStyle w:val="76"/>
                    <w:jc w:val="center"/>
                    <w:rPr>
                      <w:rFonts w:ascii="Times New Roman" w:hAnsi="Times New Roman"/>
                      <w:color w:val="auto"/>
                      <w:szCs w:val="21"/>
                      <w:u w:val="single"/>
                    </w:rPr>
                  </w:pPr>
                  <w:r>
                    <w:rPr>
                      <w:rFonts w:ascii="Times New Roman" w:hAnsi="Times New Roman"/>
                      <w:color w:val="auto"/>
                      <w:szCs w:val="21"/>
                      <w:u w:val="single"/>
                    </w:rPr>
                    <w:t>中频炉（6台）</w:t>
                  </w:r>
                </w:p>
              </w:tc>
              <w:tc>
                <w:tcPr>
                  <w:tcW w:w="596" w:type="pct"/>
                  <w:vMerge w:val="restart"/>
                  <w:vAlign w:val="center"/>
                </w:tcPr>
                <w:p w14:paraId="358C6768">
                  <w:pPr>
                    <w:pStyle w:val="76"/>
                    <w:jc w:val="center"/>
                    <w:rPr>
                      <w:rFonts w:ascii="Times New Roman" w:hAnsi="Times New Roman"/>
                      <w:color w:val="auto"/>
                      <w:szCs w:val="21"/>
                      <w:u w:val="single"/>
                    </w:rPr>
                  </w:pPr>
                  <w:r>
                    <w:rPr>
                      <w:rFonts w:ascii="Times New Roman" w:hAnsi="Times New Roman"/>
                      <w:color w:val="auto"/>
                      <w:szCs w:val="21"/>
                      <w:u w:val="single"/>
                    </w:rPr>
                    <w:t>75</w:t>
                  </w:r>
                </w:p>
              </w:tc>
              <w:tc>
                <w:tcPr>
                  <w:tcW w:w="503" w:type="pct"/>
                  <w:vMerge w:val="restart"/>
                  <w:vAlign w:val="center"/>
                </w:tcPr>
                <w:p w14:paraId="6667E389">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3A90E80B">
                  <w:pPr>
                    <w:pStyle w:val="76"/>
                    <w:jc w:val="center"/>
                    <w:rPr>
                      <w:rFonts w:ascii="Times New Roman" w:hAnsi="Times New Roman"/>
                      <w:color w:val="auto"/>
                      <w:szCs w:val="21"/>
                      <w:u w:val="single"/>
                    </w:rPr>
                  </w:pPr>
                  <w:r>
                    <w:rPr>
                      <w:rFonts w:ascii="Times New Roman" w:hAnsi="Times New Roman"/>
                      <w:color w:val="auto"/>
                      <w:szCs w:val="21"/>
                      <w:u w:val="single"/>
                    </w:rPr>
                    <w:t>2</w:t>
                  </w:r>
                  <w:r>
                    <w:rPr>
                      <w:rFonts w:hint="eastAsia" w:ascii="Times New Roman" w:hAnsi="Times New Roman"/>
                      <w:color w:val="auto"/>
                      <w:szCs w:val="21"/>
                      <w:u w:val="single"/>
                    </w:rPr>
                    <w:t>8</w:t>
                  </w:r>
                </w:p>
              </w:tc>
              <w:tc>
                <w:tcPr>
                  <w:tcW w:w="170" w:type="pct"/>
                  <w:vMerge w:val="restart"/>
                  <w:vAlign w:val="center"/>
                </w:tcPr>
                <w:p w14:paraId="6422CFB3">
                  <w:pPr>
                    <w:pStyle w:val="76"/>
                    <w:jc w:val="center"/>
                    <w:rPr>
                      <w:rFonts w:ascii="Times New Roman" w:hAnsi="Times New Roman"/>
                      <w:color w:val="auto"/>
                      <w:szCs w:val="21"/>
                      <w:u w:val="single"/>
                    </w:rPr>
                  </w:pPr>
                  <w:r>
                    <w:rPr>
                      <w:rFonts w:ascii="Times New Roman" w:hAnsi="Times New Roman"/>
                      <w:color w:val="auto"/>
                      <w:szCs w:val="21"/>
                      <w:u w:val="single"/>
                    </w:rPr>
                    <w:t>-10</w:t>
                  </w:r>
                </w:p>
              </w:tc>
              <w:tc>
                <w:tcPr>
                  <w:tcW w:w="125" w:type="pct"/>
                  <w:vMerge w:val="restart"/>
                  <w:vAlign w:val="center"/>
                </w:tcPr>
                <w:p w14:paraId="268700D6">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2437E06B">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0EA93813">
                  <w:pPr>
                    <w:pStyle w:val="76"/>
                    <w:jc w:val="center"/>
                    <w:rPr>
                      <w:rFonts w:ascii="Times New Roman" w:hAnsi="Times New Roman"/>
                      <w:color w:val="auto"/>
                      <w:szCs w:val="21"/>
                      <w:u w:val="single"/>
                    </w:rPr>
                  </w:pPr>
                  <w:r>
                    <w:rPr>
                      <w:rFonts w:hint="eastAsia" w:ascii="Times New Roman" w:hAnsi="Times New Roman"/>
                      <w:color w:val="auto"/>
                      <w:szCs w:val="21"/>
                      <w:u w:val="single"/>
                    </w:rPr>
                    <w:t>68</w:t>
                  </w:r>
                </w:p>
              </w:tc>
              <w:tc>
                <w:tcPr>
                  <w:tcW w:w="405" w:type="pct"/>
                  <w:vAlign w:val="center"/>
                </w:tcPr>
                <w:p w14:paraId="0CD8E428">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restart"/>
                  <w:vAlign w:val="center"/>
                </w:tcPr>
                <w:p w14:paraId="77B58F4C">
                  <w:pPr>
                    <w:pStyle w:val="76"/>
                    <w:jc w:val="center"/>
                    <w:rPr>
                      <w:rFonts w:ascii="Times New Roman" w:hAnsi="Times New Roman"/>
                      <w:color w:val="auto"/>
                      <w:szCs w:val="21"/>
                      <w:u w:val="single"/>
                    </w:rPr>
                  </w:pPr>
                  <w:r>
                    <w:rPr>
                      <w:rFonts w:hint="eastAsia" w:ascii="Times New Roman" w:hAnsi="Times New Roman"/>
                      <w:color w:val="auto"/>
                      <w:szCs w:val="21"/>
                      <w:u w:val="single"/>
                    </w:rPr>
                    <w:t>22</w:t>
                  </w:r>
                  <w:r>
                    <w:rPr>
                      <w:rFonts w:ascii="Times New Roman" w:hAnsi="Times New Roman"/>
                      <w:color w:val="auto"/>
                      <w:szCs w:val="21"/>
                      <w:u w:val="single"/>
                    </w:rPr>
                    <w:t>:</w:t>
                  </w:r>
                  <w:r>
                    <w:rPr>
                      <w:rFonts w:hint="eastAsia" w:ascii="Times New Roman" w:hAnsi="Times New Roman"/>
                      <w:color w:val="auto"/>
                      <w:szCs w:val="21"/>
                      <w:u w:val="single"/>
                    </w:rPr>
                    <w:t>0</w:t>
                  </w:r>
                  <w:r>
                    <w:rPr>
                      <w:rFonts w:ascii="Times New Roman" w:hAnsi="Times New Roman"/>
                      <w:color w:val="auto"/>
                      <w:szCs w:val="21"/>
                      <w:u w:val="single"/>
                    </w:rPr>
                    <w:t>0-</w:t>
                  </w:r>
                  <w:r>
                    <w:rPr>
                      <w:rFonts w:hint="eastAsia" w:ascii="Times New Roman" w:hAnsi="Times New Roman"/>
                      <w:color w:val="auto"/>
                      <w:szCs w:val="21"/>
                      <w:u w:val="single"/>
                    </w:rPr>
                    <w:t>6</w:t>
                  </w:r>
                  <w:r>
                    <w:rPr>
                      <w:rFonts w:ascii="Times New Roman" w:hAnsi="Times New Roman"/>
                      <w:color w:val="auto"/>
                      <w:szCs w:val="21"/>
                      <w:u w:val="single"/>
                    </w:rPr>
                    <w:t>:</w:t>
                  </w:r>
                  <w:r>
                    <w:rPr>
                      <w:rFonts w:hint="eastAsia" w:ascii="Times New Roman" w:hAnsi="Times New Roman"/>
                      <w:color w:val="auto"/>
                      <w:szCs w:val="21"/>
                      <w:u w:val="single"/>
                    </w:rPr>
                    <w:t>0</w:t>
                  </w:r>
                  <w:r>
                    <w:rPr>
                      <w:rFonts w:ascii="Times New Roman" w:hAnsi="Times New Roman"/>
                      <w:color w:val="auto"/>
                      <w:szCs w:val="21"/>
                      <w:u w:val="single"/>
                    </w:rPr>
                    <w:t>0</w:t>
                  </w:r>
                </w:p>
              </w:tc>
              <w:tc>
                <w:tcPr>
                  <w:tcW w:w="436" w:type="pct"/>
                  <w:vMerge w:val="restart"/>
                  <w:vAlign w:val="center"/>
                </w:tcPr>
                <w:p w14:paraId="0B473C5E">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46E38909">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220D0287">
                  <w:pPr>
                    <w:pStyle w:val="76"/>
                    <w:jc w:val="center"/>
                    <w:rPr>
                      <w:rFonts w:ascii="Times New Roman" w:hAnsi="Times New Roman"/>
                      <w:color w:val="auto"/>
                      <w:szCs w:val="21"/>
                      <w:u w:val="single"/>
                    </w:rPr>
                  </w:pPr>
                  <w:r>
                    <w:rPr>
                      <w:rFonts w:ascii="Times New Roman" w:hAnsi="Times New Roman"/>
                      <w:color w:val="auto"/>
                      <w:szCs w:val="21"/>
                      <w:u w:val="single"/>
                    </w:rPr>
                    <w:t>43.0</w:t>
                  </w:r>
                </w:p>
              </w:tc>
              <w:tc>
                <w:tcPr>
                  <w:tcW w:w="311" w:type="pct"/>
                  <w:vMerge w:val="restart"/>
                  <w:vAlign w:val="center"/>
                </w:tcPr>
                <w:p w14:paraId="6826A9DE">
                  <w:pPr>
                    <w:pStyle w:val="76"/>
                    <w:jc w:val="center"/>
                    <w:rPr>
                      <w:rFonts w:ascii="Times New Roman" w:hAnsi="Times New Roman"/>
                      <w:color w:val="auto"/>
                      <w:szCs w:val="21"/>
                      <w:u w:val="single"/>
                      <w:lang w:bidi="zh-CN"/>
                    </w:rPr>
                  </w:pPr>
                  <w:r>
                    <w:rPr>
                      <w:rFonts w:ascii="Times New Roman" w:hAnsi="Times New Roman"/>
                      <w:color w:val="auto"/>
                      <w:szCs w:val="21"/>
                      <w:u w:val="single"/>
                    </w:rPr>
                    <w:t>1m</w:t>
                  </w:r>
                </w:p>
              </w:tc>
            </w:tr>
            <w:tr w14:paraId="63E3E2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3BC78055">
                  <w:pPr>
                    <w:pStyle w:val="76"/>
                    <w:jc w:val="center"/>
                    <w:rPr>
                      <w:rFonts w:ascii="Times New Roman" w:hAnsi="Times New Roman"/>
                      <w:color w:val="auto"/>
                      <w:szCs w:val="21"/>
                      <w:u w:val="single"/>
                    </w:rPr>
                  </w:pPr>
                </w:p>
              </w:tc>
              <w:tc>
                <w:tcPr>
                  <w:tcW w:w="163" w:type="pct"/>
                  <w:vMerge w:val="continue"/>
                </w:tcPr>
                <w:p w14:paraId="6F9311D8">
                  <w:pPr>
                    <w:pStyle w:val="76"/>
                    <w:jc w:val="center"/>
                    <w:rPr>
                      <w:rFonts w:ascii="Times New Roman" w:hAnsi="Times New Roman"/>
                      <w:color w:val="auto"/>
                      <w:szCs w:val="21"/>
                      <w:u w:val="single"/>
                    </w:rPr>
                  </w:pPr>
                </w:p>
              </w:tc>
              <w:tc>
                <w:tcPr>
                  <w:tcW w:w="299" w:type="pct"/>
                  <w:vMerge w:val="continue"/>
                </w:tcPr>
                <w:p w14:paraId="78208AEB">
                  <w:pPr>
                    <w:pStyle w:val="76"/>
                    <w:jc w:val="center"/>
                    <w:rPr>
                      <w:rFonts w:ascii="Times New Roman" w:hAnsi="Times New Roman"/>
                      <w:color w:val="auto"/>
                      <w:szCs w:val="21"/>
                      <w:u w:val="single"/>
                    </w:rPr>
                  </w:pPr>
                </w:p>
              </w:tc>
              <w:tc>
                <w:tcPr>
                  <w:tcW w:w="596" w:type="pct"/>
                  <w:vMerge w:val="continue"/>
                </w:tcPr>
                <w:p w14:paraId="137E5887">
                  <w:pPr>
                    <w:pStyle w:val="76"/>
                    <w:jc w:val="center"/>
                    <w:rPr>
                      <w:rFonts w:ascii="Times New Roman" w:hAnsi="Times New Roman"/>
                      <w:color w:val="auto"/>
                      <w:szCs w:val="21"/>
                      <w:u w:val="single"/>
                    </w:rPr>
                  </w:pPr>
                </w:p>
              </w:tc>
              <w:tc>
                <w:tcPr>
                  <w:tcW w:w="503" w:type="pct"/>
                  <w:vMerge w:val="continue"/>
                </w:tcPr>
                <w:p w14:paraId="7116EFF5">
                  <w:pPr>
                    <w:pStyle w:val="76"/>
                    <w:jc w:val="center"/>
                    <w:rPr>
                      <w:rFonts w:ascii="Times New Roman" w:hAnsi="Times New Roman"/>
                      <w:color w:val="auto"/>
                      <w:szCs w:val="21"/>
                      <w:u w:val="single"/>
                    </w:rPr>
                  </w:pPr>
                </w:p>
              </w:tc>
              <w:tc>
                <w:tcPr>
                  <w:tcW w:w="170" w:type="pct"/>
                  <w:vMerge w:val="continue"/>
                </w:tcPr>
                <w:p w14:paraId="18007DB2">
                  <w:pPr>
                    <w:pStyle w:val="76"/>
                    <w:jc w:val="center"/>
                    <w:rPr>
                      <w:rFonts w:ascii="Times New Roman" w:hAnsi="Times New Roman"/>
                      <w:color w:val="auto"/>
                      <w:szCs w:val="21"/>
                      <w:u w:val="single"/>
                    </w:rPr>
                  </w:pPr>
                </w:p>
              </w:tc>
              <w:tc>
                <w:tcPr>
                  <w:tcW w:w="170" w:type="pct"/>
                  <w:vMerge w:val="continue"/>
                </w:tcPr>
                <w:p w14:paraId="65E2DA85">
                  <w:pPr>
                    <w:pStyle w:val="76"/>
                    <w:jc w:val="center"/>
                    <w:rPr>
                      <w:rFonts w:ascii="Times New Roman" w:hAnsi="Times New Roman"/>
                      <w:color w:val="auto"/>
                      <w:szCs w:val="21"/>
                      <w:u w:val="single"/>
                    </w:rPr>
                  </w:pPr>
                </w:p>
              </w:tc>
              <w:tc>
                <w:tcPr>
                  <w:tcW w:w="125" w:type="pct"/>
                  <w:vMerge w:val="continue"/>
                </w:tcPr>
                <w:p w14:paraId="4AE61DBF">
                  <w:pPr>
                    <w:pStyle w:val="76"/>
                    <w:jc w:val="center"/>
                    <w:rPr>
                      <w:rFonts w:ascii="Times New Roman" w:hAnsi="Times New Roman"/>
                      <w:color w:val="auto"/>
                      <w:szCs w:val="21"/>
                      <w:u w:val="single"/>
                    </w:rPr>
                  </w:pPr>
                </w:p>
              </w:tc>
              <w:tc>
                <w:tcPr>
                  <w:tcW w:w="208" w:type="pct"/>
                  <w:vAlign w:val="center"/>
                </w:tcPr>
                <w:p w14:paraId="791004C5">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7693F858">
                  <w:pPr>
                    <w:pStyle w:val="76"/>
                    <w:jc w:val="center"/>
                    <w:rPr>
                      <w:rFonts w:ascii="Times New Roman" w:hAnsi="Times New Roman"/>
                      <w:color w:val="auto"/>
                      <w:szCs w:val="21"/>
                      <w:u w:val="single"/>
                    </w:rPr>
                  </w:pPr>
                  <w:r>
                    <w:rPr>
                      <w:rFonts w:hint="eastAsia" w:ascii="Times New Roman" w:hAnsi="Times New Roman"/>
                      <w:color w:val="auto"/>
                      <w:szCs w:val="21"/>
                      <w:u w:val="single"/>
                    </w:rPr>
                    <w:t>3</w:t>
                  </w:r>
                </w:p>
              </w:tc>
              <w:tc>
                <w:tcPr>
                  <w:tcW w:w="405" w:type="pct"/>
                  <w:vAlign w:val="center"/>
                </w:tcPr>
                <w:p w14:paraId="25AB2EB3">
                  <w:pPr>
                    <w:pStyle w:val="76"/>
                    <w:jc w:val="center"/>
                    <w:rPr>
                      <w:rFonts w:ascii="Times New Roman" w:hAnsi="Times New Roman"/>
                      <w:color w:val="auto"/>
                      <w:szCs w:val="21"/>
                      <w:u w:val="single"/>
                    </w:rPr>
                  </w:pPr>
                  <w:r>
                    <w:rPr>
                      <w:rFonts w:ascii="Times New Roman" w:hAnsi="Times New Roman"/>
                      <w:color w:val="auto"/>
                      <w:szCs w:val="21"/>
                      <w:u w:val="single"/>
                    </w:rPr>
                    <w:t>68.</w:t>
                  </w:r>
                  <w:r>
                    <w:rPr>
                      <w:rFonts w:hint="eastAsia" w:ascii="Times New Roman" w:hAnsi="Times New Roman"/>
                      <w:color w:val="auto"/>
                      <w:szCs w:val="21"/>
                      <w:u w:val="single"/>
                    </w:rPr>
                    <w:t>2</w:t>
                  </w:r>
                </w:p>
              </w:tc>
              <w:tc>
                <w:tcPr>
                  <w:tcW w:w="548" w:type="pct"/>
                  <w:vMerge w:val="continue"/>
                </w:tcPr>
                <w:p w14:paraId="332B3DB4">
                  <w:pPr>
                    <w:pStyle w:val="76"/>
                    <w:jc w:val="center"/>
                    <w:rPr>
                      <w:rFonts w:ascii="Times New Roman" w:hAnsi="Times New Roman"/>
                      <w:color w:val="auto"/>
                      <w:szCs w:val="21"/>
                      <w:u w:val="single"/>
                    </w:rPr>
                  </w:pPr>
                </w:p>
              </w:tc>
              <w:tc>
                <w:tcPr>
                  <w:tcW w:w="436" w:type="pct"/>
                  <w:vMerge w:val="continue"/>
                </w:tcPr>
                <w:p w14:paraId="1CEAF078">
                  <w:pPr>
                    <w:pStyle w:val="76"/>
                    <w:jc w:val="center"/>
                    <w:rPr>
                      <w:rFonts w:ascii="Times New Roman" w:hAnsi="Times New Roman"/>
                      <w:color w:val="auto"/>
                      <w:szCs w:val="21"/>
                      <w:u w:val="single"/>
                    </w:rPr>
                  </w:pPr>
                </w:p>
              </w:tc>
              <w:tc>
                <w:tcPr>
                  <w:tcW w:w="272" w:type="pct"/>
                  <w:vAlign w:val="center"/>
                </w:tcPr>
                <w:p w14:paraId="7C17E968">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3C62355D">
                  <w:pPr>
                    <w:pStyle w:val="76"/>
                    <w:jc w:val="center"/>
                    <w:rPr>
                      <w:rFonts w:ascii="Times New Roman" w:hAnsi="Times New Roman"/>
                      <w:color w:val="auto"/>
                      <w:szCs w:val="21"/>
                      <w:u w:val="single"/>
                    </w:rPr>
                  </w:pPr>
                  <w:r>
                    <w:rPr>
                      <w:rFonts w:ascii="Times New Roman" w:hAnsi="Times New Roman"/>
                      <w:color w:val="auto"/>
                      <w:szCs w:val="21"/>
                      <w:u w:val="single"/>
                    </w:rPr>
                    <w:t>43.</w:t>
                  </w:r>
                  <w:r>
                    <w:rPr>
                      <w:rFonts w:hint="eastAsia" w:ascii="Times New Roman" w:hAnsi="Times New Roman"/>
                      <w:color w:val="auto"/>
                      <w:szCs w:val="21"/>
                      <w:u w:val="single"/>
                    </w:rPr>
                    <w:t>2</w:t>
                  </w:r>
                </w:p>
              </w:tc>
              <w:tc>
                <w:tcPr>
                  <w:tcW w:w="311" w:type="pct"/>
                  <w:vMerge w:val="continue"/>
                </w:tcPr>
                <w:p w14:paraId="1EA610EC">
                  <w:pPr>
                    <w:pStyle w:val="76"/>
                    <w:jc w:val="center"/>
                    <w:rPr>
                      <w:rFonts w:ascii="Times New Roman" w:hAnsi="Times New Roman"/>
                      <w:color w:val="auto"/>
                      <w:szCs w:val="21"/>
                      <w:u w:val="single"/>
                    </w:rPr>
                  </w:pPr>
                </w:p>
              </w:tc>
            </w:tr>
            <w:tr w14:paraId="3C7E93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3885C351">
                  <w:pPr>
                    <w:pStyle w:val="76"/>
                    <w:jc w:val="center"/>
                    <w:rPr>
                      <w:rFonts w:ascii="Times New Roman" w:hAnsi="Times New Roman"/>
                      <w:color w:val="auto"/>
                      <w:szCs w:val="21"/>
                      <w:u w:val="single"/>
                    </w:rPr>
                  </w:pPr>
                </w:p>
              </w:tc>
              <w:tc>
                <w:tcPr>
                  <w:tcW w:w="163" w:type="pct"/>
                  <w:vMerge w:val="continue"/>
                </w:tcPr>
                <w:p w14:paraId="7EA2C1C1">
                  <w:pPr>
                    <w:pStyle w:val="76"/>
                    <w:jc w:val="center"/>
                    <w:rPr>
                      <w:rFonts w:ascii="Times New Roman" w:hAnsi="Times New Roman"/>
                      <w:color w:val="auto"/>
                      <w:szCs w:val="21"/>
                      <w:u w:val="single"/>
                    </w:rPr>
                  </w:pPr>
                </w:p>
              </w:tc>
              <w:tc>
                <w:tcPr>
                  <w:tcW w:w="299" w:type="pct"/>
                  <w:vMerge w:val="continue"/>
                </w:tcPr>
                <w:p w14:paraId="44F00652">
                  <w:pPr>
                    <w:pStyle w:val="76"/>
                    <w:jc w:val="center"/>
                    <w:rPr>
                      <w:rFonts w:ascii="Times New Roman" w:hAnsi="Times New Roman"/>
                      <w:color w:val="auto"/>
                      <w:szCs w:val="21"/>
                      <w:u w:val="single"/>
                    </w:rPr>
                  </w:pPr>
                </w:p>
              </w:tc>
              <w:tc>
                <w:tcPr>
                  <w:tcW w:w="596" w:type="pct"/>
                  <w:vMerge w:val="continue"/>
                </w:tcPr>
                <w:p w14:paraId="472F3F58">
                  <w:pPr>
                    <w:pStyle w:val="76"/>
                    <w:jc w:val="center"/>
                    <w:rPr>
                      <w:rFonts w:ascii="Times New Roman" w:hAnsi="Times New Roman"/>
                      <w:color w:val="auto"/>
                      <w:szCs w:val="21"/>
                      <w:u w:val="single"/>
                    </w:rPr>
                  </w:pPr>
                </w:p>
              </w:tc>
              <w:tc>
                <w:tcPr>
                  <w:tcW w:w="503" w:type="pct"/>
                  <w:vMerge w:val="continue"/>
                </w:tcPr>
                <w:p w14:paraId="7A9DFEB6">
                  <w:pPr>
                    <w:pStyle w:val="76"/>
                    <w:jc w:val="center"/>
                    <w:rPr>
                      <w:rFonts w:ascii="Times New Roman" w:hAnsi="Times New Roman"/>
                      <w:color w:val="auto"/>
                      <w:szCs w:val="21"/>
                      <w:u w:val="single"/>
                    </w:rPr>
                  </w:pPr>
                </w:p>
              </w:tc>
              <w:tc>
                <w:tcPr>
                  <w:tcW w:w="170" w:type="pct"/>
                  <w:vMerge w:val="continue"/>
                </w:tcPr>
                <w:p w14:paraId="1A4193F7">
                  <w:pPr>
                    <w:pStyle w:val="76"/>
                    <w:jc w:val="center"/>
                    <w:rPr>
                      <w:rFonts w:ascii="Times New Roman" w:hAnsi="Times New Roman"/>
                      <w:color w:val="auto"/>
                      <w:szCs w:val="21"/>
                      <w:u w:val="single"/>
                    </w:rPr>
                  </w:pPr>
                </w:p>
              </w:tc>
              <w:tc>
                <w:tcPr>
                  <w:tcW w:w="170" w:type="pct"/>
                  <w:vMerge w:val="continue"/>
                </w:tcPr>
                <w:p w14:paraId="60D62A58">
                  <w:pPr>
                    <w:pStyle w:val="76"/>
                    <w:jc w:val="center"/>
                    <w:rPr>
                      <w:rFonts w:ascii="Times New Roman" w:hAnsi="Times New Roman"/>
                      <w:color w:val="auto"/>
                      <w:szCs w:val="21"/>
                      <w:u w:val="single"/>
                    </w:rPr>
                  </w:pPr>
                </w:p>
              </w:tc>
              <w:tc>
                <w:tcPr>
                  <w:tcW w:w="125" w:type="pct"/>
                  <w:vMerge w:val="continue"/>
                </w:tcPr>
                <w:p w14:paraId="132353FA">
                  <w:pPr>
                    <w:pStyle w:val="76"/>
                    <w:jc w:val="center"/>
                    <w:rPr>
                      <w:rFonts w:ascii="Times New Roman" w:hAnsi="Times New Roman"/>
                      <w:color w:val="auto"/>
                      <w:szCs w:val="21"/>
                      <w:u w:val="single"/>
                    </w:rPr>
                  </w:pPr>
                </w:p>
              </w:tc>
              <w:tc>
                <w:tcPr>
                  <w:tcW w:w="208" w:type="pct"/>
                  <w:vAlign w:val="center"/>
                </w:tcPr>
                <w:p w14:paraId="4D5967C6">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79EEFB7B">
                  <w:pPr>
                    <w:pStyle w:val="76"/>
                    <w:jc w:val="center"/>
                    <w:rPr>
                      <w:rFonts w:ascii="Times New Roman" w:hAnsi="Times New Roman"/>
                      <w:color w:val="auto"/>
                      <w:szCs w:val="21"/>
                      <w:u w:val="single"/>
                    </w:rPr>
                  </w:pPr>
                  <w:r>
                    <w:rPr>
                      <w:rFonts w:hint="eastAsia" w:ascii="Times New Roman" w:hAnsi="Times New Roman"/>
                      <w:color w:val="auto"/>
                      <w:szCs w:val="21"/>
                      <w:u w:val="single"/>
                    </w:rPr>
                    <w:t>118</w:t>
                  </w:r>
                </w:p>
              </w:tc>
              <w:tc>
                <w:tcPr>
                  <w:tcW w:w="405" w:type="pct"/>
                  <w:vAlign w:val="center"/>
                </w:tcPr>
                <w:p w14:paraId="603294BE">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continue"/>
                </w:tcPr>
                <w:p w14:paraId="0F812EFE">
                  <w:pPr>
                    <w:pStyle w:val="76"/>
                    <w:jc w:val="center"/>
                    <w:rPr>
                      <w:rFonts w:ascii="Times New Roman" w:hAnsi="Times New Roman"/>
                      <w:color w:val="auto"/>
                      <w:szCs w:val="21"/>
                      <w:u w:val="single"/>
                    </w:rPr>
                  </w:pPr>
                </w:p>
              </w:tc>
              <w:tc>
                <w:tcPr>
                  <w:tcW w:w="436" w:type="pct"/>
                  <w:vMerge w:val="continue"/>
                </w:tcPr>
                <w:p w14:paraId="69F48450">
                  <w:pPr>
                    <w:pStyle w:val="76"/>
                    <w:jc w:val="center"/>
                    <w:rPr>
                      <w:rFonts w:ascii="Times New Roman" w:hAnsi="Times New Roman"/>
                      <w:color w:val="auto"/>
                      <w:szCs w:val="21"/>
                      <w:u w:val="single"/>
                    </w:rPr>
                  </w:pPr>
                </w:p>
              </w:tc>
              <w:tc>
                <w:tcPr>
                  <w:tcW w:w="272" w:type="pct"/>
                  <w:vAlign w:val="center"/>
                </w:tcPr>
                <w:p w14:paraId="6484DA2F">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57B33735">
                  <w:pPr>
                    <w:pStyle w:val="76"/>
                    <w:jc w:val="center"/>
                    <w:rPr>
                      <w:rFonts w:ascii="Times New Roman" w:hAnsi="Times New Roman"/>
                      <w:color w:val="auto"/>
                      <w:szCs w:val="21"/>
                      <w:u w:val="single"/>
                    </w:rPr>
                  </w:pPr>
                  <w:r>
                    <w:rPr>
                      <w:rFonts w:ascii="Times New Roman" w:hAnsi="Times New Roman"/>
                      <w:color w:val="auto"/>
                      <w:szCs w:val="21"/>
                      <w:u w:val="single"/>
                    </w:rPr>
                    <w:t>43.0</w:t>
                  </w:r>
                </w:p>
              </w:tc>
              <w:tc>
                <w:tcPr>
                  <w:tcW w:w="311" w:type="pct"/>
                  <w:vMerge w:val="continue"/>
                </w:tcPr>
                <w:p w14:paraId="1159C8F2">
                  <w:pPr>
                    <w:pStyle w:val="76"/>
                    <w:jc w:val="center"/>
                    <w:rPr>
                      <w:rFonts w:ascii="Times New Roman" w:hAnsi="Times New Roman"/>
                      <w:color w:val="auto"/>
                      <w:szCs w:val="21"/>
                      <w:u w:val="single"/>
                    </w:rPr>
                  </w:pPr>
                </w:p>
              </w:tc>
            </w:tr>
            <w:tr w14:paraId="27EFA8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5EEC8590">
                  <w:pPr>
                    <w:pStyle w:val="76"/>
                    <w:jc w:val="center"/>
                    <w:rPr>
                      <w:rFonts w:ascii="Times New Roman" w:hAnsi="Times New Roman"/>
                      <w:color w:val="auto"/>
                      <w:szCs w:val="21"/>
                      <w:u w:val="single"/>
                    </w:rPr>
                  </w:pPr>
                </w:p>
              </w:tc>
              <w:tc>
                <w:tcPr>
                  <w:tcW w:w="163" w:type="pct"/>
                  <w:vMerge w:val="continue"/>
                </w:tcPr>
                <w:p w14:paraId="32CCC1C6">
                  <w:pPr>
                    <w:pStyle w:val="76"/>
                    <w:jc w:val="center"/>
                    <w:rPr>
                      <w:rFonts w:ascii="Times New Roman" w:hAnsi="Times New Roman"/>
                      <w:color w:val="auto"/>
                      <w:szCs w:val="21"/>
                      <w:u w:val="single"/>
                    </w:rPr>
                  </w:pPr>
                </w:p>
              </w:tc>
              <w:tc>
                <w:tcPr>
                  <w:tcW w:w="299" w:type="pct"/>
                  <w:vMerge w:val="continue"/>
                </w:tcPr>
                <w:p w14:paraId="7432A84F">
                  <w:pPr>
                    <w:pStyle w:val="76"/>
                    <w:jc w:val="center"/>
                    <w:rPr>
                      <w:rFonts w:ascii="Times New Roman" w:hAnsi="Times New Roman"/>
                      <w:color w:val="auto"/>
                      <w:szCs w:val="21"/>
                      <w:u w:val="single"/>
                    </w:rPr>
                  </w:pPr>
                </w:p>
              </w:tc>
              <w:tc>
                <w:tcPr>
                  <w:tcW w:w="596" w:type="pct"/>
                  <w:vMerge w:val="continue"/>
                </w:tcPr>
                <w:p w14:paraId="566FE7AB">
                  <w:pPr>
                    <w:pStyle w:val="76"/>
                    <w:jc w:val="center"/>
                    <w:rPr>
                      <w:rFonts w:ascii="Times New Roman" w:hAnsi="Times New Roman"/>
                      <w:color w:val="auto"/>
                      <w:szCs w:val="21"/>
                      <w:u w:val="single"/>
                    </w:rPr>
                  </w:pPr>
                </w:p>
              </w:tc>
              <w:tc>
                <w:tcPr>
                  <w:tcW w:w="503" w:type="pct"/>
                  <w:vMerge w:val="continue"/>
                </w:tcPr>
                <w:p w14:paraId="1E176676">
                  <w:pPr>
                    <w:pStyle w:val="76"/>
                    <w:jc w:val="center"/>
                    <w:rPr>
                      <w:rFonts w:ascii="Times New Roman" w:hAnsi="Times New Roman"/>
                      <w:color w:val="auto"/>
                      <w:szCs w:val="21"/>
                      <w:u w:val="single"/>
                    </w:rPr>
                  </w:pPr>
                </w:p>
              </w:tc>
              <w:tc>
                <w:tcPr>
                  <w:tcW w:w="170" w:type="pct"/>
                  <w:vMerge w:val="continue"/>
                </w:tcPr>
                <w:p w14:paraId="02C28075">
                  <w:pPr>
                    <w:pStyle w:val="76"/>
                    <w:jc w:val="center"/>
                    <w:rPr>
                      <w:rFonts w:ascii="Times New Roman" w:hAnsi="Times New Roman"/>
                      <w:color w:val="auto"/>
                      <w:szCs w:val="21"/>
                      <w:u w:val="single"/>
                    </w:rPr>
                  </w:pPr>
                </w:p>
              </w:tc>
              <w:tc>
                <w:tcPr>
                  <w:tcW w:w="170" w:type="pct"/>
                  <w:vMerge w:val="continue"/>
                </w:tcPr>
                <w:p w14:paraId="7AC6B5D5">
                  <w:pPr>
                    <w:pStyle w:val="76"/>
                    <w:jc w:val="center"/>
                    <w:rPr>
                      <w:rFonts w:ascii="Times New Roman" w:hAnsi="Times New Roman"/>
                      <w:color w:val="auto"/>
                      <w:szCs w:val="21"/>
                      <w:u w:val="single"/>
                    </w:rPr>
                  </w:pPr>
                </w:p>
              </w:tc>
              <w:tc>
                <w:tcPr>
                  <w:tcW w:w="125" w:type="pct"/>
                  <w:vMerge w:val="continue"/>
                </w:tcPr>
                <w:p w14:paraId="343AA877">
                  <w:pPr>
                    <w:pStyle w:val="76"/>
                    <w:jc w:val="center"/>
                    <w:rPr>
                      <w:rFonts w:ascii="Times New Roman" w:hAnsi="Times New Roman"/>
                      <w:color w:val="auto"/>
                      <w:szCs w:val="21"/>
                      <w:u w:val="single"/>
                    </w:rPr>
                  </w:pPr>
                </w:p>
              </w:tc>
              <w:tc>
                <w:tcPr>
                  <w:tcW w:w="208" w:type="pct"/>
                  <w:vAlign w:val="center"/>
                </w:tcPr>
                <w:p w14:paraId="495D9FFE">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27CFA70C">
                  <w:pPr>
                    <w:pStyle w:val="76"/>
                    <w:jc w:val="center"/>
                    <w:rPr>
                      <w:rFonts w:ascii="Times New Roman" w:hAnsi="Times New Roman"/>
                      <w:color w:val="auto"/>
                      <w:szCs w:val="21"/>
                      <w:u w:val="single"/>
                    </w:rPr>
                  </w:pPr>
                  <w:r>
                    <w:rPr>
                      <w:rFonts w:ascii="Times New Roman" w:hAnsi="Times New Roman"/>
                      <w:color w:val="auto"/>
                      <w:szCs w:val="21"/>
                      <w:u w:val="single"/>
                    </w:rPr>
                    <w:t>15</w:t>
                  </w:r>
                </w:p>
              </w:tc>
              <w:tc>
                <w:tcPr>
                  <w:tcW w:w="405" w:type="pct"/>
                  <w:vAlign w:val="center"/>
                </w:tcPr>
                <w:p w14:paraId="64482DAE">
                  <w:pPr>
                    <w:pStyle w:val="76"/>
                    <w:jc w:val="center"/>
                    <w:rPr>
                      <w:rFonts w:ascii="Times New Roman" w:hAnsi="Times New Roman"/>
                      <w:color w:val="auto"/>
                      <w:szCs w:val="21"/>
                      <w:u w:val="single"/>
                    </w:rPr>
                  </w:pPr>
                  <w:r>
                    <w:rPr>
                      <w:rFonts w:ascii="Times New Roman" w:hAnsi="Times New Roman"/>
                      <w:color w:val="auto"/>
                      <w:szCs w:val="21"/>
                      <w:u w:val="single"/>
                    </w:rPr>
                    <w:t>68.0</w:t>
                  </w:r>
                </w:p>
              </w:tc>
              <w:tc>
                <w:tcPr>
                  <w:tcW w:w="548" w:type="pct"/>
                  <w:vMerge w:val="continue"/>
                </w:tcPr>
                <w:p w14:paraId="400D6080">
                  <w:pPr>
                    <w:pStyle w:val="76"/>
                    <w:jc w:val="center"/>
                    <w:rPr>
                      <w:rFonts w:ascii="Times New Roman" w:hAnsi="Times New Roman"/>
                      <w:color w:val="auto"/>
                      <w:szCs w:val="21"/>
                      <w:u w:val="single"/>
                    </w:rPr>
                  </w:pPr>
                </w:p>
              </w:tc>
              <w:tc>
                <w:tcPr>
                  <w:tcW w:w="436" w:type="pct"/>
                  <w:vMerge w:val="continue"/>
                </w:tcPr>
                <w:p w14:paraId="5C3BE4BE">
                  <w:pPr>
                    <w:pStyle w:val="76"/>
                    <w:jc w:val="center"/>
                    <w:rPr>
                      <w:rFonts w:ascii="Times New Roman" w:hAnsi="Times New Roman"/>
                      <w:color w:val="auto"/>
                      <w:szCs w:val="21"/>
                      <w:u w:val="single"/>
                    </w:rPr>
                  </w:pPr>
                </w:p>
              </w:tc>
              <w:tc>
                <w:tcPr>
                  <w:tcW w:w="272" w:type="pct"/>
                  <w:vAlign w:val="center"/>
                </w:tcPr>
                <w:p w14:paraId="00C3297D">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5A1B596E">
                  <w:pPr>
                    <w:pStyle w:val="76"/>
                    <w:jc w:val="center"/>
                    <w:rPr>
                      <w:rFonts w:ascii="Times New Roman" w:hAnsi="Times New Roman"/>
                      <w:color w:val="auto"/>
                      <w:szCs w:val="21"/>
                      <w:u w:val="single"/>
                    </w:rPr>
                  </w:pPr>
                  <w:r>
                    <w:rPr>
                      <w:rFonts w:ascii="Times New Roman" w:hAnsi="Times New Roman"/>
                      <w:color w:val="auto"/>
                      <w:szCs w:val="21"/>
                      <w:u w:val="single"/>
                    </w:rPr>
                    <w:t>43.0</w:t>
                  </w:r>
                </w:p>
              </w:tc>
              <w:tc>
                <w:tcPr>
                  <w:tcW w:w="311" w:type="pct"/>
                  <w:vMerge w:val="continue"/>
                </w:tcPr>
                <w:p w14:paraId="6642B391">
                  <w:pPr>
                    <w:pStyle w:val="76"/>
                    <w:jc w:val="center"/>
                    <w:rPr>
                      <w:rFonts w:ascii="Times New Roman" w:hAnsi="Times New Roman"/>
                      <w:color w:val="auto"/>
                      <w:szCs w:val="21"/>
                      <w:u w:val="single"/>
                    </w:rPr>
                  </w:pPr>
                </w:p>
              </w:tc>
            </w:tr>
            <w:tr w14:paraId="709E51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301F3241">
                  <w:pPr>
                    <w:pStyle w:val="76"/>
                    <w:numPr>
                      <w:ilvl w:val="0"/>
                      <w:numId w:val="7"/>
                    </w:numPr>
                    <w:jc w:val="center"/>
                    <w:rPr>
                      <w:rFonts w:ascii="Times New Roman" w:hAnsi="Times New Roman"/>
                      <w:color w:val="auto"/>
                      <w:szCs w:val="21"/>
                      <w:u w:val="single"/>
                    </w:rPr>
                  </w:pPr>
                </w:p>
              </w:tc>
              <w:tc>
                <w:tcPr>
                  <w:tcW w:w="163" w:type="pct"/>
                  <w:vMerge w:val="continue"/>
                  <w:vAlign w:val="center"/>
                </w:tcPr>
                <w:p w14:paraId="37D7AA9A">
                  <w:pPr>
                    <w:pStyle w:val="76"/>
                    <w:jc w:val="center"/>
                    <w:rPr>
                      <w:rFonts w:ascii="Times New Roman" w:hAnsi="Times New Roman"/>
                      <w:color w:val="auto"/>
                      <w:szCs w:val="21"/>
                      <w:u w:val="single"/>
                    </w:rPr>
                  </w:pPr>
                </w:p>
              </w:tc>
              <w:tc>
                <w:tcPr>
                  <w:tcW w:w="299" w:type="pct"/>
                  <w:vMerge w:val="restart"/>
                  <w:vAlign w:val="center"/>
                </w:tcPr>
                <w:p w14:paraId="67B89841">
                  <w:pPr>
                    <w:pStyle w:val="76"/>
                    <w:jc w:val="center"/>
                    <w:rPr>
                      <w:rFonts w:ascii="Times New Roman" w:hAnsi="Times New Roman"/>
                      <w:color w:val="auto"/>
                      <w:szCs w:val="21"/>
                      <w:u w:val="single"/>
                    </w:rPr>
                  </w:pPr>
                  <w:r>
                    <w:rPr>
                      <w:rFonts w:ascii="Times New Roman" w:hAnsi="Times New Roman"/>
                      <w:color w:val="auto"/>
                      <w:szCs w:val="21"/>
                      <w:u w:val="single"/>
                    </w:rPr>
                    <w:t>砂轮机</w:t>
                  </w:r>
                  <w:r>
                    <w:rPr>
                      <w:rFonts w:hint="eastAsia" w:ascii="Times New Roman" w:hAnsi="Times New Roman"/>
                      <w:color w:val="auto"/>
                      <w:szCs w:val="21"/>
                      <w:u w:val="single"/>
                    </w:rPr>
                    <w:t>（5台）</w:t>
                  </w:r>
                </w:p>
              </w:tc>
              <w:tc>
                <w:tcPr>
                  <w:tcW w:w="596" w:type="pct"/>
                  <w:vMerge w:val="restart"/>
                  <w:vAlign w:val="center"/>
                </w:tcPr>
                <w:p w14:paraId="2FB5EC4D">
                  <w:pPr>
                    <w:pStyle w:val="88"/>
                    <w:rPr>
                      <w:color w:val="auto"/>
                      <w:szCs w:val="21"/>
                      <w:u w:val="single"/>
                    </w:rPr>
                  </w:pPr>
                  <w:r>
                    <w:rPr>
                      <w:color w:val="auto"/>
                      <w:u w:val="single"/>
                    </w:rPr>
                    <w:t>85</w:t>
                  </w:r>
                </w:p>
              </w:tc>
              <w:tc>
                <w:tcPr>
                  <w:tcW w:w="503" w:type="pct"/>
                  <w:vMerge w:val="restart"/>
                  <w:vAlign w:val="center"/>
                </w:tcPr>
                <w:p w14:paraId="71371505">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692E52DB">
                  <w:pPr>
                    <w:pStyle w:val="76"/>
                    <w:jc w:val="center"/>
                    <w:rPr>
                      <w:rFonts w:ascii="Times New Roman" w:hAnsi="Times New Roman"/>
                      <w:color w:val="auto"/>
                      <w:szCs w:val="21"/>
                      <w:u w:val="single"/>
                    </w:rPr>
                  </w:pPr>
                  <w:r>
                    <w:rPr>
                      <w:rFonts w:hint="eastAsia" w:ascii="Times New Roman" w:hAnsi="Times New Roman"/>
                      <w:color w:val="auto"/>
                      <w:szCs w:val="21"/>
                      <w:u w:val="single"/>
                    </w:rPr>
                    <w:t>-36</w:t>
                  </w:r>
                </w:p>
              </w:tc>
              <w:tc>
                <w:tcPr>
                  <w:tcW w:w="170" w:type="pct"/>
                  <w:vMerge w:val="restart"/>
                  <w:vAlign w:val="center"/>
                </w:tcPr>
                <w:p w14:paraId="312D8715">
                  <w:pPr>
                    <w:pStyle w:val="76"/>
                    <w:jc w:val="center"/>
                    <w:rPr>
                      <w:rFonts w:ascii="Times New Roman" w:hAnsi="Times New Roman"/>
                      <w:color w:val="auto"/>
                      <w:szCs w:val="21"/>
                      <w:u w:val="single"/>
                    </w:rPr>
                  </w:pPr>
                  <w:r>
                    <w:rPr>
                      <w:rFonts w:hint="eastAsia" w:ascii="Times New Roman" w:hAnsi="Times New Roman"/>
                      <w:color w:val="auto"/>
                      <w:szCs w:val="21"/>
                      <w:u w:val="single"/>
                    </w:rPr>
                    <w:t>-11</w:t>
                  </w:r>
                </w:p>
              </w:tc>
              <w:tc>
                <w:tcPr>
                  <w:tcW w:w="125" w:type="pct"/>
                  <w:vMerge w:val="restart"/>
                  <w:vAlign w:val="center"/>
                </w:tcPr>
                <w:p w14:paraId="3AA3FD35">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4035A628">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65342671">
                  <w:pPr>
                    <w:pStyle w:val="76"/>
                    <w:jc w:val="center"/>
                    <w:rPr>
                      <w:rFonts w:ascii="Times New Roman" w:hAnsi="Times New Roman"/>
                      <w:color w:val="auto"/>
                      <w:szCs w:val="21"/>
                      <w:u w:val="single"/>
                    </w:rPr>
                  </w:pPr>
                  <w:r>
                    <w:rPr>
                      <w:rFonts w:hint="eastAsia" w:ascii="Times New Roman" w:hAnsi="Times New Roman"/>
                      <w:color w:val="auto"/>
                      <w:szCs w:val="21"/>
                      <w:u w:val="single"/>
                    </w:rPr>
                    <w:t>132</w:t>
                  </w:r>
                </w:p>
              </w:tc>
              <w:tc>
                <w:tcPr>
                  <w:tcW w:w="405" w:type="pct"/>
                  <w:vAlign w:val="center"/>
                </w:tcPr>
                <w:p w14:paraId="1CB3BC0F">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restart"/>
                  <w:vAlign w:val="center"/>
                </w:tcPr>
                <w:p w14:paraId="36423A5B">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25C583A9">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2558B2A1">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56C981DC">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restart"/>
                  <w:vAlign w:val="center"/>
                </w:tcPr>
                <w:p w14:paraId="0B87B7AE">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1035BD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049AF3F9">
                  <w:pPr>
                    <w:pStyle w:val="76"/>
                    <w:jc w:val="center"/>
                    <w:rPr>
                      <w:rFonts w:ascii="Times New Roman" w:hAnsi="Times New Roman"/>
                      <w:color w:val="auto"/>
                      <w:szCs w:val="21"/>
                      <w:u w:val="single"/>
                    </w:rPr>
                  </w:pPr>
                </w:p>
              </w:tc>
              <w:tc>
                <w:tcPr>
                  <w:tcW w:w="163" w:type="pct"/>
                  <w:vMerge w:val="continue"/>
                </w:tcPr>
                <w:p w14:paraId="478E458A">
                  <w:pPr>
                    <w:pStyle w:val="76"/>
                    <w:jc w:val="center"/>
                    <w:rPr>
                      <w:rFonts w:ascii="Times New Roman" w:hAnsi="Times New Roman"/>
                      <w:color w:val="auto"/>
                      <w:szCs w:val="21"/>
                      <w:u w:val="single"/>
                    </w:rPr>
                  </w:pPr>
                </w:p>
              </w:tc>
              <w:tc>
                <w:tcPr>
                  <w:tcW w:w="299" w:type="pct"/>
                  <w:vMerge w:val="continue"/>
                </w:tcPr>
                <w:p w14:paraId="380E8DCF">
                  <w:pPr>
                    <w:pStyle w:val="76"/>
                    <w:jc w:val="center"/>
                    <w:rPr>
                      <w:rFonts w:ascii="Times New Roman" w:hAnsi="Times New Roman"/>
                      <w:color w:val="auto"/>
                      <w:szCs w:val="21"/>
                      <w:u w:val="single"/>
                    </w:rPr>
                  </w:pPr>
                </w:p>
              </w:tc>
              <w:tc>
                <w:tcPr>
                  <w:tcW w:w="596" w:type="pct"/>
                  <w:vMerge w:val="continue"/>
                </w:tcPr>
                <w:p w14:paraId="21630D67">
                  <w:pPr>
                    <w:pStyle w:val="76"/>
                    <w:jc w:val="center"/>
                    <w:rPr>
                      <w:rFonts w:ascii="Times New Roman" w:hAnsi="Times New Roman"/>
                      <w:color w:val="auto"/>
                      <w:szCs w:val="21"/>
                      <w:u w:val="single"/>
                    </w:rPr>
                  </w:pPr>
                </w:p>
              </w:tc>
              <w:tc>
                <w:tcPr>
                  <w:tcW w:w="503" w:type="pct"/>
                  <w:vMerge w:val="continue"/>
                </w:tcPr>
                <w:p w14:paraId="7005DBAB">
                  <w:pPr>
                    <w:pStyle w:val="76"/>
                    <w:jc w:val="center"/>
                    <w:rPr>
                      <w:rFonts w:ascii="Times New Roman" w:hAnsi="Times New Roman"/>
                      <w:color w:val="auto"/>
                      <w:szCs w:val="21"/>
                      <w:u w:val="single"/>
                    </w:rPr>
                  </w:pPr>
                </w:p>
              </w:tc>
              <w:tc>
                <w:tcPr>
                  <w:tcW w:w="170" w:type="pct"/>
                  <w:vMerge w:val="continue"/>
                </w:tcPr>
                <w:p w14:paraId="2BC91241">
                  <w:pPr>
                    <w:pStyle w:val="76"/>
                    <w:jc w:val="center"/>
                    <w:rPr>
                      <w:rFonts w:ascii="Times New Roman" w:hAnsi="Times New Roman"/>
                      <w:color w:val="auto"/>
                      <w:szCs w:val="21"/>
                      <w:u w:val="single"/>
                    </w:rPr>
                  </w:pPr>
                </w:p>
              </w:tc>
              <w:tc>
                <w:tcPr>
                  <w:tcW w:w="170" w:type="pct"/>
                  <w:vMerge w:val="continue"/>
                </w:tcPr>
                <w:p w14:paraId="5BCE0714">
                  <w:pPr>
                    <w:pStyle w:val="76"/>
                    <w:jc w:val="center"/>
                    <w:rPr>
                      <w:rFonts w:ascii="Times New Roman" w:hAnsi="Times New Roman"/>
                      <w:color w:val="auto"/>
                      <w:szCs w:val="21"/>
                      <w:u w:val="single"/>
                    </w:rPr>
                  </w:pPr>
                </w:p>
              </w:tc>
              <w:tc>
                <w:tcPr>
                  <w:tcW w:w="125" w:type="pct"/>
                  <w:vMerge w:val="continue"/>
                </w:tcPr>
                <w:p w14:paraId="09F25E57">
                  <w:pPr>
                    <w:pStyle w:val="76"/>
                    <w:jc w:val="center"/>
                    <w:rPr>
                      <w:rFonts w:ascii="Times New Roman" w:hAnsi="Times New Roman"/>
                      <w:color w:val="auto"/>
                      <w:szCs w:val="21"/>
                      <w:u w:val="single"/>
                    </w:rPr>
                  </w:pPr>
                </w:p>
              </w:tc>
              <w:tc>
                <w:tcPr>
                  <w:tcW w:w="208" w:type="pct"/>
                  <w:vAlign w:val="center"/>
                </w:tcPr>
                <w:p w14:paraId="3219DB71">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25043B7E">
                  <w:pPr>
                    <w:pStyle w:val="76"/>
                    <w:jc w:val="center"/>
                    <w:rPr>
                      <w:rFonts w:ascii="Times New Roman" w:hAnsi="Times New Roman"/>
                      <w:color w:val="auto"/>
                      <w:szCs w:val="21"/>
                      <w:u w:val="single"/>
                    </w:rPr>
                  </w:pPr>
                  <w:r>
                    <w:rPr>
                      <w:rFonts w:hint="eastAsia" w:ascii="Times New Roman" w:hAnsi="Times New Roman"/>
                      <w:color w:val="auto"/>
                      <w:szCs w:val="21"/>
                      <w:u w:val="single"/>
                    </w:rPr>
                    <w:t>3</w:t>
                  </w:r>
                </w:p>
              </w:tc>
              <w:tc>
                <w:tcPr>
                  <w:tcW w:w="405" w:type="pct"/>
                  <w:vAlign w:val="center"/>
                </w:tcPr>
                <w:p w14:paraId="2E6B2884">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2</w:t>
                  </w:r>
                </w:p>
              </w:tc>
              <w:tc>
                <w:tcPr>
                  <w:tcW w:w="548" w:type="pct"/>
                  <w:vMerge w:val="continue"/>
                </w:tcPr>
                <w:p w14:paraId="5FFE1E54">
                  <w:pPr>
                    <w:pStyle w:val="76"/>
                    <w:jc w:val="center"/>
                    <w:rPr>
                      <w:rFonts w:ascii="Times New Roman" w:hAnsi="Times New Roman"/>
                      <w:color w:val="auto"/>
                      <w:szCs w:val="21"/>
                      <w:u w:val="single"/>
                    </w:rPr>
                  </w:pPr>
                </w:p>
              </w:tc>
              <w:tc>
                <w:tcPr>
                  <w:tcW w:w="436" w:type="pct"/>
                  <w:vMerge w:val="continue"/>
                </w:tcPr>
                <w:p w14:paraId="32DE5635">
                  <w:pPr>
                    <w:pStyle w:val="76"/>
                    <w:jc w:val="center"/>
                    <w:rPr>
                      <w:rFonts w:ascii="Times New Roman" w:hAnsi="Times New Roman"/>
                      <w:color w:val="auto"/>
                      <w:szCs w:val="21"/>
                      <w:u w:val="single"/>
                    </w:rPr>
                  </w:pPr>
                </w:p>
              </w:tc>
              <w:tc>
                <w:tcPr>
                  <w:tcW w:w="272" w:type="pct"/>
                  <w:vAlign w:val="center"/>
                </w:tcPr>
                <w:p w14:paraId="169DF2FE">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447FB58B">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2</w:t>
                  </w:r>
                </w:p>
              </w:tc>
              <w:tc>
                <w:tcPr>
                  <w:tcW w:w="311" w:type="pct"/>
                  <w:vMerge w:val="continue"/>
                </w:tcPr>
                <w:p w14:paraId="726462F8">
                  <w:pPr>
                    <w:pStyle w:val="76"/>
                    <w:jc w:val="center"/>
                    <w:rPr>
                      <w:rFonts w:ascii="Times New Roman" w:hAnsi="Times New Roman"/>
                      <w:color w:val="auto"/>
                      <w:szCs w:val="21"/>
                      <w:u w:val="single"/>
                    </w:rPr>
                  </w:pPr>
                </w:p>
              </w:tc>
            </w:tr>
            <w:tr w14:paraId="223808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78AA3582">
                  <w:pPr>
                    <w:pStyle w:val="76"/>
                    <w:jc w:val="center"/>
                    <w:rPr>
                      <w:rFonts w:ascii="Times New Roman" w:hAnsi="Times New Roman"/>
                      <w:color w:val="auto"/>
                      <w:szCs w:val="21"/>
                      <w:u w:val="single"/>
                    </w:rPr>
                  </w:pPr>
                </w:p>
              </w:tc>
              <w:tc>
                <w:tcPr>
                  <w:tcW w:w="163" w:type="pct"/>
                  <w:vMerge w:val="continue"/>
                </w:tcPr>
                <w:p w14:paraId="34D3C6B2">
                  <w:pPr>
                    <w:pStyle w:val="76"/>
                    <w:jc w:val="center"/>
                    <w:rPr>
                      <w:rFonts w:ascii="Times New Roman" w:hAnsi="Times New Roman"/>
                      <w:color w:val="auto"/>
                      <w:szCs w:val="21"/>
                      <w:u w:val="single"/>
                    </w:rPr>
                  </w:pPr>
                </w:p>
              </w:tc>
              <w:tc>
                <w:tcPr>
                  <w:tcW w:w="299" w:type="pct"/>
                  <w:vMerge w:val="continue"/>
                </w:tcPr>
                <w:p w14:paraId="3B7A67EA">
                  <w:pPr>
                    <w:pStyle w:val="76"/>
                    <w:jc w:val="center"/>
                    <w:rPr>
                      <w:rFonts w:ascii="Times New Roman" w:hAnsi="Times New Roman"/>
                      <w:color w:val="auto"/>
                      <w:szCs w:val="21"/>
                      <w:u w:val="single"/>
                    </w:rPr>
                  </w:pPr>
                </w:p>
              </w:tc>
              <w:tc>
                <w:tcPr>
                  <w:tcW w:w="596" w:type="pct"/>
                  <w:vMerge w:val="continue"/>
                </w:tcPr>
                <w:p w14:paraId="61F16043">
                  <w:pPr>
                    <w:pStyle w:val="76"/>
                    <w:jc w:val="center"/>
                    <w:rPr>
                      <w:rFonts w:ascii="Times New Roman" w:hAnsi="Times New Roman"/>
                      <w:color w:val="auto"/>
                      <w:szCs w:val="21"/>
                      <w:u w:val="single"/>
                    </w:rPr>
                  </w:pPr>
                </w:p>
              </w:tc>
              <w:tc>
                <w:tcPr>
                  <w:tcW w:w="503" w:type="pct"/>
                  <w:vMerge w:val="continue"/>
                </w:tcPr>
                <w:p w14:paraId="0406C588">
                  <w:pPr>
                    <w:pStyle w:val="76"/>
                    <w:jc w:val="center"/>
                    <w:rPr>
                      <w:rFonts w:ascii="Times New Roman" w:hAnsi="Times New Roman"/>
                      <w:color w:val="auto"/>
                      <w:szCs w:val="21"/>
                      <w:u w:val="single"/>
                    </w:rPr>
                  </w:pPr>
                </w:p>
              </w:tc>
              <w:tc>
                <w:tcPr>
                  <w:tcW w:w="170" w:type="pct"/>
                  <w:vMerge w:val="continue"/>
                </w:tcPr>
                <w:p w14:paraId="12D4A80F">
                  <w:pPr>
                    <w:pStyle w:val="76"/>
                    <w:jc w:val="center"/>
                    <w:rPr>
                      <w:rFonts w:ascii="Times New Roman" w:hAnsi="Times New Roman"/>
                      <w:color w:val="auto"/>
                      <w:szCs w:val="21"/>
                      <w:u w:val="single"/>
                    </w:rPr>
                  </w:pPr>
                </w:p>
              </w:tc>
              <w:tc>
                <w:tcPr>
                  <w:tcW w:w="170" w:type="pct"/>
                  <w:vMerge w:val="continue"/>
                </w:tcPr>
                <w:p w14:paraId="033FFD07">
                  <w:pPr>
                    <w:pStyle w:val="76"/>
                    <w:jc w:val="center"/>
                    <w:rPr>
                      <w:rFonts w:ascii="Times New Roman" w:hAnsi="Times New Roman"/>
                      <w:color w:val="auto"/>
                      <w:szCs w:val="21"/>
                      <w:u w:val="single"/>
                    </w:rPr>
                  </w:pPr>
                </w:p>
              </w:tc>
              <w:tc>
                <w:tcPr>
                  <w:tcW w:w="125" w:type="pct"/>
                  <w:vMerge w:val="continue"/>
                </w:tcPr>
                <w:p w14:paraId="48DAA426">
                  <w:pPr>
                    <w:pStyle w:val="76"/>
                    <w:jc w:val="center"/>
                    <w:rPr>
                      <w:rFonts w:ascii="Times New Roman" w:hAnsi="Times New Roman"/>
                      <w:color w:val="auto"/>
                      <w:szCs w:val="21"/>
                      <w:u w:val="single"/>
                    </w:rPr>
                  </w:pPr>
                </w:p>
              </w:tc>
              <w:tc>
                <w:tcPr>
                  <w:tcW w:w="208" w:type="pct"/>
                  <w:vAlign w:val="center"/>
                </w:tcPr>
                <w:p w14:paraId="06D81EE7">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2C2626E9">
                  <w:pPr>
                    <w:pStyle w:val="76"/>
                    <w:jc w:val="center"/>
                    <w:rPr>
                      <w:rFonts w:ascii="Times New Roman" w:hAnsi="Times New Roman"/>
                      <w:color w:val="auto"/>
                      <w:szCs w:val="21"/>
                      <w:u w:val="single"/>
                    </w:rPr>
                  </w:pPr>
                  <w:r>
                    <w:rPr>
                      <w:rFonts w:hint="eastAsia" w:ascii="Times New Roman" w:hAnsi="Times New Roman"/>
                      <w:color w:val="auto"/>
                      <w:szCs w:val="21"/>
                      <w:u w:val="single"/>
                    </w:rPr>
                    <w:t>54</w:t>
                  </w:r>
                </w:p>
              </w:tc>
              <w:tc>
                <w:tcPr>
                  <w:tcW w:w="405" w:type="pct"/>
                  <w:vAlign w:val="center"/>
                </w:tcPr>
                <w:p w14:paraId="4EAF8BD0">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continue"/>
                </w:tcPr>
                <w:p w14:paraId="3F939C3B">
                  <w:pPr>
                    <w:pStyle w:val="76"/>
                    <w:jc w:val="center"/>
                    <w:rPr>
                      <w:rFonts w:ascii="Times New Roman" w:hAnsi="Times New Roman"/>
                      <w:color w:val="auto"/>
                      <w:szCs w:val="21"/>
                      <w:u w:val="single"/>
                    </w:rPr>
                  </w:pPr>
                </w:p>
              </w:tc>
              <w:tc>
                <w:tcPr>
                  <w:tcW w:w="436" w:type="pct"/>
                  <w:vMerge w:val="continue"/>
                </w:tcPr>
                <w:p w14:paraId="1CDD4BF7">
                  <w:pPr>
                    <w:pStyle w:val="76"/>
                    <w:jc w:val="center"/>
                    <w:rPr>
                      <w:rFonts w:ascii="Times New Roman" w:hAnsi="Times New Roman"/>
                      <w:color w:val="auto"/>
                      <w:szCs w:val="21"/>
                      <w:u w:val="single"/>
                    </w:rPr>
                  </w:pPr>
                </w:p>
              </w:tc>
              <w:tc>
                <w:tcPr>
                  <w:tcW w:w="272" w:type="pct"/>
                  <w:vAlign w:val="center"/>
                </w:tcPr>
                <w:p w14:paraId="70B815F9">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612FEA17">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tcPr>
                <w:p w14:paraId="06345F48">
                  <w:pPr>
                    <w:pStyle w:val="76"/>
                    <w:jc w:val="center"/>
                    <w:rPr>
                      <w:rFonts w:ascii="Times New Roman" w:hAnsi="Times New Roman"/>
                      <w:color w:val="auto"/>
                      <w:szCs w:val="21"/>
                      <w:u w:val="single"/>
                    </w:rPr>
                  </w:pPr>
                </w:p>
              </w:tc>
            </w:tr>
            <w:tr w14:paraId="7715BC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5AA52B34">
                  <w:pPr>
                    <w:pStyle w:val="76"/>
                    <w:jc w:val="center"/>
                    <w:rPr>
                      <w:rFonts w:ascii="Times New Roman" w:hAnsi="Times New Roman"/>
                      <w:color w:val="auto"/>
                      <w:szCs w:val="21"/>
                      <w:u w:val="single"/>
                    </w:rPr>
                  </w:pPr>
                </w:p>
              </w:tc>
              <w:tc>
                <w:tcPr>
                  <w:tcW w:w="163" w:type="pct"/>
                  <w:vMerge w:val="continue"/>
                </w:tcPr>
                <w:p w14:paraId="0D7740D0">
                  <w:pPr>
                    <w:pStyle w:val="76"/>
                    <w:jc w:val="center"/>
                    <w:rPr>
                      <w:rFonts w:ascii="Times New Roman" w:hAnsi="Times New Roman"/>
                      <w:color w:val="auto"/>
                      <w:szCs w:val="21"/>
                      <w:u w:val="single"/>
                    </w:rPr>
                  </w:pPr>
                </w:p>
              </w:tc>
              <w:tc>
                <w:tcPr>
                  <w:tcW w:w="299" w:type="pct"/>
                  <w:vMerge w:val="continue"/>
                </w:tcPr>
                <w:p w14:paraId="32FE13A6">
                  <w:pPr>
                    <w:pStyle w:val="76"/>
                    <w:jc w:val="center"/>
                    <w:rPr>
                      <w:rFonts w:ascii="Times New Roman" w:hAnsi="Times New Roman"/>
                      <w:color w:val="auto"/>
                      <w:szCs w:val="21"/>
                      <w:u w:val="single"/>
                    </w:rPr>
                  </w:pPr>
                </w:p>
              </w:tc>
              <w:tc>
                <w:tcPr>
                  <w:tcW w:w="596" w:type="pct"/>
                  <w:vMerge w:val="continue"/>
                </w:tcPr>
                <w:p w14:paraId="5844A7F6">
                  <w:pPr>
                    <w:pStyle w:val="76"/>
                    <w:jc w:val="center"/>
                    <w:rPr>
                      <w:rFonts w:ascii="Times New Roman" w:hAnsi="Times New Roman"/>
                      <w:color w:val="auto"/>
                      <w:szCs w:val="21"/>
                      <w:u w:val="single"/>
                    </w:rPr>
                  </w:pPr>
                </w:p>
              </w:tc>
              <w:tc>
                <w:tcPr>
                  <w:tcW w:w="503" w:type="pct"/>
                  <w:vMerge w:val="continue"/>
                </w:tcPr>
                <w:p w14:paraId="5CEC6E58">
                  <w:pPr>
                    <w:pStyle w:val="76"/>
                    <w:jc w:val="center"/>
                    <w:rPr>
                      <w:rFonts w:ascii="Times New Roman" w:hAnsi="Times New Roman"/>
                      <w:color w:val="auto"/>
                      <w:szCs w:val="21"/>
                      <w:u w:val="single"/>
                    </w:rPr>
                  </w:pPr>
                </w:p>
              </w:tc>
              <w:tc>
                <w:tcPr>
                  <w:tcW w:w="170" w:type="pct"/>
                  <w:vMerge w:val="continue"/>
                </w:tcPr>
                <w:p w14:paraId="755207F9">
                  <w:pPr>
                    <w:pStyle w:val="76"/>
                    <w:jc w:val="center"/>
                    <w:rPr>
                      <w:rFonts w:ascii="Times New Roman" w:hAnsi="Times New Roman"/>
                      <w:color w:val="auto"/>
                      <w:szCs w:val="21"/>
                      <w:u w:val="single"/>
                    </w:rPr>
                  </w:pPr>
                </w:p>
              </w:tc>
              <w:tc>
                <w:tcPr>
                  <w:tcW w:w="170" w:type="pct"/>
                  <w:vMerge w:val="continue"/>
                </w:tcPr>
                <w:p w14:paraId="6708CBC6">
                  <w:pPr>
                    <w:pStyle w:val="76"/>
                    <w:jc w:val="center"/>
                    <w:rPr>
                      <w:rFonts w:ascii="Times New Roman" w:hAnsi="Times New Roman"/>
                      <w:color w:val="auto"/>
                      <w:szCs w:val="21"/>
                      <w:u w:val="single"/>
                    </w:rPr>
                  </w:pPr>
                </w:p>
              </w:tc>
              <w:tc>
                <w:tcPr>
                  <w:tcW w:w="125" w:type="pct"/>
                  <w:vMerge w:val="continue"/>
                </w:tcPr>
                <w:p w14:paraId="577E4F8F">
                  <w:pPr>
                    <w:pStyle w:val="76"/>
                    <w:jc w:val="center"/>
                    <w:rPr>
                      <w:rFonts w:ascii="Times New Roman" w:hAnsi="Times New Roman"/>
                      <w:color w:val="auto"/>
                      <w:szCs w:val="21"/>
                      <w:u w:val="single"/>
                    </w:rPr>
                  </w:pPr>
                </w:p>
              </w:tc>
              <w:tc>
                <w:tcPr>
                  <w:tcW w:w="208" w:type="pct"/>
                  <w:vAlign w:val="center"/>
                </w:tcPr>
                <w:p w14:paraId="23BEF89E">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70548CCD">
                  <w:pPr>
                    <w:pStyle w:val="76"/>
                    <w:jc w:val="center"/>
                    <w:rPr>
                      <w:rFonts w:ascii="Times New Roman" w:hAnsi="Times New Roman"/>
                      <w:color w:val="auto"/>
                      <w:szCs w:val="21"/>
                      <w:u w:val="single"/>
                    </w:rPr>
                  </w:pPr>
                  <w:r>
                    <w:rPr>
                      <w:rFonts w:hint="eastAsia" w:ascii="Times New Roman" w:hAnsi="Times New Roman"/>
                      <w:color w:val="auto"/>
                      <w:szCs w:val="21"/>
                      <w:u w:val="single"/>
                    </w:rPr>
                    <w:t>25</w:t>
                  </w:r>
                </w:p>
              </w:tc>
              <w:tc>
                <w:tcPr>
                  <w:tcW w:w="405" w:type="pct"/>
                  <w:vAlign w:val="center"/>
                </w:tcPr>
                <w:p w14:paraId="76AA98A5">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0</w:t>
                  </w:r>
                </w:p>
              </w:tc>
              <w:tc>
                <w:tcPr>
                  <w:tcW w:w="548" w:type="pct"/>
                  <w:vMerge w:val="continue"/>
                </w:tcPr>
                <w:p w14:paraId="09AEDBAB">
                  <w:pPr>
                    <w:pStyle w:val="76"/>
                    <w:jc w:val="center"/>
                    <w:rPr>
                      <w:rFonts w:ascii="Times New Roman" w:hAnsi="Times New Roman"/>
                      <w:color w:val="auto"/>
                      <w:szCs w:val="21"/>
                      <w:u w:val="single"/>
                    </w:rPr>
                  </w:pPr>
                </w:p>
              </w:tc>
              <w:tc>
                <w:tcPr>
                  <w:tcW w:w="436" w:type="pct"/>
                  <w:vMerge w:val="continue"/>
                </w:tcPr>
                <w:p w14:paraId="142DEDFD">
                  <w:pPr>
                    <w:pStyle w:val="76"/>
                    <w:jc w:val="center"/>
                    <w:rPr>
                      <w:rFonts w:ascii="Times New Roman" w:hAnsi="Times New Roman"/>
                      <w:color w:val="auto"/>
                      <w:szCs w:val="21"/>
                      <w:u w:val="single"/>
                    </w:rPr>
                  </w:pPr>
                </w:p>
              </w:tc>
              <w:tc>
                <w:tcPr>
                  <w:tcW w:w="272" w:type="pct"/>
                  <w:vAlign w:val="center"/>
                </w:tcPr>
                <w:p w14:paraId="410FC599">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151C4B63">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0</w:t>
                  </w:r>
                </w:p>
              </w:tc>
              <w:tc>
                <w:tcPr>
                  <w:tcW w:w="311" w:type="pct"/>
                  <w:vMerge w:val="continue"/>
                </w:tcPr>
                <w:p w14:paraId="7984CF68">
                  <w:pPr>
                    <w:pStyle w:val="76"/>
                    <w:jc w:val="center"/>
                    <w:rPr>
                      <w:rFonts w:ascii="Times New Roman" w:hAnsi="Times New Roman"/>
                      <w:color w:val="auto"/>
                      <w:szCs w:val="21"/>
                      <w:u w:val="single"/>
                    </w:rPr>
                  </w:pPr>
                </w:p>
              </w:tc>
            </w:tr>
            <w:tr w14:paraId="227B35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17F4D282">
                  <w:pPr>
                    <w:pStyle w:val="76"/>
                    <w:numPr>
                      <w:ilvl w:val="0"/>
                      <w:numId w:val="7"/>
                    </w:numPr>
                    <w:jc w:val="center"/>
                    <w:rPr>
                      <w:rFonts w:ascii="Times New Roman" w:hAnsi="Times New Roman"/>
                      <w:color w:val="auto"/>
                      <w:szCs w:val="21"/>
                      <w:u w:val="single"/>
                    </w:rPr>
                  </w:pPr>
                </w:p>
              </w:tc>
              <w:tc>
                <w:tcPr>
                  <w:tcW w:w="163" w:type="pct"/>
                  <w:vMerge w:val="continue"/>
                  <w:vAlign w:val="center"/>
                </w:tcPr>
                <w:p w14:paraId="263C709D">
                  <w:pPr>
                    <w:pStyle w:val="76"/>
                    <w:jc w:val="center"/>
                    <w:rPr>
                      <w:rFonts w:ascii="Times New Roman" w:hAnsi="Times New Roman"/>
                      <w:color w:val="auto"/>
                      <w:szCs w:val="21"/>
                      <w:u w:val="single"/>
                    </w:rPr>
                  </w:pPr>
                </w:p>
              </w:tc>
              <w:tc>
                <w:tcPr>
                  <w:tcW w:w="299" w:type="pct"/>
                  <w:vMerge w:val="restart"/>
                  <w:vAlign w:val="center"/>
                </w:tcPr>
                <w:p w14:paraId="77B8F107">
                  <w:pPr>
                    <w:pStyle w:val="76"/>
                    <w:jc w:val="center"/>
                    <w:rPr>
                      <w:rFonts w:ascii="Times New Roman" w:hAnsi="Times New Roman"/>
                      <w:color w:val="auto"/>
                      <w:szCs w:val="21"/>
                      <w:u w:val="single"/>
                    </w:rPr>
                  </w:pPr>
                  <w:r>
                    <w:rPr>
                      <w:rFonts w:hint="eastAsia" w:ascii="Times New Roman" w:hAnsi="Times New Roman"/>
                      <w:color w:val="auto"/>
                      <w:szCs w:val="21"/>
                      <w:u w:val="single"/>
                    </w:rPr>
                    <w:t>抛丸机（2台）</w:t>
                  </w:r>
                </w:p>
              </w:tc>
              <w:tc>
                <w:tcPr>
                  <w:tcW w:w="596" w:type="pct"/>
                  <w:vMerge w:val="restart"/>
                  <w:vAlign w:val="center"/>
                </w:tcPr>
                <w:p w14:paraId="0D038A04">
                  <w:pPr>
                    <w:pStyle w:val="88"/>
                    <w:rPr>
                      <w:color w:val="auto"/>
                      <w:szCs w:val="21"/>
                      <w:u w:val="single"/>
                    </w:rPr>
                  </w:pPr>
                  <w:r>
                    <w:rPr>
                      <w:color w:val="auto"/>
                      <w:u w:val="single"/>
                    </w:rPr>
                    <w:t>85</w:t>
                  </w:r>
                </w:p>
              </w:tc>
              <w:tc>
                <w:tcPr>
                  <w:tcW w:w="503" w:type="pct"/>
                  <w:vMerge w:val="restart"/>
                  <w:vAlign w:val="center"/>
                </w:tcPr>
                <w:p w14:paraId="5BD2614A">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30EB49AC">
                  <w:pPr>
                    <w:pStyle w:val="76"/>
                    <w:jc w:val="center"/>
                    <w:rPr>
                      <w:rFonts w:ascii="Times New Roman" w:hAnsi="Times New Roman"/>
                      <w:color w:val="auto"/>
                      <w:szCs w:val="21"/>
                      <w:u w:val="single"/>
                    </w:rPr>
                  </w:pPr>
                  <w:r>
                    <w:rPr>
                      <w:rFonts w:hint="eastAsia" w:ascii="Times New Roman" w:hAnsi="Times New Roman"/>
                      <w:color w:val="auto"/>
                      <w:szCs w:val="21"/>
                      <w:u w:val="single"/>
                    </w:rPr>
                    <w:t>-32</w:t>
                  </w:r>
                </w:p>
              </w:tc>
              <w:tc>
                <w:tcPr>
                  <w:tcW w:w="170" w:type="pct"/>
                  <w:vMerge w:val="restart"/>
                  <w:vAlign w:val="center"/>
                </w:tcPr>
                <w:p w14:paraId="4D7613A4">
                  <w:pPr>
                    <w:pStyle w:val="76"/>
                    <w:jc w:val="center"/>
                    <w:rPr>
                      <w:rFonts w:ascii="Times New Roman" w:hAnsi="Times New Roman"/>
                      <w:color w:val="auto"/>
                      <w:szCs w:val="21"/>
                      <w:u w:val="single"/>
                    </w:rPr>
                  </w:pPr>
                  <w:r>
                    <w:rPr>
                      <w:rFonts w:hint="eastAsia" w:ascii="Times New Roman" w:hAnsi="Times New Roman"/>
                      <w:color w:val="auto"/>
                      <w:szCs w:val="21"/>
                      <w:u w:val="single"/>
                    </w:rPr>
                    <w:t>-11</w:t>
                  </w:r>
                </w:p>
              </w:tc>
              <w:tc>
                <w:tcPr>
                  <w:tcW w:w="125" w:type="pct"/>
                  <w:vMerge w:val="restart"/>
                  <w:vAlign w:val="center"/>
                </w:tcPr>
                <w:p w14:paraId="45DC5158">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302983D9">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43B3DE5E">
                  <w:pPr>
                    <w:pStyle w:val="76"/>
                    <w:jc w:val="center"/>
                    <w:rPr>
                      <w:rFonts w:ascii="Times New Roman" w:hAnsi="Times New Roman"/>
                      <w:color w:val="auto"/>
                      <w:szCs w:val="21"/>
                      <w:u w:val="single"/>
                    </w:rPr>
                  </w:pPr>
                  <w:r>
                    <w:rPr>
                      <w:rFonts w:hint="eastAsia" w:ascii="Times New Roman" w:hAnsi="Times New Roman"/>
                      <w:color w:val="auto"/>
                      <w:szCs w:val="21"/>
                      <w:u w:val="single"/>
                    </w:rPr>
                    <w:t>128</w:t>
                  </w:r>
                </w:p>
              </w:tc>
              <w:tc>
                <w:tcPr>
                  <w:tcW w:w="405" w:type="pct"/>
                  <w:vAlign w:val="center"/>
                </w:tcPr>
                <w:p w14:paraId="6666A160">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restart"/>
                  <w:vAlign w:val="center"/>
                </w:tcPr>
                <w:p w14:paraId="0A49C8EE">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4BADF8E6">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6C32705C">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660D6D55">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restart"/>
                  <w:vAlign w:val="center"/>
                </w:tcPr>
                <w:p w14:paraId="2C285615">
                  <w:pPr>
                    <w:pStyle w:val="76"/>
                    <w:jc w:val="center"/>
                    <w:rPr>
                      <w:rFonts w:ascii="Times New Roman" w:hAnsi="Times New Roman"/>
                      <w:color w:val="auto"/>
                      <w:szCs w:val="21"/>
                      <w:u w:val="single"/>
                    </w:rPr>
                  </w:pPr>
                  <w:r>
                    <w:rPr>
                      <w:rFonts w:hint="eastAsia" w:ascii="Times New Roman" w:hAnsi="Times New Roman"/>
                      <w:color w:val="auto"/>
                      <w:szCs w:val="21"/>
                      <w:u w:val="single"/>
                    </w:rPr>
                    <w:t>1m</w:t>
                  </w:r>
                </w:p>
              </w:tc>
            </w:tr>
            <w:tr w14:paraId="50FDEF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6BB8A45C">
                  <w:pPr>
                    <w:pStyle w:val="76"/>
                    <w:numPr>
                      <w:ilvl w:val="0"/>
                      <w:numId w:val="7"/>
                    </w:numPr>
                    <w:ind w:left="425"/>
                    <w:jc w:val="center"/>
                    <w:rPr>
                      <w:rFonts w:ascii="Times New Roman" w:hAnsi="Times New Roman"/>
                      <w:color w:val="auto"/>
                      <w:szCs w:val="21"/>
                      <w:u w:val="single"/>
                    </w:rPr>
                  </w:pPr>
                </w:p>
              </w:tc>
              <w:tc>
                <w:tcPr>
                  <w:tcW w:w="163" w:type="pct"/>
                  <w:vMerge w:val="continue"/>
                  <w:vAlign w:val="center"/>
                </w:tcPr>
                <w:p w14:paraId="25865203">
                  <w:pPr>
                    <w:pStyle w:val="76"/>
                    <w:jc w:val="center"/>
                    <w:rPr>
                      <w:rFonts w:ascii="Times New Roman" w:hAnsi="Times New Roman"/>
                      <w:color w:val="auto"/>
                      <w:szCs w:val="21"/>
                      <w:u w:val="single"/>
                    </w:rPr>
                  </w:pPr>
                </w:p>
              </w:tc>
              <w:tc>
                <w:tcPr>
                  <w:tcW w:w="299" w:type="pct"/>
                  <w:vMerge w:val="continue"/>
                  <w:vAlign w:val="center"/>
                </w:tcPr>
                <w:p w14:paraId="2D0508D8">
                  <w:pPr>
                    <w:pStyle w:val="76"/>
                    <w:jc w:val="center"/>
                    <w:rPr>
                      <w:rFonts w:ascii="Times New Roman" w:hAnsi="Times New Roman"/>
                      <w:color w:val="auto"/>
                      <w:szCs w:val="21"/>
                      <w:u w:val="single"/>
                    </w:rPr>
                  </w:pPr>
                </w:p>
              </w:tc>
              <w:tc>
                <w:tcPr>
                  <w:tcW w:w="596" w:type="pct"/>
                  <w:vMerge w:val="continue"/>
                  <w:vAlign w:val="center"/>
                </w:tcPr>
                <w:p w14:paraId="35311272">
                  <w:pPr>
                    <w:pStyle w:val="76"/>
                    <w:jc w:val="center"/>
                    <w:rPr>
                      <w:rFonts w:ascii="Times New Roman" w:hAnsi="Times New Roman"/>
                      <w:color w:val="auto"/>
                      <w:szCs w:val="21"/>
                      <w:u w:val="single"/>
                    </w:rPr>
                  </w:pPr>
                </w:p>
              </w:tc>
              <w:tc>
                <w:tcPr>
                  <w:tcW w:w="503" w:type="pct"/>
                  <w:vMerge w:val="continue"/>
                </w:tcPr>
                <w:p w14:paraId="369D804C">
                  <w:pPr>
                    <w:pStyle w:val="76"/>
                    <w:jc w:val="center"/>
                    <w:rPr>
                      <w:rFonts w:ascii="Times New Roman" w:hAnsi="Times New Roman"/>
                      <w:color w:val="auto"/>
                      <w:szCs w:val="21"/>
                      <w:u w:val="single"/>
                    </w:rPr>
                  </w:pPr>
                </w:p>
              </w:tc>
              <w:tc>
                <w:tcPr>
                  <w:tcW w:w="170" w:type="pct"/>
                  <w:vMerge w:val="continue"/>
                </w:tcPr>
                <w:p w14:paraId="534FB821">
                  <w:pPr>
                    <w:pStyle w:val="76"/>
                    <w:jc w:val="center"/>
                    <w:rPr>
                      <w:rFonts w:ascii="Times New Roman" w:hAnsi="Times New Roman"/>
                      <w:color w:val="auto"/>
                      <w:szCs w:val="21"/>
                      <w:u w:val="single"/>
                    </w:rPr>
                  </w:pPr>
                </w:p>
              </w:tc>
              <w:tc>
                <w:tcPr>
                  <w:tcW w:w="170" w:type="pct"/>
                  <w:vMerge w:val="continue"/>
                </w:tcPr>
                <w:p w14:paraId="34579FA2">
                  <w:pPr>
                    <w:pStyle w:val="76"/>
                    <w:jc w:val="center"/>
                    <w:rPr>
                      <w:rFonts w:ascii="Times New Roman" w:hAnsi="Times New Roman"/>
                      <w:color w:val="auto"/>
                      <w:szCs w:val="21"/>
                      <w:u w:val="single"/>
                    </w:rPr>
                  </w:pPr>
                </w:p>
              </w:tc>
              <w:tc>
                <w:tcPr>
                  <w:tcW w:w="125" w:type="pct"/>
                  <w:vMerge w:val="continue"/>
                </w:tcPr>
                <w:p w14:paraId="2093D4EF">
                  <w:pPr>
                    <w:pStyle w:val="76"/>
                    <w:jc w:val="center"/>
                    <w:rPr>
                      <w:rFonts w:ascii="Times New Roman" w:hAnsi="Times New Roman"/>
                      <w:color w:val="auto"/>
                      <w:szCs w:val="21"/>
                      <w:u w:val="single"/>
                    </w:rPr>
                  </w:pPr>
                </w:p>
              </w:tc>
              <w:tc>
                <w:tcPr>
                  <w:tcW w:w="208" w:type="pct"/>
                  <w:vAlign w:val="center"/>
                </w:tcPr>
                <w:p w14:paraId="625C8873">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12EB8364">
                  <w:pPr>
                    <w:pStyle w:val="76"/>
                    <w:jc w:val="center"/>
                    <w:rPr>
                      <w:rFonts w:ascii="Times New Roman" w:hAnsi="Times New Roman"/>
                      <w:color w:val="auto"/>
                      <w:szCs w:val="21"/>
                      <w:u w:val="single"/>
                    </w:rPr>
                  </w:pPr>
                  <w:r>
                    <w:rPr>
                      <w:rFonts w:hint="eastAsia" w:ascii="Times New Roman" w:hAnsi="Times New Roman"/>
                      <w:color w:val="auto"/>
                      <w:szCs w:val="21"/>
                      <w:u w:val="single"/>
                    </w:rPr>
                    <w:t>3</w:t>
                  </w:r>
                </w:p>
              </w:tc>
              <w:tc>
                <w:tcPr>
                  <w:tcW w:w="405" w:type="pct"/>
                  <w:vAlign w:val="center"/>
                </w:tcPr>
                <w:p w14:paraId="701C3E1C">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2</w:t>
                  </w:r>
                </w:p>
              </w:tc>
              <w:tc>
                <w:tcPr>
                  <w:tcW w:w="548" w:type="pct"/>
                  <w:vMerge w:val="continue"/>
                </w:tcPr>
                <w:p w14:paraId="0687AD83">
                  <w:pPr>
                    <w:pStyle w:val="76"/>
                    <w:jc w:val="center"/>
                    <w:rPr>
                      <w:rFonts w:ascii="Times New Roman" w:hAnsi="Times New Roman"/>
                      <w:color w:val="auto"/>
                      <w:szCs w:val="21"/>
                      <w:u w:val="single"/>
                    </w:rPr>
                  </w:pPr>
                </w:p>
              </w:tc>
              <w:tc>
                <w:tcPr>
                  <w:tcW w:w="436" w:type="pct"/>
                  <w:vMerge w:val="continue"/>
                </w:tcPr>
                <w:p w14:paraId="1E183F74">
                  <w:pPr>
                    <w:pStyle w:val="76"/>
                    <w:jc w:val="center"/>
                    <w:rPr>
                      <w:rFonts w:ascii="Times New Roman" w:hAnsi="Times New Roman"/>
                      <w:color w:val="auto"/>
                      <w:szCs w:val="21"/>
                      <w:u w:val="single"/>
                    </w:rPr>
                  </w:pPr>
                </w:p>
              </w:tc>
              <w:tc>
                <w:tcPr>
                  <w:tcW w:w="272" w:type="pct"/>
                  <w:vAlign w:val="center"/>
                </w:tcPr>
                <w:p w14:paraId="2346F5D9">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74523BDA">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2</w:t>
                  </w:r>
                </w:p>
              </w:tc>
              <w:tc>
                <w:tcPr>
                  <w:tcW w:w="311" w:type="pct"/>
                  <w:vMerge w:val="continue"/>
                </w:tcPr>
                <w:p w14:paraId="11CF18FA">
                  <w:pPr>
                    <w:pStyle w:val="76"/>
                    <w:jc w:val="center"/>
                    <w:rPr>
                      <w:rFonts w:ascii="Times New Roman" w:hAnsi="Times New Roman"/>
                      <w:color w:val="auto"/>
                      <w:szCs w:val="21"/>
                      <w:u w:val="single"/>
                    </w:rPr>
                  </w:pPr>
                </w:p>
              </w:tc>
            </w:tr>
            <w:tr w14:paraId="07288E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38CDB90A">
                  <w:pPr>
                    <w:pStyle w:val="76"/>
                    <w:numPr>
                      <w:ilvl w:val="0"/>
                      <w:numId w:val="7"/>
                    </w:numPr>
                    <w:ind w:left="425"/>
                    <w:jc w:val="center"/>
                    <w:rPr>
                      <w:rFonts w:ascii="Times New Roman" w:hAnsi="Times New Roman"/>
                      <w:color w:val="auto"/>
                      <w:szCs w:val="21"/>
                      <w:u w:val="single"/>
                    </w:rPr>
                  </w:pPr>
                </w:p>
              </w:tc>
              <w:tc>
                <w:tcPr>
                  <w:tcW w:w="163" w:type="pct"/>
                  <w:vMerge w:val="continue"/>
                  <w:vAlign w:val="center"/>
                </w:tcPr>
                <w:p w14:paraId="47407BBD">
                  <w:pPr>
                    <w:pStyle w:val="76"/>
                    <w:jc w:val="center"/>
                    <w:rPr>
                      <w:rFonts w:ascii="Times New Roman" w:hAnsi="Times New Roman"/>
                      <w:color w:val="auto"/>
                      <w:szCs w:val="21"/>
                      <w:u w:val="single"/>
                    </w:rPr>
                  </w:pPr>
                </w:p>
              </w:tc>
              <w:tc>
                <w:tcPr>
                  <w:tcW w:w="299" w:type="pct"/>
                  <w:vMerge w:val="continue"/>
                  <w:vAlign w:val="center"/>
                </w:tcPr>
                <w:p w14:paraId="0FD7E9F7">
                  <w:pPr>
                    <w:pStyle w:val="76"/>
                    <w:jc w:val="center"/>
                    <w:rPr>
                      <w:rFonts w:ascii="Times New Roman" w:hAnsi="Times New Roman"/>
                      <w:color w:val="auto"/>
                      <w:szCs w:val="21"/>
                      <w:u w:val="single"/>
                    </w:rPr>
                  </w:pPr>
                </w:p>
              </w:tc>
              <w:tc>
                <w:tcPr>
                  <w:tcW w:w="596" w:type="pct"/>
                  <w:vMerge w:val="continue"/>
                  <w:vAlign w:val="center"/>
                </w:tcPr>
                <w:p w14:paraId="69375636">
                  <w:pPr>
                    <w:pStyle w:val="76"/>
                    <w:jc w:val="center"/>
                    <w:rPr>
                      <w:rFonts w:ascii="Times New Roman" w:hAnsi="Times New Roman"/>
                      <w:color w:val="auto"/>
                      <w:szCs w:val="21"/>
                      <w:u w:val="single"/>
                    </w:rPr>
                  </w:pPr>
                </w:p>
              </w:tc>
              <w:tc>
                <w:tcPr>
                  <w:tcW w:w="503" w:type="pct"/>
                  <w:vMerge w:val="continue"/>
                </w:tcPr>
                <w:p w14:paraId="0AF33946">
                  <w:pPr>
                    <w:pStyle w:val="76"/>
                    <w:jc w:val="center"/>
                    <w:rPr>
                      <w:rFonts w:ascii="Times New Roman" w:hAnsi="Times New Roman"/>
                      <w:color w:val="auto"/>
                      <w:szCs w:val="21"/>
                      <w:u w:val="single"/>
                    </w:rPr>
                  </w:pPr>
                </w:p>
              </w:tc>
              <w:tc>
                <w:tcPr>
                  <w:tcW w:w="170" w:type="pct"/>
                  <w:vMerge w:val="continue"/>
                </w:tcPr>
                <w:p w14:paraId="2FE8FC3C">
                  <w:pPr>
                    <w:pStyle w:val="76"/>
                    <w:jc w:val="center"/>
                    <w:rPr>
                      <w:rFonts w:ascii="Times New Roman" w:hAnsi="Times New Roman"/>
                      <w:color w:val="auto"/>
                      <w:szCs w:val="21"/>
                      <w:u w:val="single"/>
                    </w:rPr>
                  </w:pPr>
                </w:p>
              </w:tc>
              <w:tc>
                <w:tcPr>
                  <w:tcW w:w="170" w:type="pct"/>
                  <w:vMerge w:val="continue"/>
                </w:tcPr>
                <w:p w14:paraId="1821606B">
                  <w:pPr>
                    <w:pStyle w:val="76"/>
                    <w:jc w:val="center"/>
                    <w:rPr>
                      <w:rFonts w:ascii="Times New Roman" w:hAnsi="Times New Roman"/>
                      <w:color w:val="auto"/>
                      <w:szCs w:val="21"/>
                      <w:u w:val="single"/>
                    </w:rPr>
                  </w:pPr>
                </w:p>
              </w:tc>
              <w:tc>
                <w:tcPr>
                  <w:tcW w:w="125" w:type="pct"/>
                  <w:vMerge w:val="continue"/>
                </w:tcPr>
                <w:p w14:paraId="537C9B72">
                  <w:pPr>
                    <w:pStyle w:val="76"/>
                    <w:jc w:val="center"/>
                    <w:rPr>
                      <w:rFonts w:ascii="Times New Roman" w:hAnsi="Times New Roman"/>
                      <w:color w:val="auto"/>
                      <w:szCs w:val="21"/>
                      <w:u w:val="single"/>
                    </w:rPr>
                  </w:pPr>
                </w:p>
              </w:tc>
              <w:tc>
                <w:tcPr>
                  <w:tcW w:w="208" w:type="pct"/>
                  <w:vAlign w:val="center"/>
                </w:tcPr>
                <w:p w14:paraId="6E64558E">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1A330D11">
                  <w:pPr>
                    <w:pStyle w:val="76"/>
                    <w:jc w:val="center"/>
                    <w:rPr>
                      <w:rFonts w:ascii="Times New Roman" w:hAnsi="Times New Roman"/>
                      <w:color w:val="auto"/>
                      <w:szCs w:val="21"/>
                      <w:u w:val="single"/>
                    </w:rPr>
                  </w:pPr>
                  <w:r>
                    <w:rPr>
                      <w:rFonts w:hint="eastAsia" w:ascii="Times New Roman" w:hAnsi="Times New Roman"/>
                      <w:color w:val="auto"/>
                      <w:szCs w:val="21"/>
                      <w:u w:val="single"/>
                    </w:rPr>
                    <w:t>58</w:t>
                  </w:r>
                </w:p>
              </w:tc>
              <w:tc>
                <w:tcPr>
                  <w:tcW w:w="405" w:type="pct"/>
                  <w:vAlign w:val="center"/>
                </w:tcPr>
                <w:p w14:paraId="33890EFB">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continue"/>
                </w:tcPr>
                <w:p w14:paraId="2C1089CD">
                  <w:pPr>
                    <w:pStyle w:val="76"/>
                    <w:jc w:val="center"/>
                    <w:rPr>
                      <w:rFonts w:ascii="Times New Roman" w:hAnsi="Times New Roman"/>
                      <w:color w:val="auto"/>
                      <w:szCs w:val="21"/>
                      <w:u w:val="single"/>
                    </w:rPr>
                  </w:pPr>
                </w:p>
              </w:tc>
              <w:tc>
                <w:tcPr>
                  <w:tcW w:w="436" w:type="pct"/>
                  <w:vMerge w:val="continue"/>
                </w:tcPr>
                <w:p w14:paraId="1183566A">
                  <w:pPr>
                    <w:pStyle w:val="76"/>
                    <w:jc w:val="center"/>
                    <w:rPr>
                      <w:rFonts w:ascii="Times New Roman" w:hAnsi="Times New Roman"/>
                      <w:color w:val="auto"/>
                      <w:szCs w:val="21"/>
                      <w:u w:val="single"/>
                    </w:rPr>
                  </w:pPr>
                </w:p>
              </w:tc>
              <w:tc>
                <w:tcPr>
                  <w:tcW w:w="272" w:type="pct"/>
                  <w:vAlign w:val="center"/>
                </w:tcPr>
                <w:p w14:paraId="7696EB49">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16CD3400">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tcPr>
                <w:p w14:paraId="5950ADCE">
                  <w:pPr>
                    <w:pStyle w:val="76"/>
                    <w:jc w:val="center"/>
                    <w:rPr>
                      <w:rFonts w:ascii="Times New Roman" w:hAnsi="Times New Roman"/>
                      <w:color w:val="auto"/>
                      <w:szCs w:val="21"/>
                      <w:u w:val="single"/>
                    </w:rPr>
                  </w:pPr>
                </w:p>
              </w:tc>
            </w:tr>
            <w:tr w14:paraId="3D4631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39EDD115">
                  <w:pPr>
                    <w:pStyle w:val="76"/>
                    <w:numPr>
                      <w:ilvl w:val="0"/>
                      <w:numId w:val="7"/>
                    </w:numPr>
                    <w:ind w:left="425"/>
                    <w:jc w:val="center"/>
                    <w:rPr>
                      <w:rFonts w:ascii="Times New Roman" w:hAnsi="Times New Roman"/>
                      <w:color w:val="auto"/>
                      <w:szCs w:val="21"/>
                      <w:u w:val="single"/>
                    </w:rPr>
                  </w:pPr>
                </w:p>
              </w:tc>
              <w:tc>
                <w:tcPr>
                  <w:tcW w:w="163" w:type="pct"/>
                  <w:vMerge w:val="continue"/>
                  <w:vAlign w:val="center"/>
                </w:tcPr>
                <w:p w14:paraId="737ADD68">
                  <w:pPr>
                    <w:pStyle w:val="76"/>
                    <w:jc w:val="center"/>
                    <w:rPr>
                      <w:rFonts w:ascii="Times New Roman" w:hAnsi="Times New Roman"/>
                      <w:color w:val="auto"/>
                      <w:szCs w:val="21"/>
                      <w:u w:val="single"/>
                    </w:rPr>
                  </w:pPr>
                </w:p>
              </w:tc>
              <w:tc>
                <w:tcPr>
                  <w:tcW w:w="299" w:type="pct"/>
                  <w:vMerge w:val="continue"/>
                  <w:vAlign w:val="center"/>
                </w:tcPr>
                <w:p w14:paraId="4B8CC342">
                  <w:pPr>
                    <w:pStyle w:val="76"/>
                    <w:jc w:val="center"/>
                    <w:rPr>
                      <w:rFonts w:ascii="Times New Roman" w:hAnsi="Times New Roman"/>
                      <w:color w:val="auto"/>
                      <w:szCs w:val="21"/>
                      <w:u w:val="single"/>
                    </w:rPr>
                  </w:pPr>
                </w:p>
              </w:tc>
              <w:tc>
                <w:tcPr>
                  <w:tcW w:w="596" w:type="pct"/>
                  <w:vMerge w:val="continue"/>
                  <w:vAlign w:val="center"/>
                </w:tcPr>
                <w:p w14:paraId="722BAB24">
                  <w:pPr>
                    <w:pStyle w:val="76"/>
                    <w:jc w:val="center"/>
                    <w:rPr>
                      <w:rFonts w:ascii="Times New Roman" w:hAnsi="Times New Roman"/>
                      <w:color w:val="auto"/>
                      <w:szCs w:val="21"/>
                      <w:u w:val="single"/>
                    </w:rPr>
                  </w:pPr>
                </w:p>
              </w:tc>
              <w:tc>
                <w:tcPr>
                  <w:tcW w:w="503" w:type="pct"/>
                  <w:vMerge w:val="continue"/>
                </w:tcPr>
                <w:p w14:paraId="10518110">
                  <w:pPr>
                    <w:pStyle w:val="76"/>
                    <w:jc w:val="center"/>
                    <w:rPr>
                      <w:rFonts w:ascii="Times New Roman" w:hAnsi="Times New Roman"/>
                      <w:color w:val="auto"/>
                      <w:szCs w:val="21"/>
                      <w:u w:val="single"/>
                    </w:rPr>
                  </w:pPr>
                </w:p>
              </w:tc>
              <w:tc>
                <w:tcPr>
                  <w:tcW w:w="170" w:type="pct"/>
                  <w:vMerge w:val="continue"/>
                </w:tcPr>
                <w:p w14:paraId="21D0F564">
                  <w:pPr>
                    <w:pStyle w:val="76"/>
                    <w:jc w:val="center"/>
                    <w:rPr>
                      <w:rFonts w:ascii="Times New Roman" w:hAnsi="Times New Roman"/>
                      <w:color w:val="auto"/>
                      <w:szCs w:val="21"/>
                      <w:u w:val="single"/>
                    </w:rPr>
                  </w:pPr>
                </w:p>
              </w:tc>
              <w:tc>
                <w:tcPr>
                  <w:tcW w:w="170" w:type="pct"/>
                  <w:vMerge w:val="continue"/>
                </w:tcPr>
                <w:p w14:paraId="6862C81B">
                  <w:pPr>
                    <w:pStyle w:val="76"/>
                    <w:jc w:val="center"/>
                    <w:rPr>
                      <w:rFonts w:ascii="Times New Roman" w:hAnsi="Times New Roman"/>
                      <w:color w:val="auto"/>
                      <w:szCs w:val="21"/>
                      <w:u w:val="single"/>
                    </w:rPr>
                  </w:pPr>
                </w:p>
              </w:tc>
              <w:tc>
                <w:tcPr>
                  <w:tcW w:w="125" w:type="pct"/>
                  <w:vMerge w:val="continue"/>
                </w:tcPr>
                <w:p w14:paraId="30A3984A">
                  <w:pPr>
                    <w:pStyle w:val="76"/>
                    <w:jc w:val="center"/>
                    <w:rPr>
                      <w:rFonts w:ascii="Times New Roman" w:hAnsi="Times New Roman"/>
                      <w:color w:val="auto"/>
                      <w:szCs w:val="21"/>
                      <w:u w:val="single"/>
                    </w:rPr>
                  </w:pPr>
                </w:p>
              </w:tc>
              <w:tc>
                <w:tcPr>
                  <w:tcW w:w="208" w:type="pct"/>
                  <w:vAlign w:val="center"/>
                </w:tcPr>
                <w:p w14:paraId="0F16189E">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5DBB0EAF">
                  <w:pPr>
                    <w:pStyle w:val="76"/>
                    <w:jc w:val="center"/>
                    <w:rPr>
                      <w:rFonts w:ascii="Times New Roman" w:hAnsi="Times New Roman"/>
                      <w:color w:val="auto"/>
                      <w:szCs w:val="21"/>
                      <w:u w:val="single"/>
                    </w:rPr>
                  </w:pPr>
                  <w:r>
                    <w:rPr>
                      <w:rFonts w:hint="eastAsia" w:ascii="Times New Roman" w:hAnsi="Times New Roman"/>
                      <w:color w:val="auto"/>
                      <w:szCs w:val="21"/>
                      <w:u w:val="single"/>
                    </w:rPr>
                    <w:t>25</w:t>
                  </w:r>
                </w:p>
              </w:tc>
              <w:tc>
                <w:tcPr>
                  <w:tcW w:w="405" w:type="pct"/>
                  <w:vAlign w:val="center"/>
                </w:tcPr>
                <w:p w14:paraId="6C2F2CA2">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0</w:t>
                  </w:r>
                </w:p>
              </w:tc>
              <w:tc>
                <w:tcPr>
                  <w:tcW w:w="548" w:type="pct"/>
                  <w:vMerge w:val="continue"/>
                </w:tcPr>
                <w:p w14:paraId="68D0339E">
                  <w:pPr>
                    <w:pStyle w:val="76"/>
                    <w:jc w:val="center"/>
                    <w:rPr>
                      <w:rFonts w:ascii="Times New Roman" w:hAnsi="Times New Roman"/>
                      <w:color w:val="auto"/>
                      <w:szCs w:val="21"/>
                      <w:u w:val="single"/>
                    </w:rPr>
                  </w:pPr>
                </w:p>
              </w:tc>
              <w:tc>
                <w:tcPr>
                  <w:tcW w:w="436" w:type="pct"/>
                  <w:vMerge w:val="continue"/>
                </w:tcPr>
                <w:p w14:paraId="16591C7A">
                  <w:pPr>
                    <w:pStyle w:val="76"/>
                    <w:jc w:val="center"/>
                    <w:rPr>
                      <w:rFonts w:ascii="Times New Roman" w:hAnsi="Times New Roman"/>
                      <w:color w:val="auto"/>
                      <w:szCs w:val="21"/>
                      <w:u w:val="single"/>
                    </w:rPr>
                  </w:pPr>
                </w:p>
              </w:tc>
              <w:tc>
                <w:tcPr>
                  <w:tcW w:w="272" w:type="pct"/>
                  <w:vAlign w:val="center"/>
                </w:tcPr>
                <w:p w14:paraId="73A63342">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4A095AFE">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0</w:t>
                  </w:r>
                </w:p>
              </w:tc>
              <w:tc>
                <w:tcPr>
                  <w:tcW w:w="311" w:type="pct"/>
                  <w:vMerge w:val="continue"/>
                </w:tcPr>
                <w:p w14:paraId="63F4B164">
                  <w:pPr>
                    <w:pStyle w:val="76"/>
                    <w:jc w:val="center"/>
                    <w:rPr>
                      <w:rFonts w:ascii="Times New Roman" w:hAnsi="Times New Roman"/>
                      <w:color w:val="auto"/>
                      <w:szCs w:val="21"/>
                      <w:u w:val="single"/>
                    </w:rPr>
                  </w:pPr>
                </w:p>
              </w:tc>
            </w:tr>
            <w:tr w14:paraId="76B587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48E50197">
                  <w:pPr>
                    <w:pStyle w:val="76"/>
                    <w:numPr>
                      <w:ilvl w:val="0"/>
                      <w:numId w:val="7"/>
                    </w:numPr>
                    <w:jc w:val="center"/>
                    <w:rPr>
                      <w:rFonts w:ascii="Times New Roman" w:hAnsi="Times New Roman"/>
                      <w:color w:val="auto"/>
                      <w:szCs w:val="21"/>
                      <w:u w:val="single"/>
                    </w:rPr>
                  </w:pPr>
                </w:p>
              </w:tc>
              <w:tc>
                <w:tcPr>
                  <w:tcW w:w="163" w:type="pct"/>
                  <w:vMerge w:val="continue"/>
                  <w:vAlign w:val="center"/>
                </w:tcPr>
                <w:p w14:paraId="147AE9C1">
                  <w:pPr>
                    <w:pStyle w:val="76"/>
                    <w:jc w:val="center"/>
                    <w:rPr>
                      <w:rFonts w:ascii="Times New Roman" w:hAnsi="Times New Roman"/>
                      <w:color w:val="auto"/>
                      <w:szCs w:val="21"/>
                      <w:u w:val="single"/>
                    </w:rPr>
                  </w:pPr>
                </w:p>
              </w:tc>
              <w:tc>
                <w:tcPr>
                  <w:tcW w:w="299" w:type="pct"/>
                  <w:vMerge w:val="restart"/>
                  <w:vAlign w:val="center"/>
                </w:tcPr>
                <w:p w14:paraId="4A665A2B">
                  <w:pPr>
                    <w:pStyle w:val="76"/>
                    <w:jc w:val="center"/>
                    <w:rPr>
                      <w:rFonts w:ascii="Times New Roman" w:hAnsi="Times New Roman"/>
                      <w:color w:val="auto"/>
                      <w:szCs w:val="21"/>
                      <w:u w:val="single"/>
                    </w:rPr>
                  </w:pPr>
                  <w:r>
                    <w:rPr>
                      <w:rFonts w:ascii="Times New Roman" w:hAnsi="Times New Roman"/>
                      <w:color w:val="auto"/>
                      <w:szCs w:val="21"/>
                      <w:u w:val="single"/>
                    </w:rPr>
                    <w:t>数控车床（15台）</w:t>
                  </w:r>
                </w:p>
              </w:tc>
              <w:tc>
                <w:tcPr>
                  <w:tcW w:w="596" w:type="pct"/>
                  <w:vMerge w:val="restart"/>
                  <w:vAlign w:val="center"/>
                </w:tcPr>
                <w:p w14:paraId="539E0148">
                  <w:pPr>
                    <w:pStyle w:val="88"/>
                    <w:rPr>
                      <w:color w:val="auto"/>
                      <w:szCs w:val="21"/>
                      <w:u w:val="single"/>
                    </w:rPr>
                  </w:pPr>
                  <w:r>
                    <w:rPr>
                      <w:color w:val="auto"/>
                      <w:u w:val="single"/>
                    </w:rPr>
                    <w:t>85</w:t>
                  </w:r>
                </w:p>
              </w:tc>
              <w:tc>
                <w:tcPr>
                  <w:tcW w:w="503" w:type="pct"/>
                  <w:vMerge w:val="restart"/>
                  <w:vAlign w:val="center"/>
                </w:tcPr>
                <w:p w14:paraId="6FA402F1">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0211C4F3">
                  <w:pPr>
                    <w:pStyle w:val="76"/>
                    <w:jc w:val="center"/>
                    <w:rPr>
                      <w:rFonts w:ascii="Times New Roman" w:hAnsi="Times New Roman"/>
                      <w:color w:val="auto"/>
                      <w:szCs w:val="21"/>
                      <w:u w:val="single"/>
                    </w:rPr>
                  </w:pPr>
                  <w:r>
                    <w:rPr>
                      <w:rFonts w:hint="eastAsia" w:ascii="Times New Roman" w:hAnsi="Times New Roman"/>
                      <w:color w:val="auto"/>
                      <w:szCs w:val="21"/>
                      <w:u w:val="single"/>
                    </w:rPr>
                    <w:t>-72</w:t>
                  </w:r>
                </w:p>
              </w:tc>
              <w:tc>
                <w:tcPr>
                  <w:tcW w:w="170" w:type="pct"/>
                  <w:vMerge w:val="restart"/>
                  <w:vAlign w:val="center"/>
                </w:tcPr>
                <w:p w14:paraId="7EBD593E">
                  <w:pPr>
                    <w:pStyle w:val="76"/>
                    <w:jc w:val="center"/>
                    <w:rPr>
                      <w:rFonts w:ascii="Times New Roman" w:hAnsi="Times New Roman"/>
                      <w:color w:val="auto"/>
                      <w:szCs w:val="21"/>
                      <w:u w:val="single"/>
                    </w:rPr>
                  </w:pPr>
                  <w:r>
                    <w:rPr>
                      <w:rFonts w:hint="eastAsia" w:ascii="Times New Roman" w:hAnsi="Times New Roman"/>
                      <w:color w:val="auto"/>
                      <w:szCs w:val="21"/>
                      <w:u w:val="single"/>
                    </w:rPr>
                    <w:t>-</w:t>
                  </w:r>
                  <w:r>
                    <w:rPr>
                      <w:rFonts w:ascii="Times New Roman" w:hAnsi="Times New Roman"/>
                      <w:color w:val="auto"/>
                      <w:szCs w:val="21"/>
                      <w:u w:val="single"/>
                    </w:rPr>
                    <w:t>10</w:t>
                  </w:r>
                </w:p>
              </w:tc>
              <w:tc>
                <w:tcPr>
                  <w:tcW w:w="125" w:type="pct"/>
                  <w:vMerge w:val="restart"/>
                  <w:vAlign w:val="center"/>
                </w:tcPr>
                <w:p w14:paraId="41159DDB">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7555AE8D">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731648D0">
                  <w:pPr>
                    <w:pStyle w:val="76"/>
                    <w:jc w:val="center"/>
                    <w:rPr>
                      <w:rFonts w:ascii="Times New Roman" w:hAnsi="Times New Roman"/>
                      <w:color w:val="auto"/>
                      <w:szCs w:val="21"/>
                      <w:u w:val="single"/>
                    </w:rPr>
                  </w:pPr>
                  <w:r>
                    <w:rPr>
                      <w:rFonts w:hint="eastAsia" w:ascii="Times New Roman" w:hAnsi="Times New Roman"/>
                      <w:color w:val="auto"/>
                      <w:szCs w:val="21"/>
                      <w:u w:val="single"/>
                    </w:rPr>
                    <w:t>168</w:t>
                  </w:r>
                </w:p>
              </w:tc>
              <w:tc>
                <w:tcPr>
                  <w:tcW w:w="405" w:type="pct"/>
                  <w:vAlign w:val="center"/>
                </w:tcPr>
                <w:p w14:paraId="38F43B7D">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restart"/>
                  <w:vAlign w:val="center"/>
                </w:tcPr>
                <w:p w14:paraId="0C9B01DB">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31A2E110">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50A0E69F">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47BC4A5D">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restart"/>
                  <w:vAlign w:val="center"/>
                </w:tcPr>
                <w:p w14:paraId="1D7D9B24">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7FE090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2D126D8E">
                  <w:pPr>
                    <w:pStyle w:val="76"/>
                    <w:numPr>
                      <w:ilvl w:val="0"/>
                      <w:numId w:val="7"/>
                    </w:numPr>
                    <w:ind w:left="425"/>
                    <w:jc w:val="center"/>
                    <w:rPr>
                      <w:rFonts w:ascii="Times New Roman" w:hAnsi="Times New Roman"/>
                      <w:color w:val="auto"/>
                      <w:szCs w:val="21"/>
                      <w:u w:val="single"/>
                    </w:rPr>
                  </w:pPr>
                </w:p>
              </w:tc>
              <w:tc>
                <w:tcPr>
                  <w:tcW w:w="163" w:type="pct"/>
                  <w:vMerge w:val="continue"/>
                  <w:vAlign w:val="center"/>
                </w:tcPr>
                <w:p w14:paraId="3701A931">
                  <w:pPr>
                    <w:pStyle w:val="76"/>
                    <w:jc w:val="center"/>
                    <w:rPr>
                      <w:rFonts w:ascii="Times New Roman" w:hAnsi="Times New Roman"/>
                      <w:color w:val="auto"/>
                      <w:szCs w:val="21"/>
                      <w:u w:val="single"/>
                    </w:rPr>
                  </w:pPr>
                </w:p>
              </w:tc>
              <w:tc>
                <w:tcPr>
                  <w:tcW w:w="299" w:type="pct"/>
                  <w:vMerge w:val="continue"/>
                  <w:vAlign w:val="center"/>
                </w:tcPr>
                <w:p w14:paraId="55C49703">
                  <w:pPr>
                    <w:pStyle w:val="76"/>
                    <w:jc w:val="center"/>
                    <w:rPr>
                      <w:rFonts w:ascii="Times New Roman" w:hAnsi="Times New Roman"/>
                      <w:color w:val="auto"/>
                      <w:szCs w:val="21"/>
                      <w:u w:val="single"/>
                    </w:rPr>
                  </w:pPr>
                </w:p>
              </w:tc>
              <w:tc>
                <w:tcPr>
                  <w:tcW w:w="596" w:type="pct"/>
                  <w:vMerge w:val="continue"/>
                  <w:vAlign w:val="center"/>
                </w:tcPr>
                <w:p w14:paraId="71E2429A">
                  <w:pPr>
                    <w:pStyle w:val="76"/>
                    <w:jc w:val="center"/>
                    <w:rPr>
                      <w:rFonts w:ascii="Times New Roman" w:hAnsi="Times New Roman"/>
                      <w:color w:val="auto"/>
                      <w:szCs w:val="21"/>
                      <w:u w:val="single"/>
                    </w:rPr>
                  </w:pPr>
                </w:p>
              </w:tc>
              <w:tc>
                <w:tcPr>
                  <w:tcW w:w="503" w:type="pct"/>
                  <w:vMerge w:val="continue"/>
                </w:tcPr>
                <w:p w14:paraId="1021F919">
                  <w:pPr>
                    <w:pStyle w:val="76"/>
                    <w:jc w:val="center"/>
                    <w:rPr>
                      <w:rFonts w:ascii="Times New Roman" w:hAnsi="Times New Roman"/>
                      <w:color w:val="auto"/>
                      <w:szCs w:val="21"/>
                      <w:u w:val="single"/>
                    </w:rPr>
                  </w:pPr>
                </w:p>
              </w:tc>
              <w:tc>
                <w:tcPr>
                  <w:tcW w:w="170" w:type="pct"/>
                  <w:vMerge w:val="continue"/>
                </w:tcPr>
                <w:p w14:paraId="025DDDF9">
                  <w:pPr>
                    <w:pStyle w:val="76"/>
                    <w:jc w:val="center"/>
                    <w:rPr>
                      <w:rFonts w:ascii="Times New Roman" w:hAnsi="Times New Roman"/>
                      <w:color w:val="auto"/>
                      <w:szCs w:val="21"/>
                      <w:u w:val="single"/>
                    </w:rPr>
                  </w:pPr>
                </w:p>
              </w:tc>
              <w:tc>
                <w:tcPr>
                  <w:tcW w:w="170" w:type="pct"/>
                  <w:vMerge w:val="continue"/>
                </w:tcPr>
                <w:p w14:paraId="66193B2C">
                  <w:pPr>
                    <w:pStyle w:val="76"/>
                    <w:jc w:val="center"/>
                    <w:rPr>
                      <w:rFonts w:ascii="Times New Roman" w:hAnsi="Times New Roman"/>
                      <w:color w:val="auto"/>
                      <w:szCs w:val="21"/>
                      <w:u w:val="single"/>
                    </w:rPr>
                  </w:pPr>
                </w:p>
              </w:tc>
              <w:tc>
                <w:tcPr>
                  <w:tcW w:w="125" w:type="pct"/>
                  <w:vMerge w:val="continue"/>
                </w:tcPr>
                <w:p w14:paraId="70FFFD25">
                  <w:pPr>
                    <w:pStyle w:val="76"/>
                    <w:jc w:val="center"/>
                    <w:rPr>
                      <w:rFonts w:ascii="Times New Roman" w:hAnsi="Times New Roman"/>
                      <w:color w:val="auto"/>
                      <w:szCs w:val="21"/>
                      <w:u w:val="single"/>
                    </w:rPr>
                  </w:pPr>
                </w:p>
              </w:tc>
              <w:tc>
                <w:tcPr>
                  <w:tcW w:w="208" w:type="pct"/>
                  <w:vAlign w:val="center"/>
                </w:tcPr>
                <w:p w14:paraId="279F7672">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2B8FAC96">
                  <w:pPr>
                    <w:pStyle w:val="76"/>
                    <w:jc w:val="center"/>
                    <w:rPr>
                      <w:rFonts w:ascii="Times New Roman" w:hAnsi="Times New Roman"/>
                      <w:color w:val="auto"/>
                      <w:szCs w:val="21"/>
                      <w:u w:val="single"/>
                    </w:rPr>
                  </w:pPr>
                  <w:r>
                    <w:rPr>
                      <w:rFonts w:hint="eastAsia" w:ascii="Times New Roman" w:hAnsi="Times New Roman"/>
                      <w:color w:val="auto"/>
                      <w:szCs w:val="21"/>
                      <w:u w:val="single"/>
                    </w:rPr>
                    <w:t>4</w:t>
                  </w:r>
                </w:p>
              </w:tc>
              <w:tc>
                <w:tcPr>
                  <w:tcW w:w="405" w:type="pct"/>
                  <w:vAlign w:val="center"/>
                </w:tcPr>
                <w:p w14:paraId="41DCC0AC">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1</w:t>
                  </w:r>
                </w:p>
              </w:tc>
              <w:tc>
                <w:tcPr>
                  <w:tcW w:w="548" w:type="pct"/>
                  <w:vMerge w:val="continue"/>
                </w:tcPr>
                <w:p w14:paraId="4CD85994">
                  <w:pPr>
                    <w:pStyle w:val="76"/>
                    <w:jc w:val="center"/>
                    <w:rPr>
                      <w:rFonts w:ascii="Times New Roman" w:hAnsi="Times New Roman"/>
                      <w:color w:val="auto"/>
                      <w:szCs w:val="21"/>
                      <w:u w:val="single"/>
                    </w:rPr>
                  </w:pPr>
                </w:p>
              </w:tc>
              <w:tc>
                <w:tcPr>
                  <w:tcW w:w="436" w:type="pct"/>
                  <w:vMerge w:val="continue"/>
                </w:tcPr>
                <w:p w14:paraId="22F16D77">
                  <w:pPr>
                    <w:pStyle w:val="76"/>
                    <w:jc w:val="center"/>
                    <w:rPr>
                      <w:rFonts w:ascii="Times New Roman" w:hAnsi="Times New Roman"/>
                      <w:color w:val="auto"/>
                      <w:szCs w:val="21"/>
                      <w:u w:val="single"/>
                    </w:rPr>
                  </w:pPr>
                </w:p>
              </w:tc>
              <w:tc>
                <w:tcPr>
                  <w:tcW w:w="272" w:type="pct"/>
                  <w:vAlign w:val="center"/>
                </w:tcPr>
                <w:p w14:paraId="23013AE2">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013CC2FA">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1</w:t>
                  </w:r>
                </w:p>
              </w:tc>
              <w:tc>
                <w:tcPr>
                  <w:tcW w:w="311" w:type="pct"/>
                  <w:vMerge w:val="continue"/>
                </w:tcPr>
                <w:p w14:paraId="1310A041">
                  <w:pPr>
                    <w:pStyle w:val="76"/>
                    <w:jc w:val="center"/>
                    <w:rPr>
                      <w:rFonts w:ascii="Times New Roman" w:hAnsi="Times New Roman"/>
                      <w:color w:val="auto"/>
                      <w:szCs w:val="21"/>
                      <w:u w:val="single"/>
                    </w:rPr>
                  </w:pPr>
                </w:p>
              </w:tc>
            </w:tr>
            <w:tr w14:paraId="258B01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650B5DF3">
                  <w:pPr>
                    <w:pStyle w:val="76"/>
                    <w:numPr>
                      <w:ilvl w:val="0"/>
                      <w:numId w:val="7"/>
                    </w:numPr>
                    <w:ind w:left="425"/>
                    <w:jc w:val="center"/>
                    <w:rPr>
                      <w:rFonts w:ascii="Times New Roman" w:hAnsi="Times New Roman"/>
                      <w:color w:val="auto"/>
                      <w:szCs w:val="21"/>
                      <w:u w:val="single"/>
                    </w:rPr>
                  </w:pPr>
                </w:p>
              </w:tc>
              <w:tc>
                <w:tcPr>
                  <w:tcW w:w="163" w:type="pct"/>
                  <w:vMerge w:val="continue"/>
                  <w:vAlign w:val="center"/>
                </w:tcPr>
                <w:p w14:paraId="00202266">
                  <w:pPr>
                    <w:pStyle w:val="76"/>
                    <w:jc w:val="center"/>
                    <w:rPr>
                      <w:rFonts w:ascii="Times New Roman" w:hAnsi="Times New Roman"/>
                      <w:color w:val="auto"/>
                      <w:szCs w:val="21"/>
                      <w:u w:val="single"/>
                    </w:rPr>
                  </w:pPr>
                </w:p>
              </w:tc>
              <w:tc>
                <w:tcPr>
                  <w:tcW w:w="299" w:type="pct"/>
                  <w:vMerge w:val="continue"/>
                  <w:vAlign w:val="center"/>
                </w:tcPr>
                <w:p w14:paraId="6BD464D7">
                  <w:pPr>
                    <w:pStyle w:val="76"/>
                    <w:jc w:val="center"/>
                    <w:rPr>
                      <w:rFonts w:ascii="Times New Roman" w:hAnsi="Times New Roman"/>
                      <w:color w:val="auto"/>
                      <w:szCs w:val="21"/>
                      <w:u w:val="single"/>
                    </w:rPr>
                  </w:pPr>
                </w:p>
              </w:tc>
              <w:tc>
                <w:tcPr>
                  <w:tcW w:w="596" w:type="pct"/>
                  <w:vMerge w:val="continue"/>
                  <w:vAlign w:val="center"/>
                </w:tcPr>
                <w:p w14:paraId="4E2D7861">
                  <w:pPr>
                    <w:pStyle w:val="76"/>
                    <w:jc w:val="center"/>
                    <w:rPr>
                      <w:rFonts w:ascii="Times New Roman" w:hAnsi="Times New Roman"/>
                      <w:color w:val="auto"/>
                      <w:szCs w:val="21"/>
                      <w:u w:val="single"/>
                    </w:rPr>
                  </w:pPr>
                </w:p>
              </w:tc>
              <w:tc>
                <w:tcPr>
                  <w:tcW w:w="503" w:type="pct"/>
                  <w:vMerge w:val="continue"/>
                </w:tcPr>
                <w:p w14:paraId="416FF53C">
                  <w:pPr>
                    <w:pStyle w:val="76"/>
                    <w:jc w:val="center"/>
                    <w:rPr>
                      <w:rFonts w:ascii="Times New Roman" w:hAnsi="Times New Roman"/>
                      <w:color w:val="auto"/>
                      <w:szCs w:val="21"/>
                      <w:u w:val="single"/>
                    </w:rPr>
                  </w:pPr>
                </w:p>
              </w:tc>
              <w:tc>
                <w:tcPr>
                  <w:tcW w:w="170" w:type="pct"/>
                  <w:vMerge w:val="continue"/>
                </w:tcPr>
                <w:p w14:paraId="7F1FCA05">
                  <w:pPr>
                    <w:pStyle w:val="76"/>
                    <w:jc w:val="center"/>
                    <w:rPr>
                      <w:rFonts w:ascii="Times New Roman" w:hAnsi="Times New Roman"/>
                      <w:color w:val="auto"/>
                      <w:szCs w:val="21"/>
                      <w:u w:val="single"/>
                    </w:rPr>
                  </w:pPr>
                </w:p>
              </w:tc>
              <w:tc>
                <w:tcPr>
                  <w:tcW w:w="170" w:type="pct"/>
                  <w:vMerge w:val="continue"/>
                </w:tcPr>
                <w:p w14:paraId="0196301C">
                  <w:pPr>
                    <w:pStyle w:val="76"/>
                    <w:jc w:val="center"/>
                    <w:rPr>
                      <w:rFonts w:ascii="Times New Roman" w:hAnsi="Times New Roman"/>
                      <w:color w:val="auto"/>
                      <w:szCs w:val="21"/>
                      <w:u w:val="single"/>
                    </w:rPr>
                  </w:pPr>
                </w:p>
              </w:tc>
              <w:tc>
                <w:tcPr>
                  <w:tcW w:w="125" w:type="pct"/>
                  <w:vMerge w:val="continue"/>
                </w:tcPr>
                <w:p w14:paraId="79C0533F">
                  <w:pPr>
                    <w:pStyle w:val="76"/>
                    <w:jc w:val="center"/>
                    <w:rPr>
                      <w:rFonts w:ascii="Times New Roman" w:hAnsi="Times New Roman"/>
                      <w:color w:val="auto"/>
                      <w:szCs w:val="21"/>
                      <w:u w:val="single"/>
                    </w:rPr>
                  </w:pPr>
                </w:p>
              </w:tc>
              <w:tc>
                <w:tcPr>
                  <w:tcW w:w="208" w:type="pct"/>
                  <w:vAlign w:val="center"/>
                </w:tcPr>
                <w:p w14:paraId="6246971D">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4920293F">
                  <w:pPr>
                    <w:pStyle w:val="76"/>
                    <w:jc w:val="center"/>
                    <w:rPr>
                      <w:rFonts w:ascii="Times New Roman" w:hAnsi="Times New Roman"/>
                      <w:color w:val="auto"/>
                      <w:szCs w:val="21"/>
                      <w:u w:val="single"/>
                    </w:rPr>
                  </w:pPr>
                  <w:r>
                    <w:rPr>
                      <w:rFonts w:hint="eastAsia" w:ascii="Times New Roman" w:hAnsi="Times New Roman"/>
                      <w:color w:val="auto"/>
                      <w:szCs w:val="21"/>
                      <w:u w:val="single"/>
                    </w:rPr>
                    <w:t>18</w:t>
                  </w:r>
                </w:p>
              </w:tc>
              <w:tc>
                <w:tcPr>
                  <w:tcW w:w="405" w:type="pct"/>
                  <w:vAlign w:val="center"/>
                </w:tcPr>
                <w:p w14:paraId="71DB3D6F">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continue"/>
                </w:tcPr>
                <w:p w14:paraId="02D0CC94">
                  <w:pPr>
                    <w:pStyle w:val="76"/>
                    <w:jc w:val="center"/>
                    <w:rPr>
                      <w:rFonts w:ascii="Times New Roman" w:hAnsi="Times New Roman"/>
                      <w:color w:val="auto"/>
                      <w:szCs w:val="21"/>
                      <w:u w:val="single"/>
                    </w:rPr>
                  </w:pPr>
                </w:p>
              </w:tc>
              <w:tc>
                <w:tcPr>
                  <w:tcW w:w="436" w:type="pct"/>
                  <w:vMerge w:val="continue"/>
                </w:tcPr>
                <w:p w14:paraId="1F4509FB">
                  <w:pPr>
                    <w:pStyle w:val="76"/>
                    <w:jc w:val="center"/>
                    <w:rPr>
                      <w:rFonts w:ascii="Times New Roman" w:hAnsi="Times New Roman"/>
                      <w:color w:val="auto"/>
                      <w:szCs w:val="21"/>
                      <w:u w:val="single"/>
                    </w:rPr>
                  </w:pPr>
                </w:p>
              </w:tc>
              <w:tc>
                <w:tcPr>
                  <w:tcW w:w="272" w:type="pct"/>
                  <w:vAlign w:val="center"/>
                </w:tcPr>
                <w:p w14:paraId="369CAF37">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33FA90F8">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tcPr>
                <w:p w14:paraId="2E985894">
                  <w:pPr>
                    <w:pStyle w:val="76"/>
                    <w:jc w:val="center"/>
                    <w:rPr>
                      <w:rFonts w:ascii="Times New Roman" w:hAnsi="Times New Roman"/>
                      <w:color w:val="auto"/>
                      <w:szCs w:val="21"/>
                      <w:u w:val="single"/>
                    </w:rPr>
                  </w:pPr>
                </w:p>
              </w:tc>
            </w:tr>
            <w:tr w14:paraId="03A39D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60C48BBF">
                  <w:pPr>
                    <w:pStyle w:val="76"/>
                    <w:numPr>
                      <w:ilvl w:val="0"/>
                      <w:numId w:val="7"/>
                    </w:numPr>
                    <w:ind w:left="425"/>
                    <w:jc w:val="center"/>
                    <w:rPr>
                      <w:rFonts w:ascii="Times New Roman" w:hAnsi="Times New Roman"/>
                      <w:color w:val="auto"/>
                      <w:szCs w:val="21"/>
                      <w:u w:val="single"/>
                    </w:rPr>
                  </w:pPr>
                </w:p>
              </w:tc>
              <w:tc>
                <w:tcPr>
                  <w:tcW w:w="163" w:type="pct"/>
                  <w:vMerge w:val="continue"/>
                  <w:vAlign w:val="center"/>
                </w:tcPr>
                <w:p w14:paraId="6F3203D6">
                  <w:pPr>
                    <w:pStyle w:val="76"/>
                    <w:jc w:val="center"/>
                    <w:rPr>
                      <w:rFonts w:ascii="Times New Roman" w:hAnsi="Times New Roman"/>
                      <w:color w:val="auto"/>
                      <w:szCs w:val="21"/>
                      <w:u w:val="single"/>
                    </w:rPr>
                  </w:pPr>
                </w:p>
              </w:tc>
              <w:tc>
                <w:tcPr>
                  <w:tcW w:w="299" w:type="pct"/>
                  <w:vMerge w:val="continue"/>
                  <w:vAlign w:val="center"/>
                </w:tcPr>
                <w:p w14:paraId="6CCA26B2">
                  <w:pPr>
                    <w:pStyle w:val="76"/>
                    <w:jc w:val="center"/>
                    <w:rPr>
                      <w:rFonts w:ascii="Times New Roman" w:hAnsi="Times New Roman"/>
                      <w:color w:val="auto"/>
                      <w:szCs w:val="21"/>
                      <w:u w:val="single"/>
                    </w:rPr>
                  </w:pPr>
                </w:p>
              </w:tc>
              <w:tc>
                <w:tcPr>
                  <w:tcW w:w="596" w:type="pct"/>
                  <w:vMerge w:val="continue"/>
                  <w:vAlign w:val="center"/>
                </w:tcPr>
                <w:p w14:paraId="223B618B">
                  <w:pPr>
                    <w:pStyle w:val="76"/>
                    <w:jc w:val="center"/>
                    <w:rPr>
                      <w:rFonts w:ascii="Times New Roman" w:hAnsi="Times New Roman"/>
                      <w:color w:val="auto"/>
                      <w:szCs w:val="21"/>
                      <w:u w:val="single"/>
                    </w:rPr>
                  </w:pPr>
                </w:p>
              </w:tc>
              <w:tc>
                <w:tcPr>
                  <w:tcW w:w="503" w:type="pct"/>
                  <w:vMerge w:val="continue"/>
                </w:tcPr>
                <w:p w14:paraId="5B19D41B">
                  <w:pPr>
                    <w:pStyle w:val="76"/>
                    <w:jc w:val="center"/>
                    <w:rPr>
                      <w:rFonts w:ascii="Times New Roman" w:hAnsi="Times New Roman"/>
                      <w:color w:val="auto"/>
                      <w:szCs w:val="21"/>
                      <w:u w:val="single"/>
                    </w:rPr>
                  </w:pPr>
                </w:p>
              </w:tc>
              <w:tc>
                <w:tcPr>
                  <w:tcW w:w="170" w:type="pct"/>
                  <w:vMerge w:val="continue"/>
                </w:tcPr>
                <w:p w14:paraId="08EAFC02">
                  <w:pPr>
                    <w:pStyle w:val="76"/>
                    <w:jc w:val="center"/>
                    <w:rPr>
                      <w:rFonts w:ascii="Times New Roman" w:hAnsi="Times New Roman"/>
                      <w:color w:val="auto"/>
                      <w:szCs w:val="21"/>
                      <w:u w:val="single"/>
                    </w:rPr>
                  </w:pPr>
                </w:p>
              </w:tc>
              <w:tc>
                <w:tcPr>
                  <w:tcW w:w="170" w:type="pct"/>
                  <w:vMerge w:val="continue"/>
                </w:tcPr>
                <w:p w14:paraId="39D2974B">
                  <w:pPr>
                    <w:pStyle w:val="76"/>
                    <w:jc w:val="center"/>
                    <w:rPr>
                      <w:rFonts w:ascii="Times New Roman" w:hAnsi="Times New Roman"/>
                      <w:color w:val="auto"/>
                      <w:szCs w:val="21"/>
                      <w:u w:val="single"/>
                    </w:rPr>
                  </w:pPr>
                </w:p>
              </w:tc>
              <w:tc>
                <w:tcPr>
                  <w:tcW w:w="125" w:type="pct"/>
                  <w:vMerge w:val="continue"/>
                </w:tcPr>
                <w:p w14:paraId="5F02E56C">
                  <w:pPr>
                    <w:pStyle w:val="76"/>
                    <w:jc w:val="center"/>
                    <w:rPr>
                      <w:rFonts w:ascii="Times New Roman" w:hAnsi="Times New Roman"/>
                      <w:color w:val="auto"/>
                      <w:szCs w:val="21"/>
                      <w:u w:val="single"/>
                    </w:rPr>
                  </w:pPr>
                </w:p>
              </w:tc>
              <w:tc>
                <w:tcPr>
                  <w:tcW w:w="208" w:type="pct"/>
                  <w:vAlign w:val="center"/>
                </w:tcPr>
                <w:p w14:paraId="0D283D86">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5BCCF6A0">
                  <w:pPr>
                    <w:pStyle w:val="76"/>
                    <w:jc w:val="center"/>
                    <w:rPr>
                      <w:rFonts w:ascii="Times New Roman" w:hAnsi="Times New Roman"/>
                      <w:color w:val="auto"/>
                      <w:szCs w:val="21"/>
                      <w:u w:val="single"/>
                    </w:rPr>
                  </w:pPr>
                  <w:r>
                    <w:rPr>
                      <w:rFonts w:ascii="Times New Roman" w:hAnsi="Times New Roman"/>
                      <w:color w:val="auto"/>
                      <w:szCs w:val="21"/>
                      <w:u w:val="single"/>
                    </w:rPr>
                    <w:t>2</w:t>
                  </w:r>
                  <w:r>
                    <w:rPr>
                      <w:rFonts w:hint="eastAsia" w:ascii="Times New Roman" w:hAnsi="Times New Roman"/>
                      <w:color w:val="auto"/>
                      <w:szCs w:val="21"/>
                      <w:u w:val="single"/>
                    </w:rPr>
                    <w:t>4</w:t>
                  </w:r>
                </w:p>
              </w:tc>
              <w:tc>
                <w:tcPr>
                  <w:tcW w:w="405" w:type="pct"/>
                  <w:vAlign w:val="center"/>
                </w:tcPr>
                <w:p w14:paraId="611E33C3">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0</w:t>
                  </w:r>
                </w:p>
              </w:tc>
              <w:tc>
                <w:tcPr>
                  <w:tcW w:w="548" w:type="pct"/>
                  <w:vMerge w:val="continue"/>
                </w:tcPr>
                <w:p w14:paraId="5EB49F4C">
                  <w:pPr>
                    <w:pStyle w:val="76"/>
                    <w:jc w:val="center"/>
                    <w:rPr>
                      <w:rFonts w:ascii="Times New Roman" w:hAnsi="Times New Roman"/>
                      <w:color w:val="auto"/>
                      <w:szCs w:val="21"/>
                      <w:u w:val="single"/>
                    </w:rPr>
                  </w:pPr>
                </w:p>
              </w:tc>
              <w:tc>
                <w:tcPr>
                  <w:tcW w:w="436" w:type="pct"/>
                  <w:vMerge w:val="continue"/>
                </w:tcPr>
                <w:p w14:paraId="5250102F">
                  <w:pPr>
                    <w:pStyle w:val="76"/>
                    <w:jc w:val="center"/>
                    <w:rPr>
                      <w:rFonts w:ascii="Times New Roman" w:hAnsi="Times New Roman"/>
                      <w:color w:val="auto"/>
                      <w:szCs w:val="21"/>
                      <w:u w:val="single"/>
                    </w:rPr>
                  </w:pPr>
                </w:p>
              </w:tc>
              <w:tc>
                <w:tcPr>
                  <w:tcW w:w="272" w:type="pct"/>
                  <w:vAlign w:val="center"/>
                </w:tcPr>
                <w:p w14:paraId="6489B24A">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1189AB36">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0</w:t>
                  </w:r>
                </w:p>
              </w:tc>
              <w:tc>
                <w:tcPr>
                  <w:tcW w:w="311" w:type="pct"/>
                  <w:vMerge w:val="continue"/>
                </w:tcPr>
                <w:p w14:paraId="6979E06D">
                  <w:pPr>
                    <w:pStyle w:val="76"/>
                    <w:jc w:val="center"/>
                    <w:rPr>
                      <w:rFonts w:ascii="Times New Roman" w:hAnsi="Times New Roman"/>
                      <w:color w:val="auto"/>
                      <w:szCs w:val="21"/>
                      <w:u w:val="single"/>
                    </w:rPr>
                  </w:pPr>
                </w:p>
              </w:tc>
            </w:tr>
            <w:tr w14:paraId="18FFF7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36CDB5D3">
                  <w:pPr>
                    <w:pStyle w:val="76"/>
                    <w:numPr>
                      <w:ilvl w:val="0"/>
                      <w:numId w:val="7"/>
                    </w:numPr>
                    <w:jc w:val="center"/>
                    <w:rPr>
                      <w:rFonts w:ascii="Times New Roman" w:hAnsi="Times New Roman"/>
                      <w:color w:val="auto"/>
                      <w:szCs w:val="21"/>
                      <w:u w:val="single"/>
                    </w:rPr>
                  </w:pPr>
                </w:p>
              </w:tc>
              <w:tc>
                <w:tcPr>
                  <w:tcW w:w="163" w:type="pct"/>
                  <w:vMerge w:val="continue"/>
                  <w:vAlign w:val="center"/>
                </w:tcPr>
                <w:p w14:paraId="0CC523EA">
                  <w:pPr>
                    <w:pStyle w:val="76"/>
                    <w:jc w:val="center"/>
                    <w:rPr>
                      <w:rFonts w:ascii="Times New Roman" w:hAnsi="Times New Roman"/>
                      <w:color w:val="auto"/>
                      <w:szCs w:val="21"/>
                      <w:u w:val="single"/>
                    </w:rPr>
                  </w:pPr>
                </w:p>
              </w:tc>
              <w:tc>
                <w:tcPr>
                  <w:tcW w:w="299" w:type="pct"/>
                  <w:vMerge w:val="restart"/>
                  <w:vAlign w:val="center"/>
                </w:tcPr>
                <w:p w14:paraId="01FF8DB2">
                  <w:pPr>
                    <w:pStyle w:val="76"/>
                    <w:jc w:val="center"/>
                    <w:rPr>
                      <w:rFonts w:ascii="Times New Roman" w:hAnsi="Times New Roman"/>
                      <w:color w:val="auto"/>
                      <w:szCs w:val="21"/>
                      <w:u w:val="single"/>
                    </w:rPr>
                  </w:pPr>
                  <w:r>
                    <w:rPr>
                      <w:rFonts w:ascii="Times New Roman" w:hAnsi="Times New Roman"/>
                      <w:color w:val="auto"/>
                      <w:szCs w:val="21"/>
                      <w:u w:val="single"/>
                    </w:rPr>
                    <w:t>普通车床（4台）</w:t>
                  </w:r>
                </w:p>
              </w:tc>
              <w:tc>
                <w:tcPr>
                  <w:tcW w:w="596" w:type="pct"/>
                  <w:vMerge w:val="restart"/>
                  <w:vAlign w:val="center"/>
                </w:tcPr>
                <w:p w14:paraId="43EB964B">
                  <w:pPr>
                    <w:pStyle w:val="88"/>
                    <w:rPr>
                      <w:color w:val="auto"/>
                      <w:szCs w:val="21"/>
                      <w:u w:val="single"/>
                    </w:rPr>
                  </w:pPr>
                  <w:r>
                    <w:rPr>
                      <w:color w:val="auto"/>
                      <w:u w:val="single"/>
                    </w:rPr>
                    <w:t>85</w:t>
                  </w:r>
                </w:p>
              </w:tc>
              <w:tc>
                <w:tcPr>
                  <w:tcW w:w="503" w:type="pct"/>
                  <w:vMerge w:val="restart"/>
                  <w:vAlign w:val="center"/>
                </w:tcPr>
                <w:p w14:paraId="3FF190AB">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3147BD4C">
                  <w:pPr>
                    <w:pStyle w:val="76"/>
                    <w:jc w:val="center"/>
                    <w:rPr>
                      <w:rFonts w:ascii="Times New Roman" w:hAnsi="Times New Roman"/>
                      <w:color w:val="auto"/>
                      <w:szCs w:val="21"/>
                      <w:u w:val="single"/>
                    </w:rPr>
                  </w:pPr>
                  <w:r>
                    <w:rPr>
                      <w:rFonts w:hint="eastAsia" w:ascii="Times New Roman" w:hAnsi="Times New Roman"/>
                      <w:color w:val="auto"/>
                      <w:szCs w:val="21"/>
                      <w:u w:val="single"/>
                    </w:rPr>
                    <w:t>-80</w:t>
                  </w:r>
                </w:p>
              </w:tc>
              <w:tc>
                <w:tcPr>
                  <w:tcW w:w="170" w:type="pct"/>
                  <w:vMerge w:val="restart"/>
                  <w:vAlign w:val="center"/>
                </w:tcPr>
                <w:p w14:paraId="2835E9E6">
                  <w:pPr>
                    <w:pStyle w:val="76"/>
                    <w:jc w:val="center"/>
                    <w:rPr>
                      <w:rFonts w:ascii="Times New Roman" w:hAnsi="Times New Roman"/>
                      <w:color w:val="auto"/>
                      <w:szCs w:val="21"/>
                      <w:u w:val="single"/>
                    </w:rPr>
                  </w:pPr>
                  <w:r>
                    <w:rPr>
                      <w:rFonts w:hint="eastAsia" w:ascii="Times New Roman" w:hAnsi="Times New Roman"/>
                      <w:color w:val="auto"/>
                      <w:szCs w:val="21"/>
                      <w:u w:val="single"/>
                    </w:rPr>
                    <w:t>2</w:t>
                  </w:r>
                </w:p>
              </w:tc>
              <w:tc>
                <w:tcPr>
                  <w:tcW w:w="125" w:type="pct"/>
                  <w:vMerge w:val="restart"/>
                  <w:vAlign w:val="center"/>
                </w:tcPr>
                <w:p w14:paraId="375AD580">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32BD6B23">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27C3FD2D">
                  <w:pPr>
                    <w:pStyle w:val="76"/>
                    <w:jc w:val="center"/>
                    <w:rPr>
                      <w:rFonts w:ascii="Times New Roman" w:hAnsi="Times New Roman"/>
                      <w:color w:val="auto"/>
                      <w:szCs w:val="21"/>
                      <w:u w:val="single"/>
                    </w:rPr>
                  </w:pPr>
                  <w:r>
                    <w:rPr>
                      <w:rFonts w:hint="eastAsia" w:ascii="Times New Roman" w:hAnsi="Times New Roman"/>
                      <w:color w:val="auto"/>
                      <w:szCs w:val="21"/>
                      <w:u w:val="single"/>
                    </w:rPr>
                    <w:t>176</w:t>
                  </w:r>
                </w:p>
              </w:tc>
              <w:tc>
                <w:tcPr>
                  <w:tcW w:w="405" w:type="pct"/>
                  <w:vAlign w:val="center"/>
                </w:tcPr>
                <w:p w14:paraId="24D46A8F">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restart"/>
                  <w:vAlign w:val="center"/>
                </w:tcPr>
                <w:p w14:paraId="0408C72B">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5FCD8094">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69CAA44D">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1E0E0573">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restart"/>
                  <w:vAlign w:val="center"/>
                </w:tcPr>
                <w:p w14:paraId="1AF3E0B3">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2B2406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2EBE9791">
                  <w:pPr>
                    <w:pStyle w:val="76"/>
                    <w:numPr>
                      <w:ilvl w:val="0"/>
                      <w:numId w:val="7"/>
                    </w:numPr>
                    <w:ind w:left="425"/>
                    <w:jc w:val="center"/>
                    <w:rPr>
                      <w:rFonts w:ascii="Times New Roman" w:hAnsi="Times New Roman"/>
                      <w:color w:val="auto"/>
                      <w:szCs w:val="21"/>
                      <w:u w:val="single"/>
                    </w:rPr>
                  </w:pPr>
                </w:p>
              </w:tc>
              <w:tc>
                <w:tcPr>
                  <w:tcW w:w="163" w:type="pct"/>
                  <w:vMerge w:val="continue"/>
                  <w:vAlign w:val="center"/>
                </w:tcPr>
                <w:p w14:paraId="60C96CAA">
                  <w:pPr>
                    <w:pStyle w:val="76"/>
                    <w:jc w:val="center"/>
                    <w:rPr>
                      <w:rFonts w:ascii="Times New Roman" w:hAnsi="Times New Roman"/>
                      <w:color w:val="auto"/>
                      <w:szCs w:val="21"/>
                      <w:u w:val="single"/>
                    </w:rPr>
                  </w:pPr>
                </w:p>
              </w:tc>
              <w:tc>
                <w:tcPr>
                  <w:tcW w:w="299" w:type="pct"/>
                  <w:vMerge w:val="continue"/>
                  <w:vAlign w:val="center"/>
                </w:tcPr>
                <w:p w14:paraId="2A5AB18A">
                  <w:pPr>
                    <w:pStyle w:val="76"/>
                    <w:jc w:val="center"/>
                    <w:rPr>
                      <w:rFonts w:ascii="Times New Roman" w:hAnsi="Times New Roman"/>
                      <w:color w:val="auto"/>
                      <w:szCs w:val="21"/>
                      <w:u w:val="single"/>
                    </w:rPr>
                  </w:pPr>
                </w:p>
              </w:tc>
              <w:tc>
                <w:tcPr>
                  <w:tcW w:w="596" w:type="pct"/>
                  <w:vMerge w:val="continue"/>
                  <w:vAlign w:val="center"/>
                </w:tcPr>
                <w:p w14:paraId="7459D7AB">
                  <w:pPr>
                    <w:pStyle w:val="76"/>
                    <w:jc w:val="center"/>
                    <w:rPr>
                      <w:rFonts w:ascii="Times New Roman" w:hAnsi="Times New Roman"/>
                      <w:color w:val="auto"/>
                      <w:szCs w:val="21"/>
                      <w:u w:val="single"/>
                    </w:rPr>
                  </w:pPr>
                </w:p>
              </w:tc>
              <w:tc>
                <w:tcPr>
                  <w:tcW w:w="503" w:type="pct"/>
                  <w:vMerge w:val="continue"/>
                </w:tcPr>
                <w:p w14:paraId="35B3A179">
                  <w:pPr>
                    <w:pStyle w:val="76"/>
                    <w:jc w:val="center"/>
                    <w:rPr>
                      <w:rFonts w:ascii="Times New Roman" w:hAnsi="Times New Roman"/>
                      <w:color w:val="auto"/>
                      <w:szCs w:val="21"/>
                      <w:u w:val="single"/>
                    </w:rPr>
                  </w:pPr>
                </w:p>
              </w:tc>
              <w:tc>
                <w:tcPr>
                  <w:tcW w:w="170" w:type="pct"/>
                  <w:vMerge w:val="continue"/>
                </w:tcPr>
                <w:p w14:paraId="47467D97">
                  <w:pPr>
                    <w:pStyle w:val="76"/>
                    <w:jc w:val="center"/>
                    <w:rPr>
                      <w:rFonts w:ascii="Times New Roman" w:hAnsi="Times New Roman"/>
                      <w:color w:val="auto"/>
                      <w:szCs w:val="21"/>
                      <w:u w:val="single"/>
                    </w:rPr>
                  </w:pPr>
                </w:p>
              </w:tc>
              <w:tc>
                <w:tcPr>
                  <w:tcW w:w="170" w:type="pct"/>
                  <w:vMerge w:val="continue"/>
                </w:tcPr>
                <w:p w14:paraId="764CF380">
                  <w:pPr>
                    <w:pStyle w:val="76"/>
                    <w:jc w:val="center"/>
                    <w:rPr>
                      <w:rFonts w:ascii="Times New Roman" w:hAnsi="Times New Roman"/>
                      <w:color w:val="auto"/>
                      <w:szCs w:val="21"/>
                      <w:u w:val="single"/>
                    </w:rPr>
                  </w:pPr>
                </w:p>
              </w:tc>
              <w:tc>
                <w:tcPr>
                  <w:tcW w:w="125" w:type="pct"/>
                  <w:vMerge w:val="continue"/>
                </w:tcPr>
                <w:p w14:paraId="01267A0D">
                  <w:pPr>
                    <w:pStyle w:val="76"/>
                    <w:jc w:val="center"/>
                    <w:rPr>
                      <w:rFonts w:ascii="Times New Roman" w:hAnsi="Times New Roman"/>
                      <w:color w:val="auto"/>
                      <w:szCs w:val="21"/>
                      <w:u w:val="single"/>
                    </w:rPr>
                  </w:pPr>
                </w:p>
              </w:tc>
              <w:tc>
                <w:tcPr>
                  <w:tcW w:w="208" w:type="pct"/>
                  <w:vAlign w:val="center"/>
                </w:tcPr>
                <w:p w14:paraId="3C2504A3">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732FB8BB">
                  <w:pPr>
                    <w:pStyle w:val="76"/>
                    <w:jc w:val="center"/>
                    <w:rPr>
                      <w:rFonts w:ascii="Times New Roman" w:hAnsi="Times New Roman"/>
                      <w:color w:val="auto"/>
                      <w:szCs w:val="21"/>
                      <w:u w:val="single"/>
                    </w:rPr>
                  </w:pPr>
                  <w:r>
                    <w:rPr>
                      <w:rFonts w:hint="eastAsia" w:ascii="Times New Roman" w:hAnsi="Times New Roman"/>
                      <w:color w:val="auto"/>
                      <w:szCs w:val="21"/>
                      <w:u w:val="single"/>
                    </w:rPr>
                    <w:t>16</w:t>
                  </w:r>
                </w:p>
              </w:tc>
              <w:tc>
                <w:tcPr>
                  <w:tcW w:w="405" w:type="pct"/>
                  <w:vAlign w:val="center"/>
                </w:tcPr>
                <w:p w14:paraId="08CEC93C">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0</w:t>
                  </w:r>
                </w:p>
              </w:tc>
              <w:tc>
                <w:tcPr>
                  <w:tcW w:w="548" w:type="pct"/>
                  <w:vMerge w:val="continue"/>
                </w:tcPr>
                <w:p w14:paraId="000ABA79">
                  <w:pPr>
                    <w:pStyle w:val="76"/>
                    <w:jc w:val="center"/>
                    <w:rPr>
                      <w:rFonts w:ascii="Times New Roman" w:hAnsi="Times New Roman"/>
                      <w:color w:val="auto"/>
                      <w:szCs w:val="21"/>
                      <w:u w:val="single"/>
                    </w:rPr>
                  </w:pPr>
                </w:p>
              </w:tc>
              <w:tc>
                <w:tcPr>
                  <w:tcW w:w="436" w:type="pct"/>
                  <w:vMerge w:val="continue"/>
                </w:tcPr>
                <w:p w14:paraId="36A065DC">
                  <w:pPr>
                    <w:pStyle w:val="76"/>
                    <w:jc w:val="center"/>
                    <w:rPr>
                      <w:rFonts w:ascii="Times New Roman" w:hAnsi="Times New Roman"/>
                      <w:color w:val="auto"/>
                      <w:szCs w:val="21"/>
                      <w:u w:val="single"/>
                    </w:rPr>
                  </w:pPr>
                </w:p>
              </w:tc>
              <w:tc>
                <w:tcPr>
                  <w:tcW w:w="272" w:type="pct"/>
                  <w:vAlign w:val="center"/>
                </w:tcPr>
                <w:p w14:paraId="427081B7">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712D13F5">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0</w:t>
                  </w:r>
                </w:p>
              </w:tc>
              <w:tc>
                <w:tcPr>
                  <w:tcW w:w="311" w:type="pct"/>
                  <w:vMerge w:val="continue"/>
                </w:tcPr>
                <w:p w14:paraId="69638CF8">
                  <w:pPr>
                    <w:pStyle w:val="76"/>
                    <w:jc w:val="center"/>
                    <w:rPr>
                      <w:rFonts w:ascii="Times New Roman" w:hAnsi="Times New Roman"/>
                      <w:color w:val="auto"/>
                      <w:szCs w:val="21"/>
                      <w:u w:val="single"/>
                    </w:rPr>
                  </w:pPr>
                </w:p>
              </w:tc>
            </w:tr>
            <w:tr w14:paraId="1D46CB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2023A282">
                  <w:pPr>
                    <w:pStyle w:val="76"/>
                    <w:numPr>
                      <w:ilvl w:val="0"/>
                      <w:numId w:val="7"/>
                    </w:numPr>
                    <w:ind w:left="425"/>
                    <w:jc w:val="center"/>
                    <w:rPr>
                      <w:rFonts w:ascii="Times New Roman" w:hAnsi="Times New Roman"/>
                      <w:color w:val="auto"/>
                      <w:szCs w:val="21"/>
                      <w:u w:val="single"/>
                    </w:rPr>
                  </w:pPr>
                </w:p>
              </w:tc>
              <w:tc>
                <w:tcPr>
                  <w:tcW w:w="163" w:type="pct"/>
                  <w:vMerge w:val="continue"/>
                  <w:vAlign w:val="center"/>
                </w:tcPr>
                <w:p w14:paraId="121E15E5">
                  <w:pPr>
                    <w:pStyle w:val="76"/>
                    <w:jc w:val="center"/>
                    <w:rPr>
                      <w:rFonts w:ascii="Times New Roman" w:hAnsi="Times New Roman"/>
                      <w:color w:val="auto"/>
                      <w:szCs w:val="21"/>
                      <w:u w:val="single"/>
                    </w:rPr>
                  </w:pPr>
                </w:p>
              </w:tc>
              <w:tc>
                <w:tcPr>
                  <w:tcW w:w="299" w:type="pct"/>
                  <w:vMerge w:val="continue"/>
                  <w:vAlign w:val="center"/>
                </w:tcPr>
                <w:p w14:paraId="273A9C4E">
                  <w:pPr>
                    <w:pStyle w:val="76"/>
                    <w:jc w:val="center"/>
                    <w:rPr>
                      <w:rFonts w:ascii="Times New Roman" w:hAnsi="Times New Roman"/>
                      <w:color w:val="auto"/>
                      <w:szCs w:val="21"/>
                      <w:u w:val="single"/>
                    </w:rPr>
                  </w:pPr>
                </w:p>
              </w:tc>
              <w:tc>
                <w:tcPr>
                  <w:tcW w:w="596" w:type="pct"/>
                  <w:vMerge w:val="continue"/>
                  <w:vAlign w:val="center"/>
                </w:tcPr>
                <w:p w14:paraId="0E8B12F6">
                  <w:pPr>
                    <w:pStyle w:val="76"/>
                    <w:jc w:val="center"/>
                    <w:rPr>
                      <w:rFonts w:ascii="Times New Roman" w:hAnsi="Times New Roman"/>
                      <w:color w:val="auto"/>
                      <w:szCs w:val="21"/>
                      <w:u w:val="single"/>
                    </w:rPr>
                  </w:pPr>
                </w:p>
              </w:tc>
              <w:tc>
                <w:tcPr>
                  <w:tcW w:w="503" w:type="pct"/>
                  <w:vMerge w:val="continue"/>
                </w:tcPr>
                <w:p w14:paraId="08632ACE">
                  <w:pPr>
                    <w:pStyle w:val="76"/>
                    <w:jc w:val="center"/>
                    <w:rPr>
                      <w:rFonts w:ascii="Times New Roman" w:hAnsi="Times New Roman"/>
                      <w:color w:val="auto"/>
                      <w:szCs w:val="21"/>
                      <w:u w:val="single"/>
                    </w:rPr>
                  </w:pPr>
                </w:p>
              </w:tc>
              <w:tc>
                <w:tcPr>
                  <w:tcW w:w="170" w:type="pct"/>
                  <w:vMerge w:val="continue"/>
                </w:tcPr>
                <w:p w14:paraId="5F6DE698">
                  <w:pPr>
                    <w:pStyle w:val="76"/>
                    <w:jc w:val="center"/>
                    <w:rPr>
                      <w:rFonts w:ascii="Times New Roman" w:hAnsi="Times New Roman"/>
                      <w:color w:val="auto"/>
                      <w:szCs w:val="21"/>
                      <w:u w:val="single"/>
                    </w:rPr>
                  </w:pPr>
                </w:p>
              </w:tc>
              <w:tc>
                <w:tcPr>
                  <w:tcW w:w="170" w:type="pct"/>
                  <w:vMerge w:val="continue"/>
                </w:tcPr>
                <w:p w14:paraId="1634332F">
                  <w:pPr>
                    <w:pStyle w:val="76"/>
                    <w:jc w:val="center"/>
                    <w:rPr>
                      <w:rFonts w:ascii="Times New Roman" w:hAnsi="Times New Roman"/>
                      <w:color w:val="auto"/>
                      <w:szCs w:val="21"/>
                      <w:u w:val="single"/>
                    </w:rPr>
                  </w:pPr>
                </w:p>
              </w:tc>
              <w:tc>
                <w:tcPr>
                  <w:tcW w:w="125" w:type="pct"/>
                  <w:vMerge w:val="continue"/>
                </w:tcPr>
                <w:p w14:paraId="6B9C3D01">
                  <w:pPr>
                    <w:pStyle w:val="76"/>
                    <w:jc w:val="center"/>
                    <w:rPr>
                      <w:rFonts w:ascii="Times New Roman" w:hAnsi="Times New Roman"/>
                      <w:color w:val="auto"/>
                      <w:szCs w:val="21"/>
                      <w:u w:val="single"/>
                    </w:rPr>
                  </w:pPr>
                </w:p>
              </w:tc>
              <w:tc>
                <w:tcPr>
                  <w:tcW w:w="208" w:type="pct"/>
                  <w:vAlign w:val="center"/>
                </w:tcPr>
                <w:p w14:paraId="63DD52A3">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3CB81A0C">
                  <w:pPr>
                    <w:pStyle w:val="76"/>
                    <w:jc w:val="center"/>
                    <w:rPr>
                      <w:rFonts w:ascii="Times New Roman" w:hAnsi="Times New Roman"/>
                      <w:color w:val="auto"/>
                      <w:szCs w:val="21"/>
                      <w:u w:val="single"/>
                    </w:rPr>
                  </w:pPr>
                  <w:r>
                    <w:rPr>
                      <w:rFonts w:hint="eastAsia" w:ascii="Times New Roman" w:hAnsi="Times New Roman"/>
                      <w:color w:val="auto"/>
                      <w:szCs w:val="21"/>
                      <w:u w:val="single"/>
                    </w:rPr>
                    <w:t>10</w:t>
                  </w:r>
                </w:p>
              </w:tc>
              <w:tc>
                <w:tcPr>
                  <w:tcW w:w="405" w:type="pct"/>
                  <w:vAlign w:val="center"/>
                </w:tcPr>
                <w:p w14:paraId="7DCC083C">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continue"/>
                </w:tcPr>
                <w:p w14:paraId="1764E9C0">
                  <w:pPr>
                    <w:pStyle w:val="76"/>
                    <w:jc w:val="center"/>
                    <w:rPr>
                      <w:rFonts w:ascii="Times New Roman" w:hAnsi="Times New Roman"/>
                      <w:color w:val="auto"/>
                      <w:szCs w:val="21"/>
                      <w:u w:val="single"/>
                    </w:rPr>
                  </w:pPr>
                </w:p>
              </w:tc>
              <w:tc>
                <w:tcPr>
                  <w:tcW w:w="436" w:type="pct"/>
                  <w:vMerge w:val="continue"/>
                </w:tcPr>
                <w:p w14:paraId="15681949">
                  <w:pPr>
                    <w:pStyle w:val="76"/>
                    <w:jc w:val="center"/>
                    <w:rPr>
                      <w:rFonts w:ascii="Times New Roman" w:hAnsi="Times New Roman"/>
                      <w:color w:val="auto"/>
                      <w:szCs w:val="21"/>
                      <w:u w:val="single"/>
                    </w:rPr>
                  </w:pPr>
                </w:p>
              </w:tc>
              <w:tc>
                <w:tcPr>
                  <w:tcW w:w="272" w:type="pct"/>
                  <w:vAlign w:val="center"/>
                </w:tcPr>
                <w:p w14:paraId="559EB147">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4403CDA1">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tcPr>
                <w:p w14:paraId="60F47559">
                  <w:pPr>
                    <w:pStyle w:val="76"/>
                    <w:jc w:val="center"/>
                    <w:rPr>
                      <w:rFonts w:ascii="Times New Roman" w:hAnsi="Times New Roman"/>
                      <w:color w:val="auto"/>
                      <w:szCs w:val="21"/>
                      <w:u w:val="single"/>
                    </w:rPr>
                  </w:pPr>
                </w:p>
              </w:tc>
            </w:tr>
            <w:tr w14:paraId="4DCA97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400148E0">
                  <w:pPr>
                    <w:pStyle w:val="76"/>
                    <w:numPr>
                      <w:ilvl w:val="0"/>
                      <w:numId w:val="7"/>
                    </w:numPr>
                    <w:ind w:left="425"/>
                    <w:jc w:val="center"/>
                    <w:rPr>
                      <w:rFonts w:ascii="Times New Roman" w:hAnsi="Times New Roman"/>
                      <w:color w:val="auto"/>
                      <w:szCs w:val="21"/>
                      <w:u w:val="single"/>
                    </w:rPr>
                  </w:pPr>
                </w:p>
              </w:tc>
              <w:tc>
                <w:tcPr>
                  <w:tcW w:w="163" w:type="pct"/>
                  <w:vMerge w:val="continue"/>
                  <w:vAlign w:val="center"/>
                </w:tcPr>
                <w:p w14:paraId="0C5591B8">
                  <w:pPr>
                    <w:pStyle w:val="76"/>
                    <w:jc w:val="center"/>
                    <w:rPr>
                      <w:rFonts w:ascii="Times New Roman" w:hAnsi="Times New Roman"/>
                      <w:color w:val="auto"/>
                      <w:szCs w:val="21"/>
                      <w:u w:val="single"/>
                    </w:rPr>
                  </w:pPr>
                </w:p>
              </w:tc>
              <w:tc>
                <w:tcPr>
                  <w:tcW w:w="299" w:type="pct"/>
                  <w:vMerge w:val="continue"/>
                  <w:vAlign w:val="center"/>
                </w:tcPr>
                <w:p w14:paraId="49C3F93D">
                  <w:pPr>
                    <w:pStyle w:val="76"/>
                    <w:jc w:val="center"/>
                    <w:rPr>
                      <w:rFonts w:ascii="Times New Roman" w:hAnsi="Times New Roman"/>
                      <w:color w:val="auto"/>
                      <w:szCs w:val="21"/>
                      <w:u w:val="single"/>
                    </w:rPr>
                  </w:pPr>
                </w:p>
              </w:tc>
              <w:tc>
                <w:tcPr>
                  <w:tcW w:w="596" w:type="pct"/>
                  <w:vMerge w:val="continue"/>
                  <w:vAlign w:val="center"/>
                </w:tcPr>
                <w:p w14:paraId="7E3D783E">
                  <w:pPr>
                    <w:pStyle w:val="76"/>
                    <w:jc w:val="center"/>
                    <w:rPr>
                      <w:rFonts w:ascii="Times New Roman" w:hAnsi="Times New Roman"/>
                      <w:color w:val="auto"/>
                      <w:szCs w:val="21"/>
                      <w:u w:val="single"/>
                    </w:rPr>
                  </w:pPr>
                </w:p>
              </w:tc>
              <w:tc>
                <w:tcPr>
                  <w:tcW w:w="503" w:type="pct"/>
                  <w:vMerge w:val="continue"/>
                </w:tcPr>
                <w:p w14:paraId="173ACF9F">
                  <w:pPr>
                    <w:pStyle w:val="76"/>
                    <w:jc w:val="center"/>
                    <w:rPr>
                      <w:rFonts w:ascii="Times New Roman" w:hAnsi="Times New Roman"/>
                      <w:color w:val="auto"/>
                      <w:szCs w:val="21"/>
                      <w:u w:val="single"/>
                    </w:rPr>
                  </w:pPr>
                </w:p>
              </w:tc>
              <w:tc>
                <w:tcPr>
                  <w:tcW w:w="170" w:type="pct"/>
                  <w:vMerge w:val="continue"/>
                </w:tcPr>
                <w:p w14:paraId="463BCC38">
                  <w:pPr>
                    <w:pStyle w:val="76"/>
                    <w:jc w:val="center"/>
                    <w:rPr>
                      <w:rFonts w:ascii="Times New Roman" w:hAnsi="Times New Roman"/>
                      <w:color w:val="auto"/>
                      <w:szCs w:val="21"/>
                      <w:u w:val="single"/>
                    </w:rPr>
                  </w:pPr>
                </w:p>
              </w:tc>
              <w:tc>
                <w:tcPr>
                  <w:tcW w:w="170" w:type="pct"/>
                  <w:vMerge w:val="continue"/>
                </w:tcPr>
                <w:p w14:paraId="7F1668CA">
                  <w:pPr>
                    <w:pStyle w:val="76"/>
                    <w:jc w:val="center"/>
                    <w:rPr>
                      <w:rFonts w:ascii="Times New Roman" w:hAnsi="Times New Roman"/>
                      <w:color w:val="auto"/>
                      <w:szCs w:val="21"/>
                      <w:u w:val="single"/>
                    </w:rPr>
                  </w:pPr>
                </w:p>
              </w:tc>
              <w:tc>
                <w:tcPr>
                  <w:tcW w:w="125" w:type="pct"/>
                  <w:vMerge w:val="continue"/>
                </w:tcPr>
                <w:p w14:paraId="19BF1588">
                  <w:pPr>
                    <w:pStyle w:val="76"/>
                    <w:jc w:val="center"/>
                    <w:rPr>
                      <w:rFonts w:ascii="Times New Roman" w:hAnsi="Times New Roman"/>
                      <w:color w:val="auto"/>
                      <w:szCs w:val="21"/>
                      <w:u w:val="single"/>
                    </w:rPr>
                  </w:pPr>
                </w:p>
              </w:tc>
              <w:tc>
                <w:tcPr>
                  <w:tcW w:w="208" w:type="pct"/>
                  <w:vAlign w:val="center"/>
                </w:tcPr>
                <w:p w14:paraId="52A9B788">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53F2ADED">
                  <w:pPr>
                    <w:pStyle w:val="76"/>
                    <w:jc w:val="center"/>
                    <w:rPr>
                      <w:rFonts w:ascii="Times New Roman" w:hAnsi="Times New Roman"/>
                      <w:color w:val="auto"/>
                      <w:szCs w:val="21"/>
                      <w:u w:val="single"/>
                    </w:rPr>
                  </w:pPr>
                  <w:r>
                    <w:rPr>
                      <w:rFonts w:ascii="Times New Roman" w:hAnsi="Times New Roman"/>
                      <w:color w:val="auto"/>
                      <w:szCs w:val="21"/>
                      <w:u w:val="single"/>
                    </w:rPr>
                    <w:t>1</w:t>
                  </w:r>
                  <w:r>
                    <w:rPr>
                      <w:rFonts w:hint="eastAsia" w:ascii="Times New Roman" w:hAnsi="Times New Roman"/>
                      <w:color w:val="auto"/>
                      <w:szCs w:val="21"/>
                      <w:u w:val="single"/>
                    </w:rPr>
                    <w:t>2</w:t>
                  </w:r>
                </w:p>
              </w:tc>
              <w:tc>
                <w:tcPr>
                  <w:tcW w:w="405" w:type="pct"/>
                  <w:vAlign w:val="center"/>
                </w:tcPr>
                <w:p w14:paraId="20074EEA">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0</w:t>
                  </w:r>
                </w:p>
              </w:tc>
              <w:tc>
                <w:tcPr>
                  <w:tcW w:w="548" w:type="pct"/>
                  <w:vMerge w:val="continue"/>
                </w:tcPr>
                <w:p w14:paraId="536B3D79">
                  <w:pPr>
                    <w:pStyle w:val="76"/>
                    <w:jc w:val="center"/>
                    <w:rPr>
                      <w:rFonts w:ascii="Times New Roman" w:hAnsi="Times New Roman"/>
                      <w:color w:val="auto"/>
                      <w:szCs w:val="21"/>
                      <w:u w:val="single"/>
                    </w:rPr>
                  </w:pPr>
                </w:p>
              </w:tc>
              <w:tc>
                <w:tcPr>
                  <w:tcW w:w="436" w:type="pct"/>
                  <w:vMerge w:val="continue"/>
                </w:tcPr>
                <w:p w14:paraId="54223C53">
                  <w:pPr>
                    <w:pStyle w:val="76"/>
                    <w:jc w:val="center"/>
                    <w:rPr>
                      <w:rFonts w:ascii="Times New Roman" w:hAnsi="Times New Roman"/>
                      <w:color w:val="auto"/>
                      <w:szCs w:val="21"/>
                      <w:u w:val="single"/>
                    </w:rPr>
                  </w:pPr>
                </w:p>
              </w:tc>
              <w:tc>
                <w:tcPr>
                  <w:tcW w:w="272" w:type="pct"/>
                  <w:vAlign w:val="center"/>
                </w:tcPr>
                <w:p w14:paraId="40710F2C">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4C5FEEB7">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0</w:t>
                  </w:r>
                </w:p>
              </w:tc>
              <w:tc>
                <w:tcPr>
                  <w:tcW w:w="311" w:type="pct"/>
                  <w:vMerge w:val="continue"/>
                </w:tcPr>
                <w:p w14:paraId="1755B342">
                  <w:pPr>
                    <w:pStyle w:val="76"/>
                    <w:jc w:val="center"/>
                    <w:rPr>
                      <w:rFonts w:ascii="Times New Roman" w:hAnsi="Times New Roman"/>
                      <w:color w:val="auto"/>
                      <w:szCs w:val="21"/>
                      <w:u w:val="single"/>
                    </w:rPr>
                  </w:pPr>
                </w:p>
              </w:tc>
            </w:tr>
            <w:tr w14:paraId="2D46E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7013E67C">
                  <w:pPr>
                    <w:pStyle w:val="76"/>
                    <w:numPr>
                      <w:ilvl w:val="0"/>
                      <w:numId w:val="7"/>
                    </w:numPr>
                    <w:jc w:val="center"/>
                    <w:rPr>
                      <w:rFonts w:ascii="Times New Roman" w:hAnsi="Times New Roman"/>
                      <w:color w:val="auto"/>
                      <w:szCs w:val="21"/>
                      <w:u w:val="single"/>
                    </w:rPr>
                  </w:pPr>
                </w:p>
              </w:tc>
              <w:tc>
                <w:tcPr>
                  <w:tcW w:w="163" w:type="pct"/>
                  <w:vMerge w:val="continue"/>
                  <w:vAlign w:val="center"/>
                </w:tcPr>
                <w:p w14:paraId="467E10AB">
                  <w:pPr>
                    <w:pStyle w:val="76"/>
                    <w:jc w:val="center"/>
                    <w:rPr>
                      <w:rFonts w:ascii="Times New Roman" w:hAnsi="Times New Roman"/>
                      <w:color w:val="auto"/>
                      <w:szCs w:val="21"/>
                      <w:u w:val="single"/>
                    </w:rPr>
                  </w:pPr>
                </w:p>
              </w:tc>
              <w:tc>
                <w:tcPr>
                  <w:tcW w:w="299" w:type="pct"/>
                  <w:vMerge w:val="restart"/>
                  <w:vAlign w:val="center"/>
                </w:tcPr>
                <w:p w14:paraId="6D524011">
                  <w:pPr>
                    <w:pStyle w:val="76"/>
                    <w:jc w:val="center"/>
                    <w:rPr>
                      <w:rFonts w:ascii="Times New Roman" w:hAnsi="Times New Roman"/>
                      <w:color w:val="auto"/>
                      <w:szCs w:val="21"/>
                      <w:u w:val="single"/>
                    </w:rPr>
                  </w:pPr>
                  <w:r>
                    <w:rPr>
                      <w:rFonts w:ascii="Times New Roman" w:hAnsi="Times New Roman"/>
                      <w:color w:val="auto"/>
                      <w:szCs w:val="21"/>
                      <w:u w:val="single"/>
                    </w:rPr>
                    <w:t>立式车床（3台）</w:t>
                  </w:r>
                </w:p>
              </w:tc>
              <w:tc>
                <w:tcPr>
                  <w:tcW w:w="596" w:type="pct"/>
                  <w:vMerge w:val="restart"/>
                  <w:vAlign w:val="center"/>
                </w:tcPr>
                <w:p w14:paraId="0770C51D">
                  <w:pPr>
                    <w:pStyle w:val="88"/>
                    <w:rPr>
                      <w:color w:val="auto"/>
                      <w:szCs w:val="21"/>
                      <w:u w:val="single"/>
                    </w:rPr>
                  </w:pPr>
                  <w:r>
                    <w:rPr>
                      <w:color w:val="auto"/>
                      <w:u w:val="single"/>
                    </w:rPr>
                    <w:t>85</w:t>
                  </w:r>
                </w:p>
              </w:tc>
              <w:tc>
                <w:tcPr>
                  <w:tcW w:w="503" w:type="pct"/>
                  <w:vMerge w:val="restart"/>
                  <w:vAlign w:val="center"/>
                </w:tcPr>
                <w:p w14:paraId="0C46A39C">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0CFF4262">
                  <w:pPr>
                    <w:pStyle w:val="76"/>
                    <w:jc w:val="center"/>
                    <w:rPr>
                      <w:rFonts w:ascii="Times New Roman" w:hAnsi="Times New Roman"/>
                      <w:color w:val="auto"/>
                      <w:szCs w:val="21"/>
                      <w:u w:val="single"/>
                    </w:rPr>
                  </w:pPr>
                  <w:r>
                    <w:rPr>
                      <w:rFonts w:hint="eastAsia" w:ascii="Times New Roman" w:hAnsi="Times New Roman"/>
                      <w:color w:val="auto"/>
                      <w:szCs w:val="21"/>
                      <w:u w:val="single"/>
                    </w:rPr>
                    <w:t>-60</w:t>
                  </w:r>
                </w:p>
              </w:tc>
              <w:tc>
                <w:tcPr>
                  <w:tcW w:w="170" w:type="pct"/>
                  <w:vMerge w:val="restart"/>
                  <w:vAlign w:val="center"/>
                </w:tcPr>
                <w:p w14:paraId="37A2719C">
                  <w:pPr>
                    <w:pStyle w:val="76"/>
                    <w:jc w:val="center"/>
                    <w:rPr>
                      <w:rFonts w:ascii="Times New Roman" w:hAnsi="Times New Roman"/>
                      <w:color w:val="auto"/>
                      <w:szCs w:val="21"/>
                      <w:u w:val="single"/>
                    </w:rPr>
                  </w:pPr>
                  <w:r>
                    <w:rPr>
                      <w:rFonts w:hint="eastAsia" w:ascii="Times New Roman" w:hAnsi="Times New Roman"/>
                      <w:color w:val="auto"/>
                      <w:szCs w:val="21"/>
                      <w:u w:val="single"/>
                    </w:rPr>
                    <w:t>-12</w:t>
                  </w:r>
                </w:p>
              </w:tc>
              <w:tc>
                <w:tcPr>
                  <w:tcW w:w="125" w:type="pct"/>
                  <w:vMerge w:val="restart"/>
                  <w:vAlign w:val="center"/>
                </w:tcPr>
                <w:p w14:paraId="6DED3680">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4050BB9E">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743A849F">
                  <w:pPr>
                    <w:pStyle w:val="76"/>
                    <w:jc w:val="center"/>
                    <w:rPr>
                      <w:rFonts w:ascii="Times New Roman" w:hAnsi="Times New Roman"/>
                      <w:color w:val="auto"/>
                      <w:szCs w:val="21"/>
                      <w:u w:val="single"/>
                    </w:rPr>
                  </w:pPr>
                  <w:r>
                    <w:rPr>
                      <w:rFonts w:hint="eastAsia" w:ascii="Times New Roman" w:hAnsi="Times New Roman"/>
                      <w:color w:val="auto"/>
                      <w:szCs w:val="21"/>
                      <w:u w:val="single"/>
                    </w:rPr>
                    <w:t>156</w:t>
                  </w:r>
                </w:p>
              </w:tc>
              <w:tc>
                <w:tcPr>
                  <w:tcW w:w="405" w:type="pct"/>
                  <w:vAlign w:val="center"/>
                </w:tcPr>
                <w:p w14:paraId="03FEBB01">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restart"/>
                  <w:vAlign w:val="center"/>
                </w:tcPr>
                <w:p w14:paraId="5E58D6ED">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113A1978">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7CEFBC20">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141105EC">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restart"/>
                  <w:vAlign w:val="center"/>
                </w:tcPr>
                <w:p w14:paraId="6C1CF098">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03626D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149D726F">
                  <w:pPr>
                    <w:pStyle w:val="76"/>
                    <w:numPr>
                      <w:ilvl w:val="0"/>
                      <w:numId w:val="7"/>
                    </w:numPr>
                    <w:ind w:left="425"/>
                    <w:jc w:val="center"/>
                    <w:rPr>
                      <w:rFonts w:ascii="Times New Roman" w:hAnsi="Times New Roman"/>
                      <w:color w:val="auto"/>
                      <w:szCs w:val="21"/>
                      <w:u w:val="single"/>
                    </w:rPr>
                  </w:pPr>
                </w:p>
              </w:tc>
              <w:tc>
                <w:tcPr>
                  <w:tcW w:w="163" w:type="pct"/>
                  <w:vMerge w:val="continue"/>
                  <w:vAlign w:val="center"/>
                </w:tcPr>
                <w:p w14:paraId="773BBD53">
                  <w:pPr>
                    <w:pStyle w:val="76"/>
                    <w:jc w:val="center"/>
                    <w:rPr>
                      <w:rFonts w:ascii="Times New Roman" w:hAnsi="Times New Roman"/>
                      <w:color w:val="auto"/>
                      <w:szCs w:val="21"/>
                      <w:u w:val="single"/>
                    </w:rPr>
                  </w:pPr>
                </w:p>
              </w:tc>
              <w:tc>
                <w:tcPr>
                  <w:tcW w:w="299" w:type="pct"/>
                  <w:vMerge w:val="continue"/>
                  <w:vAlign w:val="center"/>
                </w:tcPr>
                <w:p w14:paraId="49DB1169">
                  <w:pPr>
                    <w:pStyle w:val="76"/>
                    <w:jc w:val="center"/>
                    <w:rPr>
                      <w:rFonts w:ascii="Times New Roman" w:hAnsi="Times New Roman"/>
                      <w:color w:val="auto"/>
                      <w:szCs w:val="21"/>
                      <w:u w:val="single"/>
                    </w:rPr>
                  </w:pPr>
                </w:p>
              </w:tc>
              <w:tc>
                <w:tcPr>
                  <w:tcW w:w="596" w:type="pct"/>
                  <w:vMerge w:val="continue"/>
                  <w:vAlign w:val="center"/>
                </w:tcPr>
                <w:p w14:paraId="7437D783">
                  <w:pPr>
                    <w:pStyle w:val="76"/>
                    <w:jc w:val="center"/>
                    <w:rPr>
                      <w:rFonts w:ascii="Times New Roman" w:hAnsi="Times New Roman"/>
                      <w:color w:val="auto"/>
                      <w:szCs w:val="21"/>
                      <w:u w:val="single"/>
                    </w:rPr>
                  </w:pPr>
                </w:p>
              </w:tc>
              <w:tc>
                <w:tcPr>
                  <w:tcW w:w="503" w:type="pct"/>
                  <w:vMerge w:val="continue"/>
                </w:tcPr>
                <w:p w14:paraId="1D53ABC9">
                  <w:pPr>
                    <w:pStyle w:val="76"/>
                    <w:jc w:val="center"/>
                    <w:rPr>
                      <w:rFonts w:ascii="Times New Roman" w:hAnsi="Times New Roman"/>
                      <w:color w:val="auto"/>
                      <w:szCs w:val="21"/>
                      <w:u w:val="single"/>
                    </w:rPr>
                  </w:pPr>
                </w:p>
              </w:tc>
              <w:tc>
                <w:tcPr>
                  <w:tcW w:w="170" w:type="pct"/>
                  <w:vMerge w:val="continue"/>
                </w:tcPr>
                <w:p w14:paraId="2DF206C7">
                  <w:pPr>
                    <w:pStyle w:val="76"/>
                    <w:jc w:val="center"/>
                    <w:rPr>
                      <w:rFonts w:ascii="Times New Roman" w:hAnsi="Times New Roman"/>
                      <w:color w:val="auto"/>
                      <w:szCs w:val="21"/>
                      <w:u w:val="single"/>
                    </w:rPr>
                  </w:pPr>
                </w:p>
              </w:tc>
              <w:tc>
                <w:tcPr>
                  <w:tcW w:w="170" w:type="pct"/>
                  <w:vMerge w:val="continue"/>
                </w:tcPr>
                <w:p w14:paraId="38FAC215">
                  <w:pPr>
                    <w:pStyle w:val="76"/>
                    <w:jc w:val="center"/>
                    <w:rPr>
                      <w:rFonts w:ascii="Times New Roman" w:hAnsi="Times New Roman"/>
                      <w:color w:val="auto"/>
                      <w:szCs w:val="21"/>
                      <w:u w:val="single"/>
                    </w:rPr>
                  </w:pPr>
                </w:p>
              </w:tc>
              <w:tc>
                <w:tcPr>
                  <w:tcW w:w="125" w:type="pct"/>
                  <w:vMerge w:val="continue"/>
                </w:tcPr>
                <w:p w14:paraId="06F4658A">
                  <w:pPr>
                    <w:pStyle w:val="76"/>
                    <w:jc w:val="center"/>
                    <w:rPr>
                      <w:rFonts w:ascii="Times New Roman" w:hAnsi="Times New Roman"/>
                      <w:color w:val="auto"/>
                      <w:szCs w:val="21"/>
                      <w:u w:val="single"/>
                    </w:rPr>
                  </w:pPr>
                </w:p>
              </w:tc>
              <w:tc>
                <w:tcPr>
                  <w:tcW w:w="208" w:type="pct"/>
                  <w:vAlign w:val="center"/>
                </w:tcPr>
                <w:p w14:paraId="68E824AA">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2CD37D2D">
                  <w:pPr>
                    <w:pStyle w:val="76"/>
                    <w:jc w:val="center"/>
                    <w:rPr>
                      <w:rFonts w:ascii="Times New Roman" w:hAnsi="Times New Roman"/>
                      <w:color w:val="auto"/>
                      <w:szCs w:val="21"/>
                      <w:u w:val="single"/>
                    </w:rPr>
                  </w:pPr>
                  <w:r>
                    <w:rPr>
                      <w:rFonts w:hint="eastAsia" w:ascii="Times New Roman" w:hAnsi="Times New Roman"/>
                      <w:color w:val="auto"/>
                      <w:szCs w:val="21"/>
                      <w:u w:val="single"/>
                    </w:rPr>
                    <w:t>2</w:t>
                  </w:r>
                </w:p>
              </w:tc>
              <w:tc>
                <w:tcPr>
                  <w:tcW w:w="405" w:type="pct"/>
                  <w:vAlign w:val="center"/>
                </w:tcPr>
                <w:p w14:paraId="48760502">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3</w:t>
                  </w:r>
                </w:p>
              </w:tc>
              <w:tc>
                <w:tcPr>
                  <w:tcW w:w="548" w:type="pct"/>
                  <w:vMerge w:val="continue"/>
                </w:tcPr>
                <w:p w14:paraId="72AAF983">
                  <w:pPr>
                    <w:pStyle w:val="76"/>
                    <w:jc w:val="center"/>
                    <w:rPr>
                      <w:rFonts w:ascii="Times New Roman" w:hAnsi="Times New Roman"/>
                      <w:color w:val="auto"/>
                      <w:szCs w:val="21"/>
                      <w:u w:val="single"/>
                    </w:rPr>
                  </w:pPr>
                </w:p>
              </w:tc>
              <w:tc>
                <w:tcPr>
                  <w:tcW w:w="436" w:type="pct"/>
                  <w:vMerge w:val="continue"/>
                </w:tcPr>
                <w:p w14:paraId="243303FD">
                  <w:pPr>
                    <w:pStyle w:val="76"/>
                    <w:jc w:val="center"/>
                    <w:rPr>
                      <w:rFonts w:ascii="Times New Roman" w:hAnsi="Times New Roman"/>
                      <w:color w:val="auto"/>
                      <w:szCs w:val="21"/>
                      <w:u w:val="single"/>
                    </w:rPr>
                  </w:pPr>
                </w:p>
              </w:tc>
              <w:tc>
                <w:tcPr>
                  <w:tcW w:w="272" w:type="pct"/>
                  <w:vAlign w:val="center"/>
                </w:tcPr>
                <w:p w14:paraId="542CBBE1">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53307EB4">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3</w:t>
                  </w:r>
                </w:p>
              </w:tc>
              <w:tc>
                <w:tcPr>
                  <w:tcW w:w="311" w:type="pct"/>
                  <w:vMerge w:val="continue"/>
                </w:tcPr>
                <w:p w14:paraId="0679A2AD">
                  <w:pPr>
                    <w:pStyle w:val="76"/>
                    <w:jc w:val="center"/>
                    <w:rPr>
                      <w:rFonts w:ascii="Times New Roman" w:hAnsi="Times New Roman"/>
                      <w:color w:val="auto"/>
                      <w:szCs w:val="21"/>
                      <w:u w:val="single"/>
                    </w:rPr>
                  </w:pPr>
                </w:p>
              </w:tc>
            </w:tr>
            <w:tr w14:paraId="336A28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721B896B">
                  <w:pPr>
                    <w:pStyle w:val="76"/>
                    <w:numPr>
                      <w:ilvl w:val="0"/>
                      <w:numId w:val="7"/>
                    </w:numPr>
                    <w:ind w:left="425"/>
                    <w:jc w:val="center"/>
                    <w:rPr>
                      <w:rFonts w:ascii="Times New Roman" w:hAnsi="Times New Roman"/>
                      <w:color w:val="auto"/>
                      <w:szCs w:val="21"/>
                      <w:u w:val="single"/>
                    </w:rPr>
                  </w:pPr>
                </w:p>
              </w:tc>
              <w:tc>
                <w:tcPr>
                  <w:tcW w:w="163" w:type="pct"/>
                  <w:vMerge w:val="continue"/>
                  <w:vAlign w:val="center"/>
                </w:tcPr>
                <w:p w14:paraId="2573CB4E">
                  <w:pPr>
                    <w:pStyle w:val="76"/>
                    <w:jc w:val="center"/>
                    <w:rPr>
                      <w:rFonts w:ascii="Times New Roman" w:hAnsi="Times New Roman"/>
                      <w:color w:val="auto"/>
                      <w:szCs w:val="21"/>
                      <w:u w:val="single"/>
                    </w:rPr>
                  </w:pPr>
                </w:p>
              </w:tc>
              <w:tc>
                <w:tcPr>
                  <w:tcW w:w="299" w:type="pct"/>
                  <w:vMerge w:val="continue"/>
                  <w:vAlign w:val="center"/>
                </w:tcPr>
                <w:p w14:paraId="664B2582">
                  <w:pPr>
                    <w:pStyle w:val="76"/>
                    <w:jc w:val="center"/>
                    <w:rPr>
                      <w:rFonts w:ascii="Times New Roman" w:hAnsi="Times New Roman"/>
                      <w:color w:val="auto"/>
                      <w:szCs w:val="21"/>
                      <w:u w:val="single"/>
                    </w:rPr>
                  </w:pPr>
                </w:p>
              </w:tc>
              <w:tc>
                <w:tcPr>
                  <w:tcW w:w="596" w:type="pct"/>
                  <w:vMerge w:val="continue"/>
                  <w:vAlign w:val="center"/>
                </w:tcPr>
                <w:p w14:paraId="6BEAD294">
                  <w:pPr>
                    <w:pStyle w:val="76"/>
                    <w:jc w:val="center"/>
                    <w:rPr>
                      <w:rFonts w:ascii="Times New Roman" w:hAnsi="Times New Roman"/>
                      <w:color w:val="auto"/>
                      <w:szCs w:val="21"/>
                      <w:u w:val="single"/>
                    </w:rPr>
                  </w:pPr>
                </w:p>
              </w:tc>
              <w:tc>
                <w:tcPr>
                  <w:tcW w:w="503" w:type="pct"/>
                  <w:vMerge w:val="continue"/>
                </w:tcPr>
                <w:p w14:paraId="2A9D5640">
                  <w:pPr>
                    <w:pStyle w:val="76"/>
                    <w:jc w:val="center"/>
                    <w:rPr>
                      <w:rFonts w:ascii="Times New Roman" w:hAnsi="Times New Roman"/>
                      <w:color w:val="auto"/>
                      <w:szCs w:val="21"/>
                      <w:u w:val="single"/>
                    </w:rPr>
                  </w:pPr>
                </w:p>
              </w:tc>
              <w:tc>
                <w:tcPr>
                  <w:tcW w:w="170" w:type="pct"/>
                  <w:vMerge w:val="continue"/>
                </w:tcPr>
                <w:p w14:paraId="7102B109">
                  <w:pPr>
                    <w:pStyle w:val="76"/>
                    <w:jc w:val="center"/>
                    <w:rPr>
                      <w:rFonts w:ascii="Times New Roman" w:hAnsi="Times New Roman"/>
                      <w:color w:val="auto"/>
                      <w:szCs w:val="21"/>
                      <w:u w:val="single"/>
                    </w:rPr>
                  </w:pPr>
                </w:p>
              </w:tc>
              <w:tc>
                <w:tcPr>
                  <w:tcW w:w="170" w:type="pct"/>
                  <w:vMerge w:val="continue"/>
                </w:tcPr>
                <w:p w14:paraId="0F4E93AB">
                  <w:pPr>
                    <w:pStyle w:val="76"/>
                    <w:jc w:val="center"/>
                    <w:rPr>
                      <w:rFonts w:ascii="Times New Roman" w:hAnsi="Times New Roman"/>
                      <w:color w:val="auto"/>
                      <w:szCs w:val="21"/>
                      <w:u w:val="single"/>
                    </w:rPr>
                  </w:pPr>
                </w:p>
              </w:tc>
              <w:tc>
                <w:tcPr>
                  <w:tcW w:w="125" w:type="pct"/>
                  <w:vMerge w:val="continue"/>
                </w:tcPr>
                <w:p w14:paraId="5483C217">
                  <w:pPr>
                    <w:pStyle w:val="76"/>
                    <w:jc w:val="center"/>
                    <w:rPr>
                      <w:rFonts w:ascii="Times New Roman" w:hAnsi="Times New Roman"/>
                      <w:color w:val="auto"/>
                      <w:szCs w:val="21"/>
                      <w:u w:val="single"/>
                    </w:rPr>
                  </w:pPr>
                </w:p>
              </w:tc>
              <w:tc>
                <w:tcPr>
                  <w:tcW w:w="208" w:type="pct"/>
                  <w:vAlign w:val="center"/>
                </w:tcPr>
                <w:p w14:paraId="5DB9C452">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3AAD6112">
                  <w:pPr>
                    <w:pStyle w:val="76"/>
                    <w:jc w:val="center"/>
                    <w:rPr>
                      <w:rFonts w:ascii="Times New Roman" w:hAnsi="Times New Roman"/>
                      <w:color w:val="auto"/>
                      <w:szCs w:val="21"/>
                      <w:u w:val="single"/>
                    </w:rPr>
                  </w:pPr>
                  <w:r>
                    <w:rPr>
                      <w:rFonts w:hint="eastAsia" w:ascii="Times New Roman" w:hAnsi="Times New Roman"/>
                      <w:color w:val="auto"/>
                      <w:szCs w:val="21"/>
                      <w:u w:val="single"/>
                    </w:rPr>
                    <w:t>30</w:t>
                  </w:r>
                </w:p>
              </w:tc>
              <w:tc>
                <w:tcPr>
                  <w:tcW w:w="405" w:type="pct"/>
                  <w:vAlign w:val="center"/>
                </w:tcPr>
                <w:p w14:paraId="2871BCDE">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continue"/>
                </w:tcPr>
                <w:p w14:paraId="2E675582">
                  <w:pPr>
                    <w:pStyle w:val="76"/>
                    <w:jc w:val="center"/>
                    <w:rPr>
                      <w:rFonts w:ascii="Times New Roman" w:hAnsi="Times New Roman"/>
                      <w:color w:val="auto"/>
                      <w:szCs w:val="21"/>
                      <w:u w:val="single"/>
                    </w:rPr>
                  </w:pPr>
                </w:p>
              </w:tc>
              <w:tc>
                <w:tcPr>
                  <w:tcW w:w="436" w:type="pct"/>
                  <w:vMerge w:val="continue"/>
                </w:tcPr>
                <w:p w14:paraId="4D48334B">
                  <w:pPr>
                    <w:pStyle w:val="76"/>
                    <w:jc w:val="center"/>
                    <w:rPr>
                      <w:rFonts w:ascii="Times New Roman" w:hAnsi="Times New Roman"/>
                      <w:color w:val="auto"/>
                      <w:szCs w:val="21"/>
                      <w:u w:val="single"/>
                    </w:rPr>
                  </w:pPr>
                </w:p>
              </w:tc>
              <w:tc>
                <w:tcPr>
                  <w:tcW w:w="272" w:type="pct"/>
                  <w:vAlign w:val="center"/>
                </w:tcPr>
                <w:p w14:paraId="65E4A0A1">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0EF33F45">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tcPr>
                <w:p w14:paraId="24CEFA6F">
                  <w:pPr>
                    <w:pStyle w:val="76"/>
                    <w:jc w:val="center"/>
                    <w:rPr>
                      <w:rFonts w:ascii="Times New Roman" w:hAnsi="Times New Roman"/>
                      <w:color w:val="auto"/>
                      <w:szCs w:val="21"/>
                      <w:u w:val="single"/>
                    </w:rPr>
                  </w:pPr>
                </w:p>
              </w:tc>
            </w:tr>
            <w:tr w14:paraId="62C22B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0AB0D335">
                  <w:pPr>
                    <w:pStyle w:val="76"/>
                    <w:numPr>
                      <w:ilvl w:val="0"/>
                      <w:numId w:val="7"/>
                    </w:numPr>
                    <w:ind w:left="425"/>
                    <w:jc w:val="center"/>
                    <w:rPr>
                      <w:rFonts w:ascii="Times New Roman" w:hAnsi="Times New Roman"/>
                      <w:color w:val="auto"/>
                      <w:szCs w:val="21"/>
                      <w:u w:val="single"/>
                    </w:rPr>
                  </w:pPr>
                </w:p>
              </w:tc>
              <w:tc>
                <w:tcPr>
                  <w:tcW w:w="163" w:type="pct"/>
                  <w:vMerge w:val="continue"/>
                  <w:vAlign w:val="center"/>
                </w:tcPr>
                <w:p w14:paraId="3CA35A31">
                  <w:pPr>
                    <w:pStyle w:val="76"/>
                    <w:jc w:val="center"/>
                    <w:rPr>
                      <w:rFonts w:ascii="Times New Roman" w:hAnsi="Times New Roman"/>
                      <w:color w:val="auto"/>
                      <w:szCs w:val="21"/>
                      <w:u w:val="single"/>
                    </w:rPr>
                  </w:pPr>
                </w:p>
              </w:tc>
              <w:tc>
                <w:tcPr>
                  <w:tcW w:w="299" w:type="pct"/>
                  <w:vMerge w:val="continue"/>
                  <w:vAlign w:val="center"/>
                </w:tcPr>
                <w:p w14:paraId="61C7DDA5">
                  <w:pPr>
                    <w:pStyle w:val="76"/>
                    <w:jc w:val="center"/>
                    <w:rPr>
                      <w:rFonts w:ascii="Times New Roman" w:hAnsi="Times New Roman"/>
                      <w:color w:val="auto"/>
                      <w:szCs w:val="21"/>
                      <w:u w:val="single"/>
                    </w:rPr>
                  </w:pPr>
                </w:p>
              </w:tc>
              <w:tc>
                <w:tcPr>
                  <w:tcW w:w="596" w:type="pct"/>
                  <w:vMerge w:val="continue"/>
                  <w:vAlign w:val="center"/>
                </w:tcPr>
                <w:p w14:paraId="4B8EE698">
                  <w:pPr>
                    <w:pStyle w:val="76"/>
                    <w:jc w:val="center"/>
                    <w:rPr>
                      <w:rFonts w:ascii="Times New Roman" w:hAnsi="Times New Roman"/>
                      <w:color w:val="auto"/>
                      <w:szCs w:val="21"/>
                      <w:u w:val="single"/>
                    </w:rPr>
                  </w:pPr>
                </w:p>
              </w:tc>
              <w:tc>
                <w:tcPr>
                  <w:tcW w:w="503" w:type="pct"/>
                  <w:vMerge w:val="continue"/>
                </w:tcPr>
                <w:p w14:paraId="44314563">
                  <w:pPr>
                    <w:pStyle w:val="76"/>
                    <w:jc w:val="center"/>
                    <w:rPr>
                      <w:rFonts w:ascii="Times New Roman" w:hAnsi="Times New Roman"/>
                      <w:color w:val="auto"/>
                      <w:szCs w:val="21"/>
                      <w:u w:val="single"/>
                    </w:rPr>
                  </w:pPr>
                </w:p>
              </w:tc>
              <w:tc>
                <w:tcPr>
                  <w:tcW w:w="170" w:type="pct"/>
                  <w:vMerge w:val="continue"/>
                </w:tcPr>
                <w:p w14:paraId="313FBD95">
                  <w:pPr>
                    <w:pStyle w:val="76"/>
                    <w:jc w:val="center"/>
                    <w:rPr>
                      <w:rFonts w:ascii="Times New Roman" w:hAnsi="Times New Roman"/>
                      <w:color w:val="auto"/>
                      <w:szCs w:val="21"/>
                      <w:u w:val="single"/>
                    </w:rPr>
                  </w:pPr>
                </w:p>
              </w:tc>
              <w:tc>
                <w:tcPr>
                  <w:tcW w:w="170" w:type="pct"/>
                  <w:vMerge w:val="continue"/>
                </w:tcPr>
                <w:p w14:paraId="7558D611">
                  <w:pPr>
                    <w:pStyle w:val="76"/>
                    <w:jc w:val="center"/>
                    <w:rPr>
                      <w:rFonts w:ascii="Times New Roman" w:hAnsi="Times New Roman"/>
                      <w:color w:val="auto"/>
                      <w:szCs w:val="21"/>
                      <w:u w:val="single"/>
                    </w:rPr>
                  </w:pPr>
                </w:p>
              </w:tc>
              <w:tc>
                <w:tcPr>
                  <w:tcW w:w="125" w:type="pct"/>
                  <w:vMerge w:val="continue"/>
                </w:tcPr>
                <w:p w14:paraId="6C193B51">
                  <w:pPr>
                    <w:pStyle w:val="76"/>
                    <w:jc w:val="center"/>
                    <w:rPr>
                      <w:rFonts w:ascii="Times New Roman" w:hAnsi="Times New Roman"/>
                      <w:color w:val="auto"/>
                      <w:szCs w:val="21"/>
                      <w:u w:val="single"/>
                    </w:rPr>
                  </w:pPr>
                </w:p>
              </w:tc>
              <w:tc>
                <w:tcPr>
                  <w:tcW w:w="208" w:type="pct"/>
                  <w:vAlign w:val="center"/>
                </w:tcPr>
                <w:p w14:paraId="1F05770F">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2FB52BD4">
                  <w:pPr>
                    <w:pStyle w:val="76"/>
                    <w:jc w:val="center"/>
                    <w:rPr>
                      <w:rFonts w:ascii="Times New Roman" w:hAnsi="Times New Roman"/>
                      <w:color w:val="auto"/>
                      <w:szCs w:val="21"/>
                      <w:u w:val="single"/>
                    </w:rPr>
                  </w:pPr>
                  <w:r>
                    <w:rPr>
                      <w:rFonts w:hint="eastAsia" w:ascii="Times New Roman" w:hAnsi="Times New Roman"/>
                      <w:color w:val="auto"/>
                      <w:szCs w:val="21"/>
                      <w:u w:val="single"/>
                    </w:rPr>
                    <w:t>26</w:t>
                  </w:r>
                </w:p>
              </w:tc>
              <w:tc>
                <w:tcPr>
                  <w:tcW w:w="405" w:type="pct"/>
                  <w:vAlign w:val="center"/>
                </w:tcPr>
                <w:p w14:paraId="545F3264">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0</w:t>
                  </w:r>
                </w:p>
              </w:tc>
              <w:tc>
                <w:tcPr>
                  <w:tcW w:w="548" w:type="pct"/>
                  <w:vMerge w:val="continue"/>
                </w:tcPr>
                <w:p w14:paraId="631D0004">
                  <w:pPr>
                    <w:pStyle w:val="76"/>
                    <w:jc w:val="center"/>
                    <w:rPr>
                      <w:rFonts w:ascii="Times New Roman" w:hAnsi="Times New Roman"/>
                      <w:color w:val="auto"/>
                      <w:szCs w:val="21"/>
                      <w:u w:val="single"/>
                    </w:rPr>
                  </w:pPr>
                </w:p>
              </w:tc>
              <w:tc>
                <w:tcPr>
                  <w:tcW w:w="436" w:type="pct"/>
                  <w:vMerge w:val="continue"/>
                </w:tcPr>
                <w:p w14:paraId="6A96838D">
                  <w:pPr>
                    <w:pStyle w:val="76"/>
                    <w:jc w:val="center"/>
                    <w:rPr>
                      <w:rFonts w:ascii="Times New Roman" w:hAnsi="Times New Roman"/>
                      <w:color w:val="auto"/>
                      <w:szCs w:val="21"/>
                      <w:u w:val="single"/>
                    </w:rPr>
                  </w:pPr>
                </w:p>
              </w:tc>
              <w:tc>
                <w:tcPr>
                  <w:tcW w:w="272" w:type="pct"/>
                  <w:vAlign w:val="center"/>
                </w:tcPr>
                <w:p w14:paraId="2B4199DB">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0EB8340A">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0</w:t>
                  </w:r>
                </w:p>
              </w:tc>
              <w:tc>
                <w:tcPr>
                  <w:tcW w:w="311" w:type="pct"/>
                  <w:vMerge w:val="continue"/>
                </w:tcPr>
                <w:p w14:paraId="4BB11011">
                  <w:pPr>
                    <w:pStyle w:val="76"/>
                    <w:jc w:val="center"/>
                    <w:rPr>
                      <w:rFonts w:ascii="Times New Roman" w:hAnsi="Times New Roman"/>
                      <w:color w:val="auto"/>
                      <w:szCs w:val="21"/>
                      <w:u w:val="single"/>
                    </w:rPr>
                  </w:pPr>
                </w:p>
              </w:tc>
            </w:tr>
            <w:tr w14:paraId="5FAFB3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4DF87C23">
                  <w:pPr>
                    <w:pStyle w:val="76"/>
                    <w:numPr>
                      <w:ilvl w:val="0"/>
                      <w:numId w:val="7"/>
                    </w:numPr>
                    <w:tabs>
                      <w:tab w:val="clear" w:pos="420"/>
                    </w:tabs>
                    <w:jc w:val="center"/>
                    <w:rPr>
                      <w:rFonts w:ascii="Times New Roman" w:hAnsi="Times New Roman"/>
                      <w:color w:val="auto"/>
                      <w:szCs w:val="21"/>
                      <w:u w:val="single"/>
                    </w:rPr>
                  </w:pPr>
                </w:p>
              </w:tc>
              <w:tc>
                <w:tcPr>
                  <w:tcW w:w="163" w:type="pct"/>
                  <w:vMerge w:val="continue"/>
                  <w:vAlign w:val="center"/>
                </w:tcPr>
                <w:p w14:paraId="50BF1C16">
                  <w:pPr>
                    <w:pStyle w:val="76"/>
                    <w:jc w:val="center"/>
                    <w:rPr>
                      <w:rFonts w:ascii="Times New Roman" w:hAnsi="Times New Roman"/>
                      <w:color w:val="auto"/>
                      <w:szCs w:val="21"/>
                      <w:u w:val="single"/>
                    </w:rPr>
                  </w:pPr>
                </w:p>
              </w:tc>
              <w:tc>
                <w:tcPr>
                  <w:tcW w:w="299" w:type="pct"/>
                  <w:vMerge w:val="restart"/>
                  <w:vAlign w:val="center"/>
                </w:tcPr>
                <w:p w14:paraId="4EA55BDF">
                  <w:pPr>
                    <w:pStyle w:val="76"/>
                    <w:jc w:val="center"/>
                    <w:rPr>
                      <w:rFonts w:ascii="Times New Roman" w:hAnsi="Times New Roman"/>
                      <w:color w:val="auto"/>
                      <w:szCs w:val="21"/>
                      <w:u w:val="single"/>
                    </w:rPr>
                  </w:pPr>
                  <w:r>
                    <w:rPr>
                      <w:rFonts w:ascii="Times New Roman" w:hAnsi="Times New Roman"/>
                      <w:color w:val="auto"/>
                      <w:szCs w:val="21"/>
                      <w:u w:val="single"/>
                    </w:rPr>
                    <w:t>插床（2台）</w:t>
                  </w:r>
                </w:p>
              </w:tc>
              <w:tc>
                <w:tcPr>
                  <w:tcW w:w="596" w:type="pct"/>
                  <w:vMerge w:val="restart"/>
                  <w:vAlign w:val="center"/>
                </w:tcPr>
                <w:p w14:paraId="38C258B9">
                  <w:pPr>
                    <w:pStyle w:val="88"/>
                    <w:rPr>
                      <w:color w:val="auto"/>
                      <w:szCs w:val="21"/>
                      <w:u w:val="single"/>
                    </w:rPr>
                  </w:pPr>
                  <w:r>
                    <w:rPr>
                      <w:color w:val="auto"/>
                      <w:u w:val="single"/>
                    </w:rPr>
                    <w:t>8</w:t>
                  </w:r>
                  <w:r>
                    <w:rPr>
                      <w:rFonts w:hint="eastAsia"/>
                      <w:color w:val="auto"/>
                      <w:u w:val="single"/>
                    </w:rPr>
                    <w:t>5</w:t>
                  </w:r>
                </w:p>
              </w:tc>
              <w:tc>
                <w:tcPr>
                  <w:tcW w:w="503" w:type="pct"/>
                  <w:vMerge w:val="restart"/>
                  <w:vAlign w:val="center"/>
                </w:tcPr>
                <w:p w14:paraId="12D27B77">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2FD737EF">
                  <w:pPr>
                    <w:pStyle w:val="76"/>
                    <w:jc w:val="center"/>
                    <w:rPr>
                      <w:rFonts w:ascii="Times New Roman" w:hAnsi="Times New Roman"/>
                      <w:color w:val="auto"/>
                      <w:szCs w:val="21"/>
                      <w:u w:val="single"/>
                    </w:rPr>
                  </w:pPr>
                  <w:r>
                    <w:rPr>
                      <w:rFonts w:hint="eastAsia" w:ascii="Times New Roman" w:hAnsi="Times New Roman"/>
                      <w:color w:val="auto"/>
                      <w:szCs w:val="21"/>
                      <w:u w:val="single"/>
                    </w:rPr>
                    <w:t>-58</w:t>
                  </w:r>
                </w:p>
              </w:tc>
              <w:tc>
                <w:tcPr>
                  <w:tcW w:w="170" w:type="pct"/>
                  <w:vMerge w:val="restart"/>
                  <w:vAlign w:val="center"/>
                </w:tcPr>
                <w:p w14:paraId="6E898C09">
                  <w:pPr>
                    <w:pStyle w:val="76"/>
                    <w:jc w:val="center"/>
                    <w:rPr>
                      <w:rFonts w:ascii="Times New Roman" w:hAnsi="Times New Roman"/>
                      <w:color w:val="auto"/>
                      <w:szCs w:val="21"/>
                      <w:u w:val="single"/>
                    </w:rPr>
                  </w:pPr>
                  <w:r>
                    <w:rPr>
                      <w:rFonts w:hint="eastAsia" w:ascii="Times New Roman" w:hAnsi="Times New Roman"/>
                      <w:color w:val="auto"/>
                      <w:szCs w:val="21"/>
                      <w:u w:val="single"/>
                    </w:rPr>
                    <w:t>-</w:t>
                  </w:r>
                  <w:r>
                    <w:rPr>
                      <w:rFonts w:ascii="Times New Roman" w:hAnsi="Times New Roman"/>
                      <w:color w:val="auto"/>
                      <w:szCs w:val="21"/>
                      <w:u w:val="single"/>
                    </w:rPr>
                    <w:t>10</w:t>
                  </w:r>
                </w:p>
              </w:tc>
              <w:tc>
                <w:tcPr>
                  <w:tcW w:w="125" w:type="pct"/>
                  <w:vMerge w:val="restart"/>
                  <w:vAlign w:val="center"/>
                </w:tcPr>
                <w:p w14:paraId="2DCE28A9">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58FAAABE">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23752294">
                  <w:pPr>
                    <w:pStyle w:val="76"/>
                    <w:jc w:val="center"/>
                    <w:rPr>
                      <w:rFonts w:ascii="Times New Roman" w:hAnsi="Times New Roman"/>
                      <w:color w:val="auto"/>
                      <w:szCs w:val="21"/>
                      <w:u w:val="single"/>
                    </w:rPr>
                  </w:pPr>
                  <w:r>
                    <w:rPr>
                      <w:rFonts w:hint="eastAsia" w:ascii="Times New Roman" w:hAnsi="Times New Roman"/>
                      <w:color w:val="auto"/>
                      <w:szCs w:val="21"/>
                      <w:u w:val="single"/>
                    </w:rPr>
                    <w:t>154</w:t>
                  </w:r>
                </w:p>
              </w:tc>
              <w:tc>
                <w:tcPr>
                  <w:tcW w:w="405" w:type="pct"/>
                  <w:vAlign w:val="center"/>
                </w:tcPr>
                <w:p w14:paraId="5FBC3C4A">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restart"/>
                  <w:vAlign w:val="center"/>
                </w:tcPr>
                <w:p w14:paraId="5361C962">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6977A105">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2D6936A7">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3862657B">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restart"/>
                  <w:vAlign w:val="center"/>
                </w:tcPr>
                <w:p w14:paraId="31DBFE18">
                  <w:pPr>
                    <w:pStyle w:val="76"/>
                    <w:jc w:val="center"/>
                    <w:rPr>
                      <w:rFonts w:ascii="Times New Roman" w:hAnsi="Times New Roman"/>
                      <w:color w:val="auto"/>
                      <w:szCs w:val="21"/>
                      <w:u w:val="single"/>
                      <w:lang w:bidi="zh-CN"/>
                    </w:rPr>
                  </w:pPr>
                  <w:r>
                    <w:rPr>
                      <w:rFonts w:ascii="Times New Roman" w:hAnsi="Times New Roman"/>
                      <w:color w:val="auto"/>
                      <w:szCs w:val="21"/>
                      <w:u w:val="single"/>
                    </w:rPr>
                    <w:t>1m</w:t>
                  </w:r>
                </w:p>
              </w:tc>
            </w:tr>
            <w:tr w14:paraId="7064E9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7284A06A">
                  <w:pPr>
                    <w:pStyle w:val="76"/>
                    <w:jc w:val="center"/>
                    <w:rPr>
                      <w:rFonts w:ascii="Times New Roman" w:hAnsi="Times New Roman"/>
                      <w:color w:val="auto"/>
                      <w:szCs w:val="21"/>
                      <w:u w:val="single"/>
                    </w:rPr>
                  </w:pPr>
                </w:p>
              </w:tc>
              <w:tc>
                <w:tcPr>
                  <w:tcW w:w="163" w:type="pct"/>
                  <w:vMerge w:val="continue"/>
                  <w:vAlign w:val="center"/>
                </w:tcPr>
                <w:p w14:paraId="650AE796">
                  <w:pPr>
                    <w:pStyle w:val="76"/>
                    <w:jc w:val="center"/>
                    <w:rPr>
                      <w:rFonts w:ascii="Times New Roman" w:hAnsi="Times New Roman"/>
                      <w:color w:val="auto"/>
                      <w:szCs w:val="21"/>
                      <w:u w:val="single"/>
                    </w:rPr>
                  </w:pPr>
                </w:p>
              </w:tc>
              <w:tc>
                <w:tcPr>
                  <w:tcW w:w="299" w:type="pct"/>
                  <w:vMerge w:val="continue"/>
                  <w:vAlign w:val="center"/>
                </w:tcPr>
                <w:p w14:paraId="6E6340AD">
                  <w:pPr>
                    <w:pStyle w:val="76"/>
                    <w:jc w:val="center"/>
                    <w:rPr>
                      <w:rFonts w:ascii="Times New Roman" w:hAnsi="Times New Roman"/>
                      <w:color w:val="auto"/>
                      <w:szCs w:val="21"/>
                      <w:u w:val="single"/>
                    </w:rPr>
                  </w:pPr>
                </w:p>
              </w:tc>
              <w:tc>
                <w:tcPr>
                  <w:tcW w:w="596" w:type="pct"/>
                  <w:vMerge w:val="continue"/>
                  <w:vAlign w:val="center"/>
                </w:tcPr>
                <w:p w14:paraId="70B52F38">
                  <w:pPr>
                    <w:pStyle w:val="76"/>
                    <w:jc w:val="center"/>
                    <w:rPr>
                      <w:rFonts w:ascii="Times New Roman" w:hAnsi="Times New Roman"/>
                      <w:color w:val="auto"/>
                      <w:szCs w:val="21"/>
                      <w:u w:val="single"/>
                    </w:rPr>
                  </w:pPr>
                </w:p>
              </w:tc>
              <w:tc>
                <w:tcPr>
                  <w:tcW w:w="503" w:type="pct"/>
                  <w:vMerge w:val="continue"/>
                </w:tcPr>
                <w:p w14:paraId="71E179A4">
                  <w:pPr>
                    <w:pStyle w:val="76"/>
                    <w:jc w:val="center"/>
                    <w:rPr>
                      <w:rFonts w:ascii="Times New Roman" w:hAnsi="Times New Roman"/>
                      <w:color w:val="auto"/>
                      <w:szCs w:val="21"/>
                      <w:u w:val="single"/>
                    </w:rPr>
                  </w:pPr>
                </w:p>
              </w:tc>
              <w:tc>
                <w:tcPr>
                  <w:tcW w:w="170" w:type="pct"/>
                  <w:vMerge w:val="continue"/>
                </w:tcPr>
                <w:p w14:paraId="720483FB">
                  <w:pPr>
                    <w:pStyle w:val="76"/>
                    <w:jc w:val="center"/>
                    <w:rPr>
                      <w:rFonts w:ascii="Times New Roman" w:hAnsi="Times New Roman"/>
                      <w:color w:val="auto"/>
                      <w:szCs w:val="21"/>
                      <w:u w:val="single"/>
                    </w:rPr>
                  </w:pPr>
                </w:p>
              </w:tc>
              <w:tc>
                <w:tcPr>
                  <w:tcW w:w="170" w:type="pct"/>
                  <w:vMerge w:val="continue"/>
                </w:tcPr>
                <w:p w14:paraId="32483AAE">
                  <w:pPr>
                    <w:pStyle w:val="76"/>
                    <w:jc w:val="center"/>
                    <w:rPr>
                      <w:rFonts w:ascii="Times New Roman" w:hAnsi="Times New Roman"/>
                      <w:color w:val="auto"/>
                      <w:szCs w:val="21"/>
                      <w:u w:val="single"/>
                    </w:rPr>
                  </w:pPr>
                </w:p>
              </w:tc>
              <w:tc>
                <w:tcPr>
                  <w:tcW w:w="125" w:type="pct"/>
                  <w:vMerge w:val="continue"/>
                </w:tcPr>
                <w:p w14:paraId="180000DA">
                  <w:pPr>
                    <w:pStyle w:val="76"/>
                    <w:jc w:val="center"/>
                    <w:rPr>
                      <w:rFonts w:ascii="Times New Roman" w:hAnsi="Times New Roman"/>
                      <w:color w:val="auto"/>
                      <w:szCs w:val="21"/>
                      <w:u w:val="single"/>
                    </w:rPr>
                  </w:pPr>
                </w:p>
              </w:tc>
              <w:tc>
                <w:tcPr>
                  <w:tcW w:w="208" w:type="pct"/>
                  <w:vAlign w:val="center"/>
                </w:tcPr>
                <w:p w14:paraId="532D644A">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0F6D5476">
                  <w:pPr>
                    <w:pStyle w:val="76"/>
                    <w:jc w:val="center"/>
                    <w:rPr>
                      <w:rFonts w:ascii="Times New Roman" w:hAnsi="Times New Roman"/>
                      <w:color w:val="auto"/>
                      <w:szCs w:val="21"/>
                      <w:u w:val="single"/>
                    </w:rPr>
                  </w:pPr>
                  <w:r>
                    <w:rPr>
                      <w:rFonts w:hint="eastAsia" w:ascii="Times New Roman" w:hAnsi="Times New Roman"/>
                      <w:color w:val="auto"/>
                      <w:szCs w:val="21"/>
                      <w:u w:val="single"/>
                    </w:rPr>
                    <w:t>4</w:t>
                  </w:r>
                </w:p>
              </w:tc>
              <w:tc>
                <w:tcPr>
                  <w:tcW w:w="405" w:type="pct"/>
                  <w:vAlign w:val="center"/>
                </w:tcPr>
                <w:p w14:paraId="704DE3B8">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1</w:t>
                  </w:r>
                </w:p>
              </w:tc>
              <w:tc>
                <w:tcPr>
                  <w:tcW w:w="548" w:type="pct"/>
                  <w:vMerge w:val="continue"/>
                </w:tcPr>
                <w:p w14:paraId="7725F42A">
                  <w:pPr>
                    <w:pStyle w:val="76"/>
                    <w:jc w:val="center"/>
                    <w:rPr>
                      <w:rFonts w:ascii="Times New Roman" w:hAnsi="Times New Roman"/>
                      <w:color w:val="auto"/>
                      <w:szCs w:val="21"/>
                      <w:u w:val="single"/>
                    </w:rPr>
                  </w:pPr>
                </w:p>
              </w:tc>
              <w:tc>
                <w:tcPr>
                  <w:tcW w:w="436" w:type="pct"/>
                  <w:vMerge w:val="continue"/>
                </w:tcPr>
                <w:p w14:paraId="0614E5E0">
                  <w:pPr>
                    <w:pStyle w:val="76"/>
                    <w:jc w:val="center"/>
                    <w:rPr>
                      <w:rFonts w:ascii="Times New Roman" w:hAnsi="Times New Roman"/>
                      <w:color w:val="auto"/>
                      <w:szCs w:val="21"/>
                      <w:u w:val="single"/>
                    </w:rPr>
                  </w:pPr>
                </w:p>
              </w:tc>
              <w:tc>
                <w:tcPr>
                  <w:tcW w:w="272" w:type="pct"/>
                  <w:vAlign w:val="center"/>
                </w:tcPr>
                <w:p w14:paraId="6AC3642A">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64E69C63">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1</w:t>
                  </w:r>
                </w:p>
              </w:tc>
              <w:tc>
                <w:tcPr>
                  <w:tcW w:w="311" w:type="pct"/>
                  <w:vMerge w:val="continue"/>
                </w:tcPr>
                <w:p w14:paraId="7E0A68D7">
                  <w:pPr>
                    <w:pStyle w:val="76"/>
                    <w:jc w:val="center"/>
                    <w:rPr>
                      <w:rFonts w:ascii="Times New Roman" w:hAnsi="Times New Roman"/>
                      <w:color w:val="auto"/>
                      <w:szCs w:val="21"/>
                      <w:u w:val="single"/>
                    </w:rPr>
                  </w:pPr>
                </w:p>
              </w:tc>
            </w:tr>
            <w:tr w14:paraId="5AFC28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6A4BB097">
                  <w:pPr>
                    <w:pStyle w:val="76"/>
                    <w:jc w:val="center"/>
                    <w:rPr>
                      <w:rFonts w:ascii="Times New Roman" w:hAnsi="Times New Roman"/>
                      <w:color w:val="auto"/>
                      <w:szCs w:val="21"/>
                      <w:u w:val="single"/>
                    </w:rPr>
                  </w:pPr>
                </w:p>
              </w:tc>
              <w:tc>
                <w:tcPr>
                  <w:tcW w:w="163" w:type="pct"/>
                  <w:vMerge w:val="continue"/>
                  <w:vAlign w:val="center"/>
                </w:tcPr>
                <w:p w14:paraId="74C279FA">
                  <w:pPr>
                    <w:pStyle w:val="76"/>
                    <w:jc w:val="center"/>
                    <w:rPr>
                      <w:rFonts w:ascii="Times New Roman" w:hAnsi="Times New Roman"/>
                      <w:color w:val="auto"/>
                      <w:szCs w:val="21"/>
                      <w:u w:val="single"/>
                    </w:rPr>
                  </w:pPr>
                </w:p>
              </w:tc>
              <w:tc>
                <w:tcPr>
                  <w:tcW w:w="299" w:type="pct"/>
                  <w:vMerge w:val="continue"/>
                  <w:vAlign w:val="center"/>
                </w:tcPr>
                <w:p w14:paraId="63CE65F4">
                  <w:pPr>
                    <w:pStyle w:val="76"/>
                    <w:jc w:val="center"/>
                    <w:rPr>
                      <w:rFonts w:ascii="Times New Roman" w:hAnsi="Times New Roman"/>
                      <w:color w:val="auto"/>
                      <w:szCs w:val="21"/>
                      <w:u w:val="single"/>
                    </w:rPr>
                  </w:pPr>
                </w:p>
              </w:tc>
              <w:tc>
                <w:tcPr>
                  <w:tcW w:w="596" w:type="pct"/>
                  <w:vMerge w:val="continue"/>
                  <w:vAlign w:val="center"/>
                </w:tcPr>
                <w:p w14:paraId="002A1E7B">
                  <w:pPr>
                    <w:pStyle w:val="76"/>
                    <w:jc w:val="center"/>
                    <w:rPr>
                      <w:rFonts w:ascii="Times New Roman" w:hAnsi="Times New Roman"/>
                      <w:color w:val="auto"/>
                      <w:szCs w:val="21"/>
                      <w:u w:val="single"/>
                    </w:rPr>
                  </w:pPr>
                </w:p>
              </w:tc>
              <w:tc>
                <w:tcPr>
                  <w:tcW w:w="503" w:type="pct"/>
                  <w:vMerge w:val="continue"/>
                </w:tcPr>
                <w:p w14:paraId="6AE00A2E">
                  <w:pPr>
                    <w:pStyle w:val="76"/>
                    <w:jc w:val="center"/>
                    <w:rPr>
                      <w:rFonts w:ascii="Times New Roman" w:hAnsi="Times New Roman"/>
                      <w:color w:val="auto"/>
                      <w:szCs w:val="21"/>
                      <w:u w:val="single"/>
                    </w:rPr>
                  </w:pPr>
                </w:p>
              </w:tc>
              <w:tc>
                <w:tcPr>
                  <w:tcW w:w="170" w:type="pct"/>
                  <w:vMerge w:val="continue"/>
                </w:tcPr>
                <w:p w14:paraId="2FF37B14">
                  <w:pPr>
                    <w:pStyle w:val="76"/>
                    <w:jc w:val="center"/>
                    <w:rPr>
                      <w:rFonts w:ascii="Times New Roman" w:hAnsi="Times New Roman"/>
                      <w:color w:val="auto"/>
                      <w:szCs w:val="21"/>
                      <w:u w:val="single"/>
                    </w:rPr>
                  </w:pPr>
                </w:p>
              </w:tc>
              <w:tc>
                <w:tcPr>
                  <w:tcW w:w="170" w:type="pct"/>
                  <w:vMerge w:val="continue"/>
                </w:tcPr>
                <w:p w14:paraId="2AC57393">
                  <w:pPr>
                    <w:pStyle w:val="76"/>
                    <w:jc w:val="center"/>
                    <w:rPr>
                      <w:rFonts w:ascii="Times New Roman" w:hAnsi="Times New Roman"/>
                      <w:color w:val="auto"/>
                      <w:szCs w:val="21"/>
                      <w:u w:val="single"/>
                    </w:rPr>
                  </w:pPr>
                </w:p>
              </w:tc>
              <w:tc>
                <w:tcPr>
                  <w:tcW w:w="125" w:type="pct"/>
                  <w:vMerge w:val="continue"/>
                </w:tcPr>
                <w:p w14:paraId="73EFA8EA">
                  <w:pPr>
                    <w:pStyle w:val="76"/>
                    <w:jc w:val="center"/>
                    <w:rPr>
                      <w:rFonts w:ascii="Times New Roman" w:hAnsi="Times New Roman"/>
                      <w:color w:val="auto"/>
                      <w:szCs w:val="21"/>
                      <w:u w:val="single"/>
                    </w:rPr>
                  </w:pPr>
                </w:p>
              </w:tc>
              <w:tc>
                <w:tcPr>
                  <w:tcW w:w="208" w:type="pct"/>
                  <w:vAlign w:val="center"/>
                </w:tcPr>
                <w:p w14:paraId="4C300308">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68F124A4">
                  <w:pPr>
                    <w:pStyle w:val="76"/>
                    <w:jc w:val="center"/>
                    <w:rPr>
                      <w:rFonts w:ascii="Times New Roman" w:hAnsi="Times New Roman"/>
                      <w:color w:val="auto"/>
                      <w:szCs w:val="21"/>
                      <w:u w:val="single"/>
                    </w:rPr>
                  </w:pPr>
                  <w:r>
                    <w:rPr>
                      <w:rFonts w:ascii="Times New Roman" w:hAnsi="Times New Roman"/>
                      <w:color w:val="auto"/>
                      <w:szCs w:val="21"/>
                      <w:u w:val="single"/>
                    </w:rPr>
                    <w:t>3</w:t>
                  </w:r>
                  <w:r>
                    <w:rPr>
                      <w:rFonts w:hint="eastAsia" w:ascii="Times New Roman" w:hAnsi="Times New Roman"/>
                      <w:color w:val="auto"/>
                      <w:szCs w:val="21"/>
                      <w:u w:val="single"/>
                    </w:rPr>
                    <w:t>2</w:t>
                  </w:r>
                </w:p>
              </w:tc>
              <w:tc>
                <w:tcPr>
                  <w:tcW w:w="405" w:type="pct"/>
                  <w:vAlign w:val="center"/>
                </w:tcPr>
                <w:p w14:paraId="0617A683">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continue"/>
                </w:tcPr>
                <w:p w14:paraId="545B9787">
                  <w:pPr>
                    <w:pStyle w:val="76"/>
                    <w:jc w:val="center"/>
                    <w:rPr>
                      <w:rFonts w:ascii="Times New Roman" w:hAnsi="Times New Roman"/>
                      <w:color w:val="auto"/>
                      <w:szCs w:val="21"/>
                      <w:u w:val="single"/>
                    </w:rPr>
                  </w:pPr>
                </w:p>
              </w:tc>
              <w:tc>
                <w:tcPr>
                  <w:tcW w:w="436" w:type="pct"/>
                  <w:vMerge w:val="continue"/>
                </w:tcPr>
                <w:p w14:paraId="58D0E8C3">
                  <w:pPr>
                    <w:pStyle w:val="76"/>
                    <w:jc w:val="center"/>
                    <w:rPr>
                      <w:rFonts w:ascii="Times New Roman" w:hAnsi="Times New Roman"/>
                      <w:color w:val="auto"/>
                      <w:szCs w:val="21"/>
                      <w:u w:val="single"/>
                    </w:rPr>
                  </w:pPr>
                </w:p>
              </w:tc>
              <w:tc>
                <w:tcPr>
                  <w:tcW w:w="272" w:type="pct"/>
                  <w:vAlign w:val="center"/>
                </w:tcPr>
                <w:p w14:paraId="617E6F0F">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4A7773B5">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tcPr>
                <w:p w14:paraId="639EB7C0">
                  <w:pPr>
                    <w:pStyle w:val="76"/>
                    <w:jc w:val="center"/>
                    <w:rPr>
                      <w:rFonts w:ascii="Times New Roman" w:hAnsi="Times New Roman"/>
                      <w:color w:val="auto"/>
                      <w:szCs w:val="21"/>
                      <w:u w:val="single"/>
                    </w:rPr>
                  </w:pPr>
                </w:p>
              </w:tc>
            </w:tr>
            <w:tr w14:paraId="416DD5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169D2D1F">
                  <w:pPr>
                    <w:pStyle w:val="76"/>
                    <w:jc w:val="center"/>
                    <w:rPr>
                      <w:rFonts w:ascii="Times New Roman" w:hAnsi="Times New Roman"/>
                      <w:color w:val="auto"/>
                      <w:szCs w:val="21"/>
                      <w:u w:val="single"/>
                    </w:rPr>
                  </w:pPr>
                </w:p>
              </w:tc>
              <w:tc>
                <w:tcPr>
                  <w:tcW w:w="163" w:type="pct"/>
                  <w:vMerge w:val="continue"/>
                  <w:vAlign w:val="center"/>
                </w:tcPr>
                <w:p w14:paraId="26D8C6A5">
                  <w:pPr>
                    <w:pStyle w:val="76"/>
                    <w:jc w:val="center"/>
                    <w:rPr>
                      <w:rFonts w:ascii="Times New Roman" w:hAnsi="Times New Roman"/>
                      <w:color w:val="auto"/>
                      <w:szCs w:val="21"/>
                      <w:u w:val="single"/>
                    </w:rPr>
                  </w:pPr>
                </w:p>
              </w:tc>
              <w:tc>
                <w:tcPr>
                  <w:tcW w:w="299" w:type="pct"/>
                  <w:vMerge w:val="continue"/>
                  <w:vAlign w:val="center"/>
                </w:tcPr>
                <w:p w14:paraId="65496D40">
                  <w:pPr>
                    <w:pStyle w:val="76"/>
                    <w:jc w:val="center"/>
                    <w:rPr>
                      <w:rFonts w:ascii="Times New Roman" w:hAnsi="Times New Roman"/>
                      <w:color w:val="auto"/>
                      <w:szCs w:val="21"/>
                      <w:u w:val="single"/>
                    </w:rPr>
                  </w:pPr>
                </w:p>
              </w:tc>
              <w:tc>
                <w:tcPr>
                  <w:tcW w:w="596" w:type="pct"/>
                  <w:vMerge w:val="continue"/>
                  <w:vAlign w:val="center"/>
                </w:tcPr>
                <w:p w14:paraId="4CF10AC3">
                  <w:pPr>
                    <w:pStyle w:val="76"/>
                    <w:jc w:val="center"/>
                    <w:rPr>
                      <w:rFonts w:ascii="Times New Roman" w:hAnsi="Times New Roman"/>
                      <w:color w:val="auto"/>
                      <w:szCs w:val="21"/>
                      <w:u w:val="single"/>
                    </w:rPr>
                  </w:pPr>
                </w:p>
              </w:tc>
              <w:tc>
                <w:tcPr>
                  <w:tcW w:w="503" w:type="pct"/>
                  <w:vMerge w:val="continue"/>
                </w:tcPr>
                <w:p w14:paraId="5636C4DD">
                  <w:pPr>
                    <w:pStyle w:val="76"/>
                    <w:jc w:val="center"/>
                    <w:rPr>
                      <w:rFonts w:ascii="Times New Roman" w:hAnsi="Times New Roman"/>
                      <w:color w:val="auto"/>
                      <w:szCs w:val="21"/>
                      <w:u w:val="single"/>
                    </w:rPr>
                  </w:pPr>
                </w:p>
              </w:tc>
              <w:tc>
                <w:tcPr>
                  <w:tcW w:w="170" w:type="pct"/>
                  <w:vMerge w:val="continue"/>
                </w:tcPr>
                <w:p w14:paraId="0E2B2CF4">
                  <w:pPr>
                    <w:pStyle w:val="76"/>
                    <w:jc w:val="center"/>
                    <w:rPr>
                      <w:rFonts w:ascii="Times New Roman" w:hAnsi="Times New Roman"/>
                      <w:color w:val="auto"/>
                      <w:szCs w:val="21"/>
                      <w:u w:val="single"/>
                    </w:rPr>
                  </w:pPr>
                </w:p>
              </w:tc>
              <w:tc>
                <w:tcPr>
                  <w:tcW w:w="170" w:type="pct"/>
                  <w:vMerge w:val="continue"/>
                </w:tcPr>
                <w:p w14:paraId="296837E0">
                  <w:pPr>
                    <w:pStyle w:val="76"/>
                    <w:jc w:val="center"/>
                    <w:rPr>
                      <w:rFonts w:ascii="Times New Roman" w:hAnsi="Times New Roman"/>
                      <w:color w:val="auto"/>
                      <w:szCs w:val="21"/>
                      <w:u w:val="single"/>
                    </w:rPr>
                  </w:pPr>
                </w:p>
              </w:tc>
              <w:tc>
                <w:tcPr>
                  <w:tcW w:w="125" w:type="pct"/>
                  <w:vMerge w:val="continue"/>
                </w:tcPr>
                <w:p w14:paraId="1E345ECC">
                  <w:pPr>
                    <w:pStyle w:val="76"/>
                    <w:jc w:val="center"/>
                    <w:rPr>
                      <w:rFonts w:ascii="Times New Roman" w:hAnsi="Times New Roman"/>
                      <w:color w:val="auto"/>
                      <w:szCs w:val="21"/>
                      <w:u w:val="single"/>
                    </w:rPr>
                  </w:pPr>
                </w:p>
              </w:tc>
              <w:tc>
                <w:tcPr>
                  <w:tcW w:w="208" w:type="pct"/>
                  <w:vAlign w:val="center"/>
                </w:tcPr>
                <w:p w14:paraId="5A258A74">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6D3D75E1">
                  <w:pPr>
                    <w:pStyle w:val="76"/>
                    <w:jc w:val="center"/>
                    <w:rPr>
                      <w:rFonts w:ascii="Times New Roman" w:hAnsi="Times New Roman"/>
                      <w:color w:val="auto"/>
                      <w:szCs w:val="21"/>
                      <w:u w:val="single"/>
                    </w:rPr>
                  </w:pPr>
                  <w:r>
                    <w:rPr>
                      <w:rFonts w:hint="eastAsia" w:ascii="Times New Roman" w:hAnsi="Times New Roman"/>
                      <w:color w:val="auto"/>
                      <w:szCs w:val="21"/>
                      <w:u w:val="single"/>
                    </w:rPr>
                    <w:t>24</w:t>
                  </w:r>
                </w:p>
              </w:tc>
              <w:tc>
                <w:tcPr>
                  <w:tcW w:w="405" w:type="pct"/>
                  <w:vAlign w:val="center"/>
                </w:tcPr>
                <w:p w14:paraId="69E02E99">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0</w:t>
                  </w:r>
                </w:p>
              </w:tc>
              <w:tc>
                <w:tcPr>
                  <w:tcW w:w="548" w:type="pct"/>
                  <w:vMerge w:val="continue"/>
                </w:tcPr>
                <w:p w14:paraId="58689925">
                  <w:pPr>
                    <w:pStyle w:val="76"/>
                    <w:jc w:val="center"/>
                    <w:rPr>
                      <w:rFonts w:ascii="Times New Roman" w:hAnsi="Times New Roman"/>
                      <w:color w:val="auto"/>
                      <w:szCs w:val="21"/>
                      <w:u w:val="single"/>
                    </w:rPr>
                  </w:pPr>
                </w:p>
              </w:tc>
              <w:tc>
                <w:tcPr>
                  <w:tcW w:w="436" w:type="pct"/>
                  <w:vMerge w:val="continue"/>
                </w:tcPr>
                <w:p w14:paraId="3FC7FA0E">
                  <w:pPr>
                    <w:pStyle w:val="76"/>
                    <w:jc w:val="center"/>
                    <w:rPr>
                      <w:rFonts w:ascii="Times New Roman" w:hAnsi="Times New Roman"/>
                      <w:color w:val="auto"/>
                      <w:szCs w:val="21"/>
                      <w:u w:val="single"/>
                    </w:rPr>
                  </w:pPr>
                </w:p>
              </w:tc>
              <w:tc>
                <w:tcPr>
                  <w:tcW w:w="272" w:type="pct"/>
                  <w:vAlign w:val="center"/>
                </w:tcPr>
                <w:p w14:paraId="75D0CE37">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6683F9BB">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0</w:t>
                  </w:r>
                </w:p>
              </w:tc>
              <w:tc>
                <w:tcPr>
                  <w:tcW w:w="311" w:type="pct"/>
                  <w:vMerge w:val="continue"/>
                </w:tcPr>
                <w:p w14:paraId="70106E8C">
                  <w:pPr>
                    <w:pStyle w:val="76"/>
                    <w:jc w:val="center"/>
                    <w:rPr>
                      <w:rFonts w:ascii="Times New Roman" w:hAnsi="Times New Roman"/>
                      <w:color w:val="auto"/>
                      <w:szCs w:val="21"/>
                      <w:u w:val="single"/>
                    </w:rPr>
                  </w:pPr>
                </w:p>
              </w:tc>
            </w:tr>
            <w:tr w14:paraId="1B6A8D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2D9594E0">
                  <w:pPr>
                    <w:pStyle w:val="76"/>
                    <w:numPr>
                      <w:ilvl w:val="0"/>
                      <w:numId w:val="7"/>
                    </w:numPr>
                    <w:tabs>
                      <w:tab w:val="clear" w:pos="420"/>
                    </w:tabs>
                    <w:jc w:val="center"/>
                    <w:rPr>
                      <w:rFonts w:ascii="Times New Roman" w:hAnsi="Times New Roman"/>
                      <w:color w:val="auto"/>
                      <w:szCs w:val="21"/>
                      <w:u w:val="single"/>
                    </w:rPr>
                  </w:pPr>
                </w:p>
              </w:tc>
              <w:tc>
                <w:tcPr>
                  <w:tcW w:w="163" w:type="pct"/>
                  <w:vMerge w:val="continue"/>
                  <w:vAlign w:val="center"/>
                </w:tcPr>
                <w:p w14:paraId="5E7D18F5">
                  <w:pPr>
                    <w:pStyle w:val="76"/>
                    <w:jc w:val="center"/>
                    <w:rPr>
                      <w:rFonts w:ascii="Times New Roman" w:hAnsi="Times New Roman"/>
                      <w:color w:val="auto"/>
                      <w:szCs w:val="21"/>
                      <w:u w:val="single"/>
                    </w:rPr>
                  </w:pPr>
                </w:p>
              </w:tc>
              <w:tc>
                <w:tcPr>
                  <w:tcW w:w="299" w:type="pct"/>
                  <w:vMerge w:val="restart"/>
                  <w:vAlign w:val="center"/>
                </w:tcPr>
                <w:p w14:paraId="00336911">
                  <w:pPr>
                    <w:pStyle w:val="76"/>
                    <w:jc w:val="center"/>
                    <w:rPr>
                      <w:rFonts w:ascii="Times New Roman" w:hAnsi="Times New Roman"/>
                      <w:color w:val="auto"/>
                      <w:szCs w:val="21"/>
                      <w:u w:val="single"/>
                    </w:rPr>
                  </w:pPr>
                  <w:r>
                    <w:rPr>
                      <w:rFonts w:ascii="Times New Roman" w:hAnsi="Times New Roman"/>
                      <w:color w:val="auto"/>
                      <w:szCs w:val="21"/>
                      <w:u w:val="single"/>
                    </w:rPr>
                    <w:t>钻床（3台）</w:t>
                  </w:r>
                </w:p>
              </w:tc>
              <w:tc>
                <w:tcPr>
                  <w:tcW w:w="596" w:type="pct"/>
                  <w:vMerge w:val="restart"/>
                  <w:vAlign w:val="center"/>
                </w:tcPr>
                <w:p w14:paraId="4F526088">
                  <w:pPr>
                    <w:pStyle w:val="88"/>
                    <w:rPr>
                      <w:color w:val="auto"/>
                      <w:szCs w:val="21"/>
                      <w:u w:val="single"/>
                    </w:rPr>
                  </w:pPr>
                  <w:r>
                    <w:rPr>
                      <w:color w:val="auto"/>
                      <w:u w:val="single"/>
                    </w:rPr>
                    <w:t>8</w:t>
                  </w:r>
                  <w:r>
                    <w:rPr>
                      <w:rFonts w:hint="eastAsia"/>
                      <w:color w:val="auto"/>
                      <w:u w:val="single"/>
                    </w:rPr>
                    <w:t>5</w:t>
                  </w:r>
                </w:p>
              </w:tc>
              <w:tc>
                <w:tcPr>
                  <w:tcW w:w="503" w:type="pct"/>
                  <w:vMerge w:val="restart"/>
                  <w:vAlign w:val="center"/>
                </w:tcPr>
                <w:p w14:paraId="264E1375">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1C4D2D66">
                  <w:pPr>
                    <w:pStyle w:val="76"/>
                    <w:jc w:val="center"/>
                    <w:rPr>
                      <w:rFonts w:ascii="Times New Roman" w:hAnsi="Times New Roman"/>
                      <w:color w:val="auto"/>
                      <w:szCs w:val="21"/>
                      <w:u w:val="single"/>
                    </w:rPr>
                  </w:pPr>
                  <w:r>
                    <w:rPr>
                      <w:rFonts w:hint="eastAsia" w:ascii="Times New Roman" w:hAnsi="Times New Roman"/>
                      <w:color w:val="auto"/>
                      <w:szCs w:val="21"/>
                      <w:u w:val="single"/>
                    </w:rPr>
                    <w:t>-86</w:t>
                  </w:r>
                </w:p>
              </w:tc>
              <w:tc>
                <w:tcPr>
                  <w:tcW w:w="170" w:type="pct"/>
                  <w:vMerge w:val="restart"/>
                  <w:vAlign w:val="center"/>
                </w:tcPr>
                <w:p w14:paraId="57D356E1">
                  <w:pPr>
                    <w:pStyle w:val="76"/>
                    <w:jc w:val="center"/>
                    <w:rPr>
                      <w:rFonts w:ascii="Times New Roman" w:hAnsi="Times New Roman"/>
                      <w:color w:val="auto"/>
                      <w:szCs w:val="21"/>
                      <w:u w:val="single"/>
                    </w:rPr>
                  </w:pPr>
                  <w:r>
                    <w:rPr>
                      <w:rFonts w:ascii="Times New Roman" w:hAnsi="Times New Roman"/>
                      <w:color w:val="auto"/>
                      <w:szCs w:val="21"/>
                      <w:u w:val="single"/>
                    </w:rPr>
                    <w:t>-10</w:t>
                  </w:r>
                </w:p>
              </w:tc>
              <w:tc>
                <w:tcPr>
                  <w:tcW w:w="125" w:type="pct"/>
                  <w:vMerge w:val="restart"/>
                  <w:vAlign w:val="center"/>
                </w:tcPr>
                <w:p w14:paraId="61B8D1C0">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0A538EB1">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4295CAE8">
                  <w:pPr>
                    <w:pStyle w:val="76"/>
                    <w:jc w:val="center"/>
                    <w:rPr>
                      <w:rFonts w:ascii="Times New Roman" w:hAnsi="Times New Roman"/>
                      <w:color w:val="auto"/>
                      <w:szCs w:val="21"/>
                      <w:u w:val="single"/>
                    </w:rPr>
                  </w:pPr>
                  <w:r>
                    <w:rPr>
                      <w:rFonts w:hint="eastAsia" w:ascii="Times New Roman" w:hAnsi="Times New Roman"/>
                      <w:color w:val="auto"/>
                      <w:szCs w:val="21"/>
                      <w:u w:val="single"/>
                    </w:rPr>
                    <w:t>182</w:t>
                  </w:r>
                </w:p>
              </w:tc>
              <w:tc>
                <w:tcPr>
                  <w:tcW w:w="405" w:type="pct"/>
                  <w:vAlign w:val="center"/>
                </w:tcPr>
                <w:p w14:paraId="0795FF60">
                  <w:pPr>
                    <w:pStyle w:val="76"/>
                    <w:jc w:val="center"/>
                    <w:rPr>
                      <w:rFonts w:ascii="Times New Roman" w:hAnsi="Times New Roman"/>
                      <w:color w:val="auto"/>
                      <w:szCs w:val="21"/>
                      <w:u w:val="single"/>
                    </w:rPr>
                  </w:pPr>
                  <w:r>
                    <w:rPr>
                      <w:rFonts w:ascii="Times New Roman" w:hAnsi="Times New Roman"/>
                      <w:color w:val="auto"/>
                      <w:szCs w:val="21"/>
                      <w:u w:val="single"/>
                    </w:rPr>
                    <w:t>76.0</w:t>
                  </w:r>
                </w:p>
              </w:tc>
              <w:tc>
                <w:tcPr>
                  <w:tcW w:w="548" w:type="pct"/>
                  <w:vMerge w:val="restart"/>
                  <w:vAlign w:val="center"/>
                </w:tcPr>
                <w:p w14:paraId="2072B83B">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6C12654E">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18C5522E">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64EE7777">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restart"/>
                  <w:vAlign w:val="center"/>
                </w:tcPr>
                <w:p w14:paraId="2B69F862">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3A169B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61C3A01F">
                  <w:pPr>
                    <w:pStyle w:val="76"/>
                    <w:jc w:val="center"/>
                    <w:rPr>
                      <w:rFonts w:ascii="Times New Roman" w:hAnsi="Times New Roman"/>
                      <w:color w:val="auto"/>
                      <w:szCs w:val="21"/>
                      <w:u w:val="single"/>
                    </w:rPr>
                  </w:pPr>
                </w:p>
              </w:tc>
              <w:tc>
                <w:tcPr>
                  <w:tcW w:w="163" w:type="pct"/>
                  <w:vMerge w:val="continue"/>
                  <w:vAlign w:val="center"/>
                </w:tcPr>
                <w:p w14:paraId="28E2B4AF">
                  <w:pPr>
                    <w:pStyle w:val="76"/>
                    <w:jc w:val="center"/>
                    <w:rPr>
                      <w:rFonts w:ascii="Times New Roman" w:hAnsi="Times New Roman"/>
                      <w:color w:val="auto"/>
                      <w:szCs w:val="21"/>
                      <w:u w:val="single"/>
                    </w:rPr>
                  </w:pPr>
                </w:p>
              </w:tc>
              <w:tc>
                <w:tcPr>
                  <w:tcW w:w="299" w:type="pct"/>
                  <w:vMerge w:val="continue"/>
                  <w:vAlign w:val="center"/>
                </w:tcPr>
                <w:p w14:paraId="1C3A54E0">
                  <w:pPr>
                    <w:pStyle w:val="76"/>
                    <w:jc w:val="center"/>
                    <w:rPr>
                      <w:rFonts w:ascii="Times New Roman" w:hAnsi="Times New Roman"/>
                      <w:color w:val="auto"/>
                      <w:szCs w:val="21"/>
                      <w:u w:val="single"/>
                    </w:rPr>
                  </w:pPr>
                </w:p>
              </w:tc>
              <w:tc>
                <w:tcPr>
                  <w:tcW w:w="596" w:type="pct"/>
                  <w:vMerge w:val="continue"/>
                  <w:vAlign w:val="center"/>
                </w:tcPr>
                <w:p w14:paraId="04D6CACE">
                  <w:pPr>
                    <w:pStyle w:val="76"/>
                    <w:jc w:val="center"/>
                    <w:rPr>
                      <w:rFonts w:ascii="Times New Roman" w:hAnsi="Times New Roman"/>
                      <w:color w:val="auto"/>
                      <w:szCs w:val="21"/>
                      <w:u w:val="single"/>
                    </w:rPr>
                  </w:pPr>
                </w:p>
              </w:tc>
              <w:tc>
                <w:tcPr>
                  <w:tcW w:w="503" w:type="pct"/>
                  <w:vMerge w:val="continue"/>
                </w:tcPr>
                <w:p w14:paraId="3F2EE181">
                  <w:pPr>
                    <w:pStyle w:val="76"/>
                    <w:jc w:val="center"/>
                    <w:rPr>
                      <w:rFonts w:ascii="Times New Roman" w:hAnsi="Times New Roman"/>
                      <w:color w:val="auto"/>
                      <w:szCs w:val="21"/>
                      <w:u w:val="single"/>
                    </w:rPr>
                  </w:pPr>
                </w:p>
              </w:tc>
              <w:tc>
                <w:tcPr>
                  <w:tcW w:w="170" w:type="pct"/>
                  <w:vMerge w:val="continue"/>
                </w:tcPr>
                <w:p w14:paraId="048DF333">
                  <w:pPr>
                    <w:pStyle w:val="76"/>
                    <w:jc w:val="center"/>
                    <w:rPr>
                      <w:rFonts w:ascii="Times New Roman" w:hAnsi="Times New Roman"/>
                      <w:color w:val="auto"/>
                      <w:szCs w:val="21"/>
                      <w:u w:val="single"/>
                    </w:rPr>
                  </w:pPr>
                </w:p>
              </w:tc>
              <w:tc>
                <w:tcPr>
                  <w:tcW w:w="170" w:type="pct"/>
                  <w:vMerge w:val="continue"/>
                </w:tcPr>
                <w:p w14:paraId="54B79D21">
                  <w:pPr>
                    <w:pStyle w:val="76"/>
                    <w:jc w:val="center"/>
                    <w:rPr>
                      <w:rFonts w:ascii="Times New Roman" w:hAnsi="Times New Roman"/>
                      <w:color w:val="auto"/>
                      <w:szCs w:val="21"/>
                      <w:u w:val="single"/>
                    </w:rPr>
                  </w:pPr>
                </w:p>
              </w:tc>
              <w:tc>
                <w:tcPr>
                  <w:tcW w:w="125" w:type="pct"/>
                  <w:vMerge w:val="continue"/>
                </w:tcPr>
                <w:p w14:paraId="2313DE45">
                  <w:pPr>
                    <w:pStyle w:val="76"/>
                    <w:jc w:val="center"/>
                    <w:rPr>
                      <w:rFonts w:ascii="Times New Roman" w:hAnsi="Times New Roman"/>
                      <w:color w:val="auto"/>
                      <w:szCs w:val="21"/>
                      <w:u w:val="single"/>
                    </w:rPr>
                  </w:pPr>
                </w:p>
              </w:tc>
              <w:tc>
                <w:tcPr>
                  <w:tcW w:w="208" w:type="pct"/>
                  <w:vAlign w:val="center"/>
                </w:tcPr>
                <w:p w14:paraId="4C42CA64">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395B498D">
                  <w:pPr>
                    <w:pStyle w:val="76"/>
                    <w:jc w:val="center"/>
                    <w:rPr>
                      <w:rFonts w:ascii="Times New Roman" w:hAnsi="Times New Roman"/>
                      <w:color w:val="auto"/>
                      <w:szCs w:val="21"/>
                      <w:u w:val="single"/>
                    </w:rPr>
                  </w:pPr>
                  <w:r>
                    <w:rPr>
                      <w:rFonts w:hint="eastAsia" w:ascii="Times New Roman" w:hAnsi="Times New Roman"/>
                      <w:color w:val="auto"/>
                      <w:szCs w:val="21"/>
                      <w:u w:val="single"/>
                    </w:rPr>
                    <w:t>4</w:t>
                  </w:r>
                </w:p>
              </w:tc>
              <w:tc>
                <w:tcPr>
                  <w:tcW w:w="405" w:type="pct"/>
                  <w:vAlign w:val="center"/>
                </w:tcPr>
                <w:p w14:paraId="7E217D49">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1</w:t>
                  </w:r>
                </w:p>
              </w:tc>
              <w:tc>
                <w:tcPr>
                  <w:tcW w:w="548" w:type="pct"/>
                  <w:vMerge w:val="continue"/>
                </w:tcPr>
                <w:p w14:paraId="65D05C44">
                  <w:pPr>
                    <w:pStyle w:val="76"/>
                    <w:jc w:val="center"/>
                    <w:rPr>
                      <w:rFonts w:ascii="Times New Roman" w:hAnsi="Times New Roman"/>
                      <w:color w:val="auto"/>
                      <w:szCs w:val="21"/>
                      <w:u w:val="single"/>
                    </w:rPr>
                  </w:pPr>
                </w:p>
              </w:tc>
              <w:tc>
                <w:tcPr>
                  <w:tcW w:w="436" w:type="pct"/>
                  <w:vMerge w:val="continue"/>
                </w:tcPr>
                <w:p w14:paraId="05709B90">
                  <w:pPr>
                    <w:pStyle w:val="76"/>
                    <w:jc w:val="center"/>
                    <w:rPr>
                      <w:rFonts w:ascii="Times New Roman" w:hAnsi="Times New Roman"/>
                      <w:color w:val="auto"/>
                      <w:szCs w:val="21"/>
                      <w:u w:val="single"/>
                    </w:rPr>
                  </w:pPr>
                </w:p>
              </w:tc>
              <w:tc>
                <w:tcPr>
                  <w:tcW w:w="272" w:type="pct"/>
                  <w:vAlign w:val="center"/>
                </w:tcPr>
                <w:p w14:paraId="4C0C8448">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173B9500">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1</w:t>
                  </w:r>
                </w:p>
              </w:tc>
              <w:tc>
                <w:tcPr>
                  <w:tcW w:w="311" w:type="pct"/>
                  <w:vMerge w:val="continue"/>
                </w:tcPr>
                <w:p w14:paraId="63CFE87B">
                  <w:pPr>
                    <w:pStyle w:val="76"/>
                    <w:jc w:val="center"/>
                    <w:rPr>
                      <w:rFonts w:ascii="Times New Roman" w:hAnsi="Times New Roman"/>
                      <w:color w:val="auto"/>
                      <w:szCs w:val="21"/>
                      <w:u w:val="single"/>
                    </w:rPr>
                  </w:pPr>
                </w:p>
              </w:tc>
            </w:tr>
            <w:tr w14:paraId="6F63A8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1056E379">
                  <w:pPr>
                    <w:pStyle w:val="76"/>
                    <w:jc w:val="center"/>
                    <w:rPr>
                      <w:rFonts w:ascii="Times New Roman" w:hAnsi="Times New Roman"/>
                      <w:color w:val="auto"/>
                      <w:szCs w:val="21"/>
                      <w:u w:val="single"/>
                    </w:rPr>
                  </w:pPr>
                </w:p>
              </w:tc>
              <w:tc>
                <w:tcPr>
                  <w:tcW w:w="163" w:type="pct"/>
                  <w:vMerge w:val="continue"/>
                  <w:vAlign w:val="center"/>
                </w:tcPr>
                <w:p w14:paraId="7061581E">
                  <w:pPr>
                    <w:pStyle w:val="76"/>
                    <w:jc w:val="center"/>
                    <w:rPr>
                      <w:rFonts w:ascii="Times New Roman" w:hAnsi="Times New Roman"/>
                      <w:color w:val="auto"/>
                      <w:szCs w:val="21"/>
                      <w:u w:val="single"/>
                    </w:rPr>
                  </w:pPr>
                </w:p>
              </w:tc>
              <w:tc>
                <w:tcPr>
                  <w:tcW w:w="299" w:type="pct"/>
                  <w:vMerge w:val="continue"/>
                  <w:vAlign w:val="center"/>
                </w:tcPr>
                <w:p w14:paraId="617E7BD2">
                  <w:pPr>
                    <w:pStyle w:val="76"/>
                    <w:jc w:val="center"/>
                    <w:rPr>
                      <w:rFonts w:ascii="Times New Roman" w:hAnsi="Times New Roman"/>
                      <w:color w:val="auto"/>
                      <w:szCs w:val="21"/>
                      <w:u w:val="single"/>
                    </w:rPr>
                  </w:pPr>
                </w:p>
              </w:tc>
              <w:tc>
                <w:tcPr>
                  <w:tcW w:w="596" w:type="pct"/>
                  <w:vMerge w:val="continue"/>
                  <w:vAlign w:val="center"/>
                </w:tcPr>
                <w:p w14:paraId="4C610A1E">
                  <w:pPr>
                    <w:pStyle w:val="76"/>
                    <w:jc w:val="center"/>
                    <w:rPr>
                      <w:rFonts w:ascii="Times New Roman" w:hAnsi="Times New Roman"/>
                      <w:color w:val="auto"/>
                      <w:szCs w:val="21"/>
                      <w:u w:val="single"/>
                    </w:rPr>
                  </w:pPr>
                </w:p>
              </w:tc>
              <w:tc>
                <w:tcPr>
                  <w:tcW w:w="503" w:type="pct"/>
                  <w:vMerge w:val="continue"/>
                </w:tcPr>
                <w:p w14:paraId="41CE1124">
                  <w:pPr>
                    <w:pStyle w:val="76"/>
                    <w:jc w:val="center"/>
                    <w:rPr>
                      <w:rFonts w:ascii="Times New Roman" w:hAnsi="Times New Roman"/>
                      <w:color w:val="auto"/>
                      <w:szCs w:val="21"/>
                      <w:u w:val="single"/>
                    </w:rPr>
                  </w:pPr>
                </w:p>
              </w:tc>
              <w:tc>
                <w:tcPr>
                  <w:tcW w:w="170" w:type="pct"/>
                  <w:vMerge w:val="continue"/>
                </w:tcPr>
                <w:p w14:paraId="19746FAB">
                  <w:pPr>
                    <w:pStyle w:val="76"/>
                    <w:jc w:val="center"/>
                    <w:rPr>
                      <w:rFonts w:ascii="Times New Roman" w:hAnsi="Times New Roman"/>
                      <w:color w:val="auto"/>
                      <w:szCs w:val="21"/>
                      <w:u w:val="single"/>
                    </w:rPr>
                  </w:pPr>
                </w:p>
              </w:tc>
              <w:tc>
                <w:tcPr>
                  <w:tcW w:w="170" w:type="pct"/>
                  <w:vMerge w:val="continue"/>
                </w:tcPr>
                <w:p w14:paraId="22ECA194">
                  <w:pPr>
                    <w:pStyle w:val="76"/>
                    <w:jc w:val="center"/>
                    <w:rPr>
                      <w:rFonts w:ascii="Times New Roman" w:hAnsi="Times New Roman"/>
                      <w:color w:val="auto"/>
                      <w:szCs w:val="21"/>
                      <w:u w:val="single"/>
                    </w:rPr>
                  </w:pPr>
                </w:p>
              </w:tc>
              <w:tc>
                <w:tcPr>
                  <w:tcW w:w="125" w:type="pct"/>
                  <w:vMerge w:val="continue"/>
                </w:tcPr>
                <w:p w14:paraId="6AFF75EB">
                  <w:pPr>
                    <w:pStyle w:val="76"/>
                    <w:jc w:val="center"/>
                    <w:rPr>
                      <w:rFonts w:ascii="Times New Roman" w:hAnsi="Times New Roman"/>
                      <w:color w:val="auto"/>
                      <w:szCs w:val="21"/>
                      <w:u w:val="single"/>
                    </w:rPr>
                  </w:pPr>
                </w:p>
              </w:tc>
              <w:tc>
                <w:tcPr>
                  <w:tcW w:w="208" w:type="pct"/>
                  <w:vAlign w:val="center"/>
                </w:tcPr>
                <w:p w14:paraId="655B9954">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06160728">
                  <w:pPr>
                    <w:pStyle w:val="76"/>
                    <w:jc w:val="center"/>
                    <w:rPr>
                      <w:rFonts w:ascii="Times New Roman" w:hAnsi="Times New Roman"/>
                      <w:color w:val="auto"/>
                      <w:szCs w:val="21"/>
                      <w:u w:val="single"/>
                    </w:rPr>
                  </w:pPr>
                  <w:r>
                    <w:rPr>
                      <w:rFonts w:hint="eastAsia" w:ascii="Times New Roman" w:hAnsi="Times New Roman"/>
                      <w:color w:val="auto"/>
                      <w:szCs w:val="21"/>
                      <w:u w:val="single"/>
                    </w:rPr>
                    <w:t>4</w:t>
                  </w:r>
                </w:p>
              </w:tc>
              <w:tc>
                <w:tcPr>
                  <w:tcW w:w="405" w:type="pct"/>
                  <w:vAlign w:val="center"/>
                </w:tcPr>
                <w:p w14:paraId="161D42A1">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1</w:t>
                  </w:r>
                </w:p>
              </w:tc>
              <w:tc>
                <w:tcPr>
                  <w:tcW w:w="548" w:type="pct"/>
                  <w:vMerge w:val="continue"/>
                </w:tcPr>
                <w:p w14:paraId="7B91DDB2">
                  <w:pPr>
                    <w:pStyle w:val="76"/>
                    <w:jc w:val="center"/>
                    <w:rPr>
                      <w:rFonts w:ascii="Times New Roman" w:hAnsi="Times New Roman"/>
                      <w:color w:val="auto"/>
                      <w:szCs w:val="21"/>
                      <w:u w:val="single"/>
                    </w:rPr>
                  </w:pPr>
                </w:p>
              </w:tc>
              <w:tc>
                <w:tcPr>
                  <w:tcW w:w="436" w:type="pct"/>
                  <w:vMerge w:val="continue"/>
                </w:tcPr>
                <w:p w14:paraId="25F2F33F">
                  <w:pPr>
                    <w:pStyle w:val="76"/>
                    <w:jc w:val="center"/>
                    <w:rPr>
                      <w:rFonts w:ascii="Times New Roman" w:hAnsi="Times New Roman"/>
                      <w:color w:val="auto"/>
                      <w:szCs w:val="21"/>
                      <w:u w:val="single"/>
                    </w:rPr>
                  </w:pPr>
                </w:p>
              </w:tc>
              <w:tc>
                <w:tcPr>
                  <w:tcW w:w="272" w:type="pct"/>
                  <w:vAlign w:val="center"/>
                </w:tcPr>
                <w:p w14:paraId="746A7BD8">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341E0402">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1</w:t>
                  </w:r>
                </w:p>
              </w:tc>
              <w:tc>
                <w:tcPr>
                  <w:tcW w:w="311" w:type="pct"/>
                  <w:vMerge w:val="continue"/>
                </w:tcPr>
                <w:p w14:paraId="7E8C81FC">
                  <w:pPr>
                    <w:pStyle w:val="76"/>
                    <w:jc w:val="center"/>
                    <w:rPr>
                      <w:rFonts w:ascii="Times New Roman" w:hAnsi="Times New Roman"/>
                      <w:color w:val="auto"/>
                      <w:szCs w:val="21"/>
                      <w:u w:val="single"/>
                    </w:rPr>
                  </w:pPr>
                </w:p>
              </w:tc>
            </w:tr>
            <w:tr w14:paraId="665F7A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5D4E49BB">
                  <w:pPr>
                    <w:pStyle w:val="76"/>
                    <w:jc w:val="center"/>
                    <w:rPr>
                      <w:rFonts w:ascii="Times New Roman" w:hAnsi="Times New Roman"/>
                      <w:color w:val="auto"/>
                      <w:szCs w:val="21"/>
                      <w:u w:val="single"/>
                    </w:rPr>
                  </w:pPr>
                </w:p>
              </w:tc>
              <w:tc>
                <w:tcPr>
                  <w:tcW w:w="163" w:type="pct"/>
                  <w:vMerge w:val="continue"/>
                  <w:vAlign w:val="center"/>
                </w:tcPr>
                <w:p w14:paraId="1F6F85BE">
                  <w:pPr>
                    <w:pStyle w:val="76"/>
                    <w:jc w:val="center"/>
                    <w:rPr>
                      <w:rFonts w:ascii="Times New Roman" w:hAnsi="Times New Roman"/>
                      <w:color w:val="auto"/>
                      <w:szCs w:val="21"/>
                      <w:u w:val="single"/>
                    </w:rPr>
                  </w:pPr>
                </w:p>
              </w:tc>
              <w:tc>
                <w:tcPr>
                  <w:tcW w:w="299" w:type="pct"/>
                  <w:vMerge w:val="continue"/>
                  <w:vAlign w:val="center"/>
                </w:tcPr>
                <w:p w14:paraId="146A98B3">
                  <w:pPr>
                    <w:pStyle w:val="76"/>
                    <w:jc w:val="center"/>
                    <w:rPr>
                      <w:rFonts w:ascii="Times New Roman" w:hAnsi="Times New Roman"/>
                      <w:color w:val="auto"/>
                      <w:szCs w:val="21"/>
                      <w:u w:val="single"/>
                    </w:rPr>
                  </w:pPr>
                </w:p>
              </w:tc>
              <w:tc>
                <w:tcPr>
                  <w:tcW w:w="596" w:type="pct"/>
                  <w:vMerge w:val="continue"/>
                  <w:vAlign w:val="center"/>
                </w:tcPr>
                <w:p w14:paraId="5870DA3A">
                  <w:pPr>
                    <w:pStyle w:val="76"/>
                    <w:jc w:val="center"/>
                    <w:rPr>
                      <w:rFonts w:ascii="Times New Roman" w:hAnsi="Times New Roman"/>
                      <w:color w:val="auto"/>
                      <w:szCs w:val="21"/>
                      <w:u w:val="single"/>
                    </w:rPr>
                  </w:pPr>
                </w:p>
              </w:tc>
              <w:tc>
                <w:tcPr>
                  <w:tcW w:w="503" w:type="pct"/>
                  <w:vMerge w:val="continue"/>
                </w:tcPr>
                <w:p w14:paraId="7C70BCAE">
                  <w:pPr>
                    <w:pStyle w:val="76"/>
                    <w:jc w:val="center"/>
                    <w:rPr>
                      <w:rFonts w:ascii="Times New Roman" w:hAnsi="Times New Roman"/>
                      <w:color w:val="auto"/>
                      <w:szCs w:val="21"/>
                      <w:u w:val="single"/>
                    </w:rPr>
                  </w:pPr>
                </w:p>
              </w:tc>
              <w:tc>
                <w:tcPr>
                  <w:tcW w:w="170" w:type="pct"/>
                  <w:vMerge w:val="continue"/>
                </w:tcPr>
                <w:p w14:paraId="0C0368B5">
                  <w:pPr>
                    <w:pStyle w:val="76"/>
                    <w:jc w:val="center"/>
                    <w:rPr>
                      <w:rFonts w:ascii="Times New Roman" w:hAnsi="Times New Roman"/>
                      <w:color w:val="auto"/>
                      <w:szCs w:val="21"/>
                      <w:u w:val="single"/>
                    </w:rPr>
                  </w:pPr>
                </w:p>
              </w:tc>
              <w:tc>
                <w:tcPr>
                  <w:tcW w:w="170" w:type="pct"/>
                  <w:vMerge w:val="continue"/>
                </w:tcPr>
                <w:p w14:paraId="79D4A737">
                  <w:pPr>
                    <w:pStyle w:val="76"/>
                    <w:jc w:val="center"/>
                    <w:rPr>
                      <w:rFonts w:ascii="Times New Roman" w:hAnsi="Times New Roman"/>
                      <w:color w:val="auto"/>
                      <w:szCs w:val="21"/>
                      <w:u w:val="single"/>
                    </w:rPr>
                  </w:pPr>
                </w:p>
              </w:tc>
              <w:tc>
                <w:tcPr>
                  <w:tcW w:w="125" w:type="pct"/>
                  <w:vMerge w:val="continue"/>
                </w:tcPr>
                <w:p w14:paraId="6E1FE369">
                  <w:pPr>
                    <w:pStyle w:val="76"/>
                    <w:jc w:val="center"/>
                    <w:rPr>
                      <w:rFonts w:ascii="Times New Roman" w:hAnsi="Times New Roman"/>
                      <w:color w:val="auto"/>
                      <w:szCs w:val="21"/>
                      <w:u w:val="single"/>
                    </w:rPr>
                  </w:pPr>
                </w:p>
              </w:tc>
              <w:tc>
                <w:tcPr>
                  <w:tcW w:w="208" w:type="pct"/>
                  <w:vAlign w:val="center"/>
                </w:tcPr>
                <w:p w14:paraId="58642BDA">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15F33C04">
                  <w:pPr>
                    <w:pStyle w:val="76"/>
                    <w:jc w:val="center"/>
                    <w:rPr>
                      <w:rFonts w:ascii="Times New Roman" w:hAnsi="Times New Roman"/>
                      <w:color w:val="auto"/>
                      <w:szCs w:val="21"/>
                      <w:u w:val="single"/>
                    </w:rPr>
                  </w:pPr>
                  <w:r>
                    <w:rPr>
                      <w:rFonts w:hint="eastAsia" w:ascii="Times New Roman" w:hAnsi="Times New Roman"/>
                      <w:color w:val="auto"/>
                      <w:szCs w:val="21"/>
                      <w:u w:val="single"/>
                    </w:rPr>
                    <w:t>24</w:t>
                  </w:r>
                </w:p>
              </w:tc>
              <w:tc>
                <w:tcPr>
                  <w:tcW w:w="405" w:type="pct"/>
                  <w:vAlign w:val="center"/>
                </w:tcPr>
                <w:p w14:paraId="2F52158F">
                  <w:pPr>
                    <w:pStyle w:val="76"/>
                    <w:jc w:val="center"/>
                    <w:rPr>
                      <w:rFonts w:ascii="Times New Roman" w:hAnsi="Times New Roman"/>
                      <w:color w:val="auto"/>
                      <w:szCs w:val="21"/>
                      <w:u w:val="single"/>
                    </w:rPr>
                  </w:pPr>
                  <w:r>
                    <w:rPr>
                      <w:rFonts w:ascii="Times New Roman" w:hAnsi="Times New Roman"/>
                      <w:color w:val="auto"/>
                      <w:szCs w:val="21"/>
                      <w:u w:val="single"/>
                    </w:rPr>
                    <w:t>76.</w:t>
                  </w:r>
                  <w:r>
                    <w:rPr>
                      <w:rFonts w:hint="eastAsia" w:ascii="Times New Roman" w:hAnsi="Times New Roman"/>
                      <w:color w:val="auto"/>
                      <w:szCs w:val="21"/>
                      <w:u w:val="single"/>
                    </w:rPr>
                    <w:t>0</w:t>
                  </w:r>
                </w:p>
              </w:tc>
              <w:tc>
                <w:tcPr>
                  <w:tcW w:w="548" w:type="pct"/>
                  <w:vMerge w:val="continue"/>
                </w:tcPr>
                <w:p w14:paraId="7B11D9F3">
                  <w:pPr>
                    <w:pStyle w:val="76"/>
                    <w:jc w:val="center"/>
                    <w:rPr>
                      <w:rFonts w:ascii="Times New Roman" w:hAnsi="Times New Roman"/>
                      <w:color w:val="auto"/>
                      <w:szCs w:val="21"/>
                      <w:u w:val="single"/>
                    </w:rPr>
                  </w:pPr>
                </w:p>
              </w:tc>
              <w:tc>
                <w:tcPr>
                  <w:tcW w:w="436" w:type="pct"/>
                  <w:vMerge w:val="continue"/>
                </w:tcPr>
                <w:p w14:paraId="76E338A8">
                  <w:pPr>
                    <w:pStyle w:val="76"/>
                    <w:jc w:val="center"/>
                    <w:rPr>
                      <w:rFonts w:ascii="Times New Roman" w:hAnsi="Times New Roman"/>
                      <w:color w:val="auto"/>
                      <w:szCs w:val="21"/>
                      <w:u w:val="single"/>
                    </w:rPr>
                  </w:pPr>
                </w:p>
              </w:tc>
              <w:tc>
                <w:tcPr>
                  <w:tcW w:w="272" w:type="pct"/>
                  <w:vAlign w:val="center"/>
                </w:tcPr>
                <w:p w14:paraId="06018F21">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04DC8F7A">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tcPr>
                <w:p w14:paraId="1C78EE6D">
                  <w:pPr>
                    <w:pStyle w:val="76"/>
                    <w:jc w:val="center"/>
                    <w:rPr>
                      <w:rFonts w:ascii="Times New Roman" w:hAnsi="Times New Roman"/>
                      <w:color w:val="auto"/>
                      <w:szCs w:val="21"/>
                      <w:u w:val="single"/>
                    </w:rPr>
                  </w:pPr>
                </w:p>
              </w:tc>
            </w:tr>
            <w:tr w14:paraId="6B3328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77E89597">
                  <w:pPr>
                    <w:pStyle w:val="76"/>
                    <w:numPr>
                      <w:ilvl w:val="0"/>
                      <w:numId w:val="7"/>
                    </w:numPr>
                    <w:rPr>
                      <w:rFonts w:ascii="Times New Roman" w:hAnsi="Times New Roman"/>
                      <w:color w:val="auto"/>
                      <w:szCs w:val="21"/>
                      <w:u w:val="single"/>
                    </w:rPr>
                  </w:pPr>
                </w:p>
              </w:tc>
              <w:tc>
                <w:tcPr>
                  <w:tcW w:w="163" w:type="pct"/>
                  <w:vMerge w:val="continue"/>
                  <w:vAlign w:val="center"/>
                </w:tcPr>
                <w:p w14:paraId="30BFB492">
                  <w:pPr>
                    <w:pStyle w:val="76"/>
                    <w:jc w:val="center"/>
                    <w:rPr>
                      <w:rFonts w:ascii="Times New Roman" w:hAnsi="Times New Roman"/>
                      <w:color w:val="auto"/>
                      <w:szCs w:val="21"/>
                      <w:u w:val="single"/>
                    </w:rPr>
                  </w:pPr>
                </w:p>
              </w:tc>
              <w:tc>
                <w:tcPr>
                  <w:tcW w:w="299" w:type="pct"/>
                  <w:vMerge w:val="restart"/>
                  <w:vAlign w:val="center"/>
                </w:tcPr>
                <w:p w14:paraId="457F227A">
                  <w:pPr>
                    <w:pStyle w:val="76"/>
                    <w:jc w:val="center"/>
                    <w:rPr>
                      <w:rFonts w:ascii="Times New Roman" w:hAnsi="Times New Roman"/>
                      <w:color w:val="auto"/>
                      <w:szCs w:val="21"/>
                      <w:u w:val="single"/>
                    </w:rPr>
                  </w:pPr>
                  <w:r>
                    <w:rPr>
                      <w:rFonts w:ascii="Times New Roman" w:hAnsi="Times New Roman"/>
                      <w:color w:val="auto"/>
                      <w:szCs w:val="21"/>
                      <w:u w:val="single"/>
                    </w:rPr>
                    <w:t>龙门铣床（4台）</w:t>
                  </w:r>
                </w:p>
              </w:tc>
              <w:tc>
                <w:tcPr>
                  <w:tcW w:w="596" w:type="pct"/>
                  <w:vMerge w:val="restart"/>
                  <w:vAlign w:val="center"/>
                </w:tcPr>
                <w:p w14:paraId="395A6934">
                  <w:pPr>
                    <w:pStyle w:val="88"/>
                    <w:rPr>
                      <w:color w:val="auto"/>
                      <w:szCs w:val="21"/>
                      <w:u w:val="single"/>
                    </w:rPr>
                  </w:pPr>
                  <w:r>
                    <w:rPr>
                      <w:color w:val="auto"/>
                      <w:u w:val="single"/>
                    </w:rPr>
                    <w:t>80</w:t>
                  </w:r>
                </w:p>
              </w:tc>
              <w:tc>
                <w:tcPr>
                  <w:tcW w:w="503" w:type="pct"/>
                  <w:vMerge w:val="restart"/>
                  <w:vAlign w:val="center"/>
                </w:tcPr>
                <w:p w14:paraId="5C82C349">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1F8AA7BB">
                  <w:pPr>
                    <w:pStyle w:val="76"/>
                    <w:jc w:val="center"/>
                    <w:rPr>
                      <w:rFonts w:ascii="Times New Roman" w:hAnsi="Times New Roman"/>
                      <w:color w:val="auto"/>
                      <w:szCs w:val="21"/>
                      <w:u w:val="single"/>
                    </w:rPr>
                  </w:pPr>
                  <w:r>
                    <w:rPr>
                      <w:rFonts w:hint="eastAsia" w:ascii="Times New Roman" w:hAnsi="Times New Roman"/>
                      <w:color w:val="auto"/>
                      <w:szCs w:val="21"/>
                      <w:u w:val="single"/>
                    </w:rPr>
                    <w:t>-82</w:t>
                  </w:r>
                </w:p>
              </w:tc>
              <w:tc>
                <w:tcPr>
                  <w:tcW w:w="170" w:type="pct"/>
                  <w:vMerge w:val="restart"/>
                  <w:vAlign w:val="center"/>
                </w:tcPr>
                <w:p w14:paraId="25516D1A">
                  <w:pPr>
                    <w:pStyle w:val="76"/>
                    <w:jc w:val="center"/>
                    <w:rPr>
                      <w:rFonts w:ascii="Times New Roman" w:hAnsi="Times New Roman"/>
                      <w:color w:val="auto"/>
                      <w:szCs w:val="21"/>
                      <w:u w:val="single"/>
                    </w:rPr>
                  </w:pPr>
                  <w:r>
                    <w:rPr>
                      <w:rFonts w:hint="eastAsia" w:ascii="Times New Roman" w:hAnsi="Times New Roman"/>
                      <w:color w:val="auto"/>
                      <w:szCs w:val="21"/>
                      <w:u w:val="single"/>
                    </w:rPr>
                    <w:t>2</w:t>
                  </w:r>
                </w:p>
              </w:tc>
              <w:tc>
                <w:tcPr>
                  <w:tcW w:w="125" w:type="pct"/>
                  <w:vMerge w:val="restart"/>
                  <w:vAlign w:val="center"/>
                </w:tcPr>
                <w:p w14:paraId="3FD352D1">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291CE3A2">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5455912C">
                  <w:pPr>
                    <w:pStyle w:val="76"/>
                    <w:jc w:val="center"/>
                    <w:rPr>
                      <w:rFonts w:ascii="Times New Roman" w:hAnsi="Times New Roman"/>
                      <w:color w:val="auto"/>
                      <w:szCs w:val="21"/>
                      <w:u w:val="single"/>
                    </w:rPr>
                  </w:pPr>
                  <w:r>
                    <w:rPr>
                      <w:rFonts w:hint="eastAsia" w:ascii="Times New Roman" w:hAnsi="Times New Roman"/>
                      <w:color w:val="auto"/>
                      <w:szCs w:val="21"/>
                      <w:u w:val="single"/>
                    </w:rPr>
                    <w:t>178</w:t>
                  </w:r>
                </w:p>
              </w:tc>
              <w:tc>
                <w:tcPr>
                  <w:tcW w:w="405" w:type="pct"/>
                  <w:vAlign w:val="center"/>
                </w:tcPr>
                <w:p w14:paraId="71AF1E39">
                  <w:pPr>
                    <w:pStyle w:val="76"/>
                    <w:jc w:val="center"/>
                    <w:rPr>
                      <w:rFonts w:ascii="Times New Roman" w:hAnsi="Times New Roman"/>
                      <w:color w:val="auto"/>
                      <w:szCs w:val="21"/>
                      <w:u w:val="single"/>
                    </w:rPr>
                  </w:pPr>
                  <w:r>
                    <w:rPr>
                      <w:rFonts w:ascii="Times New Roman" w:hAnsi="Times New Roman"/>
                      <w:color w:val="auto"/>
                      <w:szCs w:val="21"/>
                      <w:u w:val="single"/>
                    </w:rPr>
                    <w:t>73.0</w:t>
                  </w:r>
                </w:p>
              </w:tc>
              <w:tc>
                <w:tcPr>
                  <w:tcW w:w="548" w:type="pct"/>
                  <w:vMerge w:val="restart"/>
                  <w:vAlign w:val="center"/>
                </w:tcPr>
                <w:p w14:paraId="6627575B">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0E4F3892">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1039EBD8">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191976CB">
                  <w:pPr>
                    <w:pStyle w:val="76"/>
                    <w:jc w:val="center"/>
                    <w:rPr>
                      <w:rFonts w:ascii="Times New Roman" w:hAnsi="Times New Roman"/>
                      <w:color w:val="auto"/>
                      <w:szCs w:val="21"/>
                      <w:u w:val="single"/>
                    </w:rPr>
                  </w:pPr>
                  <w:r>
                    <w:rPr>
                      <w:rFonts w:hint="eastAsia" w:ascii="Times New Roman" w:hAnsi="Times New Roman"/>
                      <w:color w:val="auto"/>
                      <w:szCs w:val="21"/>
                      <w:u w:val="single"/>
                    </w:rPr>
                    <w:t>48</w:t>
                  </w:r>
                  <w:r>
                    <w:rPr>
                      <w:rFonts w:ascii="Times New Roman" w:hAnsi="Times New Roman"/>
                      <w:color w:val="auto"/>
                      <w:szCs w:val="21"/>
                      <w:u w:val="single"/>
                    </w:rPr>
                    <w:t>.0</w:t>
                  </w:r>
                </w:p>
              </w:tc>
              <w:tc>
                <w:tcPr>
                  <w:tcW w:w="311" w:type="pct"/>
                  <w:vMerge w:val="restart"/>
                  <w:vAlign w:val="center"/>
                </w:tcPr>
                <w:p w14:paraId="00EEFB81">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469954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249FF025">
                  <w:pPr>
                    <w:pStyle w:val="76"/>
                    <w:jc w:val="center"/>
                    <w:rPr>
                      <w:rFonts w:ascii="Times New Roman" w:hAnsi="Times New Roman"/>
                      <w:color w:val="auto"/>
                      <w:szCs w:val="21"/>
                      <w:u w:val="single"/>
                    </w:rPr>
                  </w:pPr>
                </w:p>
              </w:tc>
              <w:tc>
                <w:tcPr>
                  <w:tcW w:w="163" w:type="pct"/>
                  <w:vMerge w:val="continue"/>
                  <w:vAlign w:val="center"/>
                </w:tcPr>
                <w:p w14:paraId="26CC8C97">
                  <w:pPr>
                    <w:pStyle w:val="76"/>
                    <w:jc w:val="center"/>
                    <w:rPr>
                      <w:rFonts w:ascii="Times New Roman" w:hAnsi="Times New Roman"/>
                      <w:color w:val="auto"/>
                      <w:szCs w:val="21"/>
                      <w:u w:val="single"/>
                    </w:rPr>
                  </w:pPr>
                </w:p>
              </w:tc>
              <w:tc>
                <w:tcPr>
                  <w:tcW w:w="299" w:type="pct"/>
                  <w:vMerge w:val="continue"/>
                  <w:vAlign w:val="center"/>
                </w:tcPr>
                <w:p w14:paraId="103A4BD5">
                  <w:pPr>
                    <w:pStyle w:val="76"/>
                    <w:jc w:val="center"/>
                    <w:rPr>
                      <w:rFonts w:ascii="Times New Roman" w:hAnsi="Times New Roman"/>
                      <w:color w:val="auto"/>
                      <w:szCs w:val="21"/>
                      <w:u w:val="single"/>
                    </w:rPr>
                  </w:pPr>
                </w:p>
              </w:tc>
              <w:tc>
                <w:tcPr>
                  <w:tcW w:w="596" w:type="pct"/>
                  <w:vMerge w:val="continue"/>
                  <w:vAlign w:val="center"/>
                </w:tcPr>
                <w:p w14:paraId="277BEF17">
                  <w:pPr>
                    <w:pStyle w:val="76"/>
                    <w:jc w:val="center"/>
                    <w:rPr>
                      <w:rFonts w:ascii="Times New Roman" w:hAnsi="Times New Roman"/>
                      <w:color w:val="auto"/>
                      <w:szCs w:val="21"/>
                      <w:u w:val="single"/>
                    </w:rPr>
                  </w:pPr>
                </w:p>
              </w:tc>
              <w:tc>
                <w:tcPr>
                  <w:tcW w:w="503" w:type="pct"/>
                  <w:vMerge w:val="continue"/>
                </w:tcPr>
                <w:p w14:paraId="58900E7C">
                  <w:pPr>
                    <w:pStyle w:val="76"/>
                    <w:jc w:val="center"/>
                    <w:rPr>
                      <w:rFonts w:ascii="Times New Roman" w:hAnsi="Times New Roman"/>
                      <w:color w:val="auto"/>
                      <w:szCs w:val="21"/>
                      <w:u w:val="single"/>
                    </w:rPr>
                  </w:pPr>
                </w:p>
              </w:tc>
              <w:tc>
                <w:tcPr>
                  <w:tcW w:w="170" w:type="pct"/>
                  <w:vMerge w:val="continue"/>
                </w:tcPr>
                <w:p w14:paraId="29888FAD">
                  <w:pPr>
                    <w:pStyle w:val="76"/>
                    <w:jc w:val="center"/>
                    <w:rPr>
                      <w:rFonts w:ascii="Times New Roman" w:hAnsi="Times New Roman"/>
                      <w:color w:val="auto"/>
                      <w:szCs w:val="21"/>
                      <w:u w:val="single"/>
                    </w:rPr>
                  </w:pPr>
                </w:p>
              </w:tc>
              <w:tc>
                <w:tcPr>
                  <w:tcW w:w="170" w:type="pct"/>
                  <w:vMerge w:val="continue"/>
                </w:tcPr>
                <w:p w14:paraId="76FCB783">
                  <w:pPr>
                    <w:pStyle w:val="76"/>
                    <w:jc w:val="center"/>
                    <w:rPr>
                      <w:rFonts w:ascii="Times New Roman" w:hAnsi="Times New Roman"/>
                      <w:color w:val="auto"/>
                      <w:szCs w:val="21"/>
                      <w:u w:val="single"/>
                    </w:rPr>
                  </w:pPr>
                </w:p>
              </w:tc>
              <w:tc>
                <w:tcPr>
                  <w:tcW w:w="125" w:type="pct"/>
                  <w:vMerge w:val="continue"/>
                </w:tcPr>
                <w:p w14:paraId="58190A5C">
                  <w:pPr>
                    <w:pStyle w:val="76"/>
                    <w:jc w:val="center"/>
                    <w:rPr>
                      <w:rFonts w:ascii="Times New Roman" w:hAnsi="Times New Roman"/>
                      <w:color w:val="auto"/>
                      <w:szCs w:val="21"/>
                      <w:u w:val="single"/>
                    </w:rPr>
                  </w:pPr>
                </w:p>
              </w:tc>
              <w:tc>
                <w:tcPr>
                  <w:tcW w:w="208" w:type="pct"/>
                  <w:vAlign w:val="center"/>
                </w:tcPr>
                <w:p w14:paraId="53AF494E">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069C2608">
                  <w:pPr>
                    <w:pStyle w:val="76"/>
                    <w:jc w:val="center"/>
                    <w:rPr>
                      <w:rFonts w:ascii="Times New Roman" w:hAnsi="Times New Roman"/>
                      <w:color w:val="auto"/>
                      <w:szCs w:val="21"/>
                      <w:u w:val="single"/>
                    </w:rPr>
                  </w:pPr>
                  <w:r>
                    <w:rPr>
                      <w:rFonts w:ascii="Times New Roman" w:hAnsi="Times New Roman"/>
                      <w:color w:val="auto"/>
                      <w:szCs w:val="21"/>
                      <w:u w:val="single"/>
                    </w:rPr>
                    <w:t>1</w:t>
                  </w:r>
                  <w:r>
                    <w:rPr>
                      <w:rFonts w:hint="eastAsia" w:ascii="Times New Roman" w:hAnsi="Times New Roman"/>
                      <w:color w:val="auto"/>
                      <w:szCs w:val="21"/>
                      <w:u w:val="single"/>
                    </w:rPr>
                    <w:t>6</w:t>
                  </w:r>
                </w:p>
              </w:tc>
              <w:tc>
                <w:tcPr>
                  <w:tcW w:w="405" w:type="pct"/>
                  <w:vAlign w:val="center"/>
                </w:tcPr>
                <w:p w14:paraId="2F6BBB94">
                  <w:pPr>
                    <w:pStyle w:val="76"/>
                    <w:jc w:val="center"/>
                    <w:rPr>
                      <w:rFonts w:ascii="Times New Roman" w:hAnsi="Times New Roman"/>
                      <w:color w:val="auto"/>
                      <w:szCs w:val="21"/>
                      <w:u w:val="single"/>
                    </w:rPr>
                  </w:pPr>
                  <w:r>
                    <w:rPr>
                      <w:rFonts w:ascii="Times New Roman" w:hAnsi="Times New Roman"/>
                      <w:color w:val="auto"/>
                      <w:szCs w:val="21"/>
                      <w:u w:val="single"/>
                    </w:rPr>
                    <w:t>73.</w:t>
                  </w:r>
                  <w:r>
                    <w:rPr>
                      <w:rFonts w:hint="eastAsia" w:ascii="Times New Roman" w:hAnsi="Times New Roman"/>
                      <w:color w:val="auto"/>
                      <w:szCs w:val="21"/>
                      <w:u w:val="single"/>
                    </w:rPr>
                    <w:t>0</w:t>
                  </w:r>
                </w:p>
              </w:tc>
              <w:tc>
                <w:tcPr>
                  <w:tcW w:w="548" w:type="pct"/>
                  <w:vMerge w:val="continue"/>
                </w:tcPr>
                <w:p w14:paraId="5307D8DB">
                  <w:pPr>
                    <w:pStyle w:val="76"/>
                    <w:jc w:val="center"/>
                    <w:rPr>
                      <w:rFonts w:ascii="Times New Roman" w:hAnsi="Times New Roman"/>
                      <w:color w:val="auto"/>
                      <w:szCs w:val="21"/>
                      <w:u w:val="single"/>
                    </w:rPr>
                  </w:pPr>
                </w:p>
              </w:tc>
              <w:tc>
                <w:tcPr>
                  <w:tcW w:w="436" w:type="pct"/>
                  <w:vMerge w:val="continue"/>
                </w:tcPr>
                <w:p w14:paraId="6F173D52">
                  <w:pPr>
                    <w:pStyle w:val="76"/>
                    <w:jc w:val="center"/>
                    <w:rPr>
                      <w:rFonts w:ascii="Times New Roman" w:hAnsi="Times New Roman"/>
                      <w:color w:val="auto"/>
                      <w:szCs w:val="21"/>
                      <w:u w:val="single"/>
                    </w:rPr>
                  </w:pPr>
                </w:p>
              </w:tc>
              <w:tc>
                <w:tcPr>
                  <w:tcW w:w="272" w:type="pct"/>
                  <w:vAlign w:val="center"/>
                </w:tcPr>
                <w:p w14:paraId="699864FA">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1666C422">
                  <w:pPr>
                    <w:pStyle w:val="76"/>
                    <w:jc w:val="center"/>
                    <w:rPr>
                      <w:rFonts w:ascii="Times New Roman" w:hAnsi="Times New Roman"/>
                      <w:color w:val="auto"/>
                      <w:szCs w:val="21"/>
                      <w:u w:val="single"/>
                    </w:rPr>
                  </w:pPr>
                  <w:r>
                    <w:rPr>
                      <w:rFonts w:hint="eastAsia" w:ascii="Times New Roman" w:hAnsi="Times New Roman"/>
                      <w:color w:val="auto"/>
                      <w:szCs w:val="21"/>
                      <w:u w:val="single"/>
                    </w:rPr>
                    <w:t>48.0</w:t>
                  </w:r>
                </w:p>
              </w:tc>
              <w:tc>
                <w:tcPr>
                  <w:tcW w:w="311" w:type="pct"/>
                  <w:vMerge w:val="continue"/>
                </w:tcPr>
                <w:p w14:paraId="7F7F02BF">
                  <w:pPr>
                    <w:pStyle w:val="76"/>
                    <w:jc w:val="center"/>
                    <w:rPr>
                      <w:rFonts w:ascii="Times New Roman" w:hAnsi="Times New Roman"/>
                      <w:color w:val="auto"/>
                      <w:szCs w:val="21"/>
                      <w:u w:val="single"/>
                    </w:rPr>
                  </w:pPr>
                </w:p>
              </w:tc>
            </w:tr>
            <w:tr w14:paraId="41BFD0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03511024">
                  <w:pPr>
                    <w:pStyle w:val="76"/>
                    <w:jc w:val="center"/>
                    <w:rPr>
                      <w:rFonts w:ascii="Times New Roman" w:hAnsi="Times New Roman"/>
                      <w:color w:val="auto"/>
                      <w:szCs w:val="21"/>
                      <w:u w:val="single"/>
                    </w:rPr>
                  </w:pPr>
                </w:p>
              </w:tc>
              <w:tc>
                <w:tcPr>
                  <w:tcW w:w="163" w:type="pct"/>
                  <w:vMerge w:val="continue"/>
                  <w:vAlign w:val="center"/>
                </w:tcPr>
                <w:p w14:paraId="57E4F285">
                  <w:pPr>
                    <w:pStyle w:val="76"/>
                    <w:jc w:val="center"/>
                    <w:rPr>
                      <w:rFonts w:ascii="Times New Roman" w:hAnsi="Times New Roman"/>
                      <w:color w:val="auto"/>
                      <w:szCs w:val="21"/>
                      <w:u w:val="single"/>
                    </w:rPr>
                  </w:pPr>
                </w:p>
              </w:tc>
              <w:tc>
                <w:tcPr>
                  <w:tcW w:w="299" w:type="pct"/>
                  <w:vMerge w:val="continue"/>
                  <w:vAlign w:val="center"/>
                </w:tcPr>
                <w:p w14:paraId="0538B010">
                  <w:pPr>
                    <w:pStyle w:val="76"/>
                    <w:jc w:val="center"/>
                    <w:rPr>
                      <w:rFonts w:ascii="Times New Roman" w:hAnsi="Times New Roman"/>
                      <w:color w:val="auto"/>
                      <w:szCs w:val="21"/>
                      <w:u w:val="single"/>
                    </w:rPr>
                  </w:pPr>
                </w:p>
              </w:tc>
              <w:tc>
                <w:tcPr>
                  <w:tcW w:w="596" w:type="pct"/>
                  <w:vMerge w:val="continue"/>
                  <w:vAlign w:val="center"/>
                </w:tcPr>
                <w:p w14:paraId="6AC714D3">
                  <w:pPr>
                    <w:pStyle w:val="76"/>
                    <w:jc w:val="center"/>
                    <w:rPr>
                      <w:rFonts w:ascii="Times New Roman" w:hAnsi="Times New Roman"/>
                      <w:color w:val="auto"/>
                      <w:szCs w:val="21"/>
                      <w:u w:val="single"/>
                    </w:rPr>
                  </w:pPr>
                </w:p>
              </w:tc>
              <w:tc>
                <w:tcPr>
                  <w:tcW w:w="503" w:type="pct"/>
                  <w:vMerge w:val="continue"/>
                </w:tcPr>
                <w:p w14:paraId="7276D9A3">
                  <w:pPr>
                    <w:pStyle w:val="76"/>
                    <w:jc w:val="center"/>
                    <w:rPr>
                      <w:rFonts w:ascii="Times New Roman" w:hAnsi="Times New Roman"/>
                      <w:color w:val="auto"/>
                      <w:szCs w:val="21"/>
                      <w:u w:val="single"/>
                    </w:rPr>
                  </w:pPr>
                </w:p>
              </w:tc>
              <w:tc>
                <w:tcPr>
                  <w:tcW w:w="170" w:type="pct"/>
                  <w:vMerge w:val="continue"/>
                </w:tcPr>
                <w:p w14:paraId="54882D23">
                  <w:pPr>
                    <w:pStyle w:val="76"/>
                    <w:jc w:val="center"/>
                    <w:rPr>
                      <w:rFonts w:ascii="Times New Roman" w:hAnsi="Times New Roman"/>
                      <w:color w:val="auto"/>
                      <w:szCs w:val="21"/>
                      <w:u w:val="single"/>
                    </w:rPr>
                  </w:pPr>
                </w:p>
              </w:tc>
              <w:tc>
                <w:tcPr>
                  <w:tcW w:w="170" w:type="pct"/>
                  <w:vMerge w:val="continue"/>
                </w:tcPr>
                <w:p w14:paraId="0738795A">
                  <w:pPr>
                    <w:pStyle w:val="76"/>
                    <w:jc w:val="center"/>
                    <w:rPr>
                      <w:rFonts w:ascii="Times New Roman" w:hAnsi="Times New Roman"/>
                      <w:color w:val="auto"/>
                      <w:szCs w:val="21"/>
                      <w:u w:val="single"/>
                    </w:rPr>
                  </w:pPr>
                </w:p>
              </w:tc>
              <w:tc>
                <w:tcPr>
                  <w:tcW w:w="125" w:type="pct"/>
                  <w:vMerge w:val="continue"/>
                </w:tcPr>
                <w:p w14:paraId="1C9418CF">
                  <w:pPr>
                    <w:pStyle w:val="76"/>
                    <w:jc w:val="center"/>
                    <w:rPr>
                      <w:rFonts w:ascii="Times New Roman" w:hAnsi="Times New Roman"/>
                      <w:color w:val="auto"/>
                      <w:szCs w:val="21"/>
                      <w:u w:val="single"/>
                    </w:rPr>
                  </w:pPr>
                </w:p>
              </w:tc>
              <w:tc>
                <w:tcPr>
                  <w:tcW w:w="208" w:type="pct"/>
                  <w:vAlign w:val="center"/>
                </w:tcPr>
                <w:p w14:paraId="78888FFE">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2A08F877">
                  <w:pPr>
                    <w:pStyle w:val="76"/>
                    <w:jc w:val="center"/>
                    <w:rPr>
                      <w:rFonts w:ascii="Times New Roman" w:hAnsi="Times New Roman"/>
                      <w:color w:val="auto"/>
                      <w:szCs w:val="21"/>
                      <w:u w:val="single"/>
                    </w:rPr>
                  </w:pPr>
                  <w:r>
                    <w:rPr>
                      <w:rFonts w:ascii="Times New Roman" w:hAnsi="Times New Roman"/>
                      <w:color w:val="auto"/>
                      <w:szCs w:val="21"/>
                      <w:u w:val="single"/>
                    </w:rPr>
                    <w:t>8</w:t>
                  </w:r>
                </w:p>
              </w:tc>
              <w:tc>
                <w:tcPr>
                  <w:tcW w:w="405" w:type="pct"/>
                  <w:vAlign w:val="center"/>
                </w:tcPr>
                <w:p w14:paraId="3530A401">
                  <w:pPr>
                    <w:pStyle w:val="76"/>
                    <w:jc w:val="center"/>
                    <w:rPr>
                      <w:rFonts w:ascii="Times New Roman" w:hAnsi="Times New Roman"/>
                      <w:color w:val="auto"/>
                      <w:szCs w:val="21"/>
                      <w:u w:val="single"/>
                    </w:rPr>
                  </w:pPr>
                  <w:r>
                    <w:rPr>
                      <w:rFonts w:ascii="Times New Roman" w:hAnsi="Times New Roman"/>
                      <w:color w:val="auto"/>
                      <w:szCs w:val="21"/>
                      <w:u w:val="single"/>
                    </w:rPr>
                    <w:t>73.0</w:t>
                  </w:r>
                </w:p>
              </w:tc>
              <w:tc>
                <w:tcPr>
                  <w:tcW w:w="548" w:type="pct"/>
                  <w:vMerge w:val="continue"/>
                </w:tcPr>
                <w:p w14:paraId="26108BBD">
                  <w:pPr>
                    <w:pStyle w:val="76"/>
                    <w:jc w:val="center"/>
                    <w:rPr>
                      <w:rFonts w:ascii="Times New Roman" w:hAnsi="Times New Roman"/>
                      <w:color w:val="auto"/>
                      <w:szCs w:val="21"/>
                      <w:u w:val="single"/>
                    </w:rPr>
                  </w:pPr>
                </w:p>
              </w:tc>
              <w:tc>
                <w:tcPr>
                  <w:tcW w:w="436" w:type="pct"/>
                  <w:vMerge w:val="continue"/>
                </w:tcPr>
                <w:p w14:paraId="63CD8F2D">
                  <w:pPr>
                    <w:pStyle w:val="76"/>
                    <w:jc w:val="center"/>
                    <w:rPr>
                      <w:rFonts w:ascii="Times New Roman" w:hAnsi="Times New Roman"/>
                      <w:color w:val="auto"/>
                      <w:szCs w:val="21"/>
                      <w:u w:val="single"/>
                    </w:rPr>
                  </w:pPr>
                </w:p>
              </w:tc>
              <w:tc>
                <w:tcPr>
                  <w:tcW w:w="272" w:type="pct"/>
                  <w:vAlign w:val="center"/>
                </w:tcPr>
                <w:p w14:paraId="5FFA900E">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2A7559B4">
                  <w:pPr>
                    <w:pStyle w:val="76"/>
                    <w:jc w:val="center"/>
                    <w:rPr>
                      <w:rFonts w:ascii="Times New Roman" w:hAnsi="Times New Roman"/>
                      <w:color w:val="auto"/>
                      <w:szCs w:val="21"/>
                      <w:u w:val="single"/>
                    </w:rPr>
                  </w:pPr>
                  <w:r>
                    <w:rPr>
                      <w:rFonts w:hint="eastAsia" w:ascii="Times New Roman" w:hAnsi="Times New Roman"/>
                      <w:color w:val="auto"/>
                      <w:szCs w:val="21"/>
                      <w:u w:val="single"/>
                    </w:rPr>
                    <w:t>48</w:t>
                  </w:r>
                  <w:r>
                    <w:rPr>
                      <w:rFonts w:ascii="Times New Roman" w:hAnsi="Times New Roman"/>
                      <w:color w:val="auto"/>
                      <w:szCs w:val="21"/>
                      <w:u w:val="single"/>
                    </w:rPr>
                    <w:t>.0</w:t>
                  </w:r>
                </w:p>
              </w:tc>
              <w:tc>
                <w:tcPr>
                  <w:tcW w:w="311" w:type="pct"/>
                  <w:vMerge w:val="continue"/>
                </w:tcPr>
                <w:p w14:paraId="72FF2874">
                  <w:pPr>
                    <w:pStyle w:val="76"/>
                    <w:jc w:val="center"/>
                    <w:rPr>
                      <w:rFonts w:ascii="Times New Roman" w:hAnsi="Times New Roman"/>
                      <w:color w:val="auto"/>
                      <w:szCs w:val="21"/>
                      <w:u w:val="single"/>
                    </w:rPr>
                  </w:pPr>
                </w:p>
              </w:tc>
            </w:tr>
            <w:tr w14:paraId="112D3A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76B6EFF1">
                  <w:pPr>
                    <w:pStyle w:val="76"/>
                    <w:jc w:val="center"/>
                    <w:rPr>
                      <w:rFonts w:ascii="Times New Roman" w:hAnsi="Times New Roman"/>
                      <w:color w:val="auto"/>
                      <w:szCs w:val="21"/>
                      <w:u w:val="single"/>
                    </w:rPr>
                  </w:pPr>
                </w:p>
              </w:tc>
              <w:tc>
                <w:tcPr>
                  <w:tcW w:w="163" w:type="pct"/>
                  <w:vMerge w:val="continue"/>
                  <w:vAlign w:val="center"/>
                </w:tcPr>
                <w:p w14:paraId="631FED3B">
                  <w:pPr>
                    <w:pStyle w:val="76"/>
                    <w:jc w:val="center"/>
                    <w:rPr>
                      <w:rFonts w:ascii="Times New Roman" w:hAnsi="Times New Roman"/>
                      <w:color w:val="auto"/>
                      <w:szCs w:val="21"/>
                      <w:u w:val="single"/>
                    </w:rPr>
                  </w:pPr>
                </w:p>
              </w:tc>
              <w:tc>
                <w:tcPr>
                  <w:tcW w:w="299" w:type="pct"/>
                  <w:vMerge w:val="continue"/>
                  <w:vAlign w:val="center"/>
                </w:tcPr>
                <w:p w14:paraId="5ADCD3DD">
                  <w:pPr>
                    <w:pStyle w:val="76"/>
                    <w:jc w:val="center"/>
                    <w:rPr>
                      <w:rFonts w:ascii="Times New Roman" w:hAnsi="Times New Roman"/>
                      <w:color w:val="auto"/>
                      <w:szCs w:val="21"/>
                      <w:u w:val="single"/>
                    </w:rPr>
                  </w:pPr>
                </w:p>
              </w:tc>
              <w:tc>
                <w:tcPr>
                  <w:tcW w:w="596" w:type="pct"/>
                  <w:vMerge w:val="continue"/>
                  <w:vAlign w:val="center"/>
                </w:tcPr>
                <w:p w14:paraId="64B8A08C">
                  <w:pPr>
                    <w:pStyle w:val="76"/>
                    <w:jc w:val="center"/>
                    <w:rPr>
                      <w:rFonts w:ascii="Times New Roman" w:hAnsi="Times New Roman"/>
                      <w:color w:val="auto"/>
                      <w:szCs w:val="21"/>
                      <w:u w:val="single"/>
                    </w:rPr>
                  </w:pPr>
                </w:p>
              </w:tc>
              <w:tc>
                <w:tcPr>
                  <w:tcW w:w="503" w:type="pct"/>
                  <w:vMerge w:val="continue"/>
                </w:tcPr>
                <w:p w14:paraId="19F3FDD8">
                  <w:pPr>
                    <w:pStyle w:val="76"/>
                    <w:jc w:val="center"/>
                    <w:rPr>
                      <w:rFonts w:ascii="Times New Roman" w:hAnsi="Times New Roman"/>
                      <w:color w:val="auto"/>
                      <w:szCs w:val="21"/>
                      <w:u w:val="single"/>
                    </w:rPr>
                  </w:pPr>
                </w:p>
              </w:tc>
              <w:tc>
                <w:tcPr>
                  <w:tcW w:w="170" w:type="pct"/>
                  <w:vMerge w:val="continue"/>
                </w:tcPr>
                <w:p w14:paraId="405DF8EC">
                  <w:pPr>
                    <w:pStyle w:val="76"/>
                    <w:jc w:val="center"/>
                    <w:rPr>
                      <w:rFonts w:ascii="Times New Roman" w:hAnsi="Times New Roman"/>
                      <w:color w:val="auto"/>
                      <w:szCs w:val="21"/>
                      <w:u w:val="single"/>
                    </w:rPr>
                  </w:pPr>
                </w:p>
              </w:tc>
              <w:tc>
                <w:tcPr>
                  <w:tcW w:w="170" w:type="pct"/>
                  <w:vMerge w:val="continue"/>
                </w:tcPr>
                <w:p w14:paraId="70234B13">
                  <w:pPr>
                    <w:pStyle w:val="76"/>
                    <w:jc w:val="center"/>
                    <w:rPr>
                      <w:rFonts w:ascii="Times New Roman" w:hAnsi="Times New Roman"/>
                      <w:color w:val="auto"/>
                      <w:szCs w:val="21"/>
                      <w:u w:val="single"/>
                    </w:rPr>
                  </w:pPr>
                </w:p>
              </w:tc>
              <w:tc>
                <w:tcPr>
                  <w:tcW w:w="125" w:type="pct"/>
                  <w:vMerge w:val="continue"/>
                </w:tcPr>
                <w:p w14:paraId="150413D6">
                  <w:pPr>
                    <w:pStyle w:val="76"/>
                    <w:jc w:val="center"/>
                    <w:rPr>
                      <w:rFonts w:ascii="Times New Roman" w:hAnsi="Times New Roman"/>
                      <w:color w:val="auto"/>
                      <w:szCs w:val="21"/>
                      <w:u w:val="single"/>
                    </w:rPr>
                  </w:pPr>
                </w:p>
              </w:tc>
              <w:tc>
                <w:tcPr>
                  <w:tcW w:w="208" w:type="pct"/>
                  <w:vAlign w:val="center"/>
                </w:tcPr>
                <w:p w14:paraId="5879BD00">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5154950C">
                  <w:pPr>
                    <w:pStyle w:val="76"/>
                    <w:jc w:val="center"/>
                    <w:rPr>
                      <w:rFonts w:ascii="Times New Roman" w:hAnsi="Times New Roman"/>
                      <w:color w:val="auto"/>
                      <w:szCs w:val="21"/>
                      <w:u w:val="single"/>
                    </w:rPr>
                  </w:pPr>
                  <w:r>
                    <w:rPr>
                      <w:rFonts w:hint="eastAsia" w:ascii="Times New Roman" w:hAnsi="Times New Roman"/>
                      <w:color w:val="auto"/>
                      <w:szCs w:val="21"/>
                      <w:u w:val="single"/>
                    </w:rPr>
                    <w:t>12</w:t>
                  </w:r>
                </w:p>
              </w:tc>
              <w:tc>
                <w:tcPr>
                  <w:tcW w:w="405" w:type="pct"/>
                  <w:vAlign w:val="center"/>
                </w:tcPr>
                <w:p w14:paraId="34E6C45A">
                  <w:pPr>
                    <w:pStyle w:val="76"/>
                    <w:jc w:val="center"/>
                    <w:rPr>
                      <w:rFonts w:ascii="Times New Roman" w:hAnsi="Times New Roman"/>
                      <w:color w:val="auto"/>
                      <w:szCs w:val="21"/>
                      <w:u w:val="single"/>
                    </w:rPr>
                  </w:pPr>
                  <w:r>
                    <w:rPr>
                      <w:rFonts w:ascii="Times New Roman" w:hAnsi="Times New Roman"/>
                      <w:color w:val="auto"/>
                      <w:szCs w:val="21"/>
                      <w:u w:val="single"/>
                    </w:rPr>
                    <w:t>73.0</w:t>
                  </w:r>
                </w:p>
              </w:tc>
              <w:tc>
                <w:tcPr>
                  <w:tcW w:w="548" w:type="pct"/>
                  <w:vMerge w:val="continue"/>
                </w:tcPr>
                <w:p w14:paraId="1407861E">
                  <w:pPr>
                    <w:pStyle w:val="76"/>
                    <w:jc w:val="center"/>
                    <w:rPr>
                      <w:rFonts w:ascii="Times New Roman" w:hAnsi="Times New Roman"/>
                      <w:color w:val="auto"/>
                      <w:szCs w:val="21"/>
                      <w:u w:val="single"/>
                    </w:rPr>
                  </w:pPr>
                </w:p>
              </w:tc>
              <w:tc>
                <w:tcPr>
                  <w:tcW w:w="436" w:type="pct"/>
                  <w:vMerge w:val="continue"/>
                </w:tcPr>
                <w:p w14:paraId="7FB0E311">
                  <w:pPr>
                    <w:pStyle w:val="76"/>
                    <w:jc w:val="center"/>
                    <w:rPr>
                      <w:rFonts w:ascii="Times New Roman" w:hAnsi="Times New Roman"/>
                      <w:color w:val="auto"/>
                      <w:szCs w:val="21"/>
                      <w:u w:val="single"/>
                    </w:rPr>
                  </w:pPr>
                </w:p>
              </w:tc>
              <w:tc>
                <w:tcPr>
                  <w:tcW w:w="272" w:type="pct"/>
                  <w:vAlign w:val="center"/>
                </w:tcPr>
                <w:p w14:paraId="40040FE4">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76E27C76">
                  <w:pPr>
                    <w:pStyle w:val="76"/>
                    <w:jc w:val="center"/>
                    <w:rPr>
                      <w:rFonts w:ascii="Times New Roman" w:hAnsi="Times New Roman"/>
                      <w:color w:val="auto"/>
                      <w:szCs w:val="21"/>
                      <w:u w:val="single"/>
                    </w:rPr>
                  </w:pPr>
                  <w:r>
                    <w:rPr>
                      <w:rFonts w:hint="eastAsia" w:ascii="Times New Roman" w:hAnsi="Times New Roman"/>
                      <w:color w:val="auto"/>
                      <w:szCs w:val="21"/>
                      <w:u w:val="single"/>
                    </w:rPr>
                    <w:t>48</w:t>
                  </w:r>
                  <w:r>
                    <w:rPr>
                      <w:rFonts w:ascii="Times New Roman" w:hAnsi="Times New Roman"/>
                      <w:color w:val="auto"/>
                      <w:szCs w:val="21"/>
                      <w:u w:val="single"/>
                    </w:rPr>
                    <w:t>.0</w:t>
                  </w:r>
                </w:p>
              </w:tc>
              <w:tc>
                <w:tcPr>
                  <w:tcW w:w="311" w:type="pct"/>
                  <w:vMerge w:val="continue"/>
                </w:tcPr>
                <w:p w14:paraId="69CDA484">
                  <w:pPr>
                    <w:pStyle w:val="76"/>
                    <w:jc w:val="center"/>
                    <w:rPr>
                      <w:rFonts w:ascii="Times New Roman" w:hAnsi="Times New Roman"/>
                      <w:color w:val="auto"/>
                      <w:szCs w:val="21"/>
                      <w:u w:val="single"/>
                    </w:rPr>
                  </w:pPr>
                </w:p>
              </w:tc>
            </w:tr>
            <w:tr w14:paraId="692AAF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0F21F6A9">
                  <w:pPr>
                    <w:pStyle w:val="76"/>
                    <w:numPr>
                      <w:ilvl w:val="0"/>
                      <w:numId w:val="7"/>
                    </w:numPr>
                    <w:tabs>
                      <w:tab w:val="clear" w:pos="420"/>
                    </w:tabs>
                    <w:jc w:val="center"/>
                    <w:rPr>
                      <w:rFonts w:ascii="Times New Roman" w:hAnsi="Times New Roman"/>
                      <w:color w:val="auto"/>
                      <w:szCs w:val="21"/>
                      <w:u w:val="single"/>
                    </w:rPr>
                  </w:pPr>
                </w:p>
              </w:tc>
              <w:tc>
                <w:tcPr>
                  <w:tcW w:w="163" w:type="pct"/>
                  <w:vMerge w:val="continue"/>
                  <w:vAlign w:val="center"/>
                </w:tcPr>
                <w:p w14:paraId="250079B4">
                  <w:pPr>
                    <w:pStyle w:val="76"/>
                    <w:jc w:val="center"/>
                    <w:rPr>
                      <w:rFonts w:ascii="Times New Roman" w:hAnsi="Times New Roman"/>
                      <w:color w:val="auto"/>
                      <w:szCs w:val="21"/>
                      <w:u w:val="single"/>
                    </w:rPr>
                  </w:pPr>
                </w:p>
              </w:tc>
              <w:tc>
                <w:tcPr>
                  <w:tcW w:w="299" w:type="pct"/>
                  <w:vMerge w:val="restart"/>
                  <w:vAlign w:val="center"/>
                </w:tcPr>
                <w:p w14:paraId="1E49ACBC">
                  <w:pPr>
                    <w:pStyle w:val="76"/>
                    <w:jc w:val="center"/>
                    <w:rPr>
                      <w:rFonts w:ascii="Times New Roman" w:hAnsi="Times New Roman"/>
                      <w:color w:val="auto"/>
                      <w:szCs w:val="21"/>
                      <w:u w:val="single"/>
                    </w:rPr>
                  </w:pPr>
                  <w:r>
                    <w:rPr>
                      <w:rFonts w:ascii="Times New Roman" w:hAnsi="Times New Roman"/>
                      <w:color w:val="auto"/>
                      <w:szCs w:val="21"/>
                      <w:u w:val="single"/>
                    </w:rPr>
                    <w:t>立式铣床</w:t>
                  </w:r>
                </w:p>
              </w:tc>
              <w:tc>
                <w:tcPr>
                  <w:tcW w:w="596" w:type="pct"/>
                  <w:vMerge w:val="restart"/>
                  <w:vAlign w:val="center"/>
                </w:tcPr>
                <w:p w14:paraId="0B746092">
                  <w:pPr>
                    <w:pStyle w:val="88"/>
                    <w:rPr>
                      <w:color w:val="auto"/>
                      <w:szCs w:val="21"/>
                      <w:u w:val="single"/>
                    </w:rPr>
                  </w:pPr>
                  <w:r>
                    <w:rPr>
                      <w:color w:val="auto"/>
                      <w:u w:val="single"/>
                    </w:rPr>
                    <w:t>80</w:t>
                  </w:r>
                </w:p>
              </w:tc>
              <w:tc>
                <w:tcPr>
                  <w:tcW w:w="503" w:type="pct"/>
                  <w:vMerge w:val="restart"/>
                  <w:vAlign w:val="center"/>
                </w:tcPr>
                <w:p w14:paraId="0AA98454">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24464257">
                  <w:pPr>
                    <w:pStyle w:val="76"/>
                    <w:jc w:val="center"/>
                    <w:rPr>
                      <w:rFonts w:ascii="Times New Roman" w:hAnsi="Times New Roman"/>
                      <w:color w:val="auto"/>
                      <w:szCs w:val="21"/>
                      <w:u w:val="single"/>
                    </w:rPr>
                  </w:pPr>
                  <w:r>
                    <w:rPr>
                      <w:rFonts w:hint="eastAsia" w:ascii="Times New Roman" w:hAnsi="Times New Roman"/>
                      <w:color w:val="auto"/>
                      <w:szCs w:val="21"/>
                      <w:u w:val="single"/>
                    </w:rPr>
                    <w:t>-54</w:t>
                  </w:r>
                </w:p>
              </w:tc>
              <w:tc>
                <w:tcPr>
                  <w:tcW w:w="170" w:type="pct"/>
                  <w:vMerge w:val="restart"/>
                  <w:vAlign w:val="center"/>
                </w:tcPr>
                <w:p w14:paraId="366BC372">
                  <w:pPr>
                    <w:pStyle w:val="76"/>
                    <w:jc w:val="center"/>
                    <w:rPr>
                      <w:rFonts w:ascii="Times New Roman" w:hAnsi="Times New Roman"/>
                      <w:color w:val="auto"/>
                      <w:szCs w:val="21"/>
                      <w:u w:val="single"/>
                    </w:rPr>
                  </w:pPr>
                  <w:r>
                    <w:rPr>
                      <w:rFonts w:hint="eastAsia" w:ascii="Times New Roman" w:hAnsi="Times New Roman"/>
                      <w:color w:val="auto"/>
                      <w:szCs w:val="21"/>
                      <w:u w:val="single"/>
                    </w:rPr>
                    <w:t>-3</w:t>
                  </w:r>
                </w:p>
              </w:tc>
              <w:tc>
                <w:tcPr>
                  <w:tcW w:w="125" w:type="pct"/>
                  <w:vMerge w:val="restart"/>
                  <w:vAlign w:val="center"/>
                </w:tcPr>
                <w:p w14:paraId="5F35BCF6">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2B9F0D53">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0FCEE878">
                  <w:pPr>
                    <w:pStyle w:val="76"/>
                    <w:jc w:val="center"/>
                    <w:rPr>
                      <w:rFonts w:ascii="Times New Roman" w:hAnsi="Times New Roman"/>
                      <w:color w:val="auto"/>
                      <w:szCs w:val="21"/>
                      <w:u w:val="single"/>
                    </w:rPr>
                  </w:pPr>
                  <w:r>
                    <w:rPr>
                      <w:rFonts w:hint="eastAsia" w:ascii="Times New Roman" w:hAnsi="Times New Roman"/>
                      <w:color w:val="auto"/>
                      <w:szCs w:val="21"/>
                      <w:u w:val="single"/>
                    </w:rPr>
                    <w:t>150</w:t>
                  </w:r>
                </w:p>
              </w:tc>
              <w:tc>
                <w:tcPr>
                  <w:tcW w:w="405" w:type="pct"/>
                  <w:vAlign w:val="center"/>
                </w:tcPr>
                <w:p w14:paraId="0FB909BB">
                  <w:pPr>
                    <w:pStyle w:val="76"/>
                    <w:jc w:val="center"/>
                    <w:rPr>
                      <w:rFonts w:ascii="Times New Roman" w:hAnsi="Times New Roman"/>
                      <w:color w:val="auto"/>
                      <w:szCs w:val="21"/>
                      <w:u w:val="single"/>
                    </w:rPr>
                  </w:pPr>
                  <w:r>
                    <w:rPr>
                      <w:rFonts w:ascii="Times New Roman" w:hAnsi="Times New Roman"/>
                      <w:color w:val="auto"/>
                      <w:szCs w:val="21"/>
                      <w:u w:val="single"/>
                    </w:rPr>
                    <w:t>73.0</w:t>
                  </w:r>
                </w:p>
              </w:tc>
              <w:tc>
                <w:tcPr>
                  <w:tcW w:w="548" w:type="pct"/>
                  <w:vMerge w:val="restart"/>
                  <w:vAlign w:val="center"/>
                </w:tcPr>
                <w:p w14:paraId="48B6FF02">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2F61D2C8">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56E02171">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6F6FBD45">
                  <w:pPr>
                    <w:pStyle w:val="76"/>
                    <w:jc w:val="center"/>
                    <w:rPr>
                      <w:rFonts w:ascii="Times New Roman" w:hAnsi="Times New Roman"/>
                      <w:color w:val="auto"/>
                      <w:szCs w:val="21"/>
                      <w:u w:val="single"/>
                    </w:rPr>
                  </w:pPr>
                  <w:r>
                    <w:rPr>
                      <w:rFonts w:hint="eastAsia" w:ascii="Times New Roman" w:hAnsi="Times New Roman"/>
                      <w:color w:val="auto"/>
                      <w:szCs w:val="21"/>
                      <w:u w:val="single"/>
                    </w:rPr>
                    <w:t>48</w:t>
                  </w:r>
                  <w:r>
                    <w:rPr>
                      <w:rFonts w:ascii="Times New Roman" w:hAnsi="Times New Roman"/>
                      <w:color w:val="auto"/>
                      <w:szCs w:val="21"/>
                      <w:u w:val="single"/>
                    </w:rPr>
                    <w:t>.0</w:t>
                  </w:r>
                </w:p>
              </w:tc>
              <w:tc>
                <w:tcPr>
                  <w:tcW w:w="311" w:type="pct"/>
                  <w:vMerge w:val="restart"/>
                  <w:vAlign w:val="center"/>
                </w:tcPr>
                <w:p w14:paraId="2CBCFC60">
                  <w:pPr>
                    <w:pStyle w:val="76"/>
                    <w:jc w:val="center"/>
                    <w:rPr>
                      <w:rFonts w:ascii="Times New Roman" w:hAnsi="Times New Roman"/>
                      <w:color w:val="auto"/>
                      <w:szCs w:val="21"/>
                      <w:u w:val="single"/>
                    </w:rPr>
                  </w:pPr>
                  <w:r>
                    <w:rPr>
                      <w:rFonts w:ascii="Times New Roman" w:hAnsi="Times New Roman"/>
                      <w:color w:val="auto"/>
                      <w:szCs w:val="21"/>
                      <w:u w:val="single"/>
                    </w:rPr>
                    <w:t>1m</w:t>
                  </w:r>
                </w:p>
              </w:tc>
            </w:tr>
            <w:tr w14:paraId="00A20F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259D119C">
                  <w:pPr>
                    <w:pStyle w:val="76"/>
                    <w:jc w:val="center"/>
                    <w:rPr>
                      <w:rFonts w:ascii="Times New Roman" w:hAnsi="Times New Roman"/>
                      <w:color w:val="auto"/>
                      <w:szCs w:val="21"/>
                      <w:u w:val="single"/>
                    </w:rPr>
                  </w:pPr>
                </w:p>
              </w:tc>
              <w:tc>
                <w:tcPr>
                  <w:tcW w:w="163" w:type="pct"/>
                  <w:vMerge w:val="continue"/>
                  <w:vAlign w:val="center"/>
                </w:tcPr>
                <w:p w14:paraId="15B9444C">
                  <w:pPr>
                    <w:pStyle w:val="76"/>
                    <w:jc w:val="center"/>
                    <w:rPr>
                      <w:rFonts w:ascii="Times New Roman" w:hAnsi="Times New Roman"/>
                      <w:color w:val="auto"/>
                      <w:szCs w:val="21"/>
                      <w:u w:val="single"/>
                    </w:rPr>
                  </w:pPr>
                </w:p>
              </w:tc>
              <w:tc>
                <w:tcPr>
                  <w:tcW w:w="299" w:type="pct"/>
                  <w:vMerge w:val="continue"/>
                  <w:vAlign w:val="center"/>
                </w:tcPr>
                <w:p w14:paraId="7F7DDB0B">
                  <w:pPr>
                    <w:pStyle w:val="76"/>
                    <w:jc w:val="center"/>
                    <w:rPr>
                      <w:rFonts w:ascii="Times New Roman" w:hAnsi="Times New Roman"/>
                      <w:color w:val="auto"/>
                      <w:szCs w:val="21"/>
                      <w:u w:val="single"/>
                    </w:rPr>
                  </w:pPr>
                </w:p>
              </w:tc>
              <w:tc>
                <w:tcPr>
                  <w:tcW w:w="596" w:type="pct"/>
                  <w:vMerge w:val="continue"/>
                  <w:vAlign w:val="center"/>
                </w:tcPr>
                <w:p w14:paraId="1A49211F">
                  <w:pPr>
                    <w:pStyle w:val="76"/>
                    <w:jc w:val="center"/>
                    <w:rPr>
                      <w:rFonts w:ascii="Times New Roman" w:hAnsi="Times New Roman"/>
                      <w:color w:val="auto"/>
                      <w:szCs w:val="21"/>
                      <w:u w:val="single"/>
                    </w:rPr>
                  </w:pPr>
                </w:p>
              </w:tc>
              <w:tc>
                <w:tcPr>
                  <w:tcW w:w="503" w:type="pct"/>
                  <w:vMerge w:val="continue"/>
                </w:tcPr>
                <w:p w14:paraId="028859F0">
                  <w:pPr>
                    <w:pStyle w:val="76"/>
                    <w:jc w:val="center"/>
                    <w:rPr>
                      <w:rFonts w:ascii="Times New Roman" w:hAnsi="Times New Roman"/>
                      <w:color w:val="auto"/>
                      <w:szCs w:val="21"/>
                      <w:u w:val="single"/>
                    </w:rPr>
                  </w:pPr>
                </w:p>
              </w:tc>
              <w:tc>
                <w:tcPr>
                  <w:tcW w:w="170" w:type="pct"/>
                  <w:vMerge w:val="continue"/>
                </w:tcPr>
                <w:p w14:paraId="43EEFE17">
                  <w:pPr>
                    <w:pStyle w:val="76"/>
                    <w:jc w:val="center"/>
                    <w:rPr>
                      <w:rFonts w:ascii="Times New Roman" w:hAnsi="Times New Roman"/>
                      <w:color w:val="auto"/>
                      <w:szCs w:val="21"/>
                      <w:u w:val="single"/>
                    </w:rPr>
                  </w:pPr>
                </w:p>
              </w:tc>
              <w:tc>
                <w:tcPr>
                  <w:tcW w:w="170" w:type="pct"/>
                  <w:vMerge w:val="continue"/>
                </w:tcPr>
                <w:p w14:paraId="42969126">
                  <w:pPr>
                    <w:pStyle w:val="76"/>
                    <w:jc w:val="center"/>
                    <w:rPr>
                      <w:rFonts w:ascii="Times New Roman" w:hAnsi="Times New Roman"/>
                      <w:color w:val="auto"/>
                      <w:szCs w:val="21"/>
                      <w:u w:val="single"/>
                    </w:rPr>
                  </w:pPr>
                </w:p>
              </w:tc>
              <w:tc>
                <w:tcPr>
                  <w:tcW w:w="125" w:type="pct"/>
                  <w:vMerge w:val="continue"/>
                </w:tcPr>
                <w:p w14:paraId="254B32A7">
                  <w:pPr>
                    <w:pStyle w:val="76"/>
                    <w:jc w:val="center"/>
                    <w:rPr>
                      <w:rFonts w:ascii="Times New Roman" w:hAnsi="Times New Roman"/>
                      <w:color w:val="auto"/>
                      <w:szCs w:val="21"/>
                      <w:u w:val="single"/>
                    </w:rPr>
                  </w:pPr>
                </w:p>
              </w:tc>
              <w:tc>
                <w:tcPr>
                  <w:tcW w:w="208" w:type="pct"/>
                  <w:vAlign w:val="center"/>
                </w:tcPr>
                <w:p w14:paraId="50E2EDF5">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2CCFC02C">
                  <w:pPr>
                    <w:pStyle w:val="76"/>
                    <w:jc w:val="center"/>
                    <w:rPr>
                      <w:rFonts w:ascii="Times New Roman" w:hAnsi="Times New Roman"/>
                      <w:color w:val="auto"/>
                      <w:szCs w:val="21"/>
                      <w:u w:val="single"/>
                    </w:rPr>
                  </w:pPr>
                  <w:r>
                    <w:rPr>
                      <w:rFonts w:ascii="Times New Roman" w:hAnsi="Times New Roman"/>
                      <w:color w:val="auto"/>
                      <w:szCs w:val="21"/>
                      <w:u w:val="single"/>
                    </w:rPr>
                    <w:t>1</w:t>
                  </w:r>
                  <w:r>
                    <w:rPr>
                      <w:rFonts w:hint="eastAsia" w:ascii="Times New Roman" w:hAnsi="Times New Roman"/>
                      <w:color w:val="auto"/>
                      <w:szCs w:val="21"/>
                      <w:u w:val="single"/>
                    </w:rPr>
                    <w:t>1</w:t>
                  </w:r>
                </w:p>
              </w:tc>
              <w:tc>
                <w:tcPr>
                  <w:tcW w:w="405" w:type="pct"/>
                  <w:vAlign w:val="center"/>
                </w:tcPr>
                <w:p w14:paraId="390C2E9A">
                  <w:pPr>
                    <w:pStyle w:val="76"/>
                    <w:jc w:val="center"/>
                    <w:rPr>
                      <w:rFonts w:ascii="Times New Roman" w:hAnsi="Times New Roman"/>
                      <w:color w:val="auto"/>
                      <w:szCs w:val="21"/>
                      <w:u w:val="single"/>
                    </w:rPr>
                  </w:pPr>
                  <w:r>
                    <w:rPr>
                      <w:rFonts w:ascii="Times New Roman" w:hAnsi="Times New Roman"/>
                      <w:color w:val="auto"/>
                      <w:szCs w:val="21"/>
                      <w:u w:val="single"/>
                    </w:rPr>
                    <w:t>73.</w:t>
                  </w:r>
                  <w:r>
                    <w:rPr>
                      <w:rFonts w:hint="eastAsia" w:ascii="Times New Roman" w:hAnsi="Times New Roman"/>
                      <w:color w:val="auto"/>
                      <w:szCs w:val="21"/>
                      <w:u w:val="single"/>
                    </w:rPr>
                    <w:t>0</w:t>
                  </w:r>
                </w:p>
              </w:tc>
              <w:tc>
                <w:tcPr>
                  <w:tcW w:w="548" w:type="pct"/>
                  <w:vMerge w:val="continue"/>
                </w:tcPr>
                <w:p w14:paraId="2364A2E3">
                  <w:pPr>
                    <w:pStyle w:val="76"/>
                    <w:jc w:val="center"/>
                    <w:rPr>
                      <w:rFonts w:ascii="Times New Roman" w:hAnsi="Times New Roman"/>
                      <w:color w:val="auto"/>
                      <w:szCs w:val="21"/>
                      <w:u w:val="single"/>
                    </w:rPr>
                  </w:pPr>
                </w:p>
              </w:tc>
              <w:tc>
                <w:tcPr>
                  <w:tcW w:w="436" w:type="pct"/>
                  <w:vMerge w:val="continue"/>
                </w:tcPr>
                <w:p w14:paraId="66C9A93E">
                  <w:pPr>
                    <w:pStyle w:val="76"/>
                    <w:jc w:val="center"/>
                    <w:rPr>
                      <w:rFonts w:ascii="Times New Roman" w:hAnsi="Times New Roman"/>
                      <w:color w:val="auto"/>
                      <w:szCs w:val="21"/>
                      <w:u w:val="single"/>
                    </w:rPr>
                  </w:pPr>
                </w:p>
              </w:tc>
              <w:tc>
                <w:tcPr>
                  <w:tcW w:w="272" w:type="pct"/>
                  <w:vAlign w:val="center"/>
                </w:tcPr>
                <w:p w14:paraId="616E9400">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6A30B417">
                  <w:pPr>
                    <w:pStyle w:val="76"/>
                    <w:jc w:val="center"/>
                    <w:rPr>
                      <w:rFonts w:ascii="Times New Roman" w:hAnsi="Times New Roman"/>
                      <w:color w:val="auto"/>
                      <w:szCs w:val="21"/>
                      <w:u w:val="single"/>
                    </w:rPr>
                  </w:pPr>
                  <w:r>
                    <w:rPr>
                      <w:rFonts w:hint="eastAsia" w:ascii="Times New Roman" w:hAnsi="Times New Roman"/>
                      <w:color w:val="auto"/>
                      <w:szCs w:val="21"/>
                      <w:u w:val="single"/>
                    </w:rPr>
                    <w:t>48.0</w:t>
                  </w:r>
                </w:p>
              </w:tc>
              <w:tc>
                <w:tcPr>
                  <w:tcW w:w="311" w:type="pct"/>
                  <w:vMerge w:val="continue"/>
                </w:tcPr>
                <w:p w14:paraId="6979CC5E">
                  <w:pPr>
                    <w:pStyle w:val="76"/>
                    <w:jc w:val="center"/>
                    <w:rPr>
                      <w:rFonts w:ascii="Times New Roman" w:hAnsi="Times New Roman"/>
                      <w:color w:val="auto"/>
                      <w:szCs w:val="21"/>
                      <w:u w:val="single"/>
                    </w:rPr>
                  </w:pPr>
                </w:p>
              </w:tc>
            </w:tr>
            <w:tr w14:paraId="5CF6E4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642E5505">
                  <w:pPr>
                    <w:pStyle w:val="76"/>
                    <w:jc w:val="center"/>
                    <w:rPr>
                      <w:rFonts w:ascii="Times New Roman" w:hAnsi="Times New Roman"/>
                      <w:color w:val="auto"/>
                      <w:szCs w:val="21"/>
                      <w:u w:val="single"/>
                    </w:rPr>
                  </w:pPr>
                </w:p>
              </w:tc>
              <w:tc>
                <w:tcPr>
                  <w:tcW w:w="163" w:type="pct"/>
                  <w:vMerge w:val="continue"/>
                  <w:vAlign w:val="center"/>
                </w:tcPr>
                <w:p w14:paraId="608088D1">
                  <w:pPr>
                    <w:pStyle w:val="76"/>
                    <w:jc w:val="center"/>
                    <w:rPr>
                      <w:rFonts w:ascii="Times New Roman" w:hAnsi="Times New Roman"/>
                      <w:color w:val="auto"/>
                      <w:szCs w:val="21"/>
                      <w:u w:val="single"/>
                    </w:rPr>
                  </w:pPr>
                </w:p>
              </w:tc>
              <w:tc>
                <w:tcPr>
                  <w:tcW w:w="299" w:type="pct"/>
                  <w:vMerge w:val="continue"/>
                  <w:vAlign w:val="center"/>
                </w:tcPr>
                <w:p w14:paraId="3E0DA3BA">
                  <w:pPr>
                    <w:pStyle w:val="76"/>
                    <w:jc w:val="center"/>
                    <w:rPr>
                      <w:rFonts w:ascii="Times New Roman" w:hAnsi="Times New Roman"/>
                      <w:color w:val="auto"/>
                      <w:szCs w:val="21"/>
                      <w:u w:val="single"/>
                    </w:rPr>
                  </w:pPr>
                </w:p>
              </w:tc>
              <w:tc>
                <w:tcPr>
                  <w:tcW w:w="596" w:type="pct"/>
                  <w:vMerge w:val="continue"/>
                  <w:vAlign w:val="center"/>
                </w:tcPr>
                <w:p w14:paraId="2C4EDC55">
                  <w:pPr>
                    <w:pStyle w:val="76"/>
                    <w:jc w:val="center"/>
                    <w:rPr>
                      <w:rFonts w:ascii="Times New Roman" w:hAnsi="Times New Roman"/>
                      <w:color w:val="auto"/>
                      <w:szCs w:val="21"/>
                      <w:u w:val="single"/>
                    </w:rPr>
                  </w:pPr>
                </w:p>
              </w:tc>
              <w:tc>
                <w:tcPr>
                  <w:tcW w:w="503" w:type="pct"/>
                  <w:vMerge w:val="continue"/>
                </w:tcPr>
                <w:p w14:paraId="68676079">
                  <w:pPr>
                    <w:pStyle w:val="76"/>
                    <w:jc w:val="center"/>
                    <w:rPr>
                      <w:rFonts w:ascii="Times New Roman" w:hAnsi="Times New Roman"/>
                      <w:color w:val="auto"/>
                      <w:szCs w:val="21"/>
                      <w:u w:val="single"/>
                    </w:rPr>
                  </w:pPr>
                </w:p>
              </w:tc>
              <w:tc>
                <w:tcPr>
                  <w:tcW w:w="170" w:type="pct"/>
                  <w:vMerge w:val="continue"/>
                </w:tcPr>
                <w:p w14:paraId="60ECF99E">
                  <w:pPr>
                    <w:pStyle w:val="76"/>
                    <w:jc w:val="center"/>
                    <w:rPr>
                      <w:rFonts w:ascii="Times New Roman" w:hAnsi="Times New Roman"/>
                      <w:color w:val="auto"/>
                      <w:szCs w:val="21"/>
                      <w:u w:val="single"/>
                    </w:rPr>
                  </w:pPr>
                </w:p>
              </w:tc>
              <w:tc>
                <w:tcPr>
                  <w:tcW w:w="170" w:type="pct"/>
                  <w:vMerge w:val="continue"/>
                </w:tcPr>
                <w:p w14:paraId="7E30FF4E">
                  <w:pPr>
                    <w:pStyle w:val="76"/>
                    <w:jc w:val="center"/>
                    <w:rPr>
                      <w:rFonts w:ascii="Times New Roman" w:hAnsi="Times New Roman"/>
                      <w:color w:val="auto"/>
                      <w:szCs w:val="21"/>
                      <w:u w:val="single"/>
                    </w:rPr>
                  </w:pPr>
                </w:p>
              </w:tc>
              <w:tc>
                <w:tcPr>
                  <w:tcW w:w="125" w:type="pct"/>
                  <w:vMerge w:val="continue"/>
                </w:tcPr>
                <w:p w14:paraId="38BF5C88">
                  <w:pPr>
                    <w:pStyle w:val="76"/>
                    <w:jc w:val="center"/>
                    <w:rPr>
                      <w:rFonts w:ascii="Times New Roman" w:hAnsi="Times New Roman"/>
                      <w:color w:val="auto"/>
                      <w:szCs w:val="21"/>
                      <w:u w:val="single"/>
                    </w:rPr>
                  </w:pPr>
                </w:p>
              </w:tc>
              <w:tc>
                <w:tcPr>
                  <w:tcW w:w="208" w:type="pct"/>
                  <w:vAlign w:val="center"/>
                </w:tcPr>
                <w:p w14:paraId="204D975D">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5BB488F9">
                  <w:pPr>
                    <w:pStyle w:val="76"/>
                    <w:jc w:val="center"/>
                    <w:rPr>
                      <w:rFonts w:ascii="Times New Roman" w:hAnsi="Times New Roman"/>
                      <w:color w:val="auto"/>
                      <w:szCs w:val="21"/>
                      <w:u w:val="single"/>
                    </w:rPr>
                  </w:pPr>
                  <w:r>
                    <w:rPr>
                      <w:rFonts w:ascii="Times New Roman" w:hAnsi="Times New Roman"/>
                      <w:color w:val="auto"/>
                      <w:szCs w:val="21"/>
                      <w:u w:val="single"/>
                    </w:rPr>
                    <w:t>3</w:t>
                  </w:r>
                  <w:r>
                    <w:rPr>
                      <w:rFonts w:hint="eastAsia" w:ascii="Times New Roman" w:hAnsi="Times New Roman"/>
                      <w:color w:val="auto"/>
                      <w:szCs w:val="21"/>
                      <w:u w:val="single"/>
                    </w:rPr>
                    <w:t>6</w:t>
                  </w:r>
                </w:p>
              </w:tc>
              <w:tc>
                <w:tcPr>
                  <w:tcW w:w="405" w:type="pct"/>
                  <w:vAlign w:val="center"/>
                </w:tcPr>
                <w:p w14:paraId="37F7AF85">
                  <w:pPr>
                    <w:pStyle w:val="76"/>
                    <w:jc w:val="center"/>
                    <w:rPr>
                      <w:rFonts w:ascii="Times New Roman" w:hAnsi="Times New Roman"/>
                      <w:color w:val="auto"/>
                      <w:szCs w:val="21"/>
                      <w:u w:val="single"/>
                    </w:rPr>
                  </w:pPr>
                  <w:r>
                    <w:rPr>
                      <w:rFonts w:ascii="Times New Roman" w:hAnsi="Times New Roman"/>
                      <w:color w:val="auto"/>
                      <w:szCs w:val="21"/>
                      <w:u w:val="single"/>
                    </w:rPr>
                    <w:t>73.0</w:t>
                  </w:r>
                </w:p>
              </w:tc>
              <w:tc>
                <w:tcPr>
                  <w:tcW w:w="548" w:type="pct"/>
                  <w:vMerge w:val="continue"/>
                </w:tcPr>
                <w:p w14:paraId="34154CD8">
                  <w:pPr>
                    <w:pStyle w:val="76"/>
                    <w:jc w:val="center"/>
                    <w:rPr>
                      <w:rFonts w:ascii="Times New Roman" w:hAnsi="Times New Roman"/>
                      <w:color w:val="auto"/>
                      <w:szCs w:val="21"/>
                      <w:u w:val="single"/>
                    </w:rPr>
                  </w:pPr>
                </w:p>
              </w:tc>
              <w:tc>
                <w:tcPr>
                  <w:tcW w:w="436" w:type="pct"/>
                  <w:vMerge w:val="continue"/>
                </w:tcPr>
                <w:p w14:paraId="3031D7E8">
                  <w:pPr>
                    <w:pStyle w:val="76"/>
                    <w:jc w:val="center"/>
                    <w:rPr>
                      <w:rFonts w:ascii="Times New Roman" w:hAnsi="Times New Roman"/>
                      <w:color w:val="auto"/>
                      <w:szCs w:val="21"/>
                      <w:u w:val="single"/>
                    </w:rPr>
                  </w:pPr>
                </w:p>
              </w:tc>
              <w:tc>
                <w:tcPr>
                  <w:tcW w:w="272" w:type="pct"/>
                  <w:vAlign w:val="center"/>
                </w:tcPr>
                <w:p w14:paraId="0334A62B">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15D76CA8">
                  <w:pPr>
                    <w:pStyle w:val="76"/>
                    <w:jc w:val="center"/>
                    <w:rPr>
                      <w:rFonts w:ascii="Times New Roman" w:hAnsi="Times New Roman"/>
                      <w:color w:val="auto"/>
                      <w:szCs w:val="21"/>
                      <w:u w:val="single"/>
                    </w:rPr>
                  </w:pPr>
                  <w:r>
                    <w:rPr>
                      <w:rFonts w:hint="eastAsia" w:ascii="Times New Roman" w:hAnsi="Times New Roman"/>
                      <w:color w:val="auto"/>
                      <w:szCs w:val="21"/>
                      <w:u w:val="single"/>
                    </w:rPr>
                    <w:t>48</w:t>
                  </w:r>
                  <w:r>
                    <w:rPr>
                      <w:rFonts w:ascii="Times New Roman" w:hAnsi="Times New Roman"/>
                      <w:color w:val="auto"/>
                      <w:szCs w:val="21"/>
                      <w:u w:val="single"/>
                    </w:rPr>
                    <w:t>.0</w:t>
                  </w:r>
                </w:p>
              </w:tc>
              <w:tc>
                <w:tcPr>
                  <w:tcW w:w="311" w:type="pct"/>
                  <w:vMerge w:val="continue"/>
                </w:tcPr>
                <w:p w14:paraId="047022E2">
                  <w:pPr>
                    <w:pStyle w:val="76"/>
                    <w:jc w:val="center"/>
                    <w:rPr>
                      <w:rFonts w:ascii="Times New Roman" w:hAnsi="Times New Roman"/>
                      <w:color w:val="auto"/>
                      <w:szCs w:val="21"/>
                      <w:u w:val="single"/>
                    </w:rPr>
                  </w:pPr>
                </w:p>
              </w:tc>
            </w:tr>
            <w:tr w14:paraId="2C82C1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vAlign w:val="center"/>
                </w:tcPr>
                <w:p w14:paraId="06B889F4">
                  <w:pPr>
                    <w:pStyle w:val="76"/>
                    <w:jc w:val="center"/>
                    <w:rPr>
                      <w:rFonts w:ascii="Times New Roman" w:hAnsi="Times New Roman"/>
                      <w:color w:val="auto"/>
                      <w:szCs w:val="21"/>
                      <w:u w:val="single"/>
                    </w:rPr>
                  </w:pPr>
                </w:p>
              </w:tc>
              <w:tc>
                <w:tcPr>
                  <w:tcW w:w="163" w:type="pct"/>
                  <w:vMerge w:val="continue"/>
                  <w:vAlign w:val="center"/>
                </w:tcPr>
                <w:p w14:paraId="7090F7CE">
                  <w:pPr>
                    <w:pStyle w:val="76"/>
                    <w:jc w:val="center"/>
                    <w:rPr>
                      <w:rFonts w:ascii="Times New Roman" w:hAnsi="Times New Roman"/>
                      <w:color w:val="auto"/>
                      <w:szCs w:val="21"/>
                      <w:u w:val="single"/>
                    </w:rPr>
                  </w:pPr>
                </w:p>
              </w:tc>
              <w:tc>
                <w:tcPr>
                  <w:tcW w:w="299" w:type="pct"/>
                  <w:vMerge w:val="continue"/>
                  <w:vAlign w:val="center"/>
                </w:tcPr>
                <w:p w14:paraId="047F9373">
                  <w:pPr>
                    <w:pStyle w:val="76"/>
                    <w:jc w:val="center"/>
                    <w:rPr>
                      <w:rFonts w:ascii="Times New Roman" w:hAnsi="Times New Roman"/>
                      <w:color w:val="auto"/>
                      <w:szCs w:val="21"/>
                      <w:u w:val="single"/>
                    </w:rPr>
                  </w:pPr>
                </w:p>
              </w:tc>
              <w:tc>
                <w:tcPr>
                  <w:tcW w:w="596" w:type="pct"/>
                  <w:vMerge w:val="continue"/>
                  <w:vAlign w:val="center"/>
                </w:tcPr>
                <w:p w14:paraId="2D484EC3">
                  <w:pPr>
                    <w:pStyle w:val="76"/>
                    <w:jc w:val="center"/>
                    <w:rPr>
                      <w:rFonts w:ascii="Times New Roman" w:hAnsi="Times New Roman"/>
                      <w:color w:val="auto"/>
                      <w:szCs w:val="21"/>
                      <w:u w:val="single"/>
                    </w:rPr>
                  </w:pPr>
                </w:p>
              </w:tc>
              <w:tc>
                <w:tcPr>
                  <w:tcW w:w="503" w:type="pct"/>
                  <w:vMerge w:val="continue"/>
                </w:tcPr>
                <w:p w14:paraId="4A025A38">
                  <w:pPr>
                    <w:pStyle w:val="76"/>
                    <w:jc w:val="center"/>
                    <w:rPr>
                      <w:rFonts w:ascii="Times New Roman" w:hAnsi="Times New Roman"/>
                      <w:color w:val="auto"/>
                      <w:szCs w:val="21"/>
                      <w:u w:val="single"/>
                    </w:rPr>
                  </w:pPr>
                </w:p>
              </w:tc>
              <w:tc>
                <w:tcPr>
                  <w:tcW w:w="170" w:type="pct"/>
                  <w:vMerge w:val="continue"/>
                </w:tcPr>
                <w:p w14:paraId="574BE5D7">
                  <w:pPr>
                    <w:pStyle w:val="76"/>
                    <w:jc w:val="center"/>
                    <w:rPr>
                      <w:rFonts w:ascii="Times New Roman" w:hAnsi="Times New Roman"/>
                      <w:color w:val="auto"/>
                      <w:szCs w:val="21"/>
                      <w:u w:val="single"/>
                    </w:rPr>
                  </w:pPr>
                </w:p>
              </w:tc>
              <w:tc>
                <w:tcPr>
                  <w:tcW w:w="170" w:type="pct"/>
                  <w:vMerge w:val="continue"/>
                </w:tcPr>
                <w:p w14:paraId="15BD5E99">
                  <w:pPr>
                    <w:pStyle w:val="76"/>
                    <w:jc w:val="center"/>
                    <w:rPr>
                      <w:rFonts w:ascii="Times New Roman" w:hAnsi="Times New Roman"/>
                      <w:color w:val="auto"/>
                      <w:szCs w:val="21"/>
                      <w:u w:val="single"/>
                    </w:rPr>
                  </w:pPr>
                </w:p>
              </w:tc>
              <w:tc>
                <w:tcPr>
                  <w:tcW w:w="125" w:type="pct"/>
                  <w:vMerge w:val="continue"/>
                </w:tcPr>
                <w:p w14:paraId="1CE2BFDE">
                  <w:pPr>
                    <w:pStyle w:val="76"/>
                    <w:jc w:val="center"/>
                    <w:rPr>
                      <w:rFonts w:ascii="Times New Roman" w:hAnsi="Times New Roman"/>
                      <w:color w:val="auto"/>
                      <w:szCs w:val="21"/>
                      <w:u w:val="single"/>
                    </w:rPr>
                  </w:pPr>
                </w:p>
              </w:tc>
              <w:tc>
                <w:tcPr>
                  <w:tcW w:w="208" w:type="pct"/>
                  <w:vAlign w:val="center"/>
                </w:tcPr>
                <w:p w14:paraId="41E76889">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65A23525">
                  <w:pPr>
                    <w:pStyle w:val="76"/>
                    <w:jc w:val="center"/>
                    <w:rPr>
                      <w:rFonts w:ascii="Times New Roman" w:hAnsi="Times New Roman"/>
                      <w:color w:val="auto"/>
                      <w:szCs w:val="21"/>
                      <w:u w:val="single"/>
                    </w:rPr>
                  </w:pPr>
                  <w:r>
                    <w:rPr>
                      <w:rFonts w:hint="eastAsia" w:ascii="Times New Roman" w:hAnsi="Times New Roman"/>
                      <w:color w:val="auto"/>
                      <w:szCs w:val="21"/>
                      <w:u w:val="single"/>
                    </w:rPr>
                    <w:t>17</w:t>
                  </w:r>
                </w:p>
              </w:tc>
              <w:tc>
                <w:tcPr>
                  <w:tcW w:w="405" w:type="pct"/>
                  <w:vAlign w:val="center"/>
                </w:tcPr>
                <w:p w14:paraId="1ADDC36E">
                  <w:pPr>
                    <w:pStyle w:val="76"/>
                    <w:jc w:val="center"/>
                    <w:rPr>
                      <w:rFonts w:ascii="Times New Roman" w:hAnsi="Times New Roman"/>
                      <w:color w:val="auto"/>
                      <w:szCs w:val="21"/>
                      <w:u w:val="single"/>
                    </w:rPr>
                  </w:pPr>
                  <w:r>
                    <w:rPr>
                      <w:rFonts w:ascii="Times New Roman" w:hAnsi="Times New Roman"/>
                      <w:color w:val="auto"/>
                      <w:szCs w:val="21"/>
                      <w:u w:val="single"/>
                    </w:rPr>
                    <w:t>73.0</w:t>
                  </w:r>
                </w:p>
              </w:tc>
              <w:tc>
                <w:tcPr>
                  <w:tcW w:w="548" w:type="pct"/>
                  <w:vMerge w:val="continue"/>
                </w:tcPr>
                <w:p w14:paraId="489F1785">
                  <w:pPr>
                    <w:pStyle w:val="76"/>
                    <w:jc w:val="center"/>
                    <w:rPr>
                      <w:rFonts w:ascii="Times New Roman" w:hAnsi="Times New Roman"/>
                      <w:color w:val="auto"/>
                      <w:szCs w:val="21"/>
                      <w:u w:val="single"/>
                    </w:rPr>
                  </w:pPr>
                </w:p>
              </w:tc>
              <w:tc>
                <w:tcPr>
                  <w:tcW w:w="436" w:type="pct"/>
                  <w:vMerge w:val="continue"/>
                </w:tcPr>
                <w:p w14:paraId="1A562AE0">
                  <w:pPr>
                    <w:pStyle w:val="76"/>
                    <w:jc w:val="center"/>
                    <w:rPr>
                      <w:rFonts w:ascii="Times New Roman" w:hAnsi="Times New Roman"/>
                      <w:color w:val="auto"/>
                      <w:szCs w:val="21"/>
                      <w:u w:val="single"/>
                    </w:rPr>
                  </w:pPr>
                </w:p>
              </w:tc>
              <w:tc>
                <w:tcPr>
                  <w:tcW w:w="272" w:type="pct"/>
                  <w:vAlign w:val="center"/>
                </w:tcPr>
                <w:p w14:paraId="76B799E1">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7C974A04">
                  <w:pPr>
                    <w:pStyle w:val="76"/>
                    <w:jc w:val="center"/>
                    <w:rPr>
                      <w:rFonts w:ascii="Times New Roman" w:hAnsi="Times New Roman"/>
                      <w:color w:val="auto"/>
                      <w:szCs w:val="21"/>
                      <w:u w:val="single"/>
                    </w:rPr>
                  </w:pPr>
                  <w:r>
                    <w:rPr>
                      <w:rFonts w:hint="eastAsia" w:ascii="Times New Roman" w:hAnsi="Times New Roman"/>
                      <w:color w:val="auto"/>
                      <w:szCs w:val="21"/>
                      <w:u w:val="single"/>
                    </w:rPr>
                    <w:t>48</w:t>
                  </w:r>
                  <w:r>
                    <w:rPr>
                      <w:rFonts w:ascii="Times New Roman" w:hAnsi="Times New Roman"/>
                      <w:color w:val="auto"/>
                      <w:szCs w:val="21"/>
                      <w:u w:val="single"/>
                    </w:rPr>
                    <w:t>.0</w:t>
                  </w:r>
                </w:p>
              </w:tc>
              <w:tc>
                <w:tcPr>
                  <w:tcW w:w="311" w:type="pct"/>
                  <w:vMerge w:val="continue"/>
                </w:tcPr>
                <w:p w14:paraId="52FF7044">
                  <w:pPr>
                    <w:pStyle w:val="76"/>
                    <w:jc w:val="center"/>
                    <w:rPr>
                      <w:rFonts w:ascii="Times New Roman" w:hAnsi="Times New Roman"/>
                      <w:color w:val="auto"/>
                      <w:szCs w:val="21"/>
                      <w:u w:val="single"/>
                    </w:rPr>
                  </w:pPr>
                </w:p>
              </w:tc>
            </w:tr>
            <w:tr w14:paraId="5A707B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restart"/>
                  <w:vAlign w:val="center"/>
                </w:tcPr>
                <w:p w14:paraId="2F43AC45">
                  <w:pPr>
                    <w:pStyle w:val="76"/>
                    <w:numPr>
                      <w:ilvl w:val="0"/>
                      <w:numId w:val="7"/>
                    </w:numPr>
                    <w:tabs>
                      <w:tab w:val="clear" w:pos="420"/>
                    </w:tabs>
                    <w:jc w:val="center"/>
                    <w:rPr>
                      <w:rFonts w:ascii="Times New Roman" w:hAnsi="Times New Roman"/>
                      <w:color w:val="auto"/>
                      <w:szCs w:val="21"/>
                      <w:u w:val="single"/>
                    </w:rPr>
                  </w:pPr>
                </w:p>
              </w:tc>
              <w:tc>
                <w:tcPr>
                  <w:tcW w:w="163" w:type="pct"/>
                  <w:vMerge w:val="continue"/>
                  <w:vAlign w:val="center"/>
                </w:tcPr>
                <w:p w14:paraId="5234B0F3">
                  <w:pPr>
                    <w:pStyle w:val="76"/>
                    <w:jc w:val="center"/>
                    <w:rPr>
                      <w:rFonts w:ascii="Times New Roman" w:hAnsi="Times New Roman"/>
                      <w:color w:val="auto"/>
                      <w:szCs w:val="21"/>
                      <w:u w:val="single"/>
                    </w:rPr>
                  </w:pPr>
                </w:p>
              </w:tc>
              <w:tc>
                <w:tcPr>
                  <w:tcW w:w="299" w:type="pct"/>
                  <w:vMerge w:val="restart"/>
                  <w:vAlign w:val="center"/>
                </w:tcPr>
                <w:p w14:paraId="4A754AF8">
                  <w:pPr>
                    <w:pStyle w:val="76"/>
                    <w:jc w:val="center"/>
                    <w:rPr>
                      <w:rFonts w:ascii="Times New Roman" w:hAnsi="Times New Roman"/>
                      <w:color w:val="auto"/>
                      <w:szCs w:val="21"/>
                      <w:u w:val="single"/>
                    </w:rPr>
                  </w:pPr>
                  <w:r>
                    <w:rPr>
                      <w:rFonts w:ascii="Times New Roman" w:hAnsi="Times New Roman"/>
                      <w:color w:val="auto"/>
                      <w:szCs w:val="21"/>
                      <w:u w:val="single"/>
                    </w:rPr>
                    <w:t>加工中心（2台）</w:t>
                  </w:r>
                </w:p>
              </w:tc>
              <w:tc>
                <w:tcPr>
                  <w:tcW w:w="596" w:type="pct"/>
                  <w:vMerge w:val="restart"/>
                  <w:vAlign w:val="center"/>
                </w:tcPr>
                <w:p w14:paraId="10C9ED21">
                  <w:pPr>
                    <w:pStyle w:val="88"/>
                    <w:rPr>
                      <w:color w:val="auto"/>
                      <w:szCs w:val="21"/>
                      <w:u w:val="single"/>
                    </w:rPr>
                  </w:pPr>
                  <w:r>
                    <w:rPr>
                      <w:color w:val="auto"/>
                      <w:u w:val="single"/>
                    </w:rPr>
                    <w:t>85</w:t>
                  </w:r>
                </w:p>
              </w:tc>
              <w:tc>
                <w:tcPr>
                  <w:tcW w:w="503" w:type="pct"/>
                  <w:vMerge w:val="restart"/>
                  <w:vAlign w:val="center"/>
                </w:tcPr>
                <w:p w14:paraId="2D9AC715">
                  <w:pPr>
                    <w:pStyle w:val="76"/>
                    <w:jc w:val="center"/>
                    <w:rPr>
                      <w:rFonts w:ascii="Times New Roman" w:hAnsi="Times New Roman"/>
                      <w:color w:val="auto"/>
                      <w:szCs w:val="21"/>
                      <w:u w:val="single"/>
                    </w:rPr>
                  </w:pPr>
                  <w:r>
                    <w:rPr>
                      <w:rFonts w:ascii="Times New Roman" w:hAnsi="Times New Roman"/>
                      <w:color w:val="auto"/>
                      <w:szCs w:val="21"/>
                      <w:u w:val="single"/>
                    </w:rPr>
                    <w:t>减振降噪</w:t>
                  </w:r>
                </w:p>
              </w:tc>
              <w:tc>
                <w:tcPr>
                  <w:tcW w:w="170" w:type="pct"/>
                  <w:vMerge w:val="restart"/>
                  <w:vAlign w:val="center"/>
                </w:tcPr>
                <w:p w14:paraId="25D43E08">
                  <w:pPr>
                    <w:pStyle w:val="76"/>
                    <w:jc w:val="center"/>
                    <w:rPr>
                      <w:rFonts w:ascii="Times New Roman" w:hAnsi="Times New Roman"/>
                      <w:color w:val="auto"/>
                      <w:szCs w:val="21"/>
                      <w:u w:val="single"/>
                    </w:rPr>
                  </w:pPr>
                  <w:r>
                    <w:rPr>
                      <w:rFonts w:hint="eastAsia" w:ascii="Times New Roman" w:hAnsi="Times New Roman"/>
                      <w:color w:val="auto"/>
                      <w:szCs w:val="21"/>
                      <w:u w:val="single"/>
                    </w:rPr>
                    <w:t>-65</w:t>
                  </w:r>
                </w:p>
              </w:tc>
              <w:tc>
                <w:tcPr>
                  <w:tcW w:w="170" w:type="pct"/>
                  <w:vMerge w:val="restart"/>
                  <w:vAlign w:val="center"/>
                </w:tcPr>
                <w:p w14:paraId="5A5C84BB">
                  <w:pPr>
                    <w:pStyle w:val="76"/>
                    <w:jc w:val="center"/>
                    <w:rPr>
                      <w:rFonts w:ascii="Times New Roman" w:hAnsi="Times New Roman"/>
                      <w:color w:val="auto"/>
                      <w:szCs w:val="21"/>
                      <w:u w:val="single"/>
                    </w:rPr>
                  </w:pPr>
                  <w:r>
                    <w:rPr>
                      <w:rFonts w:ascii="Times New Roman" w:hAnsi="Times New Roman"/>
                      <w:color w:val="auto"/>
                      <w:szCs w:val="21"/>
                      <w:u w:val="single"/>
                    </w:rPr>
                    <w:t>-1</w:t>
                  </w:r>
                </w:p>
              </w:tc>
              <w:tc>
                <w:tcPr>
                  <w:tcW w:w="125" w:type="pct"/>
                  <w:vMerge w:val="restart"/>
                  <w:vAlign w:val="center"/>
                </w:tcPr>
                <w:p w14:paraId="2A5CF33F">
                  <w:pPr>
                    <w:pStyle w:val="76"/>
                    <w:jc w:val="center"/>
                    <w:rPr>
                      <w:rFonts w:ascii="Times New Roman" w:hAnsi="Times New Roman"/>
                      <w:color w:val="auto"/>
                      <w:szCs w:val="21"/>
                      <w:u w:val="single"/>
                    </w:rPr>
                  </w:pPr>
                  <w:r>
                    <w:rPr>
                      <w:rFonts w:ascii="Times New Roman" w:hAnsi="Times New Roman"/>
                      <w:color w:val="auto"/>
                      <w:szCs w:val="21"/>
                      <w:u w:val="single"/>
                    </w:rPr>
                    <w:t>0</w:t>
                  </w:r>
                </w:p>
              </w:tc>
              <w:tc>
                <w:tcPr>
                  <w:tcW w:w="208" w:type="pct"/>
                  <w:vAlign w:val="center"/>
                </w:tcPr>
                <w:p w14:paraId="4AEC6E49">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08" w:type="pct"/>
                  <w:vAlign w:val="center"/>
                </w:tcPr>
                <w:p w14:paraId="6B4FBB69">
                  <w:pPr>
                    <w:pStyle w:val="76"/>
                    <w:jc w:val="center"/>
                    <w:rPr>
                      <w:rFonts w:ascii="Times New Roman" w:hAnsi="Times New Roman"/>
                      <w:color w:val="auto"/>
                      <w:szCs w:val="21"/>
                      <w:u w:val="single"/>
                    </w:rPr>
                  </w:pPr>
                  <w:r>
                    <w:rPr>
                      <w:rFonts w:hint="eastAsia" w:ascii="Times New Roman" w:hAnsi="Times New Roman"/>
                      <w:color w:val="auto"/>
                      <w:szCs w:val="21"/>
                      <w:u w:val="single"/>
                    </w:rPr>
                    <w:t>161</w:t>
                  </w:r>
                </w:p>
              </w:tc>
              <w:tc>
                <w:tcPr>
                  <w:tcW w:w="405" w:type="pct"/>
                  <w:vAlign w:val="center"/>
                </w:tcPr>
                <w:p w14:paraId="6CD5A3A0">
                  <w:pPr>
                    <w:pStyle w:val="76"/>
                    <w:jc w:val="center"/>
                    <w:rPr>
                      <w:rFonts w:ascii="Times New Roman" w:hAnsi="Times New Roman"/>
                      <w:color w:val="auto"/>
                      <w:szCs w:val="21"/>
                      <w:u w:val="single"/>
                    </w:rPr>
                  </w:pPr>
                  <w:r>
                    <w:rPr>
                      <w:rFonts w:ascii="Times New Roman" w:hAnsi="Times New Roman"/>
                      <w:color w:val="auto"/>
                      <w:szCs w:val="21"/>
                      <w:u w:val="single"/>
                    </w:rPr>
                    <w:t>73.0</w:t>
                  </w:r>
                </w:p>
              </w:tc>
              <w:tc>
                <w:tcPr>
                  <w:tcW w:w="548" w:type="pct"/>
                  <w:vMerge w:val="restart"/>
                  <w:vAlign w:val="center"/>
                </w:tcPr>
                <w:p w14:paraId="5AF33453">
                  <w:pPr>
                    <w:pStyle w:val="76"/>
                    <w:jc w:val="center"/>
                    <w:rPr>
                      <w:rFonts w:ascii="Times New Roman" w:hAnsi="Times New Roman"/>
                      <w:color w:val="auto"/>
                      <w:szCs w:val="21"/>
                      <w:u w:val="single"/>
                    </w:rPr>
                  </w:pPr>
                  <w:r>
                    <w:rPr>
                      <w:rFonts w:ascii="Times New Roman" w:hAnsi="Times New Roman"/>
                      <w:color w:val="auto"/>
                      <w:szCs w:val="21"/>
                      <w:u w:val="single"/>
                    </w:rPr>
                    <w:t>8:30-17:30</w:t>
                  </w:r>
                </w:p>
              </w:tc>
              <w:tc>
                <w:tcPr>
                  <w:tcW w:w="436" w:type="pct"/>
                  <w:vMerge w:val="restart"/>
                  <w:vAlign w:val="center"/>
                </w:tcPr>
                <w:p w14:paraId="3F2B3017">
                  <w:pPr>
                    <w:pStyle w:val="76"/>
                    <w:jc w:val="center"/>
                    <w:rPr>
                      <w:rFonts w:ascii="Times New Roman" w:hAnsi="Times New Roman"/>
                      <w:color w:val="auto"/>
                      <w:szCs w:val="21"/>
                      <w:u w:val="single"/>
                    </w:rPr>
                  </w:pPr>
                  <w:r>
                    <w:rPr>
                      <w:rFonts w:ascii="Times New Roman" w:hAnsi="Times New Roman"/>
                      <w:color w:val="auto"/>
                      <w:szCs w:val="21"/>
                      <w:u w:val="single"/>
                    </w:rPr>
                    <w:t>25</w:t>
                  </w:r>
                </w:p>
              </w:tc>
              <w:tc>
                <w:tcPr>
                  <w:tcW w:w="272" w:type="pct"/>
                  <w:vAlign w:val="center"/>
                </w:tcPr>
                <w:p w14:paraId="76E0B752">
                  <w:pPr>
                    <w:pStyle w:val="76"/>
                    <w:jc w:val="center"/>
                    <w:rPr>
                      <w:rFonts w:ascii="Times New Roman" w:hAnsi="Times New Roman"/>
                      <w:color w:val="auto"/>
                      <w:szCs w:val="21"/>
                      <w:u w:val="single"/>
                    </w:rPr>
                  </w:pPr>
                  <w:r>
                    <w:rPr>
                      <w:rFonts w:ascii="Times New Roman" w:hAnsi="Times New Roman"/>
                      <w:color w:val="auto"/>
                      <w:szCs w:val="21"/>
                      <w:u w:val="single"/>
                    </w:rPr>
                    <w:t>东</w:t>
                  </w:r>
                </w:p>
              </w:tc>
              <w:tc>
                <w:tcPr>
                  <w:tcW w:w="270" w:type="pct"/>
                  <w:vAlign w:val="center"/>
                </w:tcPr>
                <w:p w14:paraId="25E5C43E">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restart"/>
                  <w:vAlign w:val="center"/>
                </w:tcPr>
                <w:p w14:paraId="7AA6574F">
                  <w:pPr>
                    <w:pStyle w:val="76"/>
                    <w:jc w:val="center"/>
                    <w:rPr>
                      <w:rFonts w:ascii="Times New Roman" w:hAnsi="Times New Roman"/>
                      <w:color w:val="auto"/>
                      <w:szCs w:val="21"/>
                      <w:u w:val="single"/>
                      <w:lang w:bidi="zh-CN"/>
                    </w:rPr>
                  </w:pPr>
                  <w:r>
                    <w:rPr>
                      <w:rFonts w:ascii="Times New Roman" w:hAnsi="Times New Roman"/>
                      <w:color w:val="auto"/>
                      <w:szCs w:val="21"/>
                      <w:u w:val="single"/>
                    </w:rPr>
                    <w:t>1m</w:t>
                  </w:r>
                </w:p>
              </w:tc>
            </w:tr>
            <w:tr w14:paraId="1B44B3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2835CC6D">
                  <w:pPr>
                    <w:pStyle w:val="76"/>
                    <w:jc w:val="center"/>
                    <w:rPr>
                      <w:rFonts w:ascii="Times New Roman" w:hAnsi="Times New Roman"/>
                      <w:color w:val="auto"/>
                      <w:szCs w:val="21"/>
                      <w:u w:val="single"/>
                    </w:rPr>
                  </w:pPr>
                </w:p>
              </w:tc>
              <w:tc>
                <w:tcPr>
                  <w:tcW w:w="163" w:type="pct"/>
                  <w:vMerge w:val="continue"/>
                </w:tcPr>
                <w:p w14:paraId="32F03A94">
                  <w:pPr>
                    <w:pStyle w:val="76"/>
                    <w:jc w:val="center"/>
                    <w:rPr>
                      <w:rFonts w:ascii="Times New Roman" w:hAnsi="Times New Roman"/>
                      <w:color w:val="auto"/>
                      <w:szCs w:val="21"/>
                      <w:u w:val="single"/>
                    </w:rPr>
                  </w:pPr>
                </w:p>
              </w:tc>
              <w:tc>
                <w:tcPr>
                  <w:tcW w:w="299" w:type="pct"/>
                  <w:vMerge w:val="continue"/>
                </w:tcPr>
                <w:p w14:paraId="45041675">
                  <w:pPr>
                    <w:pStyle w:val="76"/>
                    <w:jc w:val="center"/>
                    <w:rPr>
                      <w:rFonts w:ascii="Times New Roman" w:hAnsi="Times New Roman"/>
                      <w:color w:val="auto"/>
                      <w:szCs w:val="21"/>
                      <w:u w:val="single"/>
                    </w:rPr>
                  </w:pPr>
                </w:p>
              </w:tc>
              <w:tc>
                <w:tcPr>
                  <w:tcW w:w="596" w:type="pct"/>
                  <w:vMerge w:val="continue"/>
                </w:tcPr>
                <w:p w14:paraId="48DE6669">
                  <w:pPr>
                    <w:pStyle w:val="76"/>
                    <w:jc w:val="center"/>
                    <w:rPr>
                      <w:rFonts w:ascii="Times New Roman" w:hAnsi="Times New Roman"/>
                      <w:color w:val="auto"/>
                      <w:szCs w:val="21"/>
                      <w:u w:val="single"/>
                    </w:rPr>
                  </w:pPr>
                </w:p>
              </w:tc>
              <w:tc>
                <w:tcPr>
                  <w:tcW w:w="503" w:type="pct"/>
                  <w:vMerge w:val="continue"/>
                </w:tcPr>
                <w:p w14:paraId="170BB72B">
                  <w:pPr>
                    <w:pStyle w:val="76"/>
                    <w:jc w:val="center"/>
                    <w:rPr>
                      <w:rFonts w:ascii="Times New Roman" w:hAnsi="Times New Roman"/>
                      <w:color w:val="auto"/>
                      <w:szCs w:val="21"/>
                      <w:u w:val="single"/>
                    </w:rPr>
                  </w:pPr>
                </w:p>
              </w:tc>
              <w:tc>
                <w:tcPr>
                  <w:tcW w:w="170" w:type="pct"/>
                  <w:vMerge w:val="continue"/>
                </w:tcPr>
                <w:p w14:paraId="377EAB1D">
                  <w:pPr>
                    <w:pStyle w:val="76"/>
                    <w:jc w:val="center"/>
                    <w:rPr>
                      <w:rFonts w:ascii="Times New Roman" w:hAnsi="Times New Roman"/>
                      <w:color w:val="auto"/>
                      <w:szCs w:val="21"/>
                      <w:u w:val="single"/>
                    </w:rPr>
                  </w:pPr>
                </w:p>
              </w:tc>
              <w:tc>
                <w:tcPr>
                  <w:tcW w:w="170" w:type="pct"/>
                  <w:vMerge w:val="continue"/>
                </w:tcPr>
                <w:p w14:paraId="11773DBF">
                  <w:pPr>
                    <w:pStyle w:val="76"/>
                    <w:jc w:val="center"/>
                    <w:rPr>
                      <w:rFonts w:ascii="Times New Roman" w:hAnsi="Times New Roman"/>
                      <w:color w:val="auto"/>
                      <w:szCs w:val="21"/>
                      <w:u w:val="single"/>
                    </w:rPr>
                  </w:pPr>
                </w:p>
              </w:tc>
              <w:tc>
                <w:tcPr>
                  <w:tcW w:w="125" w:type="pct"/>
                  <w:vMerge w:val="continue"/>
                </w:tcPr>
                <w:p w14:paraId="2688836F">
                  <w:pPr>
                    <w:pStyle w:val="76"/>
                    <w:jc w:val="center"/>
                    <w:rPr>
                      <w:rFonts w:ascii="Times New Roman" w:hAnsi="Times New Roman"/>
                      <w:color w:val="auto"/>
                      <w:szCs w:val="21"/>
                      <w:u w:val="single"/>
                    </w:rPr>
                  </w:pPr>
                </w:p>
              </w:tc>
              <w:tc>
                <w:tcPr>
                  <w:tcW w:w="208" w:type="pct"/>
                  <w:vAlign w:val="center"/>
                </w:tcPr>
                <w:p w14:paraId="5E26F1E5">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08" w:type="pct"/>
                  <w:vAlign w:val="center"/>
                </w:tcPr>
                <w:p w14:paraId="171ABD5A">
                  <w:pPr>
                    <w:pStyle w:val="76"/>
                    <w:jc w:val="center"/>
                    <w:rPr>
                      <w:rFonts w:ascii="Times New Roman" w:hAnsi="Times New Roman"/>
                      <w:color w:val="auto"/>
                      <w:szCs w:val="21"/>
                      <w:u w:val="single"/>
                    </w:rPr>
                  </w:pPr>
                  <w:r>
                    <w:rPr>
                      <w:rFonts w:hint="eastAsia" w:ascii="Times New Roman" w:hAnsi="Times New Roman"/>
                      <w:color w:val="auto"/>
                      <w:szCs w:val="21"/>
                      <w:u w:val="single"/>
                    </w:rPr>
                    <w:t>13</w:t>
                  </w:r>
                </w:p>
              </w:tc>
              <w:tc>
                <w:tcPr>
                  <w:tcW w:w="405" w:type="pct"/>
                  <w:vAlign w:val="center"/>
                </w:tcPr>
                <w:p w14:paraId="77DEF365">
                  <w:pPr>
                    <w:pStyle w:val="76"/>
                    <w:jc w:val="center"/>
                    <w:rPr>
                      <w:rFonts w:ascii="Times New Roman" w:hAnsi="Times New Roman"/>
                      <w:color w:val="auto"/>
                      <w:szCs w:val="21"/>
                      <w:u w:val="single"/>
                    </w:rPr>
                  </w:pPr>
                  <w:r>
                    <w:rPr>
                      <w:rFonts w:ascii="Times New Roman" w:hAnsi="Times New Roman"/>
                      <w:color w:val="auto"/>
                      <w:szCs w:val="21"/>
                      <w:u w:val="single"/>
                    </w:rPr>
                    <w:t>73.</w:t>
                  </w:r>
                  <w:r>
                    <w:rPr>
                      <w:rFonts w:hint="eastAsia" w:ascii="Times New Roman" w:hAnsi="Times New Roman"/>
                      <w:color w:val="auto"/>
                      <w:szCs w:val="21"/>
                      <w:u w:val="single"/>
                    </w:rPr>
                    <w:t>0</w:t>
                  </w:r>
                </w:p>
              </w:tc>
              <w:tc>
                <w:tcPr>
                  <w:tcW w:w="548" w:type="pct"/>
                  <w:vMerge w:val="continue"/>
                </w:tcPr>
                <w:p w14:paraId="3F2C5164">
                  <w:pPr>
                    <w:pStyle w:val="76"/>
                    <w:jc w:val="center"/>
                    <w:rPr>
                      <w:rFonts w:ascii="Times New Roman" w:hAnsi="Times New Roman"/>
                      <w:color w:val="auto"/>
                      <w:szCs w:val="21"/>
                      <w:u w:val="single"/>
                    </w:rPr>
                  </w:pPr>
                </w:p>
              </w:tc>
              <w:tc>
                <w:tcPr>
                  <w:tcW w:w="436" w:type="pct"/>
                  <w:vMerge w:val="continue"/>
                </w:tcPr>
                <w:p w14:paraId="223B5228">
                  <w:pPr>
                    <w:pStyle w:val="76"/>
                    <w:jc w:val="center"/>
                    <w:rPr>
                      <w:rFonts w:ascii="Times New Roman" w:hAnsi="Times New Roman"/>
                      <w:color w:val="auto"/>
                      <w:szCs w:val="21"/>
                      <w:u w:val="single"/>
                    </w:rPr>
                  </w:pPr>
                </w:p>
              </w:tc>
              <w:tc>
                <w:tcPr>
                  <w:tcW w:w="272" w:type="pct"/>
                  <w:vAlign w:val="center"/>
                </w:tcPr>
                <w:p w14:paraId="58CB806D">
                  <w:pPr>
                    <w:pStyle w:val="76"/>
                    <w:jc w:val="center"/>
                    <w:rPr>
                      <w:rFonts w:ascii="Times New Roman" w:hAnsi="Times New Roman"/>
                      <w:color w:val="auto"/>
                      <w:szCs w:val="21"/>
                      <w:u w:val="single"/>
                    </w:rPr>
                  </w:pPr>
                  <w:r>
                    <w:rPr>
                      <w:rFonts w:ascii="Times New Roman" w:hAnsi="Times New Roman"/>
                      <w:color w:val="auto"/>
                      <w:szCs w:val="21"/>
                      <w:u w:val="single"/>
                    </w:rPr>
                    <w:t>南</w:t>
                  </w:r>
                </w:p>
              </w:tc>
              <w:tc>
                <w:tcPr>
                  <w:tcW w:w="270" w:type="pct"/>
                  <w:vAlign w:val="center"/>
                </w:tcPr>
                <w:p w14:paraId="120AC2C5">
                  <w:pPr>
                    <w:pStyle w:val="76"/>
                    <w:jc w:val="center"/>
                    <w:rPr>
                      <w:rFonts w:ascii="Times New Roman" w:hAnsi="Times New Roman"/>
                      <w:color w:val="auto"/>
                      <w:szCs w:val="21"/>
                      <w:u w:val="single"/>
                    </w:rPr>
                  </w:pPr>
                  <w:r>
                    <w:rPr>
                      <w:rFonts w:ascii="Times New Roman" w:hAnsi="Times New Roman"/>
                      <w:color w:val="auto"/>
                      <w:szCs w:val="21"/>
                      <w:u w:val="single"/>
                    </w:rPr>
                    <w:t>51.</w:t>
                  </w:r>
                  <w:r>
                    <w:rPr>
                      <w:rFonts w:hint="eastAsia" w:ascii="Times New Roman" w:hAnsi="Times New Roman"/>
                      <w:color w:val="auto"/>
                      <w:szCs w:val="21"/>
                      <w:u w:val="single"/>
                    </w:rPr>
                    <w:t>0</w:t>
                  </w:r>
                </w:p>
              </w:tc>
              <w:tc>
                <w:tcPr>
                  <w:tcW w:w="311" w:type="pct"/>
                  <w:vMerge w:val="continue"/>
                </w:tcPr>
                <w:p w14:paraId="41DECBFE">
                  <w:pPr>
                    <w:pStyle w:val="76"/>
                    <w:jc w:val="center"/>
                    <w:rPr>
                      <w:rFonts w:ascii="Times New Roman" w:hAnsi="Times New Roman"/>
                      <w:color w:val="auto"/>
                      <w:szCs w:val="21"/>
                      <w:u w:val="single"/>
                    </w:rPr>
                  </w:pPr>
                </w:p>
              </w:tc>
            </w:tr>
            <w:tr w14:paraId="5F74C8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35AAFD1A">
                  <w:pPr>
                    <w:pStyle w:val="76"/>
                    <w:jc w:val="center"/>
                    <w:rPr>
                      <w:rFonts w:ascii="Times New Roman" w:hAnsi="Times New Roman"/>
                      <w:color w:val="auto"/>
                      <w:szCs w:val="21"/>
                      <w:u w:val="single"/>
                    </w:rPr>
                  </w:pPr>
                </w:p>
              </w:tc>
              <w:tc>
                <w:tcPr>
                  <w:tcW w:w="163" w:type="pct"/>
                  <w:vMerge w:val="continue"/>
                </w:tcPr>
                <w:p w14:paraId="7BBCA655">
                  <w:pPr>
                    <w:pStyle w:val="76"/>
                    <w:jc w:val="center"/>
                    <w:rPr>
                      <w:rFonts w:ascii="Times New Roman" w:hAnsi="Times New Roman"/>
                      <w:color w:val="auto"/>
                      <w:szCs w:val="21"/>
                      <w:u w:val="single"/>
                    </w:rPr>
                  </w:pPr>
                </w:p>
              </w:tc>
              <w:tc>
                <w:tcPr>
                  <w:tcW w:w="299" w:type="pct"/>
                  <w:vMerge w:val="continue"/>
                </w:tcPr>
                <w:p w14:paraId="0F460D8F">
                  <w:pPr>
                    <w:pStyle w:val="76"/>
                    <w:jc w:val="center"/>
                    <w:rPr>
                      <w:rFonts w:ascii="Times New Roman" w:hAnsi="Times New Roman"/>
                      <w:color w:val="auto"/>
                      <w:szCs w:val="21"/>
                      <w:u w:val="single"/>
                    </w:rPr>
                  </w:pPr>
                </w:p>
              </w:tc>
              <w:tc>
                <w:tcPr>
                  <w:tcW w:w="596" w:type="pct"/>
                  <w:vMerge w:val="continue"/>
                </w:tcPr>
                <w:p w14:paraId="0D82D209">
                  <w:pPr>
                    <w:pStyle w:val="76"/>
                    <w:jc w:val="center"/>
                    <w:rPr>
                      <w:rFonts w:ascii="Times New Roman" w:hAnsi="Times New Roman"/>
                      <w:color w:val="auto"/>
                      <w:szCs w:val="21"/>
                      <w:u w:val="single"/>
                    </w:rPr>
                  </w:pPr>
                </w:p>
              </w:tc>
              <w:tc>
                <w:tcPr>
                  <w:tcW w:w="503" w:type="pct"/>
                  <w:vMerge w:val="continue"/>
                </w:tcPr>
                <w:p w14:paraId="6EC067C0">
                  <w:pPr>
                    <w:pStyle w:val="76"/>
                    <w:jc w:val="center"/>
                    <w:rPr>
                      <w:rFonts w:ascii="Times New Roman" w:hAnsi="Times New Roman"/>
                      <w:color w:val="auto"/>
                      <w:szCs w:val="21"/>
                      <w:u w:val="single"/>
                    </w:rPr>
                  </w:pPr>
                </w:p>
              </w:tc>
              <w:tc>
                <w:tcPr>
                  <w:tcW w:w="170" w:type="pct"/>
                  <w:vMerge w:val="continue"/>
                </w:tcPr>
                <w:p w14:paraId="665931B3">
                  <w:pPr>
                    <w:pStyle w:val="76"/>
                    <w:jc w:val="center"/>
                    <w:rPr>
                      <w:rFonts w:ascii="Times New Roman" w:hAnsi="Times New Roman"/>
                      <w:color w:val="auto"/>
                      <w:szCs w:val="21"/>
                      <w:u w:val="single"/>
                    </w:rPr>
                  </w:pPr>
                </w:p>
              </w:tc>
              <w:tc>
                <w:tcPr>
                  <w:tcW w:w="170" w:type="pct"/>
                  <w:vMerge w:val="continue"/>
                </w:tcPr>
                <w:p w14:paraId="06D49119">
                  <w:pPr>
                    <w:pStyle w:val="76"/>
                    <w:jc w:val="center"/>
                    <w:rPr>
                      <w:rFonts w:ascii="Times New Roman" w:hAnsi="Times New Roman"/>
                      <w:color w:val="auto"/>
                      <w:szCs w:val="21"/>
                      <w:u w:val="single"/>
                    </w:rPr>
                  </w:pPr>
                </w:p>
              </w:tc>
              <w:tc>
                <w:tcPr>
                  <w:tcW w:w="125" w:type="pct"/>
                  <w:vMerge w:val="continue"/>
                </w:tcPr>
                <w:p w14:paraId="23CF233B">
                  <w:pPr>
                    <w:pStyle w:val="76"/>
                    <w:jc w:val="center"/>
                    <w:rPr>
                      <w:rFonts w:ascii="Times New Roman" w:hAnsi="Times New Roman"/>
                      <w:color w:val="auto"/>
                      <w:szCs w:val="21"/>
                      <w:u w:val="single"/>
                    </w:rPr>
                  </w:pPr>
                </w:p>
              </w:tc>
              <w:tc>
                <w:tcPr>
                  <w:tcW w:w="208" w:type="pct"/>
                  <w:vAlign w:val="center"/>
                </w:tcPr>
                <w:p w14:paraId="5C875C48">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08" w:type="pct"/>
                  <w:vAlign w:val="center"/>
                </w:tcPr>
                <w:p w14:paraId="4FEC2BCB">
                  <w:pPr>
                    <w:pStyle w:val="76"/>
                    <w:jc w:val="center"/>
                    <w:rPr>
                      <w:rFonts w:ascii="Times New Roman" w:hAnsi="Times New Roman"/>
                      <w:color w:val="auto"/>
                      <w:szCs w:val="21"/>
                      <w:u w:val="single"/>
                    </w:rPr>
                  </w:pPr>
                  <w:r>
                    <w:rPr>
                      <w:rFonts w:hint="eastAsia" w:ascii="Times New Roman" w:hAnsi="Times New Roman"/>
                      <w:color w:val="auto"/>
                      <w:szCs w:val="21"/>
                      <w:u w:val="single"/>
                    </w:rPr>
                    <w:t>25</w:t>
                  </w:r>
                </w:p>
              </w:tc>
              <w:tc>
                <w:tcPr>
                  <w:tcW w:w="405" w:type="pct"/>
                  <w:vAlign w:val="center"/>
                </w:tcPr>
                <w:p w14:paraId="3258EB54">
                  <w:pPr>
                    <w:pStyle w:val="76"/>
                    <w:jc w:val="center"/>
                    <w:rPr>
                      <w:rFonts w:ascii="Times New Roman" w:hAnsi="Times New Roman"/>
                      <w:color w:val="auto"/>
                      <w:szCs w:val="21"/>
                      <w:u w:val="single"/>
                    </w:rPr>
                  </w:pPr>
                  <w:r>
                    <w:rPr>
                      <w:rFonts w:ascii="Times New Roman" w:hAnsi="Times New Roman"/>
                      <w:color w:val="auto"/>
                      <w:szCs w:val="21"/>
                      <w:u w:val="single"/>
                    </w:rPr>
                    <w:t>73.0</w:t>
                  </w:r>
                </w:p>
              </w:tc>
              <w:tc>
                <w:tcPr>
                  <w:tcW w:w="548" w:type="pct"/>
                  <w:vMerge w:val="continue"/>
                </w:tcPr>
                <w:p w14:paraId="1848D487">
                  <w:pPr>
                    <w:pStyle w:val="76"/>
                    <w:jc w:val="center"/>
                    <w:rPr>
                      <w:rFonts w:ascii="Times New Roman" w:hAnsi="Times New Roman"/>
                      <w:color w:val="auto"/>
                      <w:szCs w:val="21"/>
                      <w:u w:val="single"/>
                    </w:rPr>
                  </w:pPr>
                </w:p>
              </w:tc>
              <w:tc>
                <w:tcPr>
                  <w:tcW w:w="436" w:type="pct"/>
                  <w:vMerge w:val="continue"/>
                </w:tcPr>
                <w:p w14:paraId="3D0DFECF">
                  <w:pPr>
                    <w:pStyle w:val="76"/>
                    <w:jc w:val="center"/>
                    <w:rPr>
                      <w:rFonts w:ascii="Times New Roman" w:hAnsi="Times New Roman"/>
                      <w:color w:val="auto"/>
                      <w:szCs w:val="21"/>
                      <w:u w:val="single"/>
                    </w:rPr>
                  </w:pPr>
                </w:p>
              </w:tc>
              <w:tc>
                <w:tcPr>
                  <w:tcW w:w="272" w:type="pct"/>
                  <w:vAlign w:val="center"/>
                </w:tcPr>
                <w:p w14:paraId="5CF514C7">
                  <w:pPr>
                    <w:pStyle w:val="76"/>
                    <w:jc w:val="center"/>
                    <w:rPr>
                      <w:rFonts w:ascii="Times New Roman" w:hAnsi="Times New Roman"/>
                      <w:color w:val="auto"/>
                      <w:szCs w:val="21"/>
                      <w:u w:val="single"/>
                    </w:rPr>
                  </w:pPr>
                  <w:r>
                    <w:rPr>
                      <w:rFonts w:ascii="Times New Roman" w:hAnsi="Times New Roman"/>
                      <w:color w:val="auto"/>
                      <w:szCs w:val="21"/>
                      <w:u w:val="single"/>
                    </w:rPr>
                    <w:t>西</w:t>
                  </w:r>
                </w:p>
              </w:tc>
              <w:tc>
                <w:tcPr>
                  <w:tcW w:w="270" w:type="pct"/>
                  <w:vAlign w:val="center"/>
                </w:tcPr>
                <w:p w14:paraId="412AFE5E">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tcPr>
                <w:p w14:paraId="296D4174">
                  <w:pPr>
                    <w:pStyle w:val="76"/>
                    <w:jc w:val="center"/>
                    <w:rPr>
                      <w:rFonts w:ascii="Times New Roman" w:hAnsi="Times New Roman"/>
                      <w:color w:val="auto"/>
                      <w:szCs w:val="21"/>
                      <w:u w:val="single"/>
                    </w:rPr>
                  </w:pPr>
                </w:p>
              </w:tc>
            </w:tr>
            <w:tr w14:paraId="0F9D52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313" w:type="pct"/>
                  <w:vMerge w:val="continue"/>
                </w:tcPr>
                <w:p w14:paraId="1E4802CB">
                  <w:pPr>
                    <w:pStyle w:val="76"/>
                    <w:jc w:val="center"/>
                    <w:rPr>
                      <w:rFonts w:ascii="Times New Roman" w:hAnsi="Times New Roman"/>
                      <w:color w:val="auto"/>
                      <w:szCs w:val="21"/>
                      <w:u w:val="single"/>
                    </w:rPr>
                  </w:pPr>
                </w:p>
              </w:tc>
              <w:tc>
                <w:tcPr>
                  <w:tcW w:w="163" w:type="pct"/>
                  <w:vMerge w:val="continue"/>
                </w:tcPr>
                <w:p w14:paraId="4B9FE090">
                  <w:pPr>
                    <w:pStyle w:val="76"/>
                    <w:jc w:val="center"/>
                    <w:rPr>
                      <w:rFonts w:ascii="Times New Roman" w:hAnsi="Times New Roman"/>
                      <w:color w:val="auto"/>
                      <w:szCs w:val="21"/>
                      <w:u w:val="single"/>
                    </w:rPr>
                  </w:pPr>
                </w:p>
              </w:tc>
              <w:tc>
                <w:tcPr>
                  <w:tcW w:w="299" w:type="pct"/>
                  <w:vMerge w:val="continue"/>
                </w:tcPr>
                <w:p w14:paraId="4F76E4B4">
                  <w:pPr>
                    <w:pStyle w:val="76"/>
                    <w:jc w:val="center"/>
                    <w:rPr>
                      <w:rFonts w:ascii="Times New Roman" w:hAnsi="Times New Roman"/>
                      <w:color w:val="auto"/>
                      <w:szCs w:val="21"/>
                      <w:u w:val="single"/>
                    </w:rPr>
                  </w:pPr>
                </w:p>
              </w:tc>
              <w:tc>
                <w:tcPr>
                  <w:tcW w:w="596" w:type="pct"/>
                  <w:vMerge w:val="continue"/>
                </w:tcPr>
                <w:p w14:paraId="1F30B8EA">
                  <w:pPr>
                    <w:pStyle w:val="76"/>
                    <w:jc w:val="center"/>
                    <w:rPr>
                      <w:rFonts w:ascii="Times New Roman" w:hAnsi="Times New Roman"/>
                      <w:color w:val="auto"/>
                      <w:szCs w:val="21"/>
                      <w:u w:val="single"/>
                    </w:rPr>
                  </w:pPr>
                </w:p>
              </w:tc>
              <w:tc>
                <w:tcPr>
                  <w:tcW w:w="503" w:type="pct"/>
                  <w:vMerge w:val="continue"/>
                </w:tcPr>
                <w:p w14:paraId="2B32B596">
                  <w:pPr>
                    <w:pStyle w:val="76"/>
                    <w:jc w:val="center"/>
                    <w:rPr>
                      <w:rFonts w:ascii="Times New Roman" w:hAnsi="Times New Roman"/>
                      <w:color w:val="auto"/>
                      <w:szCs w:val="21"/>
                      <w:u w:val="single"/>
                    </w:rPr>
                  </w:pPr>
                </w:p>
              </w:tc>
              <w:tc>
                <w:tcPr>
                  <w:tcW w:w="170" w:type="pct"/>
                  <w:vMerge w:val="continue"/>
                </w:tcPr>
                <w:p w14:paraId="536D0765">
                  <w:pPr>
                    <w:pStyle w:val="76"/>
                    <w:jc w:val="center"/>
                    <w:rPr>
                      <w:rFonts w:ascii="Times New Roman" w:hAnsi="Times New Roman"/>
                      <w:color w:val="auto"/>
                      <w:szCs w:val="21"/>
                      <w:u w:val="single"/>
                    </w:rPr>
                  </w:pPr>
                </w:p>
              </w:tc>
              <w:tc>
                <w:tcPr>
                  <w:tcW w:w="170" w:type="pct"/>
                  <w:vMerge w:val="continue"/>
                </w:tcPr>
                <w:p w14:paraId="18C1879C">
                  <w:pPr>
                    <w:pStyle w:val="76"/>
                    <w:jc w:val="center"/>
                    <w:rPr>
                      <w:rFonts w:ascii="Times New Roman" w:hAnsi="Times New Roman"/>
                      <w:color w:val="auto"/>
                      <w:szCs w:val="21"/>
                      <w:u w:val="single"/>
                    </w:rPr>
                  </w:pPr>
                </w:p>
              </w:tc>
              <w:tc>
                <w:tcPr>
                  <w:tcW w:w="125" w:type="pct"/>
                  <w:vMerge w:val="continue"/>
                </w:tcPr>
                <w:p w14:paraId="537C1DF3">
                  <w:pPr>
                    <w:pStyle w:val="76"/>
                    <w:jc w:val="center"/>
                    <w:rPr>
                      <w:rFonts w:ascii="Times New Roman" w:hAnsi="Times New Roman"/>
                      <w:color w:val="auto"/>
                      <w:szCs w:val="21"/>
                      <w:u w:val="single"/>
                    </w:rPr>
                  </w:pPr>
                </w:p>
              </w:tc>
              <w:tc>
                <w:tcPr>
                  <w:tcW w:w="208" w:type="pct"/>
                  <w:vAlign w:val="center"/>
                </w:tcPr>
                <w:p w14:paraId="5B95C88B">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08" w:type="pct"/>
                  <w:vAlign w:val="center"/>
                </w:tcPr>
                <w:p w14:paraId="1C3B7176">
                  <w:pPr>
                    <w:pStyle w:val="76"/>
                    <w:jc w:val="center"/>
                    <w:rPr>
                      <w:rFonts w:ascii="Times New Roman" w:hAnsi="Times New Roman"/>
                      <w:color w:val="auto"/>
                      <w:szCs w:val="21"/>
                      <w:u w:val="single"/>
                    </w:rPr>
                  </w:pPr>
                  <w:r>
                    <w:rPr>
                      <w:rFonts w:ascii="Times New Roman" w:hAnsi="Times New Roman"/>
                      <w:color w:val="auto"/>
                      <w:szCs w:val="21"/>
                      <w:u w:val="single"/>
                    </w:rPr>
                    <w:t>15</w:t>
                  </w:r>
                </w:p>
              </w:tc>
              <w:tc>
                <w:tcPr>
                  <w:tcW w:w="405" w:type="pct"/>
                  <w:vAlign w:val="center"/>
                </w:tcPr>
                <w:p w14:paraId="2F7C8419">
                  <w:pPr>
                    <w:pStyle w:val="76"/>
                    <w:jc w:val="center"/>
                    <w:rPr>
                      <w:rFonts w:ascii="Times New Roman" w:hAnsi="Times New Roman"/>
                      <w:color w:val="auto"/>
                      <w:szCs w:val="21"/>
                      <w:u w:val="single"/>
                    </w:rPr>
                  </w:pPr>
                  <w:r>
                    <w:rPr>
                      <w:rFonts w:ascii="Times New Roman" w:hAnsi="Times New Roman"/>
                      <w:color w:val="auto"/>
                      <w:szCs w:val="21"/>
                      <w:u w:val="single"/>
                    </w:rPr>
                    <w:t>73.0</w:t>
                  </w:r>
                </w:p>
              </w:tc>
              <w:tc>
                <w:tcPr>
                  <w:tcW w:w="548" w:type="pct"/>
                  <w:vMerge w:val="continue"/>
                </w:tcPr>
                <w:p w14:paraId="56E490D1">
                  <w:pPr>
                    <w:pStyle w:val="76"/>
                    <w:jc w:val="center"/>
                    <w:rPr>
                      <w:rFonts w:ascii="Times New Roman" w:hAnsi="Times New Roman"/>
                      <w:color w:val="auto"/>
                      <w:szCs w:val="21"/>
                      <w:u w:val="single"/>
                    </w:rPr>
                  </w:pPr>
                </w:p>
              </w:tc>
              <w:tc>
                <w:tcPr>
                  <w:tcW w:w="436" w:type="pct"/>
                  <w:vMerge w:val="continue"/>
                </w:tcPr>
                <w:p w14:paraId="199484AF">
                  <w:pPr>
                    <w:pStyle w:val="76"/>
                    <w:jc w:val="center"/>
                    <w:rPr>
                      <w:rFonts w:ascii="Times New Roman" w:hAnsi="Times New Roman"/>
                      <w:color w:val="auto"/>
                      <w:szCs w:val="21"/>
                      <w:u w:val="single"/>
                    </w:rPr>
                  </w:pPr>
                </w:p>
              </w:tc>
              <w:tc>
                <w:tcPr>
                  <w:tcW w:w="272" w:type="pct"/>
                  <w:vAlign w:val="center"/>
                </w:tcPr>
                <w:p w14:paraId="71B2F07C">
                  <w:pPr>
                    <w:pStyle w:val="76"/>
                    <w:jc w:val="center"/>
                    <w:rPr>
                      <w:rFonts w:ascii="Times New Roman" w:hAnsi="Times New Roman"/>
                      <w:color w:val="auto"/>
                      <w:szCs w:val="21"/>
                      <w:u w:val="single"/>
                    </w:rPr>
                  </w:pPr>
                  <w:r>
                    <w:rPr>
                      <w:rFonts w:ascii="Times New Roman" w:hAnsi="Times New Roman"/>
                      <w:color w:val="auto"/>
                      <w:szCs w:val="21"/>
                      <w:u w:val="single"/>
                    </w:rPr>
                    <w:t>北</w:t>
                  </w:r>
                </w:p>
              </w:tc>
              <w:tc>
                <w:tcPr>
                  <w:tcW w:w="270" w:type="pct"/>
                  <w:vAlign w:val="center"/>
                </w:tcPr>
                <w:p w14:paraId="78C0A6C0">
                  <w:pPr>
                    <w:pStyle w:val="76"/>
                    <w:jc w:val="center"/>
                    <w:rPr>
                      <w:rFonts w:ascii="Times New Roman" w:hAnsi="Times New Roman"/>
                      <w:color w:val="auto"/>
                      <w:szCs w:val="21"/>
                      <w:u w:val="single"/>
                    </w:rPr>
                  </w:pPr>
                  <w:r>
                    <w:rPr>
                      <w:rFonts w:ascii="Times New Roman" w:hAnsi="Times New Roman"/>
                      <w:color w:val="auto"/>
                      <w:szCs w:val="21"/>
                      <w:u w:val="single"/>
                    </w:rPr>
                    <w:t>51.0</w:t>
                  </w:r>
                </w:p>
              </w:tc>
              <w:tc>
                <w:tcPr>
                  <w:tcW w:w="311" w:type="pct"/>
                  <w:vMerge w:val="continue"/>
                </w:tcPr>
                <w:p w14:paraId="11CA0E90">
                  <w:pPr>
                    <w:pStyle w:val="76"/>
                    <w:jc w:val="center"/>
                    <w:rPr>
                      <w:rFonts w:ascii="Times New Roman" w:hAnsi="Times New Roman"/>
                      <w:color w:val="auto"/>
                      <w:szCs w:val="21"/>
                      <w:u w:val="single"/>
                    </w:rPr>
                  </w:pPr>
                </w:p>
              </w:tc>
            </w:tr>
          </w:tbl>
          <w:p w14:paraId="217A7332">
            <w:pPr>
              <w:pStyle w:val="20"/>
              <w:rPr>
                <w:color w:val="auto"/>
                <w:u w:val="single"/>
              </w:rPr>
            </w:pPr>
            <w:r>
              <w:rPr>
                <w:rFonts w:hint="eastAsia"/>
                <w:color w:val="auto"/>
                <w:u w:val="single"/>
              </w:rPr>
              <w:t>备注：原点坐标为厂房中心（112.962192、27.7637873）。</w:t>
            </w:r>
          </w:p>
          <w:p w14:paraId="71A21AA8">
            <w:pPr>
              <w:pStyle w:val="38"/>
              <w:spacing w:before="120" w:beforeLines="50" w:line="360" w:lineRule="auto"/>
              <w:ind w:firstLine="482" w:firstLineChars="200"/>
              <w:jc w:val="left"/>
              <w:rPr>
                <w:rFonts w:ascii="Times New Roman" w:hAnsi="Times New Roman" w:cs="Times New Roman"/>
                <w:b/>
                <w:bCs/>
                <w:color w:val="auto"/>
              </w:rPr>
            </w:pPr>
            <w:r>
              <w:rPr>
                <w:rFonts w:hint="eastAsia" w:ascii="Times New Roman" w:hAnsi="Times New Roman" w:cs="Times New Roman"/>
                <w:b/>
                <w:bCs/>
                <w:color w:val="auto"/>
              </w:rPr>
              <w:t>（2）声环境影响分析</w:t>
            </w:r>
          </w:p>
          <w:p w14:paraId="72E58289">
            <w:pPr>
              <w:tabs>
                <w:tab w:val="left" w:pos="540"/>
              </w:tabs>
              <w:spacing w:line="480" w:lineRule="exact"/>
              <w:ind w:firstLine="480" w:firstLineChars="200"/>
              <w:rPr>
                <w:color w:val="auto"/>
                <w:sz w:val="24"/>
              </w:rPr>
            </w:pPr>
            <w:r>
              <w:rPr>
                <w:color w:val="auto"/>
                <w:sz w:val="24"/>
              </w:rPr>
              <w:t>本</w:t>
            </w:r>
            <w:r>
              <w:rPr>
                <w:rFonts w:hint="eastAsia"/>
                <w:color w:val="auto"/>
                <w:sz w:val="24"/>
              </w:rPr>
              <w:t>环评</w:t>
            </w:r>
            <w:r>
              <w:rPr>
                <w:color w:val="auto"/>
                <w:sz w:val="24"/>
              </w:rPr>
              <w:t>采用《环境影响评价技术导则 声环境》（HJ 2.4-2021）中工业噪声预测计算模式的室内噪声源进行预测计算。</w:t>
            </w:r>
          </w:p>
          <w:p w14:paraId="69CDA400">
            <w:pPr>
              <w:tabs>
                <w:tab w:val="left" w:pos="540"/>
              </w:tabs>
              <w:spacing w:line="480" w:lineRule="exact"/>
              <w:ind w:firstLine="480" w:firstLineChars="200"/>
              <w:rPr>
                <w:color w:val="auto"/>
                <w:sz w:val="24"/>
              </w:rPr>
            </w:pPr>
            <w:r>
              <w:rPr>
                <w:rFonts w:hint="eastAsia"/>
                <w:color w:val="auto"/>
                <w:sz w:val="24"/>
              </w:rPr>
              <w:t>1）</w:t>
            </w:r>
            <w:r>
              <w:rPr>
                <w:color w:val="auto"/>
                <w:sz w:val="24"/>
              </w:rPr>
              <w:t>室内声源等效室外声源声功率级计算方法</w:t>
            </w:r>
          </w:p>
          <w:p w14:paraId="111972F0">
            <w:pPr>
              <w:tabs>
                <w:tab w:val="left" w:pos="540"/>
              </w:tabs>
              <w:spacing w:line="480" w:lineRule="exact"/>
              <w:ind w:firstLine="480" w:firstLineChars="200"/>
              <w:rPr>
                <w:color w:val="auto"/>
                <w:sz w:val="24"/>
              </w:rPr>
            </w:pPr>
            <w:r>
              <w:rPr>
                <w:color w:val="auto"/>
                <w:sz w:val="24"/>
              </w:rPr>
              <w:t xml:space="preserve">如图所示，声源位于室内，室内声源可采用等效室外声源声功率级法进行计算。设靠近开口处（或窗户）室内、室外某倍频带的声压级分别为 Lp1 和 Lp2。若声源所在室内声场为近似扩散声场，则室外的倍频带声压级可按下式近似求出： </w:t>
            </w:r>
            <w:r>
              <w:rPr>
                <w:color w:val="auto"/>
                <w:sz w:val="24"/>
              </w:rPr>
              <w:tab/>
            </w:r>
            <w:r>
              <w:rPr>
                <w:color w:val="auto"/>
                <w:sz w:val="24"/>
              </w:rPr>
              <w:t>Lp2=Lp1-（TL+6）</w:t>
            </w:r>
          </w:p>
          <w:p w14:paraId="185B19FC">
            <w:pPr>
              <w:tabs>
                <w:tab w:val="left" w:pos="540"/>
              </w:tabs>
              <w:spacing w:line="480" w:lineRule="exact"/>
              <w:ind w:firstLine="480" w:firstLineChars="200"/>
              <w:rPr>
                <w:color w:val="auto"/>
                <w:sz w:val="24"/>
              </w:rPr>
            </w:pPr>
            <w:r>
              <w:rPr>
                <w:color w:val="auto"/>
                <w:sz w:val="24"/>
              </w:rPr>
              <w:tab/>
            </w:r>
            <w:r>
              <w:rPr>
                <w:color w:val="auto"/>
                <w:sz w:val="24"/>
              </w:rPr>
              <w:t>式中：TL——隔墙（或窗户）倍频带的隔声量，dB。</w:t>
            </w:r>
          </w:p>
          <w:p w14:paraId="7A00A63F">
            <w:pPr>
              <w:tabs>
                <w:tab w:val="left" w:pos="540"/>
              </w:tabs>
              <w:ind w:firstLine="480" w:firstLineChars="200"/>
              <w:rPr>
                <w:color w:val="auto"/>
                <w:sz w:val="24"/>
              </w:rPr>
            </w:pPr>
            <w:r>
              <w:rPr>
                <w:color w:val="auto"/>
                <w:sz w:val="24"/>
              </w:rPr>
              <mc:AlternateContent>
                <mc:Choice Requires="wpg">
                  <w:drawing>
                    <wp:inline distT="0" distB="0" distL="114300" distR="114300">
                      <wp:extent cx="2025015" cy="1075690"/>
                      <wp:effectExtent l="0" t="0" r="13335" b="10160"/>
                      <wp:docPr id="26" name="组合 1063"/>
                      <wp:cNvGraphicFramePr/>
                      <a:graphic xmlns:a="http://schemas.openxmlformats.org/drawingml/2006/main">
                        <a:graphicData uri="http://schemas.microsoft.com/office/word/2010/wordprocessingGroup">
                          <wpg:wgp>
                            <wpg:cNvGrpSpPr/>
                            <wpg:grpSpPr>
                              <a:xfrm>
                                <a:off x="0" y="0"/>
                                <a:ext cx="2025015" cy="1075690"/>
                                <a:chOff x="4625" y="616"/>
                                <a:chExt cx="3189" cy="1694"/>
                              </a:xfrm>
                            </wpg:grpSpPr>
                            <pic:pic xmlns:pic="http://schemas.openxmlformats.org/drawingml/2006/picture">
                              <pic:nvPicPr>
                                <pic:cNvPr id="24" name="图片 1064"/>
                                <pic:cNvPicPr>
                                  <a:picLocks noChangeAspect="1"/>
                                </pic:cNvPicPr>
                              </pic:nvPicPr>
                              <pic:blipFill>
                                <a:blip r:embed="rId12"/>
                                <a:stretch>
                                  <a:fillRect/>
                                </a:stretch>
                              </pic:blipFill>
                              <pic:spPr>
                                <a:xfrm>
                                  <a:off x="4625" y="616"/>
                                  <a:ext cx="3189" cy="1694"/>
                                </a:xfrm>
                                <a:prstGeom prst="rect">
                                  <a:avLst/>
                                </a:prstGeom>
                                <a:noFill/>
                                <a:ln>
                                  <a:noFill/>
                                </a:ln>
                              </pic:spPr>
                            </pic:pic>
                            <wps:wsp>
                              <wps:cNvPr id="25" name="文本框 1065"/>
                              <wps:cNvSpPr txBox="1"/>
                              <wps:spPr>
                                <a:xfrm>
                                  <a:off x="6285" y="975"/>
                                  <a:ext cx="130" cy="200"/>
                                </a:xfrm>
                                <a:prstGeom prst="rect">
                                  <a:avLst/>
                                </a:prstGeom>
                                <a:noFill/>
                                <a:ln>
                                  <a:noFill/>
                                </a:ln>
                              </wps:spPr>
                              <wps:txbx>
                                <w:txbxContent>
                                  <w:p w14:paraId="2ABF2DE4">
                                    <w:pPr>
                                      <w:spacing w:line="199" w:lineRule="exact"/>
                                      <w:jc w:val="left"/>
                                      <w:rPr>
                                        <w:sz w:val="18"/>
                                      </w:rPr>
                                    </w:pPr>
                                    <w:r>
                                      <w:rPr>
                                        <w:sz w:val="18"/>
                                      </w:rPr>
                                      <w:t>L</w:t>
                                    </w:r>
                                  </w:p>
                                </w:txbxContent>
                              </wps:txbx>
                              <wps:bodyPr wrap="square" lIns="0" tIns="0" rIns="0" bIns="0" upright="1"/>
                            </wps:wsp>
                          </wpg:wgp>
                        </a:graphicData>
                      </a:graphic>
                    </wp:inline>
                  </w:drawing>
                </mc:Choice>
                <mc:Fallback>
                  <w:pict>
                    <v:group id="组合 1063" o:spid="_x0000_s1026" o:spt="203" style="height:84.7pt;width:159.45pt;" coordorigin="4625,616" coordsize="3189,1694" o:gfxdata="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">
                      <o:lock v:ext="edit" aspectratio="f"/>
                      <v:shape id="图片 1064" o:spid="_x0000_s1026" o:spt="75" type="#_x0000_t75" style="position:absolute;left:4625;top:616;height:1694;width:3189;" filled="f" o:preferrelative="t" stroked="f" coordsize="21600,21600" o:gfxdata="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Ww+Y28AAAA&#10;2wAAAA8AAAAAAAAAAQAgAAAAIgAAAGRycy9kb3ducmV2LnhtbFBLAQIUABQAAAAIAIdO4kAzLwWe&#10;OwAAADkAAAAQAAAAAAAAAAEAIAAAAAsBAABkcnMvc2hhcGV4bWwueG1sUEsFBgAAAAAGAAYAWwEA&#10;ALUDAAAAAA==&#10;">
                        <v:fill on="f" focussize="0,0"/>
                        <v:stroke on="f"/>
                        <v:imagedata r:id="rId12" o:title=""/>
                        <o:lock v:ext="edit" aspectratio="t"/>
                      </v:shape>
                      <v:shape id="文本框 1065" o:spid="_x0000_s1026" o:spt="202" type="#_x0000_t202" style="position:absolute;left:6285;top:975;height:200;width:130;" filled="f" stroked="f" coordsize="21600,21600" o:gfxdata="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BGYnb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2ABF2DE4">
                              <w:pPr>
                                <w:spacing w:line="199" w:lineRule="exact"/>
                                <w:jc w:val="left"/>
                                <w:rPr>
                                  <w:sz w:val="18"/>
                                </w:rPr>
                              </w:pPr>
                              <w:r>
                                <w:rPr>
                                  <w:sz w:val="18"/>
                                </w:rPr>
                                <w:t>L</w:t>
                              </w:r>
                            </w:p>
                          </w:txbxContent>
                        </v:textbox>
                      </v:shape>
                      <w10:wrap type="none"/>
                      <w10:anchorlock/>
                    </v:group>
                  </w:pict>
                </mc:Fallback>
              </mc:AlternateContent>
            </w:r>
          </w:p>
          <w:p w14:paraId="05F6A697">
            <w:pPr>
              <w:tabs>
                <w:tab w:val="left" w:pos="540"/>
              </w:tabs>
              <w:spacing w:line="480" w:lineRule="exact"/>
              <w:ind w:firstLine="480" w:firstLineChars="200"/>
              <w:rPr>
                <w:color w:val="auto"/>
                <w:sz w:val="24"/>
              </w:rPr>
            </w:pPr>
            <w:r>
              <w:rPr>
                <w:color w:val="auto"/>
                <w:sz w:val="24"/>
              </w:rPr>
              <w:t>也可按下式计算某一室内声源靠近围护结构处产生的倍频带声压级：</w:t>
            </w:r>
          </w:p>
          <w:p w14:paraId="6261B151">
            <w:pPr>
              <w:pStyle w:val="29"/>
              <w:spacing w:after="0"/>
              <w:ind w:firstLine="480"/>
              <w:rPr>
                <w:color w:val="auto"/>
              </w:rPr>
            </w:pPr>
            <w:r>
              <w:rPr>
                <w:color w:val="auto"/>
              </w:rPr>
              <w:drawing>
                <wp:inline distT="0" distB="0" distL="114300" distR="114300">
                  <wp:extent cx="1654810" cy="326390"/>
                  <wp:effectExtent l="0" t="0" r="2540" b="16510"/>
                  <wp:docPr id="2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3"/>
                          <pic:cNvPicPr>
                            <a:picLocks noChangeAspect="1"/>
                          </pic:cNvPicPr>
                        </pic:nvPicPr>
                        <pic:blipFill>
                          <a:blip r:embed="rId13"/>
                          <a:stretch>
                            <a:fillRect/>
                          </a:stretch>
                        </pic:blipFill>
                        <pic:spPr>
                          <a:xfrm>
                            <a:off x="0" y="0"/>
                            <a:ext cx="1654810" cy="326390"/>
                          </a:xfrm>
                          <a:prstGeom prst="rect">
                            <a:avLst/>
                          </a:prstGeom>
                          <a:noFill/>
                          <a:ln>
                            <a:noFill/>
                          </a:ln>
                        </pic:spPr>
                      </pic:pic>
                    </a:graphicData>
                  </a:graphic>
                </wp:inline>
              </w:drawing>
            </w:r>
          </w:p>
          <w:p w14:paraId="58DC4EAF">
            <w:pPr>
              <w:tabs>
                <w:tab w:val="left" w:pos="540"/>
              </w:tabs>
              <w:spacing w:line="480" w:lineRule="exact"/>
              <w:ind w:firstLine="480" w:firstLineChars="200"/>
              <w:rPr>
                <w:color w:val="auto"/>
                <w:sz w:val="24"/>
              </w:rPr>
            </w:pPr>
            <w:r>
              <w:rPr>
                <w:color w:val="auto"/>
                <w:sz w:val="24"/>
              </w:rPr>
              <w:tab/>
            </w:r>
            <w:r>
              <w:rPr>
                <w:color w:val="auto"/>
                <w:sz w:val="24"/>
              </w:rPr>
              <w:t>式中：Lw——</w:t>
            </w:r>
            <w:r>
              <w:rPr>
                <w:rFonts w:hint="eastAsia"/>
                <w:color w:val="auto"/>
                <w:sz w:val="24"/>
              </w:rPr>
              <w:t>点声源声功率级（</w:t>
            </w:r>
            <w:r>
              <w:rPr>
                <w:color w:val="auto"/>
                <w:sz w:val="24"/>
              </w:rPr>
              <w:t xml:space="preserve">A </w:t>
            </w:r>
            <w:r>
              <w:rPr>
                <w:rFonts w:hint="eastAsia"/>
                <w:color w:val="auto"/>
                <w:sz w:val="24"/>
              </w:rPr>
              <w:t xml:space="preserve">计权或倍频带）， </w:t>
            </w:r>
            <w:r>
              <w:rPr>
                <w:color w:val="auto"/>
                <w:sz w:val="24"/>
              </w:rPr>
              <w:t>dB</w:t>
            </w:r>
            <w:r>
              <w:rPr>
                <w:rFonts w:hint="eastAsia"/>
                <w:color w:val="auto"/>
                <w:sz w:val="24"/>
              </w:rPr>
              <w:t>；</w:t>
            </w:r>
            <w:r>
              <w:rPr>
                <w:color w:val="auto"/>
                <w:sz w:val="24"/>
              </w:rPr>
              <w:t xml:space="preserve"> </w:t>
            </w:r>
          </w:p>
          <w:p w14:paraId="16C37CBF">
            <w:pPr>
              <w:tabs>
                <w:tab w:val="left" w:pos="540"/>
              </w:tabs>
              <w:spacing w:line="480" w:lineRule="exact"/>
              <w:ind w:firstLine="480" w:firstLineChars="200"/>
              <w:rPr>
                <w:color w:val="auto"/>
                <w:sz w:val="24"/>
              </w:rPr>
            </w:pPr>
            <w:r>
              <w:rPr>
                <w:color w:val="auto"/>
                <w:sz w:val="24"/>
              </w:rPr>
              <w:t>Q——指向性因数，通常对无指向性声源，当声源放在房间中心时，Q=1，当放在一面墙的中心时，Q=2；当放在两面墙夹角处时，Q=4，当放在三面墙夹角处时，Q=8；</w:t>
            </w:r>
          </w:p>
          <w:p w14:paraId="649577D0">
            <w:pPr>
              <w:tabs>
                <w:tab w:val="left" w:pos="540"/>
              </w:tabs>
              <w:spacing w:line="480" w:lineRule="exact"/>
              <w:ind w:firstLine="480" w:firstLineChars="200"/>
              <w:rPr>
                <w:color w:val="auto"/>
                <w:sz w:val="24"/>
              </w:rPr>
            </w:pPr>
            <w:r>
              <w:rPr>
                <w:color w:val="auto"/>
                <w:sz w:val="24"/>
              </w:rPr>
              <w:t>R——房间常数，R=Sα/(1-α)，S 为房间内表面面积，m</w:t>
            </w:r>
            <w:r>
              <w:rPr>
                <w:color w:val="auto"/>
                <w:sz w:val="24"/>
                <w:vertAlign w:val="superscript"/>
              </w:rPr>
              <w:t>2</w:t>
            </w:r>
            <w:r>
              <w:rPr>
                <w:color w:val="auto"/>
                <w:sz w:val="24"/>
              </w:rPr>
              <w:t>，α为平均吸声系数；</w:t>
            </w:r>
          </w:p>
          <w:p w14:paraId="55224AE4">
            <w:pPr>
              <w:tabs>
                <w:tab w:val="left" w:pos="540"/>
              </w:tabs>
              <w:spacing w:line="480" w:lineRule="exact"/>
              <w:ind w:firstLine="480" w:firstLineChars="200"/>
              <w:rPr>
                <w:color w:val="auto"/>
                <w:sz w:val="24"/>
              </w:rPr>
            </w:pPr>
            <w:r>
              <w:rPr>
                <w:color w:val="auto"/>
                <w:sz w:val="24"/>
              </w:rPr>
              <w:t>r——声源到靠近围护结构某点处的距离，m。</w:t>
            </w:r>
          </w:p>
          <w:p w14:paraId="1F9FEEFD">
            <w:pPr>
              <w:tabs>
                <w:tab w:val="left" w:pos="540"/>
              </w:tabs>
              <w:spacing w:line="480" w:lineRule="exact"/>
              <w:ind w:firstLine="480" w:firstLineChars="200"/>
              <w:rPr>
                <w:color w:val="auto"/>
                <w:sz w:val="24"/>
              </w:rPr>
            </w:pPr>
            <w:r>
              <w:rPr>
                <w:color w:val="auto"/>
                <w:sz w:val="24"/>
              </w:rPr>
              <w:t>然后按下式计算出所有室内声源在围护结构处产生的 i 倍频带叠加声压级：</w:t>
            </w:r>
          </w:p>
          <w:p w14:paraId="55A01170">
            <w:pPr>
              <w:tabs>
                <w:tab w:val="left" w:pos="540"/>
              </w:tabs>
              <w:spacing w:line="480" w:lineRule="exact"/>
              <w:ind w:firstLine="480" w:firstLineChars="200"/>
              <w:rPr>
                <w:color w:val="auto"/>
                <w:sz w:val="24"/>
              </w:rPr>
            </w:pPr>
            <w:r>
              <w:rPr>
                <w:color w:val="auto"/>
                <w:sz w:val="24"/>
              </w:rPr>
              <w:drawing>
                <wp:inline distT="0" distB="0" distL="114300" distR="114300">
                  <wp:extent cx="1941195" cy="314325"/>
                  <wp:effectExtent l="0" t="0" r="1905" b="9525"/>
                  <wp:docPr id="2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4"/>
                          <pic:cNvPicPr>
                            <a:picLocks noChangeAspect="1"/>
                          </pic:cNvPicPr>
                        </pic:nvPicPr>
                        <pic:blipFill>
                          <a:blip r:embed="rId14"/>
                          <a:stretch>
                            <a:fillRect/>
                          </a:stretch>
                        </pic:blipFill>
                        <pic:spPr>
                          <a:xfrm>
                            <a:off x="0" y="0"/>
                            <a:ext cx="1941195" cy="314325"/>
                          </a:xfrm>
                          <a:prstGeom prst="rect">
                            <a:avLst/>
                          </a:prstGeom>
                          <a:noFill/>
                          <a:ln>
                            <a:noFill/>
                          </a:ln>
                        </pic:spPr>
                      </pic:pic>
                    </a:graphicData>
                  </a:graphic>
                </wp:inline>
              </w:drawing>
            </w:r>
          </w:p>
          <w:p w14:paraId="78C9D1FF">
            <w:pPr>
              <w:tabs>
                <w:tab w:val="left" w:pos="540"/>
              </w:tabs>
              <w:spacing w:line="480" w:lineRule="exact"/>
              <w:ind w:firstLine="480" w:firstLineChars="200"/>
              <w:rPr>
                <w:color w:val="auto"/>
                <w:sz w:val="24"/>
              </w:rPr>
            </w:pPr>
            <w:r>
              <w:rPr>
                <w:color w:val="auto"/>
                <w:sz w:val="24"/>
              </w:rPr>
              <w:t>式中：Lpli(T)——靠近围护结构处室内 N 个声源 i 倍频带的叠加声压级，dB；</w:t>
            </w:r>
          </w:p>
          <w:p w14:paraId="718A1B72">
            <w:pPr>
              <w:tabs>
                <w:tab w:val="left" w:pos="540"/>
              </w:tabs>
              <w:spacing w:line="480" w:lineRule="exact"/>
              <w:ind w:firstLine="480" w:firstLineChars="200"/>
              <w:rPr>
                <w:color w:val="auto"/>
                <w:sz w:val="24"/>
              </w:rPr>
            </w:pPr>
            <w:r>
              <w:rPr>
                <w:color w:val="auto"/>
                <w:sz w:val="24"/>
              </w:rPr>
              <w:t>Lplij——室内 j 声源 i 倍频带的声压级，dB；</w:t>
            </w:r>
          </w:p>
          <w:p w14:paraId="5A4BCF56">
            <w:pPr>
              <w:tabs>
                <w:tab w:val="left" w:pos="540"/>
              </w:tabs>
              <w:spacing w:line="480" w:lineRule="exact"/>
              <w:ind w:firstLine="480" w:firstLineChars="200"/>
              <w:rPr>
                <w:color w:val="auto"/>
                <w:sz w:val="24"/>
              </w:rPr>
            </w:pPr>
            <w:r>
              <w:rPr>
                <w:color w:val="auto"/>
                <w:sz w:val="24"/>
              </w:rPr>
              <w:t>N——室内声源总数。</w:t>
            </w:r>
          </w:p>
          <w:p w14:paraId="295DF7E0">
            <w:pPr>
              <w:tabs>
                <w:tab w:val="left" w:pos="540"/>
              </w:tabs>
              <w:spacing w:line="480" w:lineRule="exact"/>
              <w:ind w:firstLine="480" w:firstLineChars="200"/>
              <w:rPr>
                <w:color w:val="auto"/>
                <w:sz w:val="24"/>
              </w:rPr>
            </w:pPr>
            <w:r>
              <w:rPr>
                <w:color w:val="auto"/>
                <w:sz w:val="24"/>
              </w:rPr>
              <w:t>在室内近似为扩散声场时，按下式计算出靠近室外围护结构处的声压级：</w:t>
            </w:r>
          </w:p>
          <w:p w14:paraId="14FB19DB">
            <w:pPr>
              <w:tabs>
                <w:tab w:val="left" w:pos="540"/>
              </w:tabs>
              <w:spacing w:line="480" w:lineRule="exact"/>
              <w:ind w:firstLine="480" w:firstLineChars="200"/>
              <w:rPr>
                <w:color w:val="auto"/>
                <w:sz w:val="24"/>
              </w:rPr>
            </w:pPr>
            <w:r>
              <w:rPr>
                <w:color w:val="auto"/>
                <w:sz w:val="24"/>
              </w:rPr>
              <w:t>Lp2i(T)=Lpli(T)-(TLi+6)</w:t>
            </w:r>
          </w:p>
          <w:p w14:paraId="001B92FF">
            <w:pPr>
              <w:tabs>
                <w:tab w:val="left" w:pos="540"/>
              </w:tabs>
              <w:spacing w:line="480" w:lineRule="exact"/>
              <w:ind w:firstLine="480" w:firstLineChars="200"/>
              <w:rPr>
                <w:color w:val="auto"/>
                <w:sz w:val="24"/>
              </w:rPr>
            </w:pPr>
            <w:r>
              <w:rPr>
                <w:color w:val="auto"/>
                <w:sz w:val="24"/>
              </w:rPr>
              <w:t>式中：Lp2i(T)——靠近围护结构处室外 N 个声源 i 倍频带的叠加声压级，dB；</w:t>
            </w:r>
          </w:p>
          <w:p w14:paraId="3CE2E919">
            <w:pPr>
              <w:tabs>
                <w:tab w:val="left" w:pos="540"/>
              </w:tabs>
              <w:spacing w:line="480" w:lineRule="exact"/>
              <w:ind w:firstLine="480" w:firstLineChars="200"/>
              <w:rPr>
                <w:color w:val="auto"/>
                <w:sz w:val="24"/>
              </w:rPr>
            </w:pPr>
            <w:r>
              <w:rPr>
                <w:color w:val="auto"/>
                <w:sz w:val="24"/>
              </w:rPr>
              <w:t>TLi——围护结构 i 倍频带的隔声量，dB。</w:t>
            </w:r>
          </w:p>
          <w:p w14:paraId="68154138">
            <w:pPr>
              <w:tabs>
                <w:tab w:val="left" w:pos="540"/>
              </w:tabs>
              <w:spacing w:line="480" w:lineRule="exact"/>
              <w:ind w:firstLine="480" w:firstLineChars="200"/>
              <w:rPr>
                <w:color w:val="auto"/>
                <w:sz w:val="24"/>
              </w:rPr>
            </w:pPr>
            <w:r>
              <w:rPr>
                <w:rFonts w:hint="eastAsia"/>
                <w:color w:val="auto"/>
                <w:sz w:val="24"/>
              </w:rPr>
              <w:t>2）</w:t>
            </w:r>
            <w:r>
              <w:rPr>
                <w:color w:val="auto"/>
                <w:sz w:val="24"/>
              </w:rPr>
              <w:t>靠近声源处的预测点噪声预测模式</w:t>
            </w:r>
          </w:p>
          <w:p w14:paraId="1273E11B">
            <w:pPr>
              <w:tabs>
                <w:tab w:val="left" w:pos="540"/>
              </w:tabs>
              <w:spacing w:line="480" w:lineRule="exact"/>
              <w:ind w:firstLine="480" w:firstLineChars="200"/>
              <w:rPr>
                <w:color w:val="auto"/>
                <w:sz w:val="24"/>
              </w:rPr>
            </w:pPr>
            <w:r>
              <w:rPr>
                <w:color w:val="auto"/>
                <w:sz w:val="24"/>
              </w:rPr>
              <w:t>如预测点在靠近声源处，但不能满足点声源条件时，需按线声源或面声源模式计算。</w:t>
            </w:r>
          </w:p>
          <w:p w14:paraId="028F8189">
            <w:pPr>
              <w:tabs>
                <w:tab w:val="left" w:pos="540"/>
              </w:tabs>
              <w:spacing w:line="480" w:lineRule="exact"/>
              <w:ind w:firstLine="480" w:firstLineChars="200"/>
              <w:rPr>
                <w:color w:val="auto"/>
                <w:sz w:val="24"/>
              </w:rPr>
            </w:pPr>
            <w:r>
              <w:rPr>
                <w:color w:val="auto"/>
                <w:sz w:val="24"/>
              </w:rPr>
              <w:t>3）工业企业噪声计算</w:t>
            </w:r>
          </w:p>
          <w:p w14:paraId="56690523">
            <w:pPr>
              <w:tabs>
                <w:tab w:val="left" w:pos="540"/>
              </w:tabs>
              <w:spacing w:line="480" w:lineRule="exact"/>
              <w:ind w:firstLine="480" w:firstLineChars="200"/>
              <w:rPr>
                <w:color w:val="auto"/>
                <w:sz w:val="24"/>
              </w:rPr>
            </w:pPr>
            <w:r>
              <w:rPr>
                <w:color w:val="auto"/>
                <w:sz w:val="24"/>
              </w:rPr>
              <w:t>设第 i 个室外声源在预测点产生的 A 声级为 LAi，在 T 时间内该声源工作时间为 ti；第 j 个等效室外声源在预测点产生的 A 声级为 LAj，在 T 时间内该声源工作时间为 tj，则拟建工程声源对预测点产生的贡献值（Leqg）为：</w:t>
            </w:r>
          </w:p>
          <w:p w14:paraId="15F6FB8B">
            <w:pPr>
              <w:tabs>
                <w:tab w:val="left" w:pos="540"/>
              </w:tabs>
              <w:ind w:firstLine="420" w:firstLineChars="200"/>
              <w:rPr>
                <w:color w:val="auto"/>
                <w:sz w:val="24"/>
              </w:rPr>
            </w:pPr>
            <w:r>
              <w:rPr>
                <w:color w:val="auto"/>
              </w:rPr>
              <w:drawing>
                <wp:inline distT="0" distB="0" distL="114300" distR="114300">
                  <wp:extent cx="2762885" cy="324485"/>
                  <wp:effectExtent l="0" t="0" r="18415" b="18415"/>
                  <wp:docPr id="3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5"/>
                          <pic:cNvPicPr>
                            <a:picLocks noChangeAspect="1"/>
                          </pic:cNvPicPr>
                        </pic:nvPicPr>
                        <pic:blipFill>
                          <a:blip r:embed="rId15"/>
                          <a:stretch>
                            <a:fillRect/>
                          </a:stretch>
                        </pic:blipFill>
                        <pic:spPr>
                          <a:xfrm>
                            <a:off x="0" y="0"/>
                            <a:ext cx="2762885" cy="324485"/>
                          </a:xfrm>
                          <a:prstGeom prst="rect">
                            <a:avLst/>
                          </a:prstGeom>
                          <a:noFill/>
                          <a:ln>
                            <a:noFill/>
                          </a:ln>
                        </pic:spPr>
                      </pic:pic>
                    </a:graphicData>
                  </a:graphic>
                </wp:inline>
              </w:drawing>
            </w:r>
          </w:p>
          <w:p w14:paraId="3F1CB639">
            <w:pPr>
              <w:tabs>
                <w:tab w:val="left" w:pos="540"/>
              </w:tabs>
              <w:spacing w:line="480" w:lineRule="exact"/>
              <w:ind w:firstLine="480" w:firstLineChars="200"/>
              <w:rPr>
                <w:color w:val="auto"/>
                <w:sz w:val="24"/>
              </w:rPr>
            </w:pPr>
            <w:r>
              <w:rPr>
                <w:color w:val="auto"/>
                <w:sz w:val="24"/>
              </w:rPr>
              <w:tab/>
            </w:r>
            <w:r>
              <w:rPr>
                <w:color w:val="auto"/>
                <w:sz w:val="24"/>
              </w:rPr>
              <w:t>式中：tj——在 T 时间内 j 声源工作时间，s；</w:t>
            </w:r>
          </w:p>
          <w:p w14:paraId="4B87816C">
            <w:pPr>
              <w:tabs>
                <w:tab w:val="left" w:pos="540"/>
              </w:tabs>
              <w:spacing w:line="480" w:lineRule="exact"/>
              <w:ind w:firstLine="480" w:firstLineChars="200"/>
              <w:rPr>
                <w:color w:val="auto"/>
                <w:sz w:val="24"/>
              </w:rPr>
            </w:pPr>
            <w:r>
              <w:rPr>
                <w:color w:val="auto"/>
                <w:sz w:val="24"/>
              </w:rPr>
              <w:t xml:space="preserve"> ti——在 T 时间内 i 声源工作时间，s；</w:t>
            </w:r>
          </w:p>
          <w:p w14:paraId="287CE879">
            <w:pPr>
              <w:tabs>
                <w:tab w:val="left" w:pos="540"/>
              </w:tabs>
              <w:spacing w:line="480" w:lineRule="exact"/>
              <w:ind w:firstLine="480" w:firstLineChars="200"/>
              <w:rPr>
                <w:color w:val="auto"/>
                <w:sz w:val="24"/>
              </w:rPr>
            </w:pPr>
            <w:r>
              <w:rPr>
                <w:color w:val="auto"/>
                <w:sz w:val="24"/>
              </w:rPr>
              <w:tab/>
            </w:r>
            <w:r>
              <w:rPr>
                <w:color w:val="auto"/>
                <w:sz w:val="24"/>
              </w:rPr>
              <w:t xml:space="preserve">T——用于计算等效声级的时间，s； </w:t>
            </w:r>
          </w:p>
          <w:p w14:paraId="5AEF346F">
            <w:pPr>
              <w:tabs>
                <w:tab w:val="left" w:pos="540"/>
              </w:tabs>
              <w:spacing w:line="480" w:lineRule="exact"/>
              <w:ind w:firstLine="480" w:firstLineChars="200"/>
              <w:rPr>
                <w:color w:val="auto"/>
                <w:sz w:val="24"/>
              </w:rPr>
            </w:pPr>
            <w:r>
              <w:rPr>
                <w:color w:val="auto"/>
                <w:sz w:val="24"/>
              </w:rPr>
              <w:t>N——室外声源个数；</w:t>
            </w:r>
          </w:p>
          <w:p w14:paraId="25BB754C">
            <w:pPr>
              <w:tabs>
                <w:tab w:val="left" w:pos="540"/>
              </w:tabs>
              <w:spacing w:line="480" w:lineRule="exact"/>
              <w:ind w:firstLine="480" w:firstLineChars="200"/>
              <w:rPr>
                <w:color w:val="auto"/>
                <w:sz w:val="24"/>
              </w:rPr>
            </w:pPr>
            <w:r>
              <w:rPr>
                <w:color w:val="auto"/>
                <w:sz w:val="24"/>
              </w:rPr>
              <w:t>M——等效室外声源个数。</w:t>
            </w:r>
            <w:r>
              <w:rPr>
                <w:color w:val="auto"/>
                <w:sz w:val="24"/>
              </w:rPr>
              <w:tab/>
            </w:r>
          </w:p>
          <w:p w14:paraId="238F9876">
            <w:pPr>
              <w:tabs>
                <w:tab w:val="left" w:pos="540"/>
              </w:tabs>
              <w:spacing w:line="480" w:lineRule="exact"/>
              <w:ind w:firstLine="480" w:firstLineChars="200"/>
              <w:rPr>
                <w:color w:val="auto"/>
                <w:sz w:val="24"/>
              </w:rPr>
            </w:pPr>
            <w:r>
              <w:rPr>
                <w:color w:val="auto"/>
                <w:sz w:val="24"/>
              </w:rPr>
              <w:t>4）预测值计算</w:t>
            </w:r>
          </w:p>
          <w:p w14:paraId="56D8B504">
            <w:pPr>
              <w:tabs>
                <w:tab w:val="left" w:pos="540"/>
              </w:tabs>
              <w:spacing w:line="480" w:lineRule="exact"/>
              <w:ind w:firstLine="480" w:firstLineChars="200"/>
              <w:rPr>
                <w:color w:val="auto"/>
                <w:sz w:val="24"/>
              </w:rPr>
            </w:pPr>
            <w:r>
              <w:rPr>
                <w:color w:val="auto"/>
                <w:sz w:val="24"/>
              </w:rPr>
              <w:t>A、点声源几何发散衰减</w:t>
            </w:r>
          </w:p>
          <w:p w14:paraId="52A5459A">
            <w:pPr>
              <w:tabs>
                <w:tab w:val="left" w:pos="540"/>
              </w:tabs>
              <w:spacing w:line="480" w:lineRule="exact"/>
              <w:ind w:firstLine="480" w:firstLineChars="200"/>
              <w:rPr>
                <w:color w:val="auto"/>
                <w:sz w:val="24"/>
              </w:rPr>
            </w:pPr>
            <w:r>
              <w:rPr>
                <w:color w:val="auto"/>
                <w:sz w:val="24"/>
              </w:rPr>
              <w:t>预测点的预测等效声级（Leq）按下式计算：</w:t>
            </w:r>
          </w:p>
          <w:p w14:paraId="296BF50C">
            <w:pPr>
              <w:tabs>
                <w:tab w:val="left" w:pos="540"/>
              </w:tabs>
              <w:spacing w:line="360" w:lineRule="auto"/>
              <w:ind w:firstLine="480" w:firstLineChars="200"/>
              <w:rPr>
                <w:color w:val="auto"/>
                <w:sz w:val="24"/>
              </w:rPr>
            </w:pPr>
            <w:r>
              <w:rPr>
                <w:color w:val="auto"/>
                <w:sz w:val="24"/>
              </w:rPr>
              <w:drawing>
                <wp:inline distT="0" distB="0" distL="114300" distR="114300">
                  <wp:extent cx="1879600" cy="200025"/>
                  <wp:effectExtent l="0" t="0" r="6350" b="9525"/>
                  <wp:docPr id="3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2.jpeg"/>
                          <pic:cNvPicPr>
                            <a:picLocks noChangeAspect="1"/>
                          </pic:cNvPicPr>
                        </pic:nvPicPr>
                        <pic:blipFill>
                          <a:blip r:embed="rId16"/>
                          <a:stretch>
                            <a:fillRect/>
                          </a:stretch>
                        </pic:blipFill>
                        <pic:spPr>
                          <a:xfrm>
                            <a:off x="0" y="0"/>
                            <a:ext cx="1879600" cy="200025"/>
                          </a:xfrm>
                          <a:prstGeom prst="rect">
                            <a:avLst/>
                          </a:prstGeom>
                          <a:noFill/>
                          <a:ln>
                            <a:noFill/>
                          </a:ln>
                        </pic:spPr>
                      </pic:pic>
                    </a:graphicData>
                  </a:graphic>
                </wp:inline>
              </w:drawing>
            </w:r>
          </w:p>
          <w:p w14:paraId="2DA48781">
            <w:pPr>
              <w:tabs>
                <w:tab w:val="left" w:pos="540"/>
              </w:tabs>
              <w:spacing w:line="360" w:lineRule="auto"/>
              <w:ind w:firstLine="480" w:firstLineChars="200"/>
              <w:rPr>
                <w:color w:val="auto"/>
                <w:sz w:val="24"/>
              </w:rPr>
            </w:pPr>
            <w:r>
              <w:rPr>
                <w:color w:val="auto"/>
                <w:sz w:val="24"/>
              </w:rPr>
              <w:t>式中：Leqg——建设项目声源在预测点的等效声级贡献值，dB（A）；</w:t>
            </w:r>
          </w:p>
          <w:p w14:paraId="1BEF37E8">
            <w:pPr>
              <w:tabs>
                <w:tab w:val="left" w:pos="540"/>
              </w:tabs>
              <w:spacing w:line="360" w:lineRule="auto"/>
              <w:ind w:firstLine="480" w:firstLineChars="200"/>
              <w:rPr>
                <w:color w:val="auto"/>
                <w:sz w:val="24"/>
              </w:rPr>
            </w:pPr>
            <w:r>
              <w:rPr>
                <w:color w:val="auto"/>
                <w:sz w:val="24"/>
              </w:rPr>
              <w:t>Leqb——预测点的背景值，dB（A）。</w:t>
            </w:r>
          </w:p>
          <w:p w14:paraId="4340832B">
            <w:pPr>
              <w:tabs>
                <w:tab w:val="left" w:pos="540"/>
              </w:tabs>
              <w:spacing w:line="360" w:lineRule="auto"/>
              <w:ind w:firstLine="480" w:firstLineChars="200"/>
              <w:jc w:val="left"/>
              <w:rPr>
                <w:color w:val="auto"/>
                <w:sz w:val="24"/>
              </w:rPr>
            </w:pPr>
            <w:r>
              <w:rPr>
                <w:color w:val="auto"/>
                <w:sz w:val="24"/>
              </w:rPr>
              <w:t>本次环评预测采取噪声源强较大的</w:t>
            </w:r>
            <w:r>
              <w:rPr>
                <w:rFonts w:hint="eastAsia"/>
                <w:color w:val="auto"/>
                <w:sz w:val="24"/>
              </w:rPr>
              <w:t>主要</w:t>
            </w:r>
            <w:r>
              <w:rPr>
                <w:color w:val="auto"/>
                <w:sz w:val="24"/>
              </w:rPr>
              <w:t>设备进行预测，根据工程分析中项目设备噪声级及各生产设备的数量，生产设备均采用减振、隔声措施。</w:t>
            </w:r>
            <w:r>
              <w:rPr>
                <w:rFonts w:hint="eastAsia"/>
                <w:color w:val="auto"/>
                <w:sz w:val="24"/>
              </w:rPr>
              <w:t>项目夜间主要为熔炼浇注，不进行高噪生产，噪声贡献值较小。</w:t>
            </w:r>
          </w:p>
          <w:p w14:paraId="1CF4D1D4">
            <w:pPr>
              <w:pStyle w:val="29"/>
              <w:ind w:firstLine="480"/>
              <w:rPr>
                <w:color w:val="auto"/>
              </w:rPr>
            </w:pPr>
            <w:r>
              <w:rPr>
                <w:color w:val="auto"/>
              </w:rPr>
              <w:t>预测结果计算结果见表4-</w:t>
            </w:r>
            <w:r>
              <w:rPr>
                <w:rFonts w:hint="eastAsia"/>
                <w:color w:val="auto"/>
              </w:rPr>
              <w:t>17</w:t>
            </w:r>
            <w:r>
              <w:rPr>
                <w:color w:val="auto"/>
              </w:rPr>
              <w:t>。</w:t>
            </w:r>
          </w:p>
          <w:p w14:paraId="7722773F">
            <w:pPr>
              <w:jc w:val="center"/>
              <w:rPr>
                <w:b/>
                <w:bCs/>
                <w:color w:val="auto"/>
                <w:szCs w:val="21"/>
                <w:u w:val="single"/>
              </w:rPr>
            </w:pPr>
            <w:r>
              <w:rPr>
                <w:rFonts w:hint="eastAsia"/>
                <w:b/>
                <w:bCs/>
                <w:color w:val="auto"/>
                <w:szCs w:val="21"/>
                <w:u w:val="single"/>
              </w:rPr>
              <w:t>表4-17  预测结果一览表</w:t>
            </w:r>
          </w:p>
          <w:tbl>
            <w:tblPr>
              <w:tblStyle w:val="30"/>
              <w:tblW w:w="478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144"/>
              <w:gridCol w:w="935"/>
              <w:gridCol w:w="906"/>
              <w:gridCol w:w="842"/>
              <w:gridCol w:w="739"/>
              <w:gridCol w:w="783"/>
              <w:gridCol w:w="806"/>
              <w:gridCol w:w="838"/>
              <w:gridCol w:w="746"/>
            </w:tblGrid>
            <w:tr w14:paraId="083F79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3" w:type="pct"/>
                  <w:vMerge w:val="restart"/>
                  <w:vAlign w:val="center"/>
                </w:tcPr>
                <w:p w14:paraId="0045A5CD">
                  <w:pPr>
                    <w:pStyle w:val="91"/>
                    <w:adjustRightInd/>
                    <w:snapToGrid/>
                    <w:textAlignment w:val="center"/>
                    <w:rPr>
                      <w:color w:val="auto"/>
                      <w:u w:val="single"/>
                    </w:rPr>
                  </w:pPr>
                  <w:r>
                    <w:rPr>
                      <w:color w:val="auto"/>
                      <w:u w:val="single"/>
                    </w:rPr>
                    <w:t>序号</w:t>
                  </w:r>
                </w:p>
              </w:tc>
              <w:tc>
                <w:tcPr>
                  <w:tcW w:w="678" w:type="pct"/>
                  <w:vMerge w:val="restart"/>
                  <w:vAlign w:val="center"/>
                </w:tcPr>
                <w:p w14:paraId="0AF64AF8">
                  <w:pPr>
                    <w:pStyle w:val="91"/>
                    <w:adjustRightInd/>
                    <w:snapToGrid/>
                    <w:textAlignment w:val="center"/>
                    <w:rPr>
                      <w:color w:val="auto"/>
                      <w:u w:val="single"/>
                    </w:rPr>
                  </w:pPr>
                  <w:r>
                    <w:rPr>
                      <w:color w:val="auto"/>
                      <w:u w:val="single"/>
                    </w:rPr>
                    <w:t>点位</w:t>
                  </w:r>
                </w:p>
              </w:tc>
              <w:tc>
                <w:tcPr>
                  <w:tcW w:w="1091" w:type="pct"/>
                  <w:gridSpan w:val="2"/>
                  <w:vAlign w:val="center"/>
                </w:tcPr>
                <w:p w14:paraId="25A6C6FE">
                  <w:pPr>
                    <w:pStyle w:val="91"/>
                    <w:adjustRightInd/>
                    <w:snapToGrid/>
                    <w:textAlignment w:val="center"/>
                    <w:rPr>
                      <w:color w:val="auto"/>
                      <w:u w:val="single"/>
                    </w:rPr>
                  </w:pPr>
                  <w:r>
                    <w:rPr>
                      <w:color w:val="auto"/>
                      <w:u w:val="single"/>
                    </w:rPr>
                    <w:t>噪声背景值</w:t>
                  </w:r>
                </w:p>
                <w:p w14:paraId="0A2CB74A">
                  <w:pPr>
                    <w:pStyle w:val="91"/>
                    <w:adjustRightInd/>
                    <w:snapToGrid/>
                    <w:textAlignment w:val="center"/>
                    <w:rPr>
                      <w:color w:val="auto"/>
                      <w:u w:val="single"/>
                    </w:rPr>
                  </w:pPr>
                  <w:r>
                    <w:rPr>
                      <w:color w:val="auto"/>
                      <w:u w:val="single"/>
                    </w:rPr>
                    <w:t>/dB(A)</w:t>
                  </w:r>
                </w:p>
              </w:tc>
              <w:tc>
                <w:tcPr>
                  <w:tcW w:w="937" w:type="pct"/>
                  <w:gridSpan w:val="2"/>
                  <w:vAlign w:val="center"/>
                </w:tcPr>
                <w:p w14:paraId="70803EE0">
                  <w:pPr>
                    <w:pStyle w:val="91"/>
                    <w:adjustRightInd/>
                    <w:snapToGrid/>
                    <w:textAlignment w:val="center"/>
                    <w:rPr>
                      <w:color w:val="auto"/>
                      <w:u w:val="single"/>
                    </w:rPr>
                  </w:pPr>
                  <w:r>
                    <w:rPr>
                      <w:color w:val="auto"/>
                      <w:u w:val="single"/>
                    </w:rPr>
                    <w:t>噪声贡献值</w:t>
                  </w:r>
                </w:p>
                <w:p w14:paraId="02F90749">
                  <w:pPr>
                    <w:pStyle w:val="91"/>
                    <w:adjustRightInd/>
                    <w:snapToGrid/>
                    <w:textAlignment w:val="center"/>
                    <w:rPr>
                      <w:color w:val="auto"/>
                      <w:u w:val="single"/>
                    </w:rPr>
                  </w:pPr>
                  <w:r>
                    <w:rPr>
                      <w:color w:val="auto"/>
                      <w:u w:val="single"/>
                    </w:rPr>
                    <w:t>/dB(A)</w:t>
                  </w:r>
                </w:p>
              </w:tc>
              <w:tc>
                <w:tcPr>
                  <w:tcW w:w="1550" w:type="dxa"/>
                  <w:gridSpan w:val="2"/>
                  <w:vAlign w:val="center"/>
                </w:tcPr>
                <w:p w14:paraId="2699269B">
                  <w:pPr>
                    <w:pStyle w:val="91"/>
                    <w:adjustRightInd/>
                    <w:snapToGrid/>
                    <w:textAlignment w:val="center"/>
                    <w:rPr>
                      <w:color w:val="auto"/>
                      <w:u w:val="single"/>
                    </w:rPr>
                  </w:pPr>
                  <w:r>
                    <w:rPr>
                      <w:color w:val="auto"/>
                      <w:u w:val="single"/>
                    </w:rPr>
                    <w:t xml:space="preserve">噪声标准/dB(A) </w:t>
                  </w:r>
                </w:p>
              </w:tc>
              <w:tc>
                <w:tcPr>
                  <w:tcW w:w="939" w:type="pct"/>
                  <w:gridSpan w:val="2"/>
                  <w:vAlign w:val="center"/>
                </w:tcPr>
                <w:p w14:paraId="5C6ACCCB">
                  <w:pPr>
                    <w:pStyle w:val="91"/>
                    <w:adjustRightInd/>
                    <w:snapToGrid/>
                    <w:textAlignment w:val="center"/>
                    <w:rPr>
                      <w:color w:val="auto"/>
                      <w:u w:val="single"/>
                    </w:rPr>
                  </w:pPr>
                  <w:r>
                    <w:rPr>
                      <w:color w:val="auto"/>
                      <w:u w:val="single"/>
                    </w:rPr>
                    <w:t>超标和达标情况</w:t>
                  </w:r>
                </w:p>
              </w:tc>
            </w:tr>
            <w:tr w14:paraId="0B71A1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3" w:type="pct"/>
                  <w:vMerge w:val="continue"/>
                  <w:vAlign w:val="center"/>
                </w:tcPr>
                <w:p w14:paraId="061EC02C">
                  <w:pPr>
                    <w:pStyle w:val="91"/>
                    <w:adjustRightInd/>
                    <w:snapToGrid/>
                    <w:textAlignment w:val="center"/>
                    <w:rPr>
                      <w:color w:val="auto"/>
                      <w:u w:val="single"/>
                    </w:rPr>
                  </w:pPr>
                </w:p>
              </w:tc>
              <w:tc>
                <w:tcPr>
                  <w:tcW w:w="678" w:type="pct"/>
                  <w:vMerge w:val="continue"/>
                  <w:vAlign w:val="center"/>
                </w:tcPr>
                <w:p w14:paraId="64BF08FC">
                  <w:pPr>
                    <w:pStyle w:val="91"/>
                    <w:adjustRightInd/>
                    <w:snapToGrid/>
                    <w:textAlignment w:val="center"/>
                    <w:rPr>
                      <w:color w:val="auto"/>
                      <w:u w:val="single"/>
                    </w:rPr>
                  </w:pPr>
                </w:p>
              </w:tc>
              <w:tc>
                <w:tcPr>
                  <w:tcW w:w="554" w:type="pct"/>
                  <w:vAlign w:val="center"/>
                </w:tcPr>
                <w:p w14:paraId="0FC8A3CF">
                  <w:pPr>
                    <w:pStyle w:val="91"/>
                    <w:adjustRightInd/>
                    <w:snapToGrid/>
                    <w:textAlignment w:val="center"/>
                    <w:rPr>
                      <w:color w:val="auto"/>
                      <w:u w:val="single"/>
                    </w:rPr>
                  </w:pPr>
                  <w:r>
                    <w:rPr>
                      <w:color w:val="auto"/>
                      <w:u w:val="single"/>
                    </w:rPr>
                    <w:t>昼间</w:t>
                  </w:r>
                </w:p>
              </w:tc>
              <w:tc>
                <w:tcPr>
                  <w:tcW w:w="536" w:type="pct"/>
                  <w:vAlign w:val="center"/>
                </w:tcPr>
                <w:p w14:paraId="1F410422">
                  <w:pPr>
                    <w:pStyle w:val="91"/>
                    <w:adjustRightInd/>
                    <w:snapToGrid/>
                    <w:textAlignment w:val="center"/>
                    <w:rPr>
                      <w:color w:val="auto"/>
                      <w:u w:val="single"/>
                    </w:rPr>
                  </w:pPr>
                  <w:r>
                    <w:rPr>
                      <w:color w:val="auto"/>
                      <w:u w:val="single"/>
                    </w:rPr>
                    <w:t xml:space="preserve">夜间 </w:t>
                  </w:r>
                </w:p>
              </w:tc>
              <w:tc>
                <w:tcPr>
                  <w:tcW w:w="499" w:type="pct"/>
                  <w:vAlign w:val="center"/>
                </w:tcPr>
                <w:p w14:paraId="1C484E37">
                  <w:pPr>
                    <w:pStyle w:val="91"/>
                    <w:adjustRightInd/>
                    <w:snapToGrid/>
                    <w:textAlignment w:val="center"/>
                    <w:rPr>
                      <w:color w:val="auto"/>
                      <w:u w:val="single"/>
                    </w:rPr>
                  </w:pPr>
                  <w:r>
                    <w:rPr>
                      <w:color w:val="auto"/>
                      <w:u w:val="single"/>
                    </w:rPr>
                    <w:t>昼间</w:t>
                  </w:r>
                </w:p>
              </w:tc>
              <w:tc>
                <w:tcPr>
                  <w:tcW w:w="438" w:type="pct"/>
                  <w:vAlign w:val="center"/>
                </w:tcPr>
                <w:p w14:paraId="1CED60DC">
                  <w:pPr>
                    <w:pStyle w:val="91"/>
                    <w:adjustRightInd/>
                    <w:snapToGrid/>
                    <w:textAlignment w:val="center"/>
                    <w:rPr>
                      <w:color w:val="auto"/>
                      <w:u w:val="single"/>
                    </w:rPr>
                  </w:pPr>
                  <w:r>
                    <w:rPr>
                      <w:color w:val="auto"/>
                      <w:u w:val="single"/>
                    </w:rPr>
                    <w:t xml:space="preserve">夜间 </w:t>
                  </w:r>
                </w:p>
              </w:tc>
              <w:tc>
                <w:tcPr>
                  <w:tcW w:w="764" w:type="dxa"/>
                  <w:vAlign w:val="center"/>
                </w:tcPr>
                <w:p w14:paraId="59A99955">
                  <w:pPr>
                    <w:pStyle w:val="91"/>
                    <w:adjustRightInd/>
                    <w:snapToGrid/>
                    <w:textAlignment w:val="center"/>
                    <w:rPr>
                      <w:color w:val="auto"/>
                      <w:u w:val="single"/>
                    </w:rPr>
                  </w:pPr>
                  <w:r>
                    <w:rPr>
                      <w:color w:val="auto"/>
                      <w:u w:val="single"/>
                    </w:rPr>
                    <w:t>昼间</w:t>
                  </w:r>
                </w:p>
              </w:tc>
              <w:tc>
                <w:tcPr>
                  <w:tcW w:w="786" w:type="dxa"/>
                  <w:vAlign w:val="center"/>
                </w:tcPr>
                <w:p w14:paraId="5A6C41AC">
                  <w:pPr>
                    <w:pStyle w:val="91"/>
                    <w:adjustRightInd/>
                    <w:snapToGrid/>
                    <w:textAlignment w:val="center"/>
                    <w:rPr>
                      <w:color w:val="auto"/>
                      <w:u w:val="single"/>
                    </w:rPr>
                  </w:pPr>
                  <w:r>
                    <w:rPr>
                      <w:color w:val="auto"/>
                      <w:u w:val="single"/>
                    </w:rPr>
                    <w:t xml:space="preserve">夜间 </w:t>
                  </w:r>
                </w:p>
              </w:tc>
              <w:tc>
                <w:tcPr>
                  <w:tcW w:w="497" w:type="pct"/>
                  <w:vAlign w:val="center"/>
                </w:tcPr>
                <w:p w14:paraId="06203DA1">
                  <w:pPr>
                    <w:pStyle w:val="91"/>
                    <w:adjustRightInd/>
                    <w:snapToGrid/>
                    <w:textAlignment w:val="center"/>
                    <w:rPr>
                      <w:color w:val="auto"/>
                      <w:u w:val="single"/>
                    </w:rPr>
                  </w:pPr>
                  <w:r>
                    <w:rPr>
                      <w:color w:val="auto"/>
                      <w:u w:val="single"/>
                    </w:rPr>
                    <w:t>昼间</w:t>
                  </w:r>
                </w:p>
              </w:tc>
              <w:tc>
                <w:tcPr>
                  <w:tcW w:w="441" w:type="pct"/>
                  <w:vAlign w:val="center"/>
                </w:tcPr>
                <w:p w14:paraId="1DE8EA4F">
                  <w:pPr>
                    <w:pStyle w:val="91"/>
                    <w:adjustRightInd/>
                    <w:snapToGrid/>
                    <w:textAlignment w:val="center"/>
                    <w:rPr>
                      <w:color w:val="auto"/>
                      <w:u w:val="single"/>
                    </w:rPr>
                  </w:pPr>
                  <w:r>
                    <w:rPr>
                      <w:color w:val="auto"/>
                      <w:u w:val="single"/>
                    </w:rPr>
                    <w:t xml:space="preserve">夜间 </w:t>
                  </w:r>
                </w:p>
              </w:tc>
            </w:tr>
            <w:tr w14:paraId="0388A0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3" w:type="pct"/>
                  <w:vAlign w:val="center"/>
                </w:tcPr>
                <w:p w14:paraId="21518709">
                  <w:pPr>
                    <w:jc w:val="center"/>
                    <w:textAlignment w:val="center"/>
                    <w:rPr>
                      <w:color w:val="auto"/>
                      <w:szCs w:val="21"/>
                      <w:u w:val="single"/>
                    </w:rPr>
                  </w:pPr>
                  <w:r>
                    <w:rPr>
                      <w:color w:val="auto"/>
                      <w:szCs w:val="21"/>
                      <w:u w:val="single"/>
                    </w:rPr>
                    <w:t>1</w:t>
                  </w:r>
                </w:p>
              </w:tc>
              <w:tc>
                <w:tcPr>
                  <w:tcW w:w="678" w:type="pct"/>
                  <w:vAlign w:val="center"/>
                </w:tcPr>
                <w:p w14:paraId="4FB621EF">
                  <w:pPr>
                    <w:jc w:val="center"/>
                    <w:rPr>
                      <w:color w:val="auto"/>
                      <w:szCs w:val="21"/>
                      <w:u w:val="single"/>
                      <w:lang w:bidi="en-US"/>
                    </w:rPr>
                  </w:pPr>
                  <w:r>
                    <w:rPr>
                      <w:color w:val="auto"/>
                      <w:szCs w:val="21"/>
                      <w:u w:val="single"/>
                      <w:lang w:bidi="en-US"/>
                    </w:rPr>
                    <w:t>东厂界</w:t>
                  </w:r>
                </w:p>
              </w:tc>
              <w:tc>
                <w:tcPr>
                  <w:tcW w:w="554" w:type="pct"/>
                  <w:vAlign w:val="center"/>
                </w:tcPr>
                <w:p w14:paraId="1940BA79">
                  <w:pPr>
                    <w:jc w:val="center"/>
                    <w:textAlignment w:val="center"/>
                    <w:rPr>
                      <w:color w:val="auto"/>
                      <w:szCs w:val="21"/>
                      <w:u w:val="single"/>
                      <w:lang w:bidi="en-US"/>
                    </w:rPr>
                  </w:pPr>
                  <w:r>
                    <w:rPr>
                      <w:color w:val="auto"/>
                      <w:szCs w:val="21"/>
                      <w:u w:val="single"/>
                      <w:lang w:bidi="en-US"/>
                    </w:rPr>
                    <w:t>/</w:t>
                  </w:r>
                </w:p>
              </w:tc>
              <w:tc>
                <w:tcPr>
                  <w:tcW w:w="536" w:type="pct"/>
                  <w:vAlign w:val="center"/>
                </w:tcPr>
                <w:p w14:paraId="633E75F8">
                  <w:pPr>
                    <w:jc w:val="center"/>
                    <w:textAlignment w:val="center"/>
                    <w:rPr>
                      <w:color w:val="auto"/>
                      <w:szCs w:val="21"/>
                      <w:u w:val="single"/>
                      <w:lang w:bidi="en-US"/>
                    </w:rPr>
                  </w:pPr>
                  <w:r>
                    <w:rPr>
                      <w:color w:val="auto"/>
                      <w:szCs w:val="21"/>
                      <w:u w:val="single"/>
                      <w:lang w:bidi="en-US"/>
                    </w:rPr>
                    <w:t>/</w:t>
                  </w:r>
                </w:p>
              </w:tc>
              <w:tc>
                <w:tcPr>
                  <w:tcW w:w="499" w:type="pct"/>
                  <w:vAlign w:val="center"/>
                </w:tcPr>
                <w:p w14:paraId="6E4085E8">
                  <w:pPr>
                    <w:jc w:val="center"/>
                    <w:rPr>
                      <w:color w:val="auto"/>
                      <w:szCs w:val="21"/>
                      <w:u w:val="single"/>
                    </w:rPr>
                  </w:pPr>
                  <w:r>
                    <w:rPr>
                      <w:rFonts w:hint="eastAsia"/>
                      <w:color w:val="auto"/>
                      <w:szCs w:val="21"/>
                      <w:u w:val="single"/>
                    </w:rPr>
                    <w:t>46.4</w:t>
                  </w:r>
                </w:p>
              </w:tc>
              <w:tc>
                <w:tcPr>
                  <w:tcW w:w="438" w:type="pct"/>
                  <w:vAlign w:val="center"/>
                </w:tcPr>
                <w:p w14:paraId="3C5DF4D1">
                  <w:pPr>
                    <w:jc w:val="center"/>
                    <w:textAlignment w:val="center"/>
                    <w:rPr>
                      <w:color w:val="auto"/>
                      <w:szCs w:val="21"/>
                      <w:u w:val="single"/>
                      <w:lang w:bidi="en-US"/>
                    </w:rPr>
                  </w:pPr>
                  <w:r>
                    <w:rPr>
                      <w:rFonts w:hint="eastAsia"/>
                      <w:color w:val="auto"/>
                      <w:szCs w:val="21"/>
                      <w:u w:val="single"/>
                      <w:lang w:bidi="en-US"/>
                    </w:rPr>
                    <w:t>35.5</w:t>
                  </w:r>
                </w:p>
              </w:tc>
              <w:tc>
                <w:tcPr>
                  <w:tcW w:w="764" w:type="dxa"/>
                  <w:vAlign w:val="center"/>
                </w:tcPr>
                <w:p w14:paraId="7B85C02D">
                  <w:pPr>
                    <w:jc w:val="center"/>
                    <w:textAlignment w:val="center"/>
                    <w:rPr>
                      <w:color w:val="auto"/>
                      <w:szCs w:val="21"/>
                      <w:u w:val="single"/>
                    </w:rPr>
                  </w:pPr>
                  <w:r>
                    <w:rPr>
                      <w:rFonts w:hint="eastAsia"/>
                      <w:color w:val="auto"/>
                      <w:szCs w:val="21"/>
                      <w:u w:val="single"/>
                    </w:rPr>
                    <w:t>65</w:t>
                  </w:r>
                </w:p>
              </w:tc>
              <w:tc>
                <w:tcPr>
                  <w:tcW w:w="786" w:type="dxa"/>
                  <w:vAlign w:val="center"/>
                </w:tcPr>
                <w:p w14:paraId="552A7EC6">
                  <w:pPr>
                    <w:jc w:val="center"/>
                    <w:textAlignment w:val="center"/>
                    <w:rPr>
                      <w:color w:val="auto"/>
                      <w:u w:val="single"/>
                    </w:rPr>
                  </w:pPr>
                  <w:r>
                    <w:rPr>
                      <w:color w:val="auto"/>
                      <w:szCs w:val="21"/>
                      <w:u w:val="single"/>
                    </w:rPr>
                    <w:t>5</w:t>
                  </w:r>
                  <w:r>
                    <w:rPr>
                      <w:rFonts w:hint="eastAsia"/>
                      <w:color w:val="auto"/>
                      <w:szCs w:val="21"/>
                      <w:u w:val="single"/>
                    </w:rPr>
                    <w:t>5</w:t>
                  </w:r>
                </w:p>
              </w:tc>
              <w:tc>
                <w:tcPr>
                  <w:tcW w:w="497" w:type="pct"/>
                  <w:vAlign w:val="center"/>
                </w:tcPr>
                <w:p w14:paraId="5A4E58A8">
                  <w:pPr>
                    <w:jc w:val="center"/>
                    <w:textAlignment w:val="center"/>
                    <w:rPr>
                      <w:color w:val="auto"/>
                      <w:szCs w:val="21"/>
                      <w:u w:val="single"/>
                    </w:rPr>
                  </w:pPr>
                  <w:r>
                    <w:rPr>
                      <w:color w:val="auto"/>
                      <w:szCs w:val="21"/>
                      <w:u w:val="single"/>
                    </w:rPr>
                    <w:t>达标</w:t>
                  </w:r>
                </w:p>
              </w:tc>
              <w:tc>
                <w:tcPr>
                  <w:tcW w:w="441" w:type="pct"/>
                  <w:vAlign w:val="center"/>
                </w:tcPr>
                <w:p w14:paraId="0AABFFFF">
                  <w:pPr>
                    <w:jc w:val="center"/>
                    <w:textAlignment w:val="center"/>
                    <w:rPr>
                      <w:color w:val="auto"/>
                      <w:szCs w:val="21"/>
                      <w:u w:val="single"/>
                    </w:rPr>
                  </w:pPr>
                  <w:r>
                    <w:rPr>
                      <w:color w:val="auto"/>
                      <w:szCs w:val="21"/>
                      <w:u w:val="single"/>
                    </w:rPr>
                    <w:t>达标</w:t>
                  </w:r>
                </w:p>
              </w:tc>
            </w:tr>
            <w:tr w14:paraId="52CB48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3" w:type="pct"/>
                  <w:vAlign w:val="center"/>
                </w:tcPr>
                <w:p w14:paraId="2B8B8153">
                  <w:pPr>
                    <w:jc w:val="center"/>
                    <w:textAlignment w:val="center"/>
                    <w:rPr>
                      <w:color w:val="auto"/>
                      <w:szCs w:val="21"/>
                      <w:u w:val="single"/>
                    </w:rPr>
                  </w:pPr>
                  <w:r>
                    <w:rPr>
                      <w:color w:val="auto"/>
                      <w:szCs w:val="21"/>
                      <w:u w:val="single"/>
                    </w:rPr>
                    <w:t>2</w:t>
                  </w:r>
                </w:p>
              </w:tc>
              <w:tc>
                <w:tcPr>
                  <w:tcW w:w="678" w:type="pct"/>
                  <w:vAlign w:val="center"/>
                </w:tcPr>
                <w:p w14:paraId="21ED2100">
                  <w:pPr>
                    <w:jc w:val="center"/>
                    <w:rPr>
                      <w:color w:val="auto"/>
                      <w:szCs w:val="21"/>
                      <w:u w:val="single"/>
                    </w:rPr>
                  </w:pPr>
                  <w:r>
                    <w:rPr>
                      <w:color w:val="auto"/>
                      <w:szCs w:val="21"/>
                      <w:u w:val="single"/>
                    </w:rPr>
                    <w:t>南</w:t>
                  </w:r>
                  <w:r>
                    <w:rPr>
                      <w:color w:val="auto"/>
                      <w:szCs w:val="21"/>
                      <w:u w:val="single"/>
                      <w:lang w:bidi="en-US"/>
                    </w:rPr>
                    <w:t>厂界</w:t>
                  </w:r>
                </w:p>
              </w:tc>
              <w:tc>
                <w:tcPr>
                  <w:tcW w:w="554" w:type="pct"/>
                  <w:vAlign w:val="center"/>
                </w:tcPr>
                <w:p w14:paraId="2117BA4B">
                  <w:pPr>
                    <w:jc w:val="center"/>
                    <w:textAlignment w:val="center"/>
                    <w:rPr>
                      <w:color w:val="auto"/>
                      <w:szCs w:val="21"/>
                      <w:u w:val="single"/>
                      <w:lang w:bidi="en-US"/>
                    </w:rPr>
                  </w:pPr>
                  <w:r>
                    <w:rPr>
                      <w:color w:val="auto"/>
                      <w:szCs w:val="21"/>
                      <w:u w:val="single"/>
                      <w:lang w:bidi="en-US"/>
                    </w:rPr>
                    <w:t>/</w:t>
                  </w:r>
                </w:p>
              </w:tc>
              <w:tc>
                <w:tcPr>
                  <w:tcW w:w="536" w:type="pct"/>
                  <w:vAlign w:val="center"/>
                </w:tcPr>
                <w:p w14:paraId="2652990D">
                  <w:pPr>
                    <w:jc w:val="center"/>
                    <w:textAlignment w:val="center"/>
                    <w:rPr>
                      <w:color w:val="auto"/>
                      <w:szCs w:val="21"/>
                      <w:u w:val="single"/>
                      <w:lang w:bidi="en-US"/>
                    </w:rPr>
                  </w:pPr>
                  <w:r>
                    <w:rPr>
                      <w:color w:val="auto"/>
                      <w:szCs w:val="21"/>
                      <w:u w:val="single"/>
                      <w:lang w:bidi="en-US"/>
                    </w:rPr>
                    <w:t>/</w:t>
                  </w:r>
                </w:p>
              </w:tc>
              <w:tc>
                <w:tcPr>
                  <w:tcW w:w="499" w:type="pct"/>
                  <w:vAlign w:val="center"/>
                </w:tcPr>
                <w:p w14:paraId="49C65E57">
                  <w:pPr>
                    <w:jc w:val="center"/>
                    <w:rPr>
                      <w:color w:val="auto"/>
                      <w:szCs w:val="21"/>
                      <w:u w:val="single"/>
                    </w:rPr>
                  </w:pPr>
                  <w:r>
                    <w:rPr>
                      <w:rFonts w:hint="eastAsia"/>
                      <w:color w:val="auto"/>
                      <w:szCs w:val="21"/>
                      <w:u w:val="single"/>
                    </w:rPr>
                    <w:t>58.7</w:t>
                  </w:r>
                </w:p>
              </w:tc>
              <w:tc>
                <w:tcPr>
                  <w:tcW w:w="438" w:type="pct"/>
                  <w:vAlign w:val="center"/>
                </w:tcPr>
                <w:p w14:paraId="5A1E088B">
                  <w:pPr>
                    <w:jc w:val="center"/>
                    <w:textAlignment w:val="center"/>
                    <w:rPr>
                      <w:color w:val="auto"/>
                      <w:szCs w:val="21"/>
                      <w:u w:val="single"/>
                      <w:lang w:bidi="en-US"/>
                    </w:rPr>
                  </w:pPr>
                  <w:r>
                    <w:rPr>
                      <w:rFonts w:hint="eastAsia"/>
                      <w:color w:val="auto"/>
                      <w:szCs w:val="21"/>
                      <w:u w:val="single"/>
                      <w:lang w:bidi="en-US"/>
                    </w:rPr>
                    <w:t>44.6</w:t>
                  </w:r>
                </w:p>
              </w:tc>
              <w:tc>
                <w:tcPr>
                  <w:tcW w:w="764" w:type="dxa"/>
                  <w:vAlign w:val="center"/>
                </w:tcPr>
                <w:p w14:paraId="4D3AADA3">
                  <w:pPr>
                    <w:jc w:val="center"/>
                    <w:textAlignment w:val="center"/>
                    <w:rPr>
                      <w:color w:val="auto"/>
                      <w:szCs w:val="21"/>
                      <w:u w:val="single"/>
                    </w:rPr>
                  </w:pPr>
                  <w:r>
                    <w:rPr>
                      <w:color w:val="auto"/>
                      <w:szCs w:val="21"/>
                      <w:u w:val="single"/>
                    </w:rPr>
                    <w:t>6</w:t>
                  </w:r>
                  <w:r>
                    <w:rPr>
                      <w:rFonts w:hint="eastAsia"/>
                      <w:color w:val="auto"/>
                      <w:szCs w:val="21"/>
                      <w:u w:val="single"/>
                    </w:rPr>
                    <w:t>5</w:t>
                  </w:r>
                </w:p>
              </w:tc>
              <w:tc>
                <w:tcPr>
                  <w:tcW w:w="786" w:type="dxa"/>
                  <w:vAlign w:val="center"/>
                </w:tcPr>
                <w:p w14:paraId="5F242AB1">
                  <w:pPr>
                    <w:jc w:val="center"/>
                    <w:textAlignment w:val="center"/>
                    <w:rPr>
                      <w:color w:val="auto"/>
                      <w:u w:val="single"/>
                    </w:rPr>
                  </w:pPr>
                  <w:r>
                    <w:rPr>
                      <w:color w:val="auto"/>
                      <w:szCs w:val="21"/>
                      <w:u w:val="single"/>
                    </w:rPr>
                    <w:t>5</w:t>
                  </w:r>
                  <w:r>
                    <w:rPr>
                      <w:rFonts w:hint="eastAsia"/>
                      <w:color w:val="auto"/>
                      <w:szCs w:val="21"/>
                      <w:u w:val="single"/>
                    </w:rPr>
                    <w:t>5</w:t>
                  </w:r>
                </w:p>
              </w:tc>
              <w:tc>
                <w:tcPr>
                  <w:tcW w:w="497" w:type="pct"/>
                  <w:vAlign w:val="center"/>
                </w:tcPr>
                <w:p w14:paraId="0986B866">
                  <w:pPr>
                    <w:jc w:val="center"/>
                    <w:textAlignment w:val="center"/>
                    <w:rPr>
                      <w:color w:val="auto"/>
                      <w:szCs w:val="21"/>
                      <w:u w:val="single"/>
                    </w:rPr>
                  </w:pPr>
                  <w:r>
                    <w:rPr>
                      <w:color w:val="auto"/>
                      <w:szCs w:val="21"/>
                      <w:u w:val="single"/>
                    </w:rPr>
                    <w:t>达标</w:t>
                  </w:r>
                </w:p>
              </w:tc>
              <w:tc>
                <w:tcPr>
                  <w:tcW w:w="441" w:type="pct"/>
                  <w:vAlign w:val="center"/>
                </w:tcPr>
                <w:p w14:paraId="105CCA58">
                  <w:pPr>
                    <w:jc w:val="center"/>
                    <w:textAlignment w:val="center"/>
                    <w:rPr>
                      <w:color w:val="auto"/>
                      <w:szCs w:val="21"/>
                      <w:u w:val="single"/>
                    </w:rPr>
                  </w:pPr>
                  <w:r>
                    <w:rPr>
                      <w:color w:val="auto"/>
                      <w:szCs w:val="21"/>
                      <w:u w:val="single"/>
                    </w:rPr>
                    <w:t>达标</w:t>
                  </w:r>
                </w:p>
              </w:tc>
            </w:tr>
            <w:tr w14:paraId="607DB2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3" w:type="pct"/>
                  <w:vAlign w:val="center"/>
                </w:tcPr>
                <w:p w14:paraId="5BAF9286">
                  <w:pPr>
                    <w:jc w:val="center"/>
                    <w:textAlignment w:val="center"/>
                    <w:rPr>
                      <w:color w:val="auto"/>
                      <w:szCs w:val="21"/>
                      <w:u w:val="single"/>
                    </w:rPr>
                  </w:pPr>
                  <w:r>
                    <w:rPr>
                      <w:color w:val="auto"/>
                      <w:szCs w:val="21"/>
                      <w:u w:val="single"/>
                    </w:rPr>
                    <w:t>3</w:t>
                  </w:r>
                </w:p>
              </w:tc>
              <w:tc>
                <w:tcPr>
                  <w:tcW w:w="678" w:type="pct"/>
                  <w:vAlign w:val="center"/>
                </w:tcPr>
                <w:p w14:paraId="799506AD">
                  <w:pPr>
                    <w:jc w:val="center"/>
                    <w:rPr>
                      <w:color w:val="auto"/>
                      <w:szCs w:val="21"/>
                      <w:u w:val="single"/>
                    </w:rPr>
                  </w:pPr>
                  <w:r>
                    <w:rPr>
                      <w:color w:val="auto"/>
                      <w:szCs w:val="21"/>
                      <w:u w:val="single"/>
                      <w:lang w:bidi="en-US"/>
                    </w:rPr>
                    <w:t>西厂界</w:t>
                  </w:r>
                </w:p>
              </w:tc>
              <w:tc>
                <w:tcPr>
                  <w:tcW w:w="554" w:type="pct"/>
                  <w:vAlign w:val="center"/>
                </w:tcPr>
                <w:p w14:paraId="652E1F8B">
                  <w:pPr>
                    <w:jc w:val="center"/>
                    <w:textAlignment w:val="center"/>
                    <w:rPr>
                      <w:color w:val="auto"/>
                      <w:szCs w:val="21"/>
                      <w:u w:val="single"/>
                      <w:lang w:bidi="en-US"/>
                    </w:rPr>
                  </w:pPr>
                  <w:r>
                    <w:rPr>
                      <w:color w:val="auto"/>
                      <w:szCs w:val="21"/>
                      <w:u w:val="single"/>
                      <w:lang w:bidi="en-US"/>
                    </w:rPr>
                    <w:t>/</w:t>
                  </w:r>
                </w:p>
              </w:tc>
              <w:tc>
                <w:tcPr>
                  <w:tcW w:w="536" w:type="pct"/>
                  <w:vAlign w:val="center"/>
                </w:tcPr>
                <w:p w14:paraId="357D0BB6">
                  <w:pPr>
                    <w:jc w:val="center"/>
                    <w:textAlignment w:val="center"/>
                    <w:rPr>
                      <w:color w:val="auto"/>
                      <w:szCs w:val="21"/>
                      <w:u w:val="single"/>
                      <w:lang w:bidi="en-US"/>
                    </w:rPr>
                  </w:pPr>
                  <w:r>
                    <w:rPr>
                      <w:color w:val="auto"/>
                      <w:szCs w:val="21"/>
                      <w:u w:val="single"/>
                      <w:lang w:bidi="en-US"/>
                    </w:rPr>
                    <w:t>/</w:t>
                  </w:r>
                </w:p>
              </w:tc>
              <w:tc>
                <w:tcPr>
                  <w:tcW w:w="499" w:type="pct"/>
                  <w:vAlign w:val="center"/>
                </w:tcPr>
                <w:p w14:paraId="19371465">
                  <w:pPr>
                    <w:jc w:val="center"/>
                    <w:rPr>
                      <w:color w:val="auto"/>
                      <w:szCs w:val="21"/>
                      <w:u w:val="single"/>
                    </w:rPr>
                  </w:pPr>
                  <w:r>
                    <w:rPr>
                      <w:rFonts w:hint="eastAsia"/>
                      <w:color w:val="auto"/>
                      <w:szCs w:val="21"/>
                      <w:u w:val="single"/>
                    </w:rPr>
                    <w:t>55.2</w:t>
                  </w:r>
                </w:p>
              </w:tc>
              <w:tc>
                <w:tcPr>
                  <w:tcW w:w="438" w:type="pct"/>
                  <w:vAlign w:val="center"/>
                </w:tcPr>
                <w:p w14:paraId="711620E8">
                  <w:pPr>
                    <w:jc w:val="center"/>
                    <w:textAlignment w:val="center"/>
                    <w:rPr>
                      <w:color w:val="auto"/>
                      <w:szCs w:val="21"/>
                      <w:u w:val="single"/>
                      <w:lang w:bidi="en-US"/>
                    </w:rPr>
                  </w:pPr>
                  <w:r>
                    <w:rPr>
                      <w:rFonts w:hint="eastAsia"/>
                      <w:color w:val="auto"/>
                      <w:szCs w:val="21"/>
                      <w:u w:val="single"/>
                      <w:lang w:bidi="en-US"/>
                    </w:rPr>
                    <w:t>34.3</w:t>
                  </w:r>
                </w:p>
              </w:tc>
              <w:tc>
                <w:tcPr>
                  <w:tcW w:w="764" w:type="dxa"/>
                  <w:vAlign w:val="center"/>
                </w:tcPr>
                <w:p w14:paraId="78F969A7">
                  <w:pPr>
                    <w:jc w:val="center"/>
                    <w:textAlignment w:val="center"/>
                    <w:rPr>
                      <w:color w:val="auto"/>
                      <w:szCs w:val="21"/>
                      <w:u w:val="single"/>
                    </w:rPr>
                  </w:pPr>
                  <w:r>
                    <w:rPr>
                      <w:color w:val="auto"/>
                      <w:szCs w:val="21"/>
                      <w:u w:val="single"/>
                    </w:rPr>
                    <w:t>6</w:t>
                  </w:r>
                  <w:r>
                    <w:rPr>
                      <w:rFonts w:hint="eastAsia"/>
                      <w:color w:val="auto"/>
                      <w:szCs w:val="21"/>
                      <w:u w:val="single"/>
                    </w:rPr>
                    <w:t>5</w:t>
                  </w:r>
                </w:p>
              </w:tc>
              <w:tc>
                <w:tcPr>
                  <w:tcW w:w="786" w:type="dxa"/>
                  <w:vAlign w:val="center"/>
                </w:tcPr>
                <w:p w14:paraId="135711CC">
                  <w:pPr>
                    <w:jc w:val="center"/>
                    <w:textAlignment w:val="center"/>
                    <w:rPr>
                      <w:color w:val="auto"/>
                      <w:u w:val="single"/>
                    </w:rPr>
                  </w:pPr>
                  <w:r>
                    <w:rPr>
                      <w:color w:val="auto"/>
                      <w:szCs w:val="21"/>
                      <w:u w:val="single"/>
                    </w:rPr>
                    <w:t>5</w:t>
                  </w:r>
                  <w:r>
                    <w:rPr>
                      <w:rFonts w:hint="eastAsia"/>
                      <w:color w:val="auto"/>
                      <w:szCs w:val="21"/>
                      <w:u w:val="single"/>
                    </w:rPr>
                    <w:t>5</w:t>
                  </w:r>
                </w:p>
              </w:tc>
              <w:tc>
                <w:tcPr>
                  <w:tcW w:w="497" w:type="pct"/>
                  <w:vAlign w:val="center"/>
                </w:tcPr>
                <w:p w14:paraId="0E5288C4">
                  <w:pPr>
                    <w:jc w:val="center"/>
                    <w:textAlignment w:val="center"/>
                    <w:rPr>
                      <w:color w:val="auto"/>
                      <w:szCs w:val="21"/>
                      <w:u w:val="single"/>
                    </w:rPr>
                  </w:pPr>
                  <w:r>
                    <w:rPr>
                      <w:color w:val="auto"/>
                      <w:szCs w:val="21"/>
                      <w:u w:val="single"/>
                    </w:rPr>
                    <w:t>达标</w:t>
                  </w:r>
                </w:p>
              </w:tc>
              <w:tc>
                <w:tcPr>
                  <w:tcW w:w="441" w:type="pct"/>
                  <w:vAlign w:val="center"/>
                </w:tcPr>
                <w:p w14:paraId="0F558FE3">
                  <w:pPr>
                    <w:jc w:val="center"/>
                    <w:textAlignment w:val="center"/>
                    <w:rPr>
                      <w:color w:val="auto"/>
                      <w:szCs w:val="21"/>
                      <w:u w:val="single"/>
                    </w:rPr>
                  </w:pPr>
                  <w:r>
                    <w:rPr>
                      <w:color w:val="auto"/>
                      <w:szCs w:val="21"/>
                      <w:u w:val="single"/>
                    </w:rPr>
                    <w:t>达标</w:t>
                  </w:r>
                </w:p>
              </w:tc>
            </w:tr>
            <w:tr w14:paraId="5908FC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3" w:type="pct"/>
                  <w:vAlign w:val="center"/>
                </w:tcPr>
                <w:p w14:paraId="512D648C">
                  <w:pPr>
                    <w:jc w:val="center"/>
                    <w:textAlignment w:val="center"/>
                    <w:rPr>
                      <w:color w:val="auto"/>
                      <w:szCs w:val="21"/>
                      <w:u w:val="single"/>
                    </w:rPr>
                  </w:pPr>
                  <w:r>
                    <w:rPr>
                      <w:color w:val="auto"/>
                      <w:szCs w:val="21"/>
                      <w:u w:val="single"/>
                    </w:rPr>
                    <w:t>4</w:t>
                  </w:r>
                </w:p>
              </w:tc>
              <w:tc>
                <w:tcPr>
                  <w:tcW w:w="678" w:type="pct"/>
                  <w:vAlign w:val="center"/>
                </w:tcPr>
                <w:p w14:paraId="55773A61">
                  <w:pPr>
                    <w:jc w:val="center"/>
                    <w:rPr>
                      <w:color w:val="auto"/>
                      <w:szCs w:val="21"/>
                      <w:u w:val="single"/>
                    </w:rPr>
                  </w:pPr>
                  <w:r>
                    <w:rPr>
                      <w:color w:val="auto"/>
                      <w:szCs w:val="21"/>
                      <w:u w:val="single"/>
                      <w:lang w:bidi="en-US"/>
                    </w:rPr>
                    <w:t>北厂界</w:t>
                  </w:r>
                </w:p>
              </w:tc>
              <w:tc>
                <w:tcPr>
                  <w:tcW w:w="554" w:type="pct"/>
                  <w:vAlign w:val="center"/>
                </w:tcPr>
                <w:p w14:paraId="5A078E2D">
                  <w:pPr>
                    <w:jc w:val="center"/>
                    <w:textAlignment w:val="center"/>
                    <w:rPr>
                      <w:color w:val="auto"/>
                      <w:szCs w:val="21"/>
                      <w:u w:val="single"/>
                      <w:lang w:bidi="en-US"/>
                    </w:rPr>
                  </w:pPr>
                  <w:r>
                    <w:rPr>
                      <w:color w:val="auto"/>
                      <w:szCs w:val="21"/>
                      <w:u w:val="single"/>
                      <w:lang w:bidi="en-US"/>
                    </w:rPr>
                    <w:t>/</w:t>
                  </w:r>
                </w:p>
              </w:tc>
              <w:tc>
                <w:tcPr>
                  <w:tcW w:w="536" w:type="pct"/>
                  <w:vAlign w:val="center"/>
                </w:tcPr>
                <w:p w14:paraId="6EE6469C">
                  <w:pPr>
                    <w:jc w:val="center"/>
                    <w:textAlignment w:val="center"/>
                    <w:rPr>
                      <w:color w:val="auto"/>
                      <w:szCs w:val="21"/>
                      <w:u w:val="single"/>
                      <w:lang w:bidi="en-US"/>
                    </w:rPr>
                  </w:pPr>
                  <w:r>
                    <w:rPr>
                      <w:color w:val="auto"/>
                      <w:szCs w:val="21"/>
                      <w:u w:val="single"/>
                      <w:lang w:bidi="en-US"/>
                    </w:rPr>
                    <w:t>/</w:t>
                  </w:r>
                </w:p>
              </w:tc>
              <w:tc>
                <w:tcPr>
                  <w:tcW w:w="499" w:type="pct"/>
                  <w:vAlign w:val="center"/>
                </w:tcPr>
                <w:p w14:paraId="132FCEF4">
                  <w:pPr>
                    <w:jc w:val="center"/>
                    <w:rPr>
                      <w:color w:val="auto"/>
                      <w:szCs w:val="21"/>
                      <w:u w:val="single"/>
                    </w:rPr>
                  </w:pPr>
                  <w:r>
                    <w:rPr>
                      <w:rFonts w:hint="eastAsia"/>
                      <w:color w:val="auto"/>
                      <w:szCs w:val="21"/>
                      <w:u w:val="single"/>
                    </w:rPr>
                    <w:t>52.4</w:t>
                  </w:r>
                </w:p>
              </w:tc>
              <w:tc>
                <w:tcPr>
                  <w:tcW w:w="438" w:type="pct"/>
                  <w:vAlign w:val="center"/>
                </w:tcPr>
                <w:p w14:paraId="2C2318EB">
                  <w:pPr>
                    <w:jc w:val="center"/>
                    <w:textAlignment w:val="center"/>
                    <w:rPr>
                      <w:color w:val="auto"/>
                      <w:szCs w:val="21"/>
                      <w:u w:val="single"/>
                      <w:lang w:bidi="en-US"/>
                    </w:rPr>
                  </w:pPr>
                  <w:r>
                    <w:rPr>
                      <w:rFonts w:hint="eastAsia"/>
                      <w:color w:val="auto"/>
                      <w:szCs w:val="21"/>
                      <w:u w:val="single"/>
                      <w:lang w:bidi="en-US"/>
                    </w:rPr>
                    <w:t>42.1</w:t>
                  </w:r>
                </w:p>
              </w:tc>
              <w:tc>
                <w:tcPr>
                  <w:tcW w:w="764" w:type="dxa"/>
                  <w:vAlign w:val="center"/>
                </w:tcPr>
                <w:p w14:paraId="597FC4A3">
                  <w:pPr>
                    <w:jc w:val="center"/>
                    <w:textAlignment w:val="center"/>
                    <w:rPr>
                      <w:color w:val="auto"/>
                      <w:szCs w:val="21"/>
                      <w:u w:val="single"/>
                    </w:rPr>
                  </w:pPr>
                  <w:r>
                    <w:rPr>
                      <w:color w:val="auto"/>
                      <w:szCs w:val="21"/>
                      <w:u w:val="single"/>
                    </w:rPr>
                    <w:t>6</w:t>
                  </w:r>
                  <w:r>
                    <w:rPr>
                      <w:rFonts w:hint="eastAsia"/>
                      <w:color w:val="auto"/>
                      <w:szCs w:val="21"/>
                      <w:u w:val="single"/>
                    </w:rPr>
                    <w:t>5</w:t>
                  </w:r>
                </w:p>
              </w:tc>
              <w:tc>
                <w:tcPr>
                  <w:tcW w:w="786" w:type="dxa"/>
                  <w:vAlign w:val="center"/>
                </w:tcPr>
                <w:p w14:paraId="15A7962E">
                  <w:pPr>
                    <w:jc w:val="center"/>
                    <w:textAlignment w:val="center"/>
                    <w:rPr>
                      <w:color w:val="auto"/>
                      <w:u w:val="single"/>
                    </w:rPr>
                  </w:pPr>
                  <w:r>
                    <w:rPr>
                      <w:color w:val="auto"/>
                      <w:szCs w:val="21"/>
                      <w:u w:val="single"/>
                    </w:rPr>
                    <w:t>5</w:t>
                  </w:r>
                  <w:r>
                    <w:rPr>
                      <w:rFonts w:hint="eastAsia"/>
                      <w:color w:val="auto"/>
                      <w:szCs w:val="21"/>
                      <w:u w:val="single"/>
                    </w:rPr>
                    <w:t>5</w:t>
                  </w:r>
                </w:p>
              </w:tc>
              <w:tc>
                <w:tcPr>
                  <w:tcW w:w="497" w:type="pct"/>
                  <w:vAlign w:val="center"/>
                </w:tcPr>
                <w:p w14:paraId="59392AF1">
                  <w:pPr>
                    <w:jc w:val="center"/>
                    <w:textAlignment w:val="center"/>
                    <w:rPr>
                      <w:color w:val="auto"/>
                      <w:szCs w:val="21"/>
                      <w:u w:val="single"/>
                    </w:rPr>
                  </w:pPr>
                  <w:r>
                    <w:rPr>
                      <w:color w:val="auto"/>
                      <w:szCs w:val="21"/>
                      <w:u w:val="single"/>
                    </w:rPr>
                    <w:t>达标</w:t>
                  </w:r>
                </w:p>
              </w:tc>
              <w:tc>
                <w:tcPr>
                  <w:tcW w:w="441" w:type="pct"/>
                  <w:vAlign w:val="center"/>
                </w:tcPr>
                <w:p w14:paraId="01313D4A">
                  <w:pPr>
                    <w:jc w:val="center"/>
                    <w:textAlignment w:val="center"/>
                    <w:rPr>
                      <w:color w:val="auto"/>
                      <w:szCs w:val="21"/>
                      <w:u w:val="single"/>
                    </w:rPr>
                  </w:pPr>
                  <w:r>
                    <w:rPr>
                      <w:color w:val="auto"/>
                      <w:szCs w:val="21"/>
                      <w:u w:val="single"/>
                    </w:rPr>
                    <w:t>达标</w:t>
                  </w:r>
                </w:p>
              </w:tc>
            </w:tr>
          </w:tbl>
          <w:p w14:paraId="48C2F2B4">
            <w:pPr>
              <w:tabs>
                <w:tab w:val="left" w:pos="540"/>
              </w:tabs>
              <w:spacing w:line="360" w:lineRule="auto"/>
              <w:ind w:firstLine="480" w:firstLineChars="200"/>
              <w:jc w:val="left"/>
              <w:rPr>
                <w:color w:val="auto"/>
                <w:sz w:val="24"/>
                <w:u w:val="single"/>
              </w:rPr>
            </w:pPr>
            <w:r>
              <w:rPr>
                <w:rFonts w:hint="eastAsia"/>
                <w:color w:val="auto"/>
                <w:sz w:val="24"/>
                <w:u w:val="single"/>
              </w:rPr>
              <w:t>由上表预测结果可知本项目建成后正常运行时，厂界噪声能够达到</w:t>
            </w:r>
            <w:r>
              <w:rPr>
                <w:color w:val="auto"/>
                <w:sz w:val="24"/>
                <w:u w:val="single"/>
              </w:rPr>
              <w:t>《工业企业厂界环境噪声排放标准》（GB12348-2008）3类标准</w:t>
            </w:r>
            <w:r>
              <w:rPr>
                <w:rFonts w:hint="eastAsia"/>
                <w:color w:val="auto"/>
                <w:sz w:val="24"/>
                <w:u w:val="single"/>
              </w:rPr>
              <w:t>。</w:t>
            </w:r>
          </w:p>
          <w:p w14:paraId="79E5D08F">
            <w:pPr>
              <w:pStyle w:val="38"/>
              <w:spacing w:line="360" w:lineRule="auto"/>
              <w:ind w:firstLine="482" w:firstLineChars="200"/>
              <w:jc w:val="left"/>
              <w:rPr>
                <w:rFonts w:ascii="Times New Roman" w:hAnsi="Times New Roman" w:cs="Times New Roman"/>
                <w:b/>
                <w:bCs/>
                <w:color w:val="auto"/>
                <w:u w:val="single"/>
              </w:rPr>
            </w:pPr>
            <w:r>
              <w:rPr>
                <w:rFonts w:hint="eastAsia" w:ascii="Times New Roman" w:hAnsi="Times New Roman" w:cs="Times New Roman"/>
                <w:b/>
                <w:bCs/>
                <w:color w:val="auto"/>
                <w:u w:val="single"/>
              </w:rPr>
              <w:t>（3）噪声排放管理</w:t>
            </w:r>
          </w:p>
          <w:p w14:paraId="007EF0BE">
            <w:pPr>
              <w:spacing w:line="360" w:lineRule="auto"/>
              <w:ind w:firstLine="480" w:firstLineChars="200"/>
              <w:rPr>
                <w:color w:val="auto"/>
                <w:sz w:val="24"/>
                <w:u w:val="single"/>
              </w:rPr>
            </w:pPr>
            <w:r>
              <w:rPr>
                <w:rFonts w:hint="eastAsia"/>
                <w:color w:val="auto"/>
                <w:sz w:val="24"/>
                <w:u w:val="single"/>
              </w:rPr>
              <w:t>为保证厂界噪声达标以及给现场生产员工一个较好的工作环境，建议建设单位对生产设备采取以下措施进行噪声防治：</w:t>
            </w:r>
          </w:p>
          <w:p w14:paraId="20E666FE">
            <w:pPr>
              <w:spacing w:line="360" w:lineRule="auto"/>
              <w:ind w:firstLine="480" w:firstLineChars="200"/>
              <w:rPr>
                <w:color w:val="auto"/>
                <w:sz w:val="24"/>
                <w:u w:val="single"/>
              </w:rPr>
            </w:pPr>
            <w:r>
              <w:rPr>
                <w:rFonts w:hint="eastAsia"/>
                <w:color w:val="auto"/>
                <w:sz w:val="24"/>
                <w:u w:val="single"/>
              </w:rPr>
              <w:t>（1）对设备进行合理布局，将高噪声设备放置在远离厂界的位置，并对其加强基础减振及支撑结构措施，如采用橡胶隔振垫。</w:t>
            </w:r>
          </w:p>
          <w:p w14:paraId="4209DA11">
            <w:pPr>
              <w:spacing w:line="360" w:lineRule="auto"/>
              <w:ind w:firstLine="480" w:firstLineChars="200"/>
              <w:rPr>
                <w:color w:val="auto"/>
                <w:sz w:val="24"/>
                <w:u w:val="single"/>
              </w:rPr>
            </w:pPr>
            <w:r>
              <w:rPr>
                <w:rFonts w:hint="eastAsia"/>
                <w:color w:val="auto"/>
                <w:sz w:val="24"/>
                <w:u w:val="single"/>
              </w:rPr>
              <w:t>（2）对高噪声设备采取消音、隔音和减震等措施，如在生产设备与车间地面之安装弹簧或性减震器，在生产车间窗户安装隔声等。</w:t>
            </w:r>
          </w:p>
          <w:p w14:paraId="0EFFA192">
            <w:pPr>
              <w:spacing w:line="360" w:lineRule="auto"/>
              <w:ind w:firstLine="480" w:firstLineChars="200"/>
              <w:rPr>
                <w:color w:val="auto"/>
                <w:sz w:val="24"/>
                <w:u w:val="single"/>
              </w:rPr>
            </w:pPr>
            <w:r>
              <w:rPr>
                <w:rFonts w:hint="eastAsia"/>
                <w:color w:val="auto"/>
                <w:sz w:val="24"/>
                <w:u w:val="single"/>
              </w:rPr>
              <w:t>（3）合理安排作业时间，加强作业管理，减少非正常噪声。</w:t>
            </w:r>
          </w:p>
          <w:p w14:paraId="7FE622AB">
            <w:pPr>
              <w:spacing w:line="360" w:lineRule="auto"/>
              <w:ind w:firstLine="480" w:firstLineChars="200"/>
              <w:rPr>
                <w:color w:val="auto"/>
                <w:sz w:val="24"/>
                <w:u w:val="single"/>
              </w:rPr>
            </w:pPr>
            <w:r>
              <w:rPr>
                <w:rFonts w:hint="eastAsia"/>
                <w:color w:val="auto"/>
                <w:sz w:val="24"/>
                <w:u w:val="single"/>
              </w:rPr>
              <w:t>（4）定期做好设备的保养与日常维护，维持厂内设备处于良好的运转状态，减少因零部件磨损产生的噪声。</w:t>
            </w:r>
          </w:p>
          <w:p w14:paraId="3ACD0903">
            <w:pPr>
              <w:spacing w:line="360" w:lineRule="auto"/>
              <w:ind w:firstLine="480" w:firstLineChars="200"/>
              <w:rPr>
                <w:color w:val="auto"/>
                <w:sz w:val="24"/>
                <w:u w:val="single"/>
              </w:rPr>
            </w:pPr>
            <w:r>
              <w:rPr>
                <w:rFonts w:hint="eastAsia"/>
                <w:color w:val="auto"/>
                <w:sz w:val="24"/>
                <w:u w:val="single"/>
              </w:rPr>
              <w:t>（5）在尽量满足机器特性参数的情况下选用低噪声设备，对强噪声生产设备应设置减振底座，必要时设置隔声屏障。</w:t>
            </w:r>
          </w:p>
          <w:p w14:paraId="66DF7A8D">
            <w:pPr>
              <w:spacing w:line="360" w:lineRule="auto"/>
              <w:ind w:firstLine="480" w:firstLineChars="200"/>
              <w:rPr>
                <w:color w:val="auto"/>
                <w:sz w:val="24"/>
                <w:u w:val="single"/>
              </w:rPr>
            </w:pPr>
            <w:r>
              <w:rPr>
                <w:rFonts w:hint="eastAsia"/>
                <w:color w:val="auto"/>
                <w:sz w:val="24"/>
                <w:u w:val="single"/>
              </w:rPr>
              <w:t>上述措施经落实后，生产过程中产生的噪声经隔声、减振以及距离衰减后该项目厂界噪声值可满足《工业企业厂界环境噪声排放标准》（GB12348-2008）3类标准，在此条件下，项目噪声对周围环境影响较小。</w:t>
            </w:r>
          </w:p>
          <w:p w14:paraId="266D517C">
            <w:pPr>
              <w:pStyle w:val="38"/>
              <w:spacing w:line="360" w:lineRule="auto"/>
              <w:ind w:firstLine="482" w:firstLineChars="200"/>
              <w:jc w:val="left"/>
              <w:rPr>
                <w:rFonts w:ascii="Times New Roman" w:hAnsi="Times New Roman" w:cs="Times New Roman"/>
                <w:b/>
                <w:bCs/>
                <w:color w:val="auto"/>
              </w:rPr>
            </w:pPr>
            <w:r>
              <w:rPr>
                <w:rFonts w:hint="eastAsia" w:ascii="Times New Roman" w:hAnsi="Times New Roman" w:cs="Times New Roman"/>
                <w:b/>
                <w:bCs/>
                <w:color w:val="auto"/>
              </w:rPr>
              <w:t>（4）噪声排放监测要求</w:t>
            </w:r>
          </w:p>
          <w:p w14:paraId="4ADBC8DB">
            <w:pPr>
              <w:spacing w:line="360" w:lineRule="auto"/>
              <w:ind w:firstLine="480" w:firstLineChars="200"/>
              <w:rPr>
                <w:color w:val="auto"/>
                <w:sz w:val="24"/>
              </w:rPr>
            </w:pPr>
            <w:r>
              <w:rPr>
                <w:color w:val="auto"/>
                <w:sz w:val="24"/>
              </w:rPr>
              <w:t>根据《排污单位自行监测技术指南  总则》（HJ819-2017）中的相应要求，监测计划详见下表。</w:t>
            </w:r>
          </w:p>
          <w:p w14:paraId="6CB545FC">
            <w:pPr>
              <w:autoSpaceDE w:val="0"/>
              <w:autoSpaceDN w:val="0"/>
              <w:spacing w:line="360" w:lineRule="auto"/>
              <w:jc w:val="center"/>
              <w:rPr>
                <w:rFonts w:cs="宋体"/>
                <w:b/>
                <w:color w:val="auto"/>
                <w:kern w:val="0"/>
                <w:szCs w:val="21"/>
                <w:lang w:bidi="ar"/>
              </w:rPr>
            </w:pPr>
            <w:r>
              <w:rPr>
                <w:rFonts w:hint="eastAsia" w:cs="宋体"/>
                <w:b/>
                <w:color w:val="auto"/>
                <w:kern w:val="0"/>
                <w:szCs w:val="21"/>
                <w:lang w:bidi="ar"/>
              </w:rPr>
              <w:t>表4-18  营运期噪声监测计划表</w:t>
            </w:r>
          </w:p>
          <w:tbl>
            <w:tblPr>
              <w:tblStyle w:val="30"/>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304"/>
              <w:gridCol w:w="1085"/>
              <w:gridCol w:w="1807"/>
              <w:gridCol w:w="3476"/>
            </w:tblGrid>
            <w:tr w14:paraId="4FA177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3" w:type="pct"/>
                  <w:tcBorders>
                    <w:tl2br w:val="nil"/>
                    <w:tr2bl w:val="nil"/>
                  </w:tcBorders>
                  <w:vAlign w:val="center"/>
                </w:tcPr>
                <w:p w14:paraId="014AB8E1">
                  <w:pPr>
                    <w:jc w:val="center"/>
                    <w:rPr>
                      <w:b/>
                      <w:bCs/>
                      <w:color w:val="auto"/>
                      <w:szCs w:val="21"/>
                    </w:rPr>
                  </w:pPr>
                  <w:r>
                    <w:rPr>
                      <w:b/>
                      <w:bCs/>
                      <w:color w:val="auto"/>
                      <w:szCs w:val="21"/>
                    </w:rPr>
                    <w:t>监测类别</w:t>
                  </w:r>
                </w:p>
              </w:tc>
              <w:tc>
                <w:tcPr>
                  <w:tcW w:w="740" w:type="pct"/>
                  <w:tcBorders>
                    <w:tl2br w:val="nil"/>
                    <w:tr2bl w:val="nil"/>
                  </w:tcBorders>
                  <w:vAlign w:val="center"/>
                </w:tcPr>
                <w:p w14:paraId="2AA34B9C">
                  <w:pPr>
                    <w:jc w:val="center"/>
                    <w:rPr>
                      <w:b/>
                      <w:bCs/>
                      <w:color w:val="auto"/>
                      <w:szCs w:val="21"/>
                    </w:rPr>
                  </w:pPr>
                  <w:r>
                    <w:rPr>
                      <w:b/>
                      <w:bCs/>
                      <w:color w:val="auto"/>
                      <w:szCs w:val="21"/>
                    </w:rPr>
                    <w:t>监测点</w:t>
                  </w:r>
                </w:p>
              </w:tc>
              <w:tc>
                <w:tcPr>
                  <w:tcW w:w="616" w:type="pct"/>
                  <w:tcBorders>
                    <w:tl2br w:val="nil"/>
                    <w:tr2bl w:val="nil"/>
                  </w:tcBorders>
                  <w:vAlign w:val="center"/>
                </w:tcPr>
                <w:p w14:paraId="5598582B">
                  <w:pPr>
                    <w:jc w:val="center"/>
                    <w:rPr>
                      <w:b/>
                      <w:bCs/>
                      <w:color w:val="auto"/>
                      <w:szCs w:val="21"/>
                    </w:rPr>
                  </w:pPr>
                  <w:r>
                    <w:rPr>
                      <w:b/>
                      <w:bCs/>
                      <w:color w:val="auto"/>
                      <w:szCs w:val="21"/>
                    </w:rPr>
                    <w:t>监测频次</w:t>
                  </w:r>
                </w:p>
              </w:tc>
              <w:tc>
                <w:tcPr>
                  <w:tcW w:w="1026" w:type="pct"/>
                  <w:tcBorders>
                    <w:tl2br w:val="nil"/>
                    <w:tr2bl w:val="nil"/>
                  </w:tcBorders>
                  <w:vAlign w:val="center"/>
                </w:tcPr>
                <w:p w14:paraId="507B4D50">
                  <w:pPr>
                    <w:jc w:val="center"/>
                    <w:rPr>
                      <w:b/>
                      <w:bCs/>
                      <w:color w:val="auto"/>
                      <w:szCs w:val="21"/>
                    </w:rPr>
                  </w:pPr>
                  <w:r>
                    <w:rPr>
                      <w:b/>
                      <w:bCs/>
                      <w:color w:val="auto"/>
                      <w:szCs w:val="21"/>
                    </w:rPr>
                    <w:t>监测内容</w:t>
                  </w:r>
                </w:p>
              </w:tc>
              <w:tc>
                <w:tcPr>
                  <w:tcW w:w="1973" w:type="pct"/>
                  <w:tcBorders>
                    <w:tl2br w:val="nil"/>
                    <w:tr2bl w:val="nil"/>
                  </w:tcBorders>
                  <w:vAlign w:val="center"/>
                </w:tcPr>
                <w:p w14:paraId="2551D692">
                  <w:pPr>
                    <w:jc w:val="center"/>
                    <w:rPr>
                      <w:b/>
                      <w:bCs/>
                      <w:color w:val="auto"/>
                      <w:szCs w:val="21"/>
                    </w:rPr>
                  </w:pPr>
                  <w:r>
                    <w:rPr>
                      <w:b/>
                      <w:bCs/>
                      <w:color w:val="auto"/>
                      <w:szCs w:val="21"/>
                    </w:rPr>
                    <w:t>执行标准</w:t>
                  </w:r>
                </w:p>
              </w:tc>
            </w:tr>
            <w:tr w14:paraId="68910D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3" w:type="pct"/>
                  <w:tcBorders>
                    <w:tl2br w:val="nil"/>
                    <w:tr2bl w:val="nil"/>
                  </w:tcBorders>
                  <w:vAlign w:val="center"/>
                </w:tcPr>
                <w:p w14:paraId="00622485">
                  <w:pPr>
                    <w:jc w:val="center"/>
                    <w:rPr>
                      <w:color w:val="auto"/>
                      <w:szCs w:val="21"/>
                    </w:rPr>
                  </w:pPr>
                  <w:r>
                    <w:rPr>
                      <w:color w:val="auto"/>
                      <w:szCs w:val="21"/>
                    </w:rPr>
                    <w:t>噪声</w:t>
                  </w:r>
                </w:p>
              </w:tc>
              <w:tc>
                <w:tcPr>
                  <w:tcW w:w="740" w:type="pct"/>
                  <w:tcBorders>
                    <w:tl2br w:val="nil"/>
                    <w:tr2bl w:val="nil"/>
                  </w:tcBorders>
                  <w:vAlign w:val="center"/>
                </w:tcPr>
                <w:p w14:paraId="501FA528">
                  <w:pPr>
                    <w:jc w:val="center"/>
                    <w:rPr>
                      <w:color w:val="auto"/>
                      <w:szCs w:val="21"/>
                    </w:rPr>
                  </w:pPr>
                  <w:r>
                    <w:rPr>
                      <w:color w:val="auto"/>
                      <w:kern w:val="24"/>
                      <w:szCs w:val="21"/>
                    </w:rPr>
                    <w:t>厂界四周外1m处</w:t>
                  </w:r>
                </w:p>
              </w:tc>
              <w:tc>
                <w:tcPr>
                  <w:tcW w:w="616" w:type="pct"/>
                  <w:tcBorders>
                    <w:tl2br w:val="nil"/>
                    <w:tr2bl w:val="nil"/>
                  </w:tcBorders>
                  <w:vAlign w:val="center"/>
                </w:tcPr>
                <w:p w14:paraId="690FDB21">
                  <w:pPr>
                    <w:jc w:val="center"/>
                    <w:rPr>
                      <w:color w:val="auto"/>
                      <w:szCs w:val="21"/>
                    </w:rPr>
                  </w:pPr>
                  <w:r>
                    <w:rPr>
                      <w:rFonts w:hint="eastAsia"/>
                      <w:color w:val="auto"/>
                      <w:szCs w:val="21"/>
                    </w:rPr>
                    <w:t>昼夜</w:t>
                  </w:r>
                  <w:r>
                    <w:rPr>
                      <w:color w:val="auto"/>
                      <w:szCs w:val="21"/>
                    </w:rPr>
                    <w:t>每季一次</w:t>
                  </w:r>
                </w:p>
              </w:tc>
              <w:tc>
                <w:tcPr>
                  <w:tcW w:w="1026" w:type="pct"/>
                  <w:tcBorders>
                    <w:tl2br w:val="nil"/>
                    <w:tr2bl w:val="nil"/>
                  </w:tcBorders>
                  <w:vAlign w:val="center"/>
                </w:tcPr>
                <w:p w14:paraId="205662EC">
                  <w:pPr>
                    <w:jc w:val="center"/>
                    <w:rPr>
                      <w:color w:val="auto"/>
                      <w:szCs w:val="21"/>
                    </w:rPr>
                  </w:pPr>
                  <w:r>
                    <w:rPr>
                      <w:color w:val="auto"/>
                      <w:kern w:val="24"/>
                      <w:szCs w:val="21"/>
                    </w:rPr>
                    <w:t>等效连续A声级</w:t>
                  </w:r>
                </w:p>
              </w:tc>
              <w:tc>
                <w:tcPr>
                  <w:tcW w:w="1973" w:type="pct"/>
                  <w:tcBorders>
                    <w:tl2br w:val="nil"/>
                    <w:tr2bl w:val="nil"/>
                  </w:tcBorders>
                </w:tcPr>
                <w:p w14:paraId="2D1DBAB9">
                  <w:pPr>
                    <w:jc w:val="center"/>
                    <w:rPr>
                      <w:color w:val="auto"/>
                      <w:szCs w:val="21"/>
                    </w:rPr>
                  </w:pPr>
                  <w:r>
                    <w:rPr>
                      <w:color w:val="auto"/>
                      <w:szCs w:val="21"/>
                    </w:rPr>
                    <w:t>《工业企业厂界环境噪声排放标准》（GB12348-2008）的3类标准</w:t>
                  </w:r>
                </w:p>
              </w:tc>
            </w:tr>
          </w:tbl>
          <w:p w14:paraId="1FC077A4">
            <w:pPr>
              <w:pStyle w:val="38"/>
              <w:spacing w:line="360" w:lineRule="auto"/>
              <w:jc w:val="left"/>
              <w:rPr>
                <w:rFonts w:ascii="Times New Roman" w:hAnsi="Times New Roman" w:cs="Times New Roman"/>
                <w:b/>
                <w:bCs/>
                <w:color w:val="auto"/>
              </w:rPr>
            </w:pPr>
            <w:r>
              <w:rPr>
                <w:rFonts w:hint="eastAsia" w:ascii="Times New Roman" w:cs="Times New Roman"/>
                <w:color w:val="auto"/>
                <w:sz w:val="21"/>
                <w:szCs w:val="21"/>
              </w:rPr>
              <w:t>注：</w:t>
            </w:r>
            <w:r>
              <w:rPr>
                <w:rFonts w:hint="eastAsia" w:ascii="Times New Roman" w:hAnsi="Times New Roman" w:cs="Times New Roman"/>
                <w:color w:val="auto"/>
                <w:sz w:val="21"/>
                <w:szCs w:val="21"/>
              </w:rPr>
              <w:t>夜间有频发、偶发噪声影响时，同时测量频发、偶发最大声级。</w:t>
            </w:r>
            <w:r>
              <w:rPr>
                <w:rFonts w:hint="eastAsia" w:ascii="Times New Roman" w:hAnsi="Times New Roman" w:cs="Times New Roman"/>
                <w:b/>
                <w:bCs/>
                <w:color w:val="auto"/>
              </w:rPr>
              <w:t xml:space="preserve"> </w:t>
            </w:r>
          </w:p>
          <w:p w14:paraId="35BA9DA1">
            <w:pPr>
              <w:pStyle w:val="38"/>
              <w:spacing w:line="360" w:lineRule="auto"/>
              <w:jc w:val="left"/>
              <w:rPr>
                <w:rFonts w:ascii="Times New Roman" w:hAnsi="Times New Roman" w:cs="Times New Roman"/>
                <w:color w:val="auto"/>
              </w:rPr>
            </w:pPr>
            <w:r>
              <w:rPr>
                <w:rFonts w:hint="eastAsia" w:ascii="Times New Roman" w:hAnsi="Times New Roman" w:cs="Times New Roman"/>
                <w:color w:val="auto"/>
              </w:rPr>
              <w:t>（5）声环境影响评价结论</w:t>
            </w:r>
          </w:p>
          <w:p w14:paraId="533DF52A">
            <w:pPr>
              <w:pStyle w:val="38"/>
              <w:spacing w:line="360" w:lineRule="auto"/>
              <w:ind w:firstLine="480" w:firstLineChars="200"/>
              <w:rPr>
                <w:rFonts w:ascii="Times New Roman" w:hAnsi="Times New Roman" w:cs="Times New Roman"/>
                <w:color w:val="auto"/>
              </w:rPr>
            </w:pPr>
            <w:r>
              <w:rPr>
                <w:rFonts w:hint="eastAsia" w:ascii="Times New Roman" w:hAnsi="Times New Roman" w:cs="Times New Roman"/>
                <w:color w:val="auto"/>
              </w:rPr>
              <w:t>项目厂界噪声贡献值能满足《工业企业厂界环境噪声排放标准》（GB12348-2008）中的3类标准要求，且项目运营期设备在采取以上相应措施后，项目运营期间所产生的噪声对厂界周围的声环境影响很小。</w:t>
            </w:r>
          </w:p>
          <w:p w14:paraId="0AF337A2">
            <w:pPr>
              <w:pStyle w:val="38"/>
              <w:spacing w:line="360" w:lineRule="auto"/>
              <w:jc w:val="left"/>
              <w:rPr>
                <w:rFonts w:ascii="Times New Roman" w:hAnsi="Times New Roman" w:cs="Times New Roman"/>
                <w:color w:val="auto"/>
              </w:rPr>
            </w:pPr>
            <w:r>
              <w:rPr>
                <w:rFonts w:hint="eastAsia" w:ascii="Times New Roman" w:hAnsi="Times New Roman" w:cs="Times New Roman"/>
                <w:color w:val="auto"/>
              </w:rPr>
              <w:t>4、固体废物</w:t>
            </w:r>
          </w:p>
          <w:p w14:paraId="2FAA007E">
            <w:pPr>
              <w:pStyle w:val="38"/>
              <w:spacing w:line="360" w:lineRule="auto"/>
              <w:jc w:val="left"/>
              <w:rPr>
                <w:rFonts w:ascii="Times New Roman" w:hAnsi="Times New Roman" w:cs="Times New Roman"/>
                <w:color w:val="auto"/>
              </w:rPr>
            </w:pPr>
            <w:r>
              <w:rPr>
                <w:rFonts w:hint="eastAsia" w:ascii="Times New Roman" w:hAnsi="Times New Roman" w:cs="Times New Roman"/>
                <w:color w:val="auto"/>
              </w:rPr>
              <w:t>（1）固体废物污染源排放情况</w:t>
            </w:r>
          </w:p>
          <w:p w14:paraId="27E1B5EB">
            <w:pPr>
              <w:autoSpaceDE w:val="0"/>
              <w:autoSpaceDN w:val="0"/>
              <w:adjustRightInd w:val="0"/>
              <w:spacing w:line="360" w:lineRule="auto"/>
              <w:ind w:firstLine="480"/>
              <w:rPr>
                <w:rFonts w:cs="宋体"/>
                <w:bCs/>
                <w:color w:val="auto"/>
                <w:sz w:val="24"/>
              </w:rPr>
            </w:pPr>
            <w:r>
              <w:rPr>
                <w:rFonts w:hint="eastAsia" w:cs="宋体"/>
                <w:color w:val="auto"/>
                <w:sz w:val="24"/>
              </w:rPr>
              <w:t>1）</w:t>
            </w:r>
            <w:r>
              <w:rPr>
                <w:rFonts w:hint="eastAsia" w:cs="宋体"/>
                <w:bCs/>
                <w:color w:val="auto"/>
                <w:sz w:val="24"/>
              </w:rPr>
              <w:t>生活垃圾</w:t>
            </w:r>
          </w:p>
          <w:p w14:paraId="190CD18A">
            <w:pPr>
              <w:tabs>
                <w:tab w:val="left" w:pos="4245"/>
              </w:tabs>
              <w:spacing w:line="360" w:lineRule="auto"/>
              <w:ind w:firstLine="480" w:firstLineChars="200"/>
              <w:rPr>
                <w:rFonts w:cs="宋体"/>
                <w:color w:val="auto"/>
                <w:sz w:val="24"/>
              </w:rPr>
            </w:pPr>
            <w:r>
              <w:rPr>
                <w:rFonts w:hint="eastAsia" w:cs="宋体"/>
                <w:color w:val="auto"/>
                <w:sz w:val="24"/>
              </w:rPr>
              <w:t>根据建设单位提供的资料，本项目员工25人，均不在项目厂区内食宿，员工产生垃圾量按每日每人0.5kg计算，则产生的生活垃圾量约为3.75t/a，经收集后交环卫部门清运处理。</w:t>
            </w:r>
          </w:p>
          <w:p w14:paraId="1BCF5475">
            <w:pPr>
              <w:tabs>
                <w:tab w:val="left" w:pos="4245"/>
              </w:tabs>
              <w:spacing w:line="360" w:lineRule="auto"/>
              <w:ind w:firstLine="480" w:firstLineChars="200"/>
              <w:rPr>
                <w:rFonts w:cs="宋体"/>
                <w:color w:val="auto"/>
                <w:sz w:val="24"/>
              </w:rPr>
            </w:pPr>
            <w:r>
              <w:rPr>
                <w:rFonts w:hint="eastAsia" w:cs="宋体"/>
                <w:color w:val="auto"/>
                <w:sz w:val="24"/>
              </w:rPr>
              <w:t>2）一般固废</w:t>
            </w:r>
          </w:p>
          <w:p w14:paraId="7BE7BE41">
            <w:pPr>
              <w:tabs>
                <w:tab w:val="left" w:pos="4245"/>
              </w:tabs>
              <w:spacing w:line="360" w:lineRule="auto"/>
              <w:ind w:firstLine="480" w:firstLineChars="200"/>
              <w:rPr>
                <w:rFonts w:cs="宋体"/>
                <w:color w:val="auto"/>
                <w:sz w:val="24"/>
              </w:rPr>
            </w:pPr>
            <w:r>
              <w:rPr>
                <w:rFonts w:hint="eastAsia" w:cs="宋体"/>
                <w:color w:val="auto"/>
                <w:sz w:val="24"/>
              </w:rPr>
              <w:t>废泡沫模具：本项目白模制造工序中消失模用泡沫板的切割会产生废泡沫模具，根据建设单位提供资料，该部分产生量为0.15t/a。废泡沫模具由建设单位收集后暂存一般固废暂存间，交物资回收单位处理。</w:t>
            </w:r>
          </w:p>
          <w:p w14:paraId="047AB4D5">
            <w:pPr>
              <w:tabs>
                <w:tab w:val="left" w:pos="4245"/>
              </w:tabs>
              <w:spacing w:line="360" w:lineRule="auto"/>
              <w:ind w:firstLine="480" w:firstLineChars="200"/>
              <w:rPr>
                <w:rFonts w:cs="宋体"/>
                <w:color w:val="auto"/>
                <w:sz w:val="24"/>
              </w:rPr>
            </w:pPr>
            <w:r>
              <w:rPr>
                <w:rFonts w:hint="eastAsia" w:cs="宋体"/>
                <w:color w:val="auto"/>
                <w:sz w:val="24"/>
              </w:rPr>
              <w:t>废包装材料：项目原材料拆卸包装以及成品包装时产生废包装材料，属一般工业固废，该部分产生量为0.2t/a。废包装材料由建设单位收集后暂存一般固废暂存间，交物资回收单位处理。</w:t>
            </w:r>
          </w:p>
          <w:p w14:paraId="72781489">
            <w:pPr>
              <w:tabs>
                <w:tab w:val="left" w:pos="4245"/>
              </w:tabs>
              <w:spacing w:line="360" w:lineRule="auto"/>
              <w:ind w:firstLine="480" w:firstLineChars="200"/>
              <w:rPr>
                <w:rFonts w:cs="宋体"/>
                <w:color w:val="auto"/>
                <w:sz w:val="24"/>
              </w:rPr>
            </w:pPr>
            <w:r>
              <w:rPr>
                <w:rFonts w:hint="eastAsia" w:cs="宋体"/>
                <w:color w:val="auto"/>
                <w:sz w:val="24"/>
              </w:rPr>
              <w:t>熔炉炉渣：根据建设单位提供的资料以及类比同类型项目，熔炉炉渣产生量约为熔融金属量的1%，项目熔融金属量5500t/a，则熔炉炉渣产生量约为55t/a。收集后可作为建筑材料再利用或铺路的原材料外售。</w:t>
            </w:r>
          </w:p>
          <w:p w14:paraId="03B8BEB7">
            <w:pPr>
              <w:tabs>
                <w:tab w:val="left" w:pos="4245"/>
              </w:tabs>
              <w:spacing w:line="360" w:lineRule="auto"/>
              <w:ind w:firstLine="480" w:firstLineChars="200"/>
              <w:rPr>
                <w:rFonts w:cs="宋体"/>
                <w:color w:val="auto"/>
                <w:sz w:val="24"/>
              </w:rPr>
            </w:pPr>
            <w:r>
              <w:rPr>
                <w:rFonts w:hint="eastAsia" w:cs="宋体"/>
                <w:color w:val="auto"/>
                <w:sz w:val="24"/>
              </w:rPr>
              <w:t>废砂：根据建设单位提供资料，石英砂循环使用，每年5%的损耗，本项目石英砂年用量为300t/a，故废石英砂产生量为15t/a，由建设单位收集后暂存一般固废暂存间，最后外售作为建筑材料。水玻璃铸造工艺中废硅砂产生量为300t/a，在一般固废暂存间暂存后，全部由厂家回收利用。</w:t>
            </w:r>
          </w:p>
          <w:p w14:paraId="6179182B">
            <w:pPr>
              <w:tabs>
                <w:tab w:val="left" w:pos="4245"/>
              </w:tabs>
              <w:spacing w:line="360" w:lineRule="auto"/>
              <w:ind w:firstLine="480" w:firstLineChars="200"/>
              <w:rPr>
                <w:rFonts w:cs="宋体"/>
                <w:color w:val="auto"/>
                <w:sz w:val="24"/>
              </w:rPr>
            </w:pPr>
            <w:r>
              <w:rPr>
                <w:rFonts w:hint="eastAsia" w:cs="宋体"/>
                <w:color w:val="auto"/>
                <w:sz w:val="24"/>
              </w:rPr>
              <w:t>除尘器粉尘：项目生产过程会产生粉尘，经除尘器收集，收集粉尘量为40.184t/a，收集后交由专业物资回收公司回收。</w:t>
            </w:r>
          </w:p>
          <w:p w14:paraId="7DA11178">
            <w:pPr>
              <w:tabs>
                <w:tab w:val="left" w:pos="4245"/>
              </w:tabs>
              <w:spacing w:line="360" w:lineRule="auto"/>
              <w:ind w:firstLine="480" w:firstLineChars="200"/>
              <w:rPr>
                <w:rFonts w:cs="宋体"/>
                <w:color w:val="auto"/>
                <w:sz w:val="24"/>
              </w:rPr>
            </w:pPr>
            <w:r>
              <w:rPr>
                <w:rFonts w:hint="eastAsia" w:cs="宋体"/>
                <w:color w:val="auto"/>
                <w:sz w:val="24"/>
              </w:rPr>
              <w:t>金属碎屑：项目在车、铣、钻工序中会产生少量金属废屑（含废边角料、金属渣等），根据建设单位提供资料，金属废屑（废边角料）产生量约为 30t/a，全部回用于熔炼铸造用。</w:t>
            </w:r>
          </w:p>
          <w:p w14:paraId="27281F5B">
            <w:pPr>
              <w:snapToGrid w:val="0"/>
              <w:spacing w:line="360" w:lineRule="auto"/>
              <w:ind w:firstLine="480" w:firstLineChars="200"/>
              <w:jc w:val="left"/>
              <w:rPr>
                <w:color w:val="auto"/>
                <w:sz w:val="24"/>
              </w:rPr>
            </w:pPr>
            <w:r>
              <w:rPr>
                <w:color w:val="auto"/>
                <w:sz w:val="24"/>
              </w:rPr>
              <w:t>不合格产品：在项目生产过程中，由于浇注失败等原因产生一定量的不合格铸件</w:t>
            </w:r>
            <w:r>
              <w:rPr>
                <w:rFonts w:hint="eastAsia"/>
                <w:color w:val="auto"/>
                <w:sz w:val="24"/>
              </w:rPr>
              <w:t>或</w:t>
            </w:r>
            <w:r>
              <w:rPr>
                <w:color w:val="auto"/>
                <w:sz w:val="24"/>
              </w:rPr>
              <w:t>残次品，产生量为</w:t>
            </w:r>
            <w:r>
              <w:rPr>
                <w:rFonts w:hint="eastAsia"/>
                <w:color w:val="auto"/>
                <w:sz w:val="24"/>
              </w:rPr>
              <w:t>10</w:t>
            </w:r>
            <w:r>
              <w:rPr>
                <w:color w:val="auto"/>
                <w:sz w:val="24"/>
              </w:rPr>
              <w:t>0t/a，暂存一般固废暂存间，最后重新熔化后浇铸</w:t>
            </w:r>
            <w:r>
              <w:rPr>
                <w:rFonts w:hint="eastAsia"/>
                <w:color w:val="auto"/>
                <w:sz w:val="24"/>
              </w:rPr>
              <w:t>回用</w:t>
            </w:r>
            <w:r>
              <w:rPr>
                <w:color w:val="auto"/>
                <w:sz w:val="24"/>
              </w:rPr>
              <w:t>。</w:t>
            </w:r>
          </w:p>
          <w:p w14:paraId="4947BC27">
            <w:pPr>
              <w:tabs>
                <w:tab w:val="left" w:pos="4245"/>
              </w:tabs>
              <w:spacing w:line="360" w:lineRule="auto"/>
              <w:ind w:firstLine="480" w:firstLineChars="200"/>
              <w:rPr>
                <w:rFonts w:cs="宋体"/>
                <w:color w:val="auto"/>
                <w:sz w:val="24"/>
              </w:rPr>
            </w:pPr>
            <w:r>
              <w:rPr>
                <w:rFonts w:hint="eastAsia" w:cs="宋体"/>
                <w:color w:val="auto"/>
                <w:sz w:val="24"/>
              </w:rPr>
              <w:t>3）危险废物</w:t>
            </w:r>
          </w:p>
          <w:p w14:paraId="6009F2B1">
            <w:pPr>
              <w:tabs>
                <w:tab w:val="left" w:pos="4245"/>
              </w:tabs>
              <w:spacing w:line="360" w:lineRule="auto"/>
              <w:ind w:firstLine="480" w:firstLineChars="200"/>
              <w:rPr>
                <w:rFonts w:cs="宋体"/>
                <w:color w:val="auto"/>
                <w:sz w:val="24"/>
              </w:rPr>
            </w:pPr>
            <w:r>
              <w:rPr>
                <w:rFonts w:hint="eastAsia" w:cs="宋体"/>
                <w:color w:val="auto"/>
                <w:sz w:val="24"/>
              </w:rPr>
              <w:t>废抹布和手套：项目在机械设备维修等操作过程中使用抹布擦拭清洁设备，将产生少量的含油废抹布和手套，根据企业提供的资料，含油废抹布和手套产生量约为0.05t/a。属于《国家危险废物名录（2021 年版）》中“HW49 其他废物/非特定行业/900-041-49/含有或沾染毒性、感染性危险废物的废弃包装物、容器、过滤吸附介质”，经收集后需交由有危险废物处理资质单位进行安全处置。</w:t>
            </w:r>
          </w:p>
          <w:p w14:paraId="78B057EC">
            <w:pPr>
              <w:tabs>
                <w:tab w:val="left" w:pos="4245"/>
              </w:tabs>
              <w:spacing w:line="360" w:lineRule="auto"/>
              <w:ind w:firstLine="480" w:firstLineChars="200"/>
              <w:rPr>
                <w:rFonts w:cs="宋体"/>
                <w:color w:val="auto"/>
                <w:sz w:val="24"/>
              </w:rPr>
            </w:pPr>
            <w:r>
              <w:rPr>
                <w:rFonts w:hint="eastAsia" w:cs="宋体"/>
                <w:color w:val="auto"/>
                <w:sz w:val="24"/>
              </w:rPr>
              <w:t>废机油：项目机械设备运行过程中需要定期维修保养产生废机油，废机油属于《国家危险废物名录（2021 年版）》中“HW08 废矿物油与含矿物油废物/非特定行业/900-217-08/使用工业齿轮油进行机械设备润滑过程中产生的废润滑油”。根据建设单位提供资料，废机油的产生量约为0.1t/a，定期收集后交由有资质的单位回收处理。</w:t>
            </w:r>
          </w:p>
          <w:p w14:paraId="202A00F5">
            <w:pPr>
              <w:tabs>
                <w:tab w:val="left" w:pos="4245"/>
              </w:tabs>
              <w:spacing w:line="360" w:lineRule="auto"/>
              <w:ind w:firstLine="480" w:firstLineChars="200"/>
              <w:rPr>
                <w:rFonts w:cs="宋体"/>
                <w:color w:val="auto"/>
                <w:sz w:val="24"/>
              </w:rPr>
            </w:pPr>
            <w:r>
              <w:rPr>
                <w:rFonts w:hint="eastAsia" w:cs="宋体"/>
                <w:color w:val="auto"/>
                <w:sz w:val="24"/>
              </w:rPr>
              <w:t>废油漆桶：项目油漆等原料使用后会产生空包装瓶或桶，根据企业提供的资料，产生量约为0.1t/a。属于《国家危险废物名录（2021 年版）》中“HW49 其他废物/非特定行业/900-041-49/含有或沾染毒性、感染性危险废物的废弃包装物、容器、过滤吸附介质”，经收集后需交由有危险废物处理资质单位进行安全处置。</w:t>
            </w:r>
          </w:p>
          <w:p w14:paraId="0673732D">
            <w:pPr>
              <w:tabs>
                <w:tab w:val="left" w:pos="4245"/>
              </w:tabs>
              <w:spacing w:line="360" w:lineRule="auto"/>
              <w:ind w:firstLine="480" w:firstLineChars="200"/>
              <w:rPr>
                <w:color w:val="auto"/>
                <w:sz w:val="24"/>
              </w:rPr>
            </w:pPr>
            <w:r>
              <w:rPr>
                <w:rFonts w:hint="eastAsia"/>
                <w:color w:val="auto"/>
                <w:sz w:val="24"/>
              </w:rPr>
              <w:t>漆渣：根据建设单位提供资料，</w:t>
            </w:r>
            <w:r>
              <w:rPr>
                <w:color w:val="auto"/>
                <w:sz w:val="24"/>
              </w:rPr>
              <w:t>喷漆过程中漆渣</w:t>
            </w:r>
            <w:r>
              <w:rPr>
                <w:rFonts w:hint="eastAsia"/>
                <w:color w:val="auto"/>
                <w:sz w:val="24"/>
              </w:rPr>
              <w:t>产生量为0.2</w:t>
            </w:r>
            <w:r>
              <w:rPr>
                <w:color w:val="auto"/>
                <w:sz w:val="24"/>
              </w:rPr>
              <w:t>t/a，该类废物属于《国家危险废物名录（2021年版）》HW</w:t>
            </w:r>
            <w:r>
              <w:rPr>
                <w:rFonts w:hint="eastAsia"/>
                <w:color w:val="auto"/>
                <w:sz w:val="24"/>
              </w:rPr>
              <w:t>12染料、涂料废物</w:t>
            </w:r>
            <w:r>
              <w:rPr>
                <w:color w:val="auto"/>
                <w:sz w:val="24"/>
              </w:rPr>
              <w:t>中</w:t>
            </w:r>
            <w:r>
              <w:rPr>
                <w:rFonts w:hint="eastAsia"/>
                <w:color w:val="auto"/>
                <w:sz w:val="24"/>
              </w:rPr>
              <w:t>非特定行业</w:t>
            </w:r>
            <w:r>
              <w:rPr>
                <w:color w:val="auto"/>
                <w:sz w:val="24"/>
              </w:rPr>
              <w:t>的900-252-12使用油漆（不包括水性漆）、有机溶剂进行喷漆、上漆过程中产生的废物，收集后分类暂存于危废暂存间内，定期委托有资质的单位处置。</w:t>
            </w:r>
          </w:p>
          <w:p w14:paraId="1616335B">
            <w:pPr>
              <w:tabs>
                <w:tab w:val="left" w:pos="4245"/>
              </w:tabs>
              <w:spacing w:line="360" w:lineRule="auto"/>
              <w:ind w:firstLine="480" w:firstLineChars="200"/>
              <w:rPr>
                <w:rFonts w:cs="宋体"/>
                <w:color w:val="auto"/>
                <w:sz w:val="24"/>
              </w:rPr>
            </w:pPr>
            <w:r>
              <w:rPr>
                <w:rFonts w:hint="eastAsia" w:cs="宋体"/>
                <w:color w:val="auto"/>
                <w:sz w:val="24"/>
              </w:rPr>
              <w:t>漆雾过滤棉：项目废气处理过程中使用过的废过滤棉产生量为1t/a，根据《国家危险废物名录（2021年版）》，属于危险废物（HW49 900-041-49）。暂存于危废暂存间，定期交由有资质单位处理。</w:t>
            </w:r>
          </w:p>
          <w:p w14:paraId="6CBCF1C3">
            <w:pPr>
              <w:tabs>
                <w:tab w:val="left" w:pos="4245"/>
              </w:tabs>
              <w:spacing w:line="360" w:lineRule="auto"/>
              <w:ind w:firstLine="480" w:firstLineChars="200"/>
              <w:rPr>
                <w:rFonts w:cs="宋体"/>
                <w:color w:val="auto"/>
                <w:sz w:val="24"/>
                <w:u w:val="single"/>
              </w:rPr>
            </w:pPr>
            <w:r>
              <w:rPr>
                <w:rFonts w:hint="eastAsia" w:cs="宋体"/>
                <w:color w:val="auto"/>
                <w:sz w:val="24"/>
                <w:u w:val="single"/>
              </w:rPr>
              <w:t>废活性炭：项目有机废气处理过程中会产生一定量的废活性炭，该类废物属于《国家危险废物名录（2021年版）》HW49其他废物中非特定行业的900-039-49烟气、VOCs治理过程产生的废活性炭。暂存于危废暂存间，定期交由有资质单位处理。</w:t>
            </w:r>
          </w:p>
          <w:p w14:paraId="2793BF86">
            <w:pPr>
              <w:tabs>
                <w:tab w:val="left" w:pos="4245"/>
              </w:tabs>
              <w:spacing w:line="360" w:lineRule="auto"/>
              <w:ind w:firstLine="480" w:firstLineChars="200"/>
              <w:rPr>
                <w:rFonts w:cs="宋体"/>
                <w:color w:val="auto"/>
                <w:sz w:val="24"/>
                <w:u w:val="single"/>
              </w:rPr>
            </w:pPr>
            <w:r>
              <w:rPr>
                <w:rFonts w:hint="eastAsia" w:cs="宋体"/>
                <w:color w:val="auto"/>
                <w:sz w:val="24"/>
                <w:u w:val="single"/>
              </w:rPr>
              <w:t>参考江苏省生态环境厅2021年7月印发的《关于将排污单位活性炭使用更换纳入排污许可管理的通知》中的活性炭更换周期公式重新计算更换周期。</w:t>
            </w:r>
          </w:p>
          <w:p w14:paraId="6A2750EB">
            <w:pPr>
              <w:tabs>
                <w:tab w:val="left" w:pos="4245"/>
              </w:tabs>
              <w:spacing w:line="360" w:lineRule="auto"/>
              <w:ind w:firstLine="480" w:firstLineChars="200"/>
              <w:rPr>
                <w:rFonts w:cs="宋体"/>
                <w:color w:val="auto"/>
                <w:sz w:val="24"/>
                <w:u w:val="single"/>
              </w:rPr>
            </w:pPr>
            <w:r>
              <w:rPr>
                <w:rFonts w:hint="eastAsia" w:cs="宋体"/>
                <w:color w:val="auto"/>
                <w:sz w:val="24"/>
                <w:u w:val="single"/>
              </w:rPr>
              <w:t>T=m×s÷（c×10</w:t>
            </w:r>
            <w:r>
              <w:rPr>
                <w:rFonts w:hint="eastAsia" w:cs="宋体"/>
                <w:color w:val="auto"/>
                <w:sz w:val="24"/>
                <w:u w:val="single"/>
                <w:vertAlign w:val="superscript"/>
              </w:rPr>
              <w:t>-6</w:t>
            </w:r>
            <w:r>
              <w:rPr>
                <w:rFonts w:hint="eastAsia" w:cs="宋体"/>
                <w:color w:val="auto"/>
                <w:sz w:val="24"/>
                <w:u w:val="single"/>
              </w:rPr>
              <w:t>×Q×t）</w:t>
            </w:r>
          </w:p>
          <w:p w14:paraId="01582E07">
            <w:pPr>
              <w:tabs>
                <w:tab w:val="left" w:pos="4245"/>
              </w:tabs>
              <w:spacing w:line="360" w:lineRule="auto"/>
              <w:ind w:firstLine="480" w:firstLineChars="200"/>
              <w:rPr>
                <w:rFonts w:cs="宋体"/>
                <w:color w:val="auto"/>
                <w:sz w:val="24"/>
                <w:u w:val="single"/>
              </w:rPr>
            </w:pPr>
            <w:r>
              <w:rPr>
                <w:rFonts w:hint="eastAsia" w:cs="宋体"/>
                <w:color w:val="auto"/>
                <w:sz w:val="24"/>
                <w:u w:val="single"/>
              </w:rPr>
              <w:t>式中：</w:t>
            </w:r>
          </w:p>
          <w:p w14:paraId="2EEA702D">
            <w:pPr>
              <w:tabs>
                <w:tab w:val="left" w:pos="4245"/>
              </w:tabs>
              <w:spacing w:line="360" w:lineRule="auto"/>
              <w:ind w:firstLine="480" w:firstLineChars="200"/>
              <w:rPr>
                <w:rFonts w:cs="宋体"/>
                <w:color w:val="auto"/>
                <w:sz w:val="24"/>
                <w:u w:val="single"/>
              </w:rPr>
            </w:pPr>
            <w:r>
              <w:rPr>
                <w:rFonts w:hint="eastAsia" w:cs="宋体"/>
                <w:color w:val="auto"/>
                <w:sz w:val="24"/>
                <w:u w:val="single"/>
              </w:rPr>
              <w:t>T—更换周期，天；</w:t>
            </w:r>
          </w:p>
          <w:p w14:paraId="72DE3993">
            <w:pPr>
              <w:tabs>
                <w:tab w:val="left" w:pos="4245"/>
              </w:tabs>
              <w:spacing w:line="360" w:lineRule="auto"/>
              <w:ind w:firstLine="480" w:firstLineChars="200"/>
              <w:rPr>
                <w:rFonts w:cs="宋体"/>
                <w:color w:val="auto"/>
                <w:sz w:val="24"/>
                <w:u w:val="single"/>
              </w:rPr>
            </w:pPr>
            <w:r>
              <w:rPr>
                <w:rFonts w:hint="eastAsia" w:cs="宋体"/>
                <w:color w:val="auto"/>
                <w:sz w:val="24"/>
                <w:u w:val="single"/>
              </w:rPr>
              <w:t>m—活性炭的用量，kg；</w:t>
            </w:r>
          </w:p>
          <w:p w14:paraId="5253AFD4">
            <w:pPr>
              <w:tabs>
                <w:tab w:val="left" w:pos="4245"/>
              </w:tabs>
              <w:spacing w:line="360" w:lineRule="auto"/>
              <w:ind w:firstLine="480" w:firstLineChars="200"/>
              <w:rPr>
                <w:rFonts w:cs="宋体"/>
                <w:color w:val="auto"/>
                <w:sz w:val="24"/>
                <w:u w:val="single"/>
              </w:rPr>
            </w:pPr>
            <w:r>
              <w:rPr>
                <w:rFonts w:hint="eastAsia" w:cs="宋体"/>
                <w:color w:val="auto"/>
                <w:sz w:val="24"/>
                <w:u w:val="single"/>
              </w:rPr>
              <w:t>s—动态吸附量，%；（一般取值10%）</w:t>
            </w:r>
          </w:p>
          <w:p w14:paraId="6F8D3E24">
            <w:pPr>
              <w:tabs>
                <w:tab w:val="left" w:pos="4245"/>
              </w:tabs>
              <w:spacing w:line="360" w:lineRule="auto"/>
              <w:ind w:firstLine="480" w:firstLineChars="200"/>
              <w:rPr>
                <w:rFonts w:cs="宋体"/>
                <w:color w:val="auto"/>
                <w:sz w:val="24"/>
                <w:u w:val="single"/>
              </w:rPr>
            </w:pPr>
            <w:r>
              <w:rPr>
                <w:rFonts w:hint="eastAsia" w:cs="宋体"/>
                <w:color w:val="auto"/>
                <w:sz w:val="24"/>
                <w:u w:val="single"/>
              </w:rPr>
              <w:t>c—活性炭削减的VOCs浓度，mg/m</w:t>
            </w:r>
            <w:r>
              <w:rPr>
                <w:rFonts w:hint="eastAsia" w:cs="宋体"/>
                <w:color w:val="auto"/>
                <w:sz w:val="24"/>
                <w:u w:val="single"/>
                <w:vertAlign w:val="superscript"/>
              </w:rPr>
              <w:t>3</w:t>
            </w:r>
            <w:r>
              <w:rPr>
                <w:rFonts w:hint="eastAsia" w:cs="宋体"/>
                <w:color w:val="auto"/>
                <w:sz w:val="24"/>
                <w:u w:val="single"/>
              </w:rPr>
              <w:t>；</w:t>
            </w:r>
          </w:p>
          <w:p w14:paraId="1895DB06">
            <w:pPr>
              <w:tabs>
                <w:tab w:val="left" w:pos="4245"/>
              </w:tabs>
              <w:spacing w:line="360" w:lineRule="auto"/>
              <w:ind w:firstLine="480" w:firstLineChars="200"/>
              <w:rPr>
                <w:rFonts w:cs="宋体"/>
                <w:color w:val="auto"/>
                <w:sz w:val="24"/>
                <w:u w:val="single"/>
              </w:rPr>
            </w:pPr>
            <w:r>
              <w:rPr>
                <w:rFonts w:hint="eastAsia" w:cs="宋体"/>
                <w:color w:val="auto"/>
                <w:sz w:val="24"/>
                <w:u w:val="single"/>
              </w:rPr>
              <w:t>Q—风量，单位m</w:t>
            </w:r>
            <w:r>
              <w:rPr>
                <w:rFonts w:hint="eastAsia" w:cs="宋体"/>
                <w:color w:val="auto"/>
                <w:sz w:val="24"/>
                <w:u w:val="single"/>
                <w:vertAlign w:val="superscript"/>
              </w:rPr>
              <w:t>3</w:t>
            </w:r>
            <w:r>
              <w:rPr>
                <w:rFonts w:hint="eastAsia" w:cs="宋体"/>
                <w:color w:val="auto"/>
                <w:sz w:val="24"/>
                <w:u w:val="single"/>
              </w:rPr>
              <w:t>/h；</w:t>
            </w:r>
          </w:p>
          <w:p w14:paraId="4800370B">
            <w:pPr>
              <w:tabs>
                <w:tab w:val="left" w:pos="4245"/>
              </w:tabs>
              <w:spacing w:line="360" w:lineRule="auto"/>
              <w:ind w:firstLine="480" w:firstLineChars="200"/>
              <w:rPr>
                <w:rFonts w:cs="宋体"/>
                <w:color w:val="auto"/>
                <w:sz w:val="24"/>
                <w:u w:val="single"/>
              </w:rPr>
            </w:pPr>
            <w:r>
              <w:rPr>
                <w:rFonts w:hint="eastAsia" w:cs="宋体"/>
                <w:color w:val="auto"/>
                <w:sz w:val="24"/>
                <w:u w:val="single"/>
              </w:rPr>
              <w:t>t—运行时间，单位h/d。</w:t>
            </w:r>
          </w:p>
          <w:p w14:paraId="4B4C6DDF">
            <w:pPr>
              <w:tabs>
                <w:tab w:val="left" w:pos="4245"/>
              </w:tabs>
              <w:spacing w:line="360" w:lineRule="auto"/>
              <w:ind w:firstLine="480" w:firstLineChars="200"/>
              <w:rPr>
                <w:rFonts w:cs="宋体"/>
                <w:color w:val="auto"/>
                <w:sz w:val="24"/>
                <w:u w:val="single"/>
              </w:rPr>
            </w:pPr>
            <w:r>
              <w:rPr>
                <w:rFonts w:hint="eastAsia" w:cs="宋体"/>
                <w:color w:val="auto"/>
                <w:sz w:val="24"/>
                <w:u w:val="single"/>
              </w:rPr>
              <w:t>根据上述公式计算，活性炭装填量均按</w:t>
            </w:r>
            <w:r>
              <w:rPr>
                <w:rFonts w:hint="eastAsia" w:cs="宋体"/>
                <w:color w:val="auto"/>
                <w:sz w:val="24"/>
                <w:u w:val="single"/>
                <w:lang w:val="en-US" w:eastAsia="zh-CN"/>
              </w:rPr>
              <w:t>100</w:t>
            </w:r>
            <w:r>
              <w:rPr>
                <w:rFonts w:hint="eastAsia" w:cs="宋体"/>
                <w:color w:val="auto"/>
                <w:sz w:val="24"/>
                <w:u w:val="single"/>
              </w:rPr>
              <w:t>0kg计，发泡、切割工序废气处理设施中活性炭更换周期为</w:t>
            </w:r>
            <w:r>
              <w:rPr>
                <w:rFonts w:hint="eastAsia" w:cs="宋体"/>
                <w:color w:val="auto"/>
                <w:sz w:val="24"/>
                <w:u w:val="single"/>
                <w:lang w:val="en-US" w:eastAsia="zh-CN"/>
              </w:rPr>
              <w:t>138</w:t>
            </w:r>
            <w:r>
              <w:rPr>
                <w:rFonts w:hint="eastAsia" w:cs="宋体"/>
                <w:color w:val="auto"/>
                <w:sz w:val="24"/>
                <w:u w:val="single"/>
              </w:rPr>
              <w:t>d，浇注工序活性炭更换周期为</w:t>
            </w:r>
            <w:r>
              <w:rPr>
                <w:rFonts w:hint="eastAsia" w:cs="宋体"/>
                <w:color w:val="auto"/>
                <w:sz w:val="24"/>
                <w:u w:val="single"/>
                <w:lang w:val="en-US" w:eastAsia="zh-CN"/>
              </w:rPr>
              <w:t>20</w:t>
            </w:r>
            <w:r>
              <w:rPr>
                <w:rFonts w:hint="eastAsia" w:cs="宋体"/>
                <w:color w:val="auto"/>
                <w:sz w:val="24"/>
                <w:u w:val="single"/>
              </w:rPr>
              <w:t>d，喷涂工序活性炭更换周期为</w:t>
            </w:r>
            <w:r>
              <w:rPr>
                <w:rFonts w:hint="eastAsia" w:cs="宋体"/>
                <w:color w:val="auto"/>
                <w:sz w:val="24"/>
                <w:u w:val="single"/>
                <w:lang w:val="en-US" w:eastAsia="zh-CN"/>
              </w:rPr>
              <w:t>56</w:t>
            </w:r>
            <w:r>
              <w:rPr>
                <w:rFonts w:hint="eastAsia" w:cs="宋体"/>
                <w:color w:val="auto"/>
                <w:sz w:val="24"/>
                <w:u w:val="single"/>
              </w:rPr>
              <w:t>d。</w:t>
            </w:r>
          </w:p>
          <w:p w14:paraId="4E1FEBC9">
            <w:pPr>
              <w:tabs>
                <w:tab w:val="left" w:pos="4245"/>
              </w:tabs>
              <w:spacing w:line="360" w:lineRule="auto"/>
              <w:ind w:firstLine="480" w:firstLineChars="200"/>
              <w:rPr>
                <w:rFonts w:cs="宋体"/>
                <w:color w:val="auto"/>
                <w:sz w:val="24"/>
                <w:u w:val="single"/>
              </w:rPr>
            </w:pPr>
            <w:r>
              <w:rPr>
                <w:rFonts w:hint="eastAsia" w:cs="宋体"/>
                <w:color w:val="auto"/>
                <w:sz w:val="24"/>
                <w:u w:val="single"/>
              </w:rPr>
              <w:t>根据计算得到的活性炭更换周期，按年折算，废活性炭产生量为</w:t>
            </w:r>
            <w:r>
              <w:rPr>
                <w:rFonts w:hint="eastAsia" w:cs="宋体"/>
                <w:color w:val="auto"/>
                <w:sz w:val="24"/>
                <w:u w:val="single"/>
                <w:lang w:val="en-US" w:eastAsia="zh-CN"/>
              </w:rPr>
              <w:t>21.17</w:t>
            </w:r>
            <w:r>
              <w:rPr>
                <w:rFonts w:hint="eastAsia" w:cs="宋体"/>
                <w:color w:val="auto"/>
                <w:sz w:val="24"/>
                <w:u w:val="single"/>
              </w:rPr>
              <w:t>t/a。</w:t>
            </w:r>
          </w:p>
          <w:p w14:paraId="39A56DD0">
            <w:pPr>
              <w:widowControl/>
              <w:tabs>
                <w:tab w:val="left" w:pos="4245"/>
              </w:tabs>
              <w:spacing w:line="360" w:lineRule="auto"/>
              <w:jc w:val="center"/>
              <w:rPr>
                <w:rFonts w:cs="宋体"/>
                <w:b/>
                <w:bCs/>
                <w:color w:val="auto"/>
                <w:szCs w:val="21"/>
              </w:rPr>
            </w:pPr>
            <w:r>
              <w:rPr>
                <w:rFonts w:hint="eastAsia" w:cs="宋体"/>
                <w:b/>
                <w:bCs/>
                <w:color w:val="auto"/>
                <w:szCs w:val="21"/>
              </w:rPr>
              <w:t>表4-19  项目固体废物产生情况汇总表</w:t>
            </w:r>
          </w:p>
          <w:tbl>
            <w:tblPr>
              <w:tblStyle w:val="30"/>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1"/>
              <w:gridCol w:w="1685"/>
              <w:gridCol w:w="936"/>
              <w:gridCol w:w="1313"/>
              <w:gridCol w:w="1283"/>
              <w:gridCol w:w="1151"/>
              <w:gridCol w:w="1875"/>
            </w:tblGrid>
            <w:tr w14:paraId="42F7A89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1" w:type="pct"/>
                  <w:vAlign w:val="center"/>
                </w:tcPr>
                <w:p w14:paraId="1A729EB4">
                  <w:pPr>
                    <w:widowControl/>
                    <w:tabs>
                      <w:tab w:val="left" w:pos="4245"/>
                    </w:tabs>
                    <w:jc w:val="center"/>
                    <w:rPr>
                      <w:rFonts w:cs="宋体"/>
                      <w:color w:val="auto"/>
                      <w:szCs w:val="21"/>
                      <w:u w:val="single"/>
                    </w:rPr>
                  </w:pPr>
                  <w:r>
                    <w:rPr>
                      <w:rFonts w:hint="eastAsia" w:cs="宋体"/>
                      <w:color w:val="auto"/>
                      <w:szCs w:val="21"/>
                      <w:u w:val="single"/>
                    </w:rPr>
                    <w:t>序号</w:t>
                  </w:r>
                </w:p>
              </w:tc>
              <w:tc>
                <w:tcPr>
                  <w:tcW w:w="959" w:type="pct"/>
                  <w:vAlign w:val="center"/>
                </w:tcPr>
                <w:p w14:paraId="3A3F2693">
                  <w:pPr>
                    <w:widowControl/>
                    <w:tabs>
                      <w:tab w:val="left" w:pos="4245"/>
                    </w:tabs>
                    <w:jc w:val="center"/>
                    <w:rPr>
                      <w:rFonts w:cs="宋体"/>
                      <w:color w:val="auto"/>
                      <w:szCs w:val="21"/>
                      <w:u w:val="single"/>
                    </w:rPr>
                  </w:pPr>
                  <w:r>
                    <w:rPr>
                      <w:rFonts w:hint="eastAsia" w:cs="宋体"/>
                      <w:color w:val="auto"/>
                      <w:szCs w:val="21"/>
                      <w:u w:val="single"/>
                    </w:rPr>
                    <w:t>固废名称</w:t>
                  </w:r>
                </w:p>
              </w:tc>
              <w:tc>
                <w:tcPr>
                  <w:tcW w:w="534" w:type="pct"/>
                  <w:vAlign w:val="center"/>
                </w:tcPr>
                <w:p w14:paraId="23B79E4F">
                  <w:pPr>
                    <w:widowControl/>
                    <w:tabs>
                      <w:tab w:val="left" w:pos="4245"/>
                    </w:tabs>
                    <w:jc w:val="center"/>
                    <w:rPr>
                      <w:rFonts w:cs="宋体"/>
                      <w:color w:val="auto"/>
                      <w:szCs w:val="21"/>
                      <w:u w:val="single"/>
                    </w:rPr>
                  </w:pPr>
                  <w:r>
                    <w:rPr>
                      <w:rFonts w:hint="eastAsia" w:cs="宋体"/>
                      <w:color w:val="auto"/>
                      <w:szCs w:val="21"/>
                      <w:u w:val="single"/>
                    </w:rPr>
                    <w:t>固废属性</w:t>
                  </w:r>
                </w:p>
              </w:tc>
              <w:tc>
                <w:tcPr>
                  <w:tcW w:w="730" w:type="pct"/>
                  <w:vAlign w:val="center"/>
                </w:tcPr>
                <w:p w14:paraId="56410C6C">
                  <w:pPr>
                    <w:widowControl/>
                    <w:tabs>
                      <w:tab w:val="left" w:pos="4245"/>
                    </w:tabs>
                    <w:jc w:val="center"/>
                    <w:rPr>
                      <w:rFonts w:cs="宋体"/>
                      <w:color w:val="auto"/>
                      <w:szCs w:val="21"/>
                      <w:u w:val="single"/>
                    </w:rPr>
                  </w:pPr>
                  <w:r>
                    <w:rPr>
                      <w:rFonts w:hint="eastAsia" w:cs="宋体"/>
                      <w:color w:val="auto"/>
                      <w:szCs w:val="21"/>
                      <w:u w:val="single"/>
                    </w:rPr>
                    <w:t>代码</w:t>
                  </w:r>
                </w:p>
              </w:tc>
              <w:tc>
                <w:tcPr>
                  <w:tcW w:w="730" w:type="pct"/>
                  <w:vAlign w:val="center"/>
                </w:tcPr>
                <w:p w14:paraId="18866F44">
                  <w:pPr>
                    <w:widowControl/>
                    <w:tabs>
                      <w:tab w:val="left" w:pos="4245"/>
                    </w:tabs>
                    <w:jc w:val="center"/>
                    <w:rPr>
                      <w:rFonts w:cs="宋体"/>
                      <w:color w:val="auto"/>
                      <w:szCs w:val="21"/>
                      <w:u w:val="single"/>
                    </w:rPr>
                  </w:pPr>
                  <w:r>
                    <w:rPr>
                      <w:rFonts w:hint="eastAsia" w:cs="宋体"/>
                      <w:color w:val="auto"/>
                      <w:szCs w:val="21"/>
                      <w:u w:val="single"/>
                    </w:rPr>
                    <w:t>来源</w:t>
                  </w:r>
                </w:p>
              </w:tc>
              <w:tc>
                <w:tcPr>
                  <w:tcW w:w="655" w:type="pct"/>
                  <w:vAlign w:val="center"/>
                </w:tcPr>
                <w:p w14:paraId="786749FC">
                  <w:pPr>
                    <w:widowControl/>
                    <w:tabs>
                      <w:tab w:val="left" w:pos="4245"/>
                    </w:tabs>
                    <w:jc w:val="center"/>
                    <w:rPr>
                      <w:rFonts w:cs="宋体"/>
                      <w:color w:val="auto"/>
                      <w:szCs w:val="21"/>
                      <w:u w:val="single"/>
                    </w:rPr>
                  </w:pPr>
                  <w:r>
                    <w:rPr>
                      <w:rFonts w:hint="eastAsia" w:cs="宋体"/>
                      <w:color w:val="auto"/>
                      <w:szCs w:val="21"/>
                      <w:u w:val="single"/>
                    </w:rPr>
                    <w:t>产生量（t/a）</w:t>
                  </w:r>
                </w:p>
              </w:tc>
              <w:tc>
                <w:tcPr>
                  <w:tcW w:w="1066" w:type="pct"/>
                  <w:vAlign w:val="center"/>
                </w:tcPr>
                <w:p w14:paraId="2D8E30EC">
                  <w:pPr>
                    <w:widowControl/>
                    <w:tabs>
                      <w:tab w:val="left" w:pos="4245"/>
                    </w:tabs>
                    <w:jc w:val="center"/>
                    <w:rPr>
                      <w:rFonts w:cs="宋体"/>
                      <w:color w:val="auto"/>
                      <w:szCs w:val="21"/>
                      <w:u w:val="single"/>
                    </w:rPr>
                  </w:pPr>
                  <w:r>
                    <w:rPr>
                      <w:rFonts w:hint="eastAsia" w:cs="宋体"/>
                      <w:color w:val="auto"/>
                      <w:szCs w:val="21"/>
                      <w:u w:val="single"/>
                    </w:rPr>
                    <w:t>处置措施</w:t>
                  </w:r>
                </w:p>
              </w:tc>
            </w:tr>
            <w:tr w14:paraId="655EC10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1" w:type="pct"/>
                  <w:vAlign w:val="center"/>
                </w:tcPr>
                <w:p w14:paraId="320CC244">
                  <w:pPr>
                    <w:widowControl/>
                    <w:tabs>
                      <w:tab w:val="left" w:pos="4245"/>
                    </w:tabs>
                    <w:jc w:val="center"/>
                    <w:rPr>
                      <w:rFonts w:cs="宋体"/>
                      <w:color w:val="auto"/>
                      <w:szCs w:val="21"/>
                      <w:u w:val="single"/>
                    </w:rPr>
                  </w:pPr>
                  <w:r>
                    <w:rPr>
                      <w:rFonts w:hint="eastAsia" w:cs="宋体"/>
                      <w:color w:val="auto"/>
                      <w:szCs w:val="21"/>
                      <w:u w:val="single"/>
                    </w:rPr>
                    <w:t>1</w:t>
                  </w:r>
                </w:p>
              </w:tc>
              <w:tc>
                <w:tcPr>
                  <w:tcW w:w="959" w:type="pct"/>
                  <w:vAlign w:val="center"/>
                </w:tcPr>
                <w:p w14:paraId="2E8570C3">
                  <w:pPr>
                    <w:widowControl/>
                    <w:jc w:val="center"/>
                    <w:rPr>
                      <w:rFonts w:cs="宋体"/>
                      <w:color w:val="auto"/>
                      <w:szCs w:val="21"/>
                      <w:u w:val="single"/>
                    </w:rPr>
                  </w:pPr>
                  <w:r>
                    <w:rPr>
                      <w:rFonts w:hint="eastAsia"/>
                      <w:bCs/>
                      <w:color w:val="auto"/>
                      <w:szCs w:val="21"/>
                      <w:u w:val="single"/>
                    </w:rPr>
                    <w:t>生活垃圾</w:t>
                  </w:r>
                </w:p>
              </w:tc>
              <w:tc>
                <w:tcPr>
                  <w:tcW w:w="534" w:type="pct"/>
                  <w:vAlign w:val="center"/>
                </w:tcPr>
                <w:p w14:paraId="5043BC4F">
                  <w:pPr>
                    <w:jc w:val="center"/>
                    <w:rPr>
                      <w:rFonts w:cs="宋体"/>
                      <w:color w:val="auto"/>
                      <w:szCs w:val="21"/>
                      <w:u w:val="single"/>
                    </w:rPr>
                  </w:pPr>
                  <w:r>
                    <w:rPr>
                      <w:rFonts w:hint="eastAsia"/>
                      <w:color w:val="auto"/>
                      <w:position w:val="-6"/>
                      <w:szCs w:val="21"/>
                      <w:u w:val="single"/>
                    </w:rPr>
                    <w:t>生活垃圾</w:t>
                  </w:r>
                </w:p>
              </w:tc>
              <w:tc>
                <w:tcPr>
                  <w:tcW w:w="730" w:type="pct"/>
                  <w:vAlign w:val="center"/>
                </w:tcPr>
                <w:p w14:paraId="519C09E0">
                  <w:pPr>
                    <w:jc w:val="center"/>
                    <w:rPr>
                      <w:color w:val="auto"/>
                      <w:position w:val="-6"/>
                      <w:szCs w:val="21"/>
                      <w:u w:val="single"/>
                    </w:rPr>
                  </w:pPr>
                  <w:r>
                    <w:rPr>
                      <w:bCs/>
                      <w:color w:val="auto"/>
                    </w:rPr>
                    <w:t>900-002-S62</w:t>
                  </w:r>
                </w:p>
              </w:tc>
              <w:tc>
                <w:tcPr>
                  <w:tcW w:w="730" w:type="pct"/>
                  <w:vAlign w:val="center"/>
                </w:tcPr>
                <w:p w14:paraId="6A33B4C8">
                  <w:pPr>
                    <w:jc w:val="center"/>
                    <w:rPr>
                      <w:rFonts w:cs="宋体"/>
                      <w:color w:val="auto"/>
                      <w:szCs w:val="21"/>
                      <w:u w:val="single"/>
                    </w:rPr>
                  </w:pPr>
                  <w:r>
                    <w:rPr>
                      <w:rFonts w:hint="eastAsia"/>
                      <w:color w:val="auto"/>
                      <w:position w:val="-6"/>
                      <w:szCs w:val="21"/>
                      <w:u w:val="single"/>
                    </w:rPr>
                    <w:t>日常生活</w:t>
                  </w:r>
                </w:p>
              </w:tc>
              <w:tc>
                <w:tcPr>
                  <w:tcW w:w="655" w:type="pct"/>
                  <w:vAlign w:val="center"/>
                </w:tcPr>
                <w:p w14:paraId="5CAB57C3">
                  <w:pPr>
                    <w:widowControl/>
                    <w:jc w:val="center"/>
                    <w:rPr>
                      <w:rFonts w:cs="宋体"/>
                      <w:color w:val="auto"/>
                      <w:szCs w:val="21"/>
                      <w:u w:val="single"/>
                    </w:rPr>
                  </w:pPr>
                  <w:r>
                    <w:rPr>
                      <w:rFonts w:hint="eastAsia" w:cs="宋体"/>
                      <w:color w:val="auto"/>
                      <w:szCs w:val="21"/>
                      <w:u w:val="single"/>
                    </w:rPr>
                    <w:t>3.75</w:t>
                  </w:r>
                </w:p>
              </w:tc>
              <w:tc>
                <w:tcPr>
                  <w:tcW w:w="1066" w:type="pct"/>
                  <w:vAlign w:val="center"/>
                </w:tcPr>
                <w:p w14:paraId="3452BE64">
                  <w:pPr>
                    <w:widowControl/>
                    <w:jc w:val="center"/>
                    <w:rPr>
                      <w:rFonts w:cs="宋体"/>
                      <w:color w:val="auto"/>
                      <w:szCs w:val="21"/>
                      <w:u w:val="single"/>
                    </w:rPr>
                  </w:pPr>
                  <w:r>
                    <w:rPr>
                      <w:rFonts w:hint="eastAsia" w:cs="宋体"/>
                      <w:color w:val="auto"/>
                      <w:szCs w:val="21"/>
                      <w:u w:val="single"/>
                    </w:rPr>
                    <w:t>环卫部门统一清运</w:t>
                  </w:r>
                </w:p>
              </w:tc>
            </w:tr>
            <w:tr w14:paraId="4D73D3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1" w:type="pct"/>
                  <w:vAlign w:val="center"/>
                </w:tcPr>
                <w:p w14:paraId="7F209E1B">
                  <w:pPr>
                    <w:widowControl/>
                    <w:tabs>
                      <w:tab w:val="left" w:pos="4245"/>
                    </w:tabs>
                    <w:jc w:val="center"/>
                    <w:rPr>
                      <w:rFonts w:cs="宋体"/>
                      <w:color w:val="auto"/>
                      <w:szCs w:val="21"/>
                      <w:u w:val="single"/>
                    </w:rPr>
                  </w:pPr>
                  <w:r>
                    <w:rPr>
                      <w:rFonts w:hint="eastAsia" w:cs="宋体"/>
                      <w:color w:val="auto"/>
                      <w:szCs w:val="21"/>
                      <w:u w:val="single"/>
                    </w:rPr>
                    <w:t>2</w:t>
                  </w:r>
                </w:p>
              </w:tc>
              <w:tc>
                <w:tcPr>
                  <w:tcW w:w="959" w:type="pct"/>
                  <w:vAlign w:val="center"/>
                </w:tcPr>
                <w:p w14:paraId="215E6D38">
                  <w:pPr>
                    <w:widowControl/>
                    <w:jc w:val="center"/>
                    <w:rPr>
                      <w:bCs/>
                      <w:color w:val="auto"/>
                      <w:szCs w:val="21"/>
                      <w:u w:val="single"/>
                    </w:rPr>
                  </w:pPr>
                  <w:r>
                    <w:rPr>
                      <w:rFonts w:hint="eastAsia"/>
                      <w:bCs/>
                      <w:color w:val="auto"/>
                      <w:szCs w:val="21"/>
                      <w:u w:val="single"/>
                    </w:rPr>
                    <w:t>废泡沫模具</w:t>
                  </w:r>
                </w:p>
              </w:tc>
              <w:tc>
                <w:tcPr>
                  <w:tcW w:w="534" w:type="pct"/>
                  <w:vAlign w:val="center"/>
                </w:tcPr>
                <w:p w14:paraId="3E90B71D">
                  <w:pPr>
                    <w:jc w:val="center"/>
                    <w:rPr>
                      <w:color w:val="auto"/>
                      <w:position w:val="-6"/>
                      <w:szCs w:val="21"/>
                      <w:u w:val="single"/>
                    </w:rPr>
                  </w:pPr>
                  <w:r>
                    <w:rPr>
                      <w:rFonts w:hint="eastAsia"/>
                      <w:color w:val="auto"/>
                      <w:position w:val="-6"/>
                      <w:szCs w:val="21"/>
                      <w:u w:val="single"/>
                    </w:rPr>
                    <w:t>一般固废</w:t>
                  </w:r>
                </w:p>
              </w:tc>
              <w:tc>
                <w:tcPr>
                  <w:tcW w:w="730" w:type="pct"/>
                  <w:vAlign w:val="center"/>
                </w:tcPr>
                <w:p w14:paraId="50CDAF19">
                  <w:pPr>
                    <w:jc w:val="center"/>
                    <w:rPr>
                      <w:color w:val="auto"/>
                      <w:position w:val="-6"/>
                      <w:szCs w:val="21"/>
                      <w:u w:val="single"/>
                    </w:rPr>
                  </w:pPr>
                  <w:r>
                    <w:rPr>
                      <w:bCs/>
                      <w:color w:val="auto"/>
                    </w:rPr>
                    <w:t>900-099-S59</w:t>
                  </w:r>
                </w:p>
              </w:tc>
              <w:tc>
                <w:tcPr>
                  <w:tcW w:w="730" w:type="pct"/>
                  <w:vAlign w:val="center"/>
                </w:tcPr>
                <w:p w14:paraId="7DC32A92">
                  <w:pPr>
                    <w:jc w:val="center"/>
                    <w:rPr>
                      <w:color w:val="auto"/>
                      <w:position w:val="-6"/>
                      <w:szCs w:val="21"/>
                      <w:u w:val="single"/>
                    </w:rPr>
                  </w:pPr>
                  <w:r>
                    <w:rPr>
                      <w:rFonts w:hint="eastAsia"/>
                      <w:color w:val="auto"/>
                      <w:position w:val="-6"/>
                      <w:szCs w:val="21"/>
                      <w:u w:val="single"/>
                    </w:rPr>
                    <w:t>发泡、切割</w:t>
                  </w:r>
                </w:p>
              </w:tc>
              <w:tc>
                <w:tcPr>
                  <w:tcW w:w="655" w:type="pct"/>
                  <w:vAlign w:val="center"/>
                </w:tcPr>
                <w:p w14:paraId="434510BC">
                  <w:pPr>
                    <w:widowControl/>
                    <w:jc w:val="center"/>
                    <w:rPr>
                      <w:rFonts w:cs="宋体"/>
                      <w:color w:val="auto"/>
                      <w:szCs w:val="21"/>
                      <w:u w:val="single"/>
                    </w:rPr>
                  </w:pPr>
                  <w:r>
                    <w:rPr>
                      <w:rFonts w:hint="eastAsia" w:cs="宋体"/>
                      <w:color w:val="auto"/>
                      <w:szCs w:val="21"/>
                      <w:u w:val="single"/>
                    </w:rPr>
                    <w:t>0.15</w:t>
                  </w:r>
                </w:p>
              </w:tc>
              <w:tc>
                <w:tcPr>
                  <w:tcW w:w="1066" w:type="pct"/>
                  <w:vAlign w:val="center"/>
                </w:tcPr>
                <w:p w14:paraId="4B9FD323">
                  <w:pPr>
                    <w:widowControl/>
                    <w:jc w:val="center"/>
                    <w:rPr>
                      <w:rFonts w:cs="宋体"/>
                      <w:color w:val="auto"/>
                      <w:szCs w:val="21"/>
                      <w:u w:val="single"/>
                    </w:rPr>
                  </w:pPr>
                  <w:r>
                    <w:rPr>
                      <w:rFonts w:hint="eastAsia" w:cs="宋体"/>
                      <w:color w:val="auto"/>
                      <w:szCs w:val="21"/>
                      <w:u w:val="single"/>
                    </w:rPr>
                    <w:t>交物资回收单位处理</w:t>
                  </w:r>
                </w:p>
              </w:tc>
            </w:tr>
            <w:tr w14:paraId="00B7B8C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1" w:type="pct"/>
                  <w:vAlign w:val="center"/>
                </w:tcPr>
                <w:p w14:paraId="6F87F9BA">
                  <w:pPr>
                    <w:widowControl/>
                    <w:tabs>
                      <w:tab w:val="left" w:pos="4245"/>
                    </w:tabs>
                    <w:jc w:val="center"/>
                    <w:rPr>
                      <w:rFonts w:cs="宋体"/>
                      <w:color w:val="auto"/>
                      <w:szCs w:val="21"/>
                      <w:u w:val="single"/>
                    </w:rPr>
                  </w:pPr>
                  <w:r>
                    <w:rPr>
                      <w:rFonts w:hint="eastAsia" w:cs="宋体"/>
                      <w:color w:val="auto"/>
                      <w:szCs w:val="21"/>
                      <w:u w:val="single"/>
                    </w:rPr>
                    <w:t>3</w:t>
                  </w:r>
                </w:p>
              </w:tc>
              <w:tc>
                <w:tcPr>
                  <w:tcW w:w="959" w:type="pct"/>
                  <w:vAlign w:val="center"/>
                </w:tcPr>
                <w:p w14:paraId="4E843A2C">
                  <w:pPr>
                    <w:widowControl/>
                    <w:jc w:val="center"/>
                    <w:rPr>
                      <w:bCs/>
                      <w:color w:val="auto"/>
                      <w:szCs w:val="21"/>
                      <w:u w:val="single"/>
                    </w:rPr>
                  </w:pPr>
                  <w:r>
                    <w:rPr>
                      <w:rFonts w:hint="eastAsia" w:cs="宋体"/>
                      <w:color w:val="auto"/>
                      <w:szCs w:val="21"/>
                      <w:u w:val="single"/>
                    </w:rPr>
                    <w:t>废包装材料</w:t>
                  </w:r>
                </w:p>
              </w:tc>
              <w:tc>
                <w:tcPr>
                  <w:tcW w:w="534" w:type="pct"/>
                  <w:vAlign w:val="center"/>
                </w:tcPr>
                <w:p w14:paraId="41B88F83">
                  <w:pPr>
                    <w:jc w:val="center"/>
                    <w:rPr>
                      <w:color w:val="auto"/>
                      <w:position w:val="-6"/>
                      <w:szCs w:val="21"/>
                      <w:u w:val="single"/>
                    </w:rPr>
                  </w:pPr>
                  <w:r>
                    <w:rPr>
                      <w:rFonts w:hint="eastAsia"/>
                      <w:color w:val="auto"/>
                      <w:position w:val="-6"/>
                      <w:szCs w:val="21"/>
                      <w:u w:val="single"/>
                    </w:rPr>
                    <w:t>一般固废</w:t>
                  </w:r>
                </w:p>
              </w:tc>
              <w:tc>
                <w:tcPr>
                  <w:tcW w:w="730" w:type="pct"/>
                  <w:vAlign w:val="center"/>
                </w:tcPr>
                <w:p w14:paraId="60667326">
                  <w:pPr>
                    <w:jc w:val="center"/>
                    <w:rPr>
                      <w:color w:val="auto"/>
                      <w:position w:val="-6"/>
                      <w:szCs w:val="21"/>
                      <w:u w:val="single"/>
                    </w:rPr>
                  </w:pPr>
                  <w:r>
                    <w:rPr>
                      <w:bCs/>
                      <w:color w:val="auto"/>
                    </w:rPr>
                    <w:t>900-099-S59</w:t>
                  </w:r>
                </w:p>
              </w:tc>
              <w:tc>
                <w:tcPr>
                  <w:tcW w:w="730" w:type="pct"/>
                  <w:vAlign w:val="center"/>
                </w:tcPr>
                <w:p w14:paraId="555C5B7C">
                  <w:pPr>
                    <w:jc w:val="center"/>
                    <w:rPr>
                      <w:color w:val="auto"/>
                      <w:position w:val="-6"/>
                      <w:szCs w:val="21"/>
                      <w:u w:val="single"/>
                    </w:rPr>
                  </w:pPr>
                  <w:r>
                    <w:rPr>
                      <w:rFonts w:hint="eastAsia"/>
                      <w:color w:val="auto"/>
                      <w:position w:val="-6"/>
                      <w:szCs w:val="21"/>
                      <w:u w:val="single"/>
                    </w:rPr>
                    <w:t>原材料及成品包装</w:t>
                  </w:r>
                </w:p>
              </w:tc>
              <w:tc>
                <w:tcPr>
                  <w:tcW w:w="655" w:type="pct"/>
                  <w:vAlign w:val="center"/>
                </w:tcPr>
                <w:p w14:paraId="532E865A">
                  <w:pPr>
                    <w:widowControl/>
                    <w:jc w:val="center"/>
                    <w:rPr>
                      <w:rFonts w:cs="宋体"/>
                      <w:color w:val="auto"/>
                      <w:szCs w:val="21"/>
                      <w:u w:val="single"/>
                    </w:rPr>
                  </w:pPr>
                  <w:r>
                    <w:rPr>
                      <w:rFonts w:hint="eastAsia" w:cs="宋体"/>
                      <w:color w:val="auto"/>
                      <w:szCs w:val="21"/>
                      <w:u w:val="single"/>
                    </w:rPr>
                    <w:t>0.2</w:t>
                  </w:r>
                </w:p>
              </w:tc>
              <w:tc>
                <w:tcPr>
                  <w:tcW w:w="1066" w:type="pct"/>
                  <w:vAlign w:val="center"/>
                </w:tcPr>
                <w:p w14:paraId="3AE51086">
                  <w:pPr>
                    <w:widowControl/>
                    <w:jc w:val="center"/>
                    <w:rPr>
                      <w:rFonts w:cs="宋体"/>
                      <w:color w:val="auto"/>
                      <w:szCs w:val="21"/>
                      <w:u w:val="single"/>
                    </w:rPr>
                  </w:pPr>
                  <w:r>
                    <w:rPr>
                      <w:rFonts w:hint="eastAsia" w:cs="宋体"/>
                      <w:color w:val="auto"/>
                      <w:szCs w:val="21"/>
                      <w:u w:val="single"/>
                    </w:rPr>
                    <w:t>交物资回收单位处理</w:t>
                  </w:r>
                </w:p>
              </w:tc>
            </w:tr>
            <w:tr w14:paraId="56F6CD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1" w:type="pct"/>
                  <w:vAlign w:val="center"/>
                </w:tcPr>
                <w:p w14:paraId="23376FF3">
                  <w:pPr>
                    <w:widowControl/>
                    <w:jc w:val="center"/>
                    <w:rPr>
                      <w:rFonts w:cs="宋体"/>
                      <w:color w:val="auto"/>
                      <w:szCs w:val="21"/>
                      <w:u w:val="single"/>
                    </w:rPr>
                  </w:pPr>
                  <w:r>
                    <w:rPr>
                      <w:rFonts w:hint="eastAsia" w:cs="宋体"/>
                      <w:color w:val="auto"/>
                      <w:szCs w:val="21"/>
                      <w:u w:val="single"/>
                    </w:rPr>
                    <w:t>4</w:t>
                  </w:r>
                </w:p>
              </w:tc>
              <w:tc>
                <w:tcPr>
                  <w:tcW w:w="959" w:type="pct"/>
                  <w:vAlign w:val="center"/>
                </w:tcPr>
                <w:p w14:paraId="20CE7AB9">
                  <w:pPr>
                    <w:widowControl/>
                    <w:jc w:val="center"/>
                    <w:rPr>
                      <w:rFonts w:cs="宋体"/>
                      <w:color w:val="auto"/>
                      <w:szCs w:val="21"/>
                      <w:u w:val="single"/>
                    </w:rPr>
                  </w:pPr>
                  <w:r>
                    <w:rPr>
                      <w:rFonts w:hint="eastAsia" w:cs="宋体"/>
                      <w:color w:val="auto"/>
                      <w:szCs w:val="21"/>
                      <w:u w:val="single"/>
                    </w:rPr>
                    <w:t>熔炉炉渣</w:t>
                  </w:r>
                </w:p>
              </w:tc>
              <w:tc>
                <w:tcPr>
                  <w:tcW w:w="534" w:type="pct"/>
                  <w:vAlign w:val="center"/>
                </w:tcPr>
                <w:p w14:paraId="2C46C816">
                  <w:pPr>
                    <w:widowControl/>
                    <w:jc w:val="center"/>
                    <w:rPr>
                      <w:rFonts w:cs="宋体"/>
                      <w:color w:val="auto"/>
                      <w:szCs w:val="21"/>
                      <w:u w:val="single"/>
                    </w:rPr>
                  </w:pPr>
                  <w:r>
                    <w:rPr>
                      <w:rFonts w:hint="eastAsia" w:cs="宋体"/>
                      <w:color w:val="auto"/>
                      <w:szCs w:val="21"/>
                      <w:u w:val="single"/>
                    </w:rPr>
                    <w:t>一般固废</w:t>
                  </w:r>
                </w:p>
              </w:tc>
              <w:tc>
                <w:tcPr>
                  <w:tcW w:w="730" w:type="pct"/>
                  <w:vAlign w:val="center"/>
                </w:tcPr>
                <w:p w14:paraId="3276D104">
                  <w:pPr>
                    <w:widowControl/>
                    <w:jc w:val="center"/>
                    <w:rPr>
                      <w:rFonts w:cs="宋体"/>
                      <w:color w:val="auto"/>
                      <w:szCs w:val="21"/>
                      <w:u w:val="single"/>
                    </w:rPr>
                  </w:pPr>
                  <w:r>
                    <w:rPr>
                      <w:rFonts w:cs="宋体"/>
                      <w:color w:val="auto"/>
                      <w:szCs w:val="21"/>
                      <w:u w:val="single"/>
                    </w:rPr>
                    <w:t>900-099-S03</w:t>
                  </w:r>
                </w:p>
              </w:tc>
              <w:tc>
                <w:tcPr>
                  <w:tcW w:w="730" w:type="pct"/>
                  <w:vAlign w:val="center"/>
                </w:tcPr>
                <w:p w14:paraId="133D608F">
                  <w:pPr>
                    <w:widowControl/>
                    <w:jc w:val="center"/>
                    <w:rPr>
                      <w:rFonts w:cs="宋体"/>
                      <w:color w:val="auto"/>
                      <w:szCs w:val="21"/>
                      <w:u w:val="single"/>
                    </w:rPr>
                  </w:pPr>
                  <w:r>
                    <w:rPr>
                      <w:rFonts w:cs="宋体"/>
                      <w:color w:val="auto"/>
                      <w:szCs w:val="21"/>
                      <w:u w:val="single"/>
                    </w:rPr>
                    <w:t>熔化工序</w:t>
                  </w:r>
                </w:p>
              </w:tc>
              <w:tc>
                <w:tcPr>
                  <w:tcW w:w="655" w:type="pct"/>
                  <w:vAlign w:val="center"/>
                </w:tcPr>
                <w:p w14:paraId="34ADFE77">
                  <w:pPr>
                    <w:widowControl/>
                    <w:jc w:val="center"/>
                    <w:rPr>
                      <w:rFonts w:cs="宋体"/>
                      <w:color w:val="auto"/>
                      <w:szCs w:val="21"/>
                      <w:u w:val="single"/>
                    </w:rPr>
                  </w:pPr>
                  <w:r>
                    <w:rPr>
                      <w:rFonts w:hint="eastAsia" w:cs="宋体"/>
                      <w:color w:val="auto"/>
                      <w:szCs w:val="21"/>
                      <w:u w:val="single"/>
                    </w:rPr>
                    <w:t>55</w:t>
                  </w:r>
                </w:p>
              </w:tc>
              <w:tc>
                <w:tcPr>
                  <w:tcW w:w="1066" w:type="pct"/>
                  <w:vAlign w:val="center"/>
                </w:tcPr>
                <w:p w14:paraId="1207F962">
                  <w:pPr>
                    <w:widowControl/>
                    <w:tabs>
                      <w:tab w:val="left" w:pos="4245"/>
                    </w:tabs>
                    <w:jc w:val="center"/>
                    <w:rPr>
                      <w:rFonts w:cs="宋体"/>
                      <w:color w:val="auto"/>
                      <w:szCs w:val="21"/>
                      <w:u w:val="single"/>
                    </w:rPr>
                  </w:pPr>
                  <w:r>
                    <w:rPr>
                      <w:rFonts w:hint="eastAsia" w:cs="宋体"/>
                      <w:color w:val="auto"/>
                      <w:szCs w:val="21"/>
                      <w:u w:val="single"/>
                    </w:rPr>
                    <w:t>作为建筑材料再利用或铺路的原材料外售</w:t>
                  </w:r>
                </w:p>
              </w:tc>
            </w:tr>
            <w:tr w14:paraId="18327B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1" w:type="pct"/>
                  <w:vAlign w:val="center"/>
                </w:tcPr>
                <w:p w14:paraId="55410AB8">
                  <w:pPr>
                    <w:widowControl/>
                    <w:jc w:val="center"/>
                    <w:rPr>
                      <w:rFonts w:cs="宋体"/>
                      <w:color w:val="auto"/>
                      <w:szCs w:val="21"/>
                      <w:u w:val="single"/>
                    </w:rPr>
                  </w:pPr>
                  <w:r>
                    <w:rPr>
                      <w:rFonts w:hint="eastAsia" w:cs="宋体"/>
                      <w:color w:val="auto"/>
                      <w:szCs w:val="21"/>
                      <w:u w:val="single"/>
                    </w:rPr>
                    <w:t>5</w:t>
                  </w:r>
                </w:p>
              </w:tc>
              <w:tc>
                <w:tcPr>
                  <w:tcW w:w="959" w:type="pct"/>
                  <w:vAlign w:val="center"/>
                </w:tcPr>
                <w:p w14:paraId="3B4518A6">
                  <w:pPr>
                    <w:widowControl/>
                    <w:jc w:val="center"/>
                    <w:rPr>
                      <w:rFonts w:cs="宋体"/>
                      <w:color w:val="auto"/>
                      <w:szCs w:val="21"/>
                      <w:u w:val="single"/>
                    </w:rPr>
                  </w:pPr>
                  <w:r>
                    <w:rPr>
                      <w:rFonts w:hint="eastAsia" w:cs="宋体"/>
                      <w:color w:val="auto"/>
                      <w:szCs w:val="21"/>
                      <w:u w:val="single"/>
                    </w:rPr>
                    <w:t>废砂</w:t>
                  </w:r>
                </w:p>
              </w:tc>
              <w:tc>
                <w:tcPr>
                  <w:tcW w:w="534" w:type="pct"/>
                  <w:vAlign w:val="center"/>
                </w:tcPr>
                <w:p w14:paraId="64CF700B">
                  <w:pPr>
                    <w:widowControl/>
                    <w:jc w:val="center"/>
                    <w:rPr>
                      <w:rFonts w:cs="宋体"/>
                      <w:color w:val="auto"/>
                      <w:szCs w:val="21"/>
                      <w:u w:val="single"/>
                    </w:rPr>
                  </w:pPr>
                  <w:r>
                    <w:rPr>
                      <w:rFonts w:hint="eastAsia" w:cs="宋体"/>
                      <w:color w:val="auto"/>
                      <w:szCs w:val="21"/>
                      <w:u w:val="single"/>
                    </w:rPr>
                    <w:t>一般固废</w:t>
                  </w:r>
                </w:p>
              </w:tc>
              <w:tc>
                <w:tcPr>
                  <w:tcW w:w="730" w:type="pct"/>
                  <w:vAlign w:val="center"/>
                </w:tcPr>
                <w:p w14:paraId="050A4ABD">
                  <w:pPr>
                    <w:widowControl/>
                    <w:jc w:val="center"/>
                    <w:rPr>
                      <w:rFonts w:cs="宋体"/>
                      <w:color w:val="auto"/>
                      <w:szCs w:val="21"/>
                      <w:u w:val="single"/>
                    </w:rPr>
                  </w:pPr>
                  <w:r>
                    <w:rPr>
                      <w:rFonts w:hint="eastAsia" w:cs="宋体"/>
                      <w:color w:val="auto"/>
                      <w:szCs w:val="21"/>
                      <w:u w:val="single"/>
                    </w:rPr>
                    <w:t>900-001-S59</w:t>
                  </w:r>
                </w:p>
              </w:tc>
              <w:tc>
                <w:tcPr>
                  <w:tcW w:w="730" w:type="pct"/>
                  <w:vAlign w:val="center"/>
                </w:tcPr>
                <w:p w14:paraId="76E1E7FC">
                  <w:pPr>
                    <w:widowControl/>
                    <w:jc w:val="center"/>
                    <w:rPr>
                      <w:rFonts w:cs="宋体"/>
                      <w:color w:val="auto"/>
                      <w:szCs w:val="21"/>
                      <w:u w:val="single"/>
                    </w:rPr>
                  </w:pPr>
                  <w:r>
                    <w:rPr>
                      <w:rFonts w:hint="eastAsia" w:cs="宋体"/>
                      <w:color w:val="auto"/>
                      <w:szCs w:val="21"/>
                      <w:u w:val="single"/>
                    </w:rPr>
                    <w:t>砂处理</w:t>
                  </w:r>
                </w:p>
              </w:tc>
              <w:tc>
                <w:tcPr>
                  <w:tcW w:w="655" w:type="pct"/>
                  <w:vAlign w:val="center"/>
                </w:tcPr>
                <w:p w14:paraId="538D98A5">
                  <w:pPr>
                    <w:widowControl/>
                    <w:jc w:val="center"/>
                    <w:rPr>
                      <w:rFonts w:cs="宋体"/>
                      <w:color w:val="auto"/>
                      <w:szCs w:val="21"/>
                      <w:u w:val="single"/>
                    </w:rPr>
                  </w:pPr>
                  <w:r>
                    <w:rPr>
                      <w:rFonts w:hint="eastAsia" w:cs="宋体"/>
                      <w:color w:val="auto"/>
                      <w:szCs w:val="21"/>
                      <w:u w:val="single"/>
                    </w:rPr>
                    <w:t>315</w:t>
                  </w:r>
                </w:p>
              </w:tc>
              <w:tc>
                <w:tcPr>
                  <w:tcW w:w="1066" w:type="pct"/>
                  <w:vAlign w:val="center"/>
                </w:tcPr>
                <w:p w14:paraId="7A25D392">
                  <w:pPr>
                    <w:widowControl/>
                    <w:tabs>
                      <w:tab w:val="left" w:pos="4245"/>
                    </w:tabs>
                    <w:jc w:val="center"/>
                    <w:rPr>
                      <w:rFonts w:cs="宋体"/>
                      <w:color w:val="auto"/>
                      <w:szCs w:val="21"/>
                      <w:u w:val="single"/>
                    </w:rPr>
                  </w:pPr>
                  <w:r>
                    <w:rPr>
                      <w:rFonts w:hint="eastAsia" w:cs="宋体"/>
                      <w:color w:val="auto"/>
                      <w:szCs w:val="21"/>
                      <w:u w:val="single"/>
                    </w:rPr>
                    <w:t>外售作为建筑材料或由厂家回收利用</w:t>
                  </w:r>
                </w:p>
              </w:tc>
            </w:tr>
            <w:tr w14:paraId="1134D8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1" w:type="pct"/>
                  <w:vAlign w:val="center"/>
                </w:tcPr>
                <w:p w14:paraId="63C739AF">
                  <w:pPr>
                    <w:widowControl/>
                    <w:jc w:val="center"/>
                    <w:rPr>
                      <w:rFonts w:cs="宋体"/>
                      <w:color w:val="auto"/>
                      <w:szCs w:val="21"/>
                      <w:u w:val="single"/>
                    </w:rPr>
                  </w:pPr>
                  <w:r>
                    <w:rPr>
                      <w:rFonts w:hint="eastAsia" w:cs="宋体"/>
                      <w:color w:val="auto"/>
                      <w:szCs w:val="21"/>
                      <w:u w:val="single"/>
                    </w:rPr>
                    <w:t>6</w:t>
                  </w:r>
                </w:p>
              </w:tc>
              <w:tc>
                <w:tcPr>
                  <w:tcW w:w="959" w:type="pct"/>
                  <w:vAlign w:val="center"/>
                </w:tcPr>
                <w:p w14:paraId="6CFCCB55">
                  <w:pPr>
                    <w:widowControl/>
                    <w:jc w:val="center"/>
                    <w:rPr>
                      <w:bCs/>
                      <w:color w:val="auto"/>
                      <w:szCs w:val="21"/>
                      <w:u w:val="single"/>
                    </w:rPr>
                  </w:pPr>
                  <w:r>
                    <w:rPr>
                      <w:rFonts w:hint="eastAsia"/>
                      <w:bCs/>
                      <w:color w:val="auto"/>
                      <w:szCs w:val="21"/>
                      <w:u w:val="single"/>
                    </w:rPr>
                    <w:t>除尘器收集粉尘</w:t>
                  </w:r>
                </w:p>
              </w:tc>
              <w:tc>
                <w:tcPr>
                  <w:tcW w:w="534" w:type="pct"/>
                  <w:vAlign w:val="center"/>
                </w:tcPr>
                <w:p w14:paraId="39117723">
                  <w:pPr>
                    <w:jc w:val="center"/>
                    <w:rPr>
                      <w:color w:val="auto"/>
                      <w:position w:val="-6"/>
                      <w:szCs w:val="21"/>
                      <w:u w:val="single"/>
                    </w:rPr>
                  </w:pPr>
                  <w:r>
                    <w:rPr>
                      <w:rFonts w:hint="eastAsia"/>
                      <w:color w:val="auto"/>
                      <w:position w:val="-6"/>
                      <w:szCs w:val="21"/>
                      <w:u w:val="single"/>
                    </w:rPr>
                    <w:t>一般固废</w:t>
                  </w:r>
                </w:p>
              </w:tc>
              <w:tc>
                <w:tcPr>
                  <w:tcW w:w="730" w:type="pct"/>
                  <w:vAlign w:val="center"/>
                </w:tcPr>
                <w:p w14:paraId="6E144BE9">
                  <w:pPr>
                    <w:jc w:val="center"/>
                    <w:rPr>
                      <w:color w:val="auto"/>
                      <w:position w:val="-6"/>
                      <w:szCs w:val="21"/>
                      <w:u w:val="single"/>
                    </w:rPr>
                  </w:pPr>
                  <w:r>
                    <w:rPr>
                      <w:bCs/>
                      <w:color w:val="auto"/>
                    </w:rPr>
                    <w:t>900-099-S59</w:t>
                  </w:r>
                </w:p>
              </w:tc>
              <w:tc>
                <w:tcPr>
                  <w:tcW w:w="730" w:type="pct"/>
                  <w:vAlign w:val="center"/>
                </w:tcPr>
                <w:p w14:paraId="1BB10D74">
                  <w:pPr>
                    <w:jc w:val="center"/>
                    <w:rPr>
                      <w:color w:val="auto"/>
                      <w:position w:val="-6"/>
                      <w:szCs w:val="21"/>
                      <w:u w:val="single"/>
                    </w:rPr>
                  </w:pPr>
                  <w:r>
                    <w:rPr>
                      <w:rFonts w:hint="eastAsia"/>
                      <w:color w:val="auto"/>
                      <w:position w:val="-6"/>
                      <w:szCs w:val="21"/>
                      <w:u w:val="single"/>
                    </w:rPr>
                    <w:t>熔炼、浇铸、砂处理、打磨抛丸等工序</w:t>
                  </w:r>
                </w:p>
              </w:tc>
              <w:tc>
                <w:tcPr>
                  <w:tcW w:w="655" w:type="pct"/>
                  <w:vAlign w:val="center"/>
                </w:tcPr>
                <w:p w14:paraId="725DCC84">
                  <w:pPr>
                    <w:widowControl/>
                    <w:jc w:val="center"/>
                    <w:rPr>
                      <w:rFonts w:cs="宋体"/>
                      <w:color w:val="auto"/>
                      <w:szCs w:val="21"/>
                      <w:u w:val="single"/>
                    </w:rPr>
                  </w:pPr>
                  <w:r>
                    <w:rPr>
                      <w:rFonts w:hint="eastAsia" w:cs="宋体"/>
                      <w:color w:val="auto"/>
                      <w:szCs w:val="21"/>
                      <w:u w:val="single"/>
                    </w:rPr>
                    <w:t>40.184</w:t>
                  </w:r>
                </w:p>
              </w:tc>
              <w:tc>
                <w:tcPr>
                  <w:tcW w:w="1066" w:type="pct"/>
                  <w:vAlign w:val="center"/>
                </w:tcPr>
                <w:p w14:paraId="137BD8B2">
                  <w:pPr>
                    <w:widowControl/>
                    <w:jc w:val="center"/>
                    <w:rPr>
                      <w:rFonts w:cs="宋体"/>
                      <w:color w:val="auto"/>
                      <w:szCs w:val="21"/>
                      <w:u w:val="single"/>
                    </w:rPr>
                  </w:pPr>
                  <w:r>
                    <w:rPr>
                      <w:rFonts w:hint="eastAsia" w:cs="宋体"/>
                      <w:color w:val="auto"/>
                      <w:szCs w:val="21"/>
                      <w:u w:val="single"/>
                    </w:rPr>
                    <w:t>专业物资公司回收</w:t>
                  </w:r>
                </w:p>
              </w:tc>
            </w:tr>
            <w:tr w14:paraId="572913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1" w:type="pct"/>
                  <w:vAlign w:val="center"/>
                </w:tcPr>
                <w:p w14:paraId="3354AEC0">
                  <w:pPr>
                    <w:widowControl/>
                    <w:jc w:val="center"/>
                    <w:rPr>
                      <w:rFonts w:cs="宋体"/>
                      <w:color w:val="auto"/>
                      <w:szCs w:val="21"/>
                      <w:u w:val="single"/>
                    </w:rPr>
                  </w:pPr>
                  <w:r>
                    <w:rPr>
                      <w:rFonts w:hint="eastAsia" w:cs="宋体"/>
                      <w:color w:val="auto"/>
                      <w:szCs w:val="21"/>
                      <w:u w:val="single"/>
                    </w:rPr>
                    <w:t>7</w:t>
                  </w:r>
                </w:p>
              </w:tc>
              <w:tc>
                <w:tcPr>
                  <w:tcW w:w="959" w:type="pct"/>
                  <w:vAlign w:val="center"/>
                </w:tcPr>
                <w:p w14:paraId="52C0D523">
                  <w:pPr>
                    <w:widowControl/>
                    <w:jc w:val="center"/>
                    <w:rPr>
                      <w:rFonts w:cs="宋体"/>
                      <w:color w:val="auto"/>
                      <w:szCs w:val="21"/>
                      <w:u w:val="single"/>
                    </w:rPr>
                  </w:pPr>
                  <w:r>
                    <w:rPr>
                      <w:rFonts w:hint="eastAsia" w:cs="宋体"/>
                      <w:color w:val="auto"/>
                      <w:szCs w:val="21"/>
                      <w:u w:val="single"/>
                    </w:rPr>
                    <w:t>废金属碎屑</w:t>
                  </w:r>
                </w:p>
              </w:tc>
              <w:tc>
                <w:tcPr>
                  <w:tcW w:w="534" w:type="pct"/>
                  <w:vAlign w:val="center"/>
                </w:tcPr>
                <w:p w14:paraId="4ABD944E">
                  <w:pPr>
                    <w:widowControl/>
                    <w:jc w:val="center"/>
                    <w:rPr>
                      <w:rFonts w:cs="宋体"/>
                      <w:color w:val="auto"/>
                      <w:szCs w:val="21"/>
                      <w:u w:val="single"/>
                    </w:rPr>
                  </w:pPr>
                  <w:r>
                    <w:rPr>
                      <w:rFonts w:hint="eastAsia" w:cs="宋体"/>
                      <w:color w:val="auto"/>
                      <w:szCs w:val="21"/>
                      <w:u w:val="single"/>
                    </w:rPr>
                    <w:t>一般固废</w:t>
                  </w:r>
                </w:p>
              </w:tc>
              <w:tc>
                <w:tcPr>
                  <w:tcW w:w="730" w:type="pct"/>
                  <w:vAlign w:val="center"/>
                </w:tcPr>
                <w:p w14:paraId="65EF4016">
                  <w:pPr>
                    <w:widowControl/>
                    <w:jc w:val="center"/>
                    <w:rPr>
                      <w:rFonts w:cs="宋体"/>
                      <w:color w:val="auto"/>
                      <w:szCs w:val="21"/>
                      <w:u w:val="single"/>
                    </w:rPr>
                  </w:pPr>
                  <w:r>
                    <w:rPr>
                      <w:bCs/>
                      <w:color w:val="auto"/>
                    </w:rPr>
                    <w:t>900-099-S59</w:t>
                  </w:r>
                </w:p>
              </w:tc>
              <w:tc>
                <w:tcPr>
                  <w:tcW w:w="730" w:type="pct"/>
                  <w:vAlign w:val="center"/>
                </w:tcPr>
                <w:p w14:paraId="267A7E56">
                  <w:pPr>
                    <w:widowControl/>
                    <w:jc w:val="center"/>
                    <w:rPr>
                      <w:rFonts w:cs="宋体"/>
                      <w:color w:val="auto"/>
                      <w:szCs w:val="21"/>
                      <w:u w:val="single"/>
                    </w:rPr>
                  </w:pPr>
                  <w:r>
                    <w:rPr>
                      <w:rFonts w:cs="宋体"/>
                      <w:color w:val="auto"/>
                      <w:szCs w:val="21"/>
                      <w:u w:val="single"/>
                    </w:rPr>
                    <w:t>机加工过程</w:t>
                  </w:r>
                </w:p>
              </w:tc>
              <w:tc>
                <w:tcPr>
                  <w:tcW w:w="655" w:type="pct"/>
                  <w:vAlign w:val="center"/>
                </w:tcPr>
                <w:p w14:paraId="444D63C3">
                  <w:pPr>
                    <w:widowControl/>
                    <w:jc w:val="center"/>
                    <w:rPr>
                      <w:rFonts w:cs="宋体"/>
                      <w:color w:val="auto"/>
                      <w:szCs w:val="21"/>
                      <w:u w:val="single"/>
                    </w:rPr>
                  </w:pPr>
                  <w:r>
                    <w:rPr>
                      <w:rFonts w:hint="eastAsia" w:cs="宋体"/>
                      <w:color w:val="auto"/>
                      <w:szCs w:val="21"/>
                      <w:u w:val="single"/>
                    </w:rPr>
                    <w:t>30</w:t>
                  </w:r>
                </w:p>
              </w:tc>
              <w:tc>
                <w:tcPr>
                  <w:tcW w:w="1066" w:type="pct"/>
                  <w:vAlign w:val="center"/>
                </w:tcPr>
                <w:p w14:paraId="67F9045B">
                  <w:pPr>
                    <w:widowControl/>
                    <w:jc w:val="center"/>
                    <w:rPr>
                      <w:color w:val="auto"/>
                      <w:szCs w:val="21"/>
                      <w:u w:val="single"/>
                    </w:rPr>
                  </w:pPr>
                  <w:r>
                    <w:rPr>
                      <w:rFonts w:hint="eastAsia"/>
                      <w:color w:val="auto"/>
                      <w:szCs w:val="21"/>
                      <w:u w:val="single"/>
                    </w:rPr>
                    <w:t>回用于生产</w:t>
                  </w:r>
                </w:p>
              </w:tc>
            </w:tr>
            <w:tr w14:paraId="497BA8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1" w:type="pct"/>
                  <w:vAlign w:val="center"/>
                </w:tcPr>
                <w:p w14:paraId="5DCD3E41">
                  <w:pPr>
                    <w:widowControl/>
                    <w:jc w:val="center"/>
                    <w:rPr>
                      <w:rFonts w:cs="宋体"/>
                      <w:color w:val="auto"/>
                      <w:szCs w:val="21"/>
                      <w:u w:val="single"/>
                    </w:rPr>
                  </w:pPr>
                  <w:r>
                    <w:rPr>
                      <w:rFonts w:hint="eastAsia" w:cs="宋体"/>
                      <w:color w:val="auto"/>
                      <w:szCs w:val="21"/>
                      <w:u w:val="single"/>
                    </w:rPr>
                    <w:t>8</w:t>
                  </w:r>
                </w:p>
              </w:tc>
              <w:tc>
                <w:tcPr>
                  <w:tcW w:w="959" w:type="pct"/>
                  <w:vAlign w:val="center"/>
                </w:tcPr>
                <w:p w14:paraId="25DA1D9B">
                  <w:pPr>
                    <w:widowControl/>
                    <w:jc w:val="center"/>
                    <w:rPr>
                      <w:rFonts w:cs="宋体"/>
                      <w:color w:val="auto"/>
                      <w:szCs w:val="21"/>
                      <w:u w:val="single"/>
                    </w:rPr>
                  </w:pPr>
                  <w:r>
                    <w:rPr>
                      <w:rFonts w:hint="eastAsia" w:cs="宋体"/>
                      <w:color w:val="auto"/>
                      <w:szCs w:val="21"/>
                      <w:u w:val="single"/>
                    </w:rPr>
                    <w:t>不合格品</w:t>
                  </w:r>
                </w:p>
              </w:tc>
              <w:tc>
                <w:tcPr>
                  <w:tcW w:w="534" w:type="pct"/>
                  <w:vAlign w:val="center"/>
                </w:tcPr>
                <w:p w14:paraId="3BAE7C8E">
                  <w:pPr>
                    <w:widowControl/>
                    <w:jc w:val="center"/>
                    <w:rPr>
                      <w:rFonts w:cs="宋体"/>
                      <w:color w:val="auto"/>
                      <w:szCs w:val="21"/>
                      <w:u w:val="single"/>
                    </w:rPr>
                  </w:pPr>
                  <w:r>
                    <w:rPr>
                      <w:rFonts w:hint="eastAsia" w:cs="宋体"/>
                      <w:color w:val="auto"/>
                      <w:szCs w:val="21"/>
                      <w:u w:val="single"/>
                    </w:rPr>
                    <w:t>一般固废</w:t>
                  </w:r>
                </w:p>
              </w:tc>
              <w:tc>
                <w:tcPr>
                  <w:tcW w:w="730" w:type="pct"/>
                  <w:vAlign w:val="center"/>
                </w:tcPr>
                <w:p w14:paraId="2FED24BC">
                  <w:pPr>
                    <w:widowControl/>
                    <w:jc w:val="center"/>
                    <w:rPr>
                      <w:rFonts w:cs="宋体"/>
                      <w:color w:val="auto"/>
                      <w:szCs w:val="21"/>
                      <w:u w:val="single"/>
                    </w:rPr>
                  </w:pPr>
                  <w:r>
                    <w:rPr>
                      <w:bCs/>
                      <w:color w:val="auto"/>
                    </w:rPr>
                    <w:t>900-099-S59</w:t>
                  </w:r>
                </w:p>
              </w:tc>
              <w:tc>
                <w:tcPr>
                  <w:tcW w:w="730" w:type="pct"/>
                  <w:vAlign w:val="center"/>
                </w:tcPr>
                <w:p w14:paraId="37A70F46">
                  <w:pPr>
                    <w:widowControl/>
                    <w:jc w:val="center"/>
                    <w:rPr>
                      <w:rFonts w:cs="宋体"/>
                      <w:color w:val="auto"/>
                      <w:szCs w:val="21"/>
                      <w:u w:val="single"/>
                    </w:rPr>
                  </w:pPr>
                  <w:r>
                    <w:rPr>
                      <w:rFonts w:hint="eastAsia" w:cs="宋体"/>
                      <w:color w:val="auto"/>
                      <w:szCs w:val="21"/>
                      <w:u w:val="single"/>
                    </w:rPr>
                    <w:t>浇铸</w:t>
                  </w:r>
                </w:p>
              </w:tc>
              <w:tc>
                <w:tcPr>
                  <w:tcW w:w="655" w:type="pct"/>
                  <w:vAlign w:val="center"/>
                </w:tcPr>
                <w:p w14:paraId="1F01B524">
                  <w:pPr>
                    <w:widowControl/>
                    <w:jc w:val="center"/>
                    <w:rPr>
                      <w:rFonts w:cs="宋体"/>
                      <w:color w:val="auto"/>
                      <w:szCs w:val="21"/>
                      <w:u w:val="single"/>
                    </w:rPr>
                  </w:pPr>
                  <w:r>
                    <w:rPr>
                      <w:rFonts w:hint="eastAsia" w:cs="宋体"/>
                      <w:color w:val="auto"/>
                      <w:szCs w:val="21"/>
                      <w:u w:val="single"/>
                    </w:rPr>
                    <w:t>100</w:t>
                  </w:r>
                </w:p>
              </w:tc>
              <w:tc>
                <w:tcPr>
                  <w:tcW w:w="1066" w:type="pct"/>
                  <w:vAlign w:val="center"/>
                </w:tcPr>
                <w:p w14:paraId="1F8EEF36">
                  <w:pPr>
                    <w:widowControl/>
                    <w:jc w:val="center"/>
                    <w:rPr>
                      <w:rFonts w:cs="宋体"/>
                      <w:color w:val="auto"/>
                      <w:szCs w:val="21"/>
                      <w:u w:val="single"/>
                    </w:rPr>
                  </w:pPr>
                  <w:r>
                    <w:rPr>
                      <w:rFonts w:hint="eastAsia"/>
                      <w:color w:val="auto"/>
                      <w:szCs w:val="21"/>
                      <w:u w:val="single"/>
                    </w:rPr>
                    <w:t>回用于生产</w:t>
                  </w:r>
                </w:p>
              </w:tc>
            </w:tr>
            <w:tr w14:paraId="04C9944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1" w:type="pct"/>
                  <w:vAlign w:val="center"/>
                </w:tcPr>
                <w:p w14:paraId="280ABDC5">
                  <w:pPr>
                    <w:widowControl/>
                    <w:jc w:val="center"/>
                    <w:rPr>
                      <w:rFonts w:cs="宋体"/>
                      <w:color w:val="auto"/>
                      <w:szCs w:val="21"/>
                      <w:u w:val="single"/>
                    </w:rPr>
                  </w:pPr>
                  <w:r>
                    <w:rPr>
                      <w:rFonts w:hint="eastAsia" w:cs="宋体"/>
                      <w:color w:val="auto"/>
                      <w:szCs w:val="21"/>
                      <w:u w:val="single"/>
                    </w:rPr>
                    <w:t>9</w:t>
                  </w:r>
                </w:p>
              </w:tc>
              <w:tc>
                <w:tcPr>
                  <w:tcW w:w="959" w:type="pct"/>
                  <w:vAlign w:val="center"/>
                </w:tcPr>
                <w:p w14:paraId="3F1EF5F9">
                  <w:pPr>
                    <w:widowControl/>
                    <w:jc w:val="center"/>
                    <w:rPr>
                      <w:rFonts w:cs="宋体"/>
                      <w:color w:val="auto"/>
                      <w:szCs w:val="21"/>
                      <w:u w:val="single"/>
                    </w:rPr>
                  </w:pPr>
                  <w:r>
                    <w:rPr>
                      <w:rFonts w:hint="eastAsia" w:cs="宋体"/>
                      <w:color w:val="auto"/>
                      <w:szCs w:val="21"/>
                      <w:u w:val="single"/>
                    </w:rPr>
                    <w:t>含油废抹布和手套</w:t>
                  </w:r>
                </w:p>
              </w:tc>
              <w:tc>
                <w:tcPr>
                  <w:tcW w:w="534" w:type="pct"/>
                  <w:vAlign w:val="center"/>
                </w:tcPr>
                <w:p w14:paraId="21CF2F45">
                  <w:pPr>
                    <w:widowControl/>
                    <w:jc w:val="center"/>
                    <w:rPr>
                      <w:rFonts w:cs="宋体"/>
                      <w:color w:val="auto"/>
                      <w:szCs w:val="21"/>
                      <w:u w:val="single"/>
                    </w:rPr>
                  </w:pPr>
                  <w:r>
                    <w:rPr>
                      <w:rFonts w:hint="eastAsia" w:cs="宋体"/>
                      <w:color w:val="auto"/>
                      <w:szCs w:val="21"/>
                      <w:u w:val="single"/>
                    </w:rPr>
                    <w:t>危险废物</w:t>
                  </w:r>
                </w:p>
              </w:tc>
              <w:tc>
                <w:tcPr>
                  <w:tcW w:w="1313" w:type="dxa"/>
                  <w:vAlign w:val="center"/>
                </w:tcPr>
                <w:p w14:paraId="24552D6E">
                  <w:pPr>
                    <w:widowControl/>
                    <w:jc w:val="center"/>
                    <w:rPr>
                      <w:rFonts w:cs="宋体"/>
                      <w:color w:val="auto"/>
                      <w:szCs w:val="21"/>
                      <w:u w:val="single"/>
                    </w:rPr>
                  </w:pPr>
                  <w:r>
                    <w:rPr>
                      <w:rFonts w:cs="宋体"/>
                      <w:color w:val="auto"/>
                      <w:szCs w:val="21"/>
                      <w:u w:val="single"/>
                    </w:rPr>
                    <w:t>900-041-49</w:t>
                  </w:r>
                </w:p>
              </w:tc>
              <w:tc>
                <w:tcPr>
                  <w:tcW w:w="730" w:type="pct"/>
                  <w:vAlign w:val="center"/>
                </w:tcPr>
                <w:p w14:paraId="72BC93C0">
                  <w:pPr>
                    <w:widowControl/>
                    <w:jc w:val="center"/>
                    <w:rPr>
                      <w:rFonts w:cs="宋体"/>
                      <w:color w:val="auto"/>
                      <w:szCs w:val="21"/>
                      <w:u w:val="single"/>
                    </w:rPr>
                  </w:pPr>
                  <w:r>
                    <w:rPr>
                      <w:rFonts w:cs="宋体"/>
                      <w:color w:val="auto"/>
                      <w:szCs w:val="21"/>
                      <w:u w:val="single"/>
                    </w:rPr>
                    <w:t>设备维修</w:t>
                  </w:r>
                </w:p>
              </w:tc>
              <w:tc>
                <w:tcPr>
                  <w:tcW w:w="655" w:type="pct"/>
                  <w:vAlign w:val="center"/>
                </w:tcPr>
                <w:p w14:paraId="477D0ED5">
                  <w:pPr>
                    <w:widowControl/>
                    <w:jc w:val="center"/>
                    <w:rPr>
                      <w:rFonts w:cs="宋体"/>
                      <w:color w:val="auto"/>
                      <w:szCs w:val="21"/>
                      <w:u w:val="single"/>
                    </w:rPr>
                  </w:pPr>
                  <w:r>
                    <w:rPr>
                      <w:rFonts w:hint="eastAsia" w:cs="宋体"/>
                      <w:color w:val="auto"/>
                      <w:szCs w:val="21"/>
                      <w:u w:val="single"/>
                    </w:rPr>
                    <w:t>0.05</w:t>
                  </w:r>
                </w:p>
              </w:tc>
              <w:tc>
                <w:tcPr>
                  <w:tcW w:w="1066" w:type="pct"/>
                  <w:vAlign w:val="center"/>
                </w:tcPr>
                <w:p w14:paraId="23AED261">
                  <w:pPr>
                    <w:widowControl/>
                    <w:jc w:val="center"/>
                    <w:rPr>
                      <w:color w:val="auto"/>
                      <w:szCs w:val="21"/>
                      <w:u w:val="single"/>
                    </w:rPr>
                  </w:pPr>
                  <w:r>
                    <w:rPr>
                      <w:rFonts w:hint="eastAsia" w:cs="宋体"/>
                      <w:color w:val="auto"/>
                      <w:szCs w:val="21"/>
                      <w:u w:val="single"/>
                    </w:rPr>
                    <w:t>有资质单位处理</w:t>
                  </w:r>
                </w:p>
              </w:tc>
            </w:tr>
            <w:tr w14:paraId="39614D4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1" w:type="pct"/>
                  <w:vAlign w:val="center"/>
                </w:tcPr>
                <w:p w14:paraId="444A34BF">
                  <w:pPr>
                    <w:widowControl/>
                    <w:jc w:val="center"/>
                    <w:rPr>
                      <w:rFonts w:cs="宋体"/>
                      <w:color w:val="auto"/>
                      <w:szCs w:val="21"/>
                      <w:u w:val="single"/>
                    </w:rPr>
                  </w:pPr>
                  <w:r>
                    <w:rPr>
                      <w:rFonts w:hint="eastAsia" w:cs="宋体"/>
                      <w:color w:val="auto"/>
                      <w:szCs w:val="21"/>
                      <w:u w:val="single"/>
                    </w:rPr>
                    <w:t>10</w:t>
                  </w:r>
                </w:p>
              </w:tc>
              <w:tc>
                <w:tcPr>
                  <w:tcW w:w="959" w:type="pct"/>
                  <w:vAlign w:val="center"/>
                </w:tcPr>
                <w:p w14:paraId="6DD64BC4">
                  <w:pPr>
                    <w:widowControl/>
                    <w:jc w:val="center"/>
                    <w:rPr>
                      <w:rFonts w:cs="宋体"/>
                      <w:color w:val="auto"/>
                      <w:szCs w:val="21"/>
                      <w:u w:val="single"/>
                    </w:rPr>
                  </w:pPr>
                  <w:r>
                    <w:rPr>
                      <w:rFonts w:hint="eastAsia" w:cs="宋体"/>
                      <w:color w:val="auto"/>
                      <w:szCs w:val="21"/>
                      <w:u w:val="single"/>
                    </w:rPr>
                    <w:t>废机油</w:t>
                  </w:r>
                </w:p>
              </w:tc>
              <w:tc>
                <w:tcPr>
                  <w:tcW w:w="534" w:type="pct"/>
                  <w:vAlign w:val="center"/>
                </w:tcPr>
                <w:p w14:paraId="512589E0">
                  <w:pPr>
                    <w:widowControl/>
                    <w:jc w:val="center"/>
                    <w:rPr>
                      <w:rFonts w:cs="宋体"/>
                      <w:color w:val="auto"/>
                      <w:szCs w:val="21"/>
                      <w:u w:val="single"/>
                    </w:rPr>
                  </w:pPr>
                  <w:r>
                    <w:rPr>
                      <w:rFonts w:hint="eastAsia" w:cs="宋体"/>
                      <w:color w:val="auto"/>
                      <w:szCs w:val="21"/>
                      <w:u w:val="single"/>
                    </w:rPr>
                    <w:t>危险废物</w:t>
                  </w:r>
                </w:p>
              </w:tc>
              <w:tc>
                <w:tcPr>
                  <w:tcW w:w="1313" w:type="dxa"/>
                  <w:vAlign w:val="center"/>
                </w:tcPr>
                <w:p w14:paraId="282730F7">
                  <w:pPr>
                    <w:jc w:val="center"/>
                    <w:rPr>
                      <w:rFonts w:cs="宋体"/>
                      <w:color w:val="auto"/>
                      <w:szCs w:val="21"/>
                      <w:u w:val="single"/>
                    </w:rPr>
                  </w:pPr>
                  <w:r>
                    <w:rPr>
                      <w:rFonts w:hint="eastAsia"/>
                      <w:color w:val="auto"/>
                      <w:position w:val="-6"/>
                      <w:szCs w:val="21"/>
                      <w:u w:val="single"/>
                    </w:rPr>
                    <w:t>900-217-08</w:t>
                  </w:r>
                </w:p>
              </w:tc>
              <w:tc>
                <w:tcPr>
                  <w:tcW w:w="730" w:type="pct"/>
                  <w:vAlign w:val="center"/>
                </w:tcPr>
                <w:p w14:paraId="028E3E5D">
                  <w:pPr>
                    <w:widowControl/>
                    <w:jc w:val="center"/>
                    <w:rPr>
                      <w:rFonts w:cs="宋体"/>
                      <w:color w:val="auto"/>
                      <w:szCs w:val="21"/>
                      <w:u w:val="single"/>
                    </w:rPr>
                  </w:pPr>
                  <w:r>
                    <w:rPr>
                      <w:rFonts w:hint="eastAsia" w:cs="宋体"/>
                      <w:color w:val="auto"/>
                      <w:szCs w:val="21"/>
                      <w:u w:val="single"/>
                    </w:rPr>
                    <w:t>设备维护</w:t>
                  </w:r>
                </w:p>
              </w:tc>
              <w:tc>
                <w:tcPr>
                  <w:tcW w:w="655" w:type="pct"/>
                  <w:vAlign w:val="center"/>
                </w:tcPr>
                <w:p w14:paraId="25FB25F7">
                  <w:pPr>
                    <w:widowControl/>
                    <w:jc w:val="center"/>
                    <w:rPr>
                      <w:rFonts w:cs="宋体"/>
                      <w:color w:val="auto"/>
                      <w:szCs w:val="21"/>
                      <w:u w:val="single"/>
                    </w:rPr>
                  </w:pPr>
                  <w:r>
                    <w:rPr>
                      <w:rFonts w:hint="eastAsia" w:cs="宋体"/>
                      <w:color w:val="auto"/>
                      <w:szCs w:val="21"/>
                      <w:u w:val="single"/>
                    </w:rPr>
                    <w:t>0.1</w:t>
                  </w:r>
                </w:p>
              </w:tc>
              <w:tc>
                <w:tcPr>
                  <w:tcW w:w="1066" w:type="pct"/>
                  <w:vAlign w:val="center"/>
                </w:tcPr>
                <w:p w14:paraId="2EEC46B5">
                  <w:pPr>
                    <w:widowControl/>
                    <w:jc w:val="center"/>
                    <w:rPr>
                      <w:rFonts w:cs="宋体"/>
                      <w:color w:val="auto"/>
                      <w:szCs w:val="21"/>
                      <w:u w:val="single"/>
                    </w:rPr>
                  </w:pPr>
                  <w:r>
                    <w:rPr>
                      <w:rFonts w:hint="eastAsia" w:cs="宋体"/>
                      <w:color w:val="auto"/>
                      <w:szCs w:val="21"/>
                      <w:u w:val="single"/>
                    </w:rPr>
                    <w:t>有资质单位处理</w:t>
                  </w:r>
                </w:p>
              </w:tc>
            </w:tr>
            <w:tr w14:paraId="382E17F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1" w:type="pct"/>
                  <w:vAlign w:val="center"/>
                </w:tcPr>
                <w:p w14:paraId="64DF1148">
                  <w:pPr>
                    <w:widowControl/>
                    <w:jc w:val="center"/>
                    <w:rPr>
                      <w:rFonts w:cs="宋体"/>
                      <w:color w:val="auto"/>
                      <w:szCs w:val="21"/>
                      <w:u w:val="single"/>
                    </w:rPr>
                  </w:pPr>
                  <w:r>
                    <w:rPr>
                      <w:rFonts w:hint="eastAsia" w:cs="宋体"/>
                      <w:color w:val="auto"/>
                      <w:szCs w:val="21"/>
                      <w:u w:val="single"/>
                    </w:rPr>
                    <w:t>11</w:t>
                  </w:r>
                </w:p>
              </w:tc>
              <w:tc>
                <w:tcPr>
                  <w:tcW w:w="959" w:type="pct"/>
                  <w:vAlign w:val="center"/>
                </w:tcPr>
                <w:p w14:paraId="5CA6EB98">
                  <w:pPr>
                    <w:widowControl/>
                    <w:jc w:val="center"/>
                    <w:rPr>
                      <w:bCs/>
                      <w:color w:val="auto"/>
                      <w:szCs w:val="21"/>
                      <w:u w:val="single"/>
                    </w:rPr>
                  </w:pPr>
                  <w:r>
                    <w:rPr>
                      <w:rFonts w:hint="eastAsia"/>
                      <w:bCs/>
                      <w:color w:val="auto"/>
                      <w:szCs w:val="21"/>
                      <w:u w:val="single"/>
                    </w:rPr>
                    <w:t>废油漆桶</w:t>
                  </w:r>
                </w:p>
              </w:tc>
              <w:tc>
                <w:tcPr>
                  <w:tcW w:w="534" w:type="pct"/>
                  <w:vAlign w:val="center"/>
                </w:tcPr>
                <w:p w14:paraId="0AA90A67">
                  <w:pPr>
                    <w:jc w:val="center"/>
                    <w:rPr>
                      <w:color w:val="auto"/>
                      <w:position w:val="-6"/>
                      <w:szCs w:val="21"/>
                      <w:u w:val="single"/>
                    </w:rPr>
                  </w:pPr>
                  <w:r>
                    <w:rPr>
                      <w:rFonts w:hint="eastAsia" w:cs="宋体"/>
                      <w:color w:val="auto"/>
                      <w:szCs w:val="21"/>
                      <w:u w:val="single"/>
                    </w:rPr>
                    <w:t>危险废物</w:t>
                  </w:r>
                </w:p>
              </w:tc>
              <w:tc>
                <w:tcPr>
                  <w:tcW w:w="1313" w:type="dxa"/>
                  <w:vAlign w:val="center"/>
                </w:tcPr>
                <w:p w14:paraId="1200BF47">
                  <w:pPr>
                    <w:widowControl/>
                    <w:jc w:val="center"/>
                    <w:rPr>
                      <w:color w:val="auto"/>
                      <w:position w:val="-6"/>
                      <w:szCs w:val="21"/>
                      <w:u w:val="single"/>
                    </w:rPr>
                  </w:pPr>
                  <w:r>
                    <w:rPr>
                      <w:rFonts w:cs="宋体"/>
                      <w:color w:val="auto"/>
                      <w:szCs w:val="21"/>
                      <w:u w:val="single"/>
                    </w:rPr>
                    <w:t>900-041-49</w:t>
                  </w:r>
                </w:p>
              </w:tc>
              <w:tc>
                <w:tcPr>
                  <w:tcW w:w="730" w:type="pct"/>
                  <w:vAlign w:val="center"/>
                </w:tcPr>
                <w:p w14:paraId="41B6C090">
                  <w:pPr>
                    <w:jc w:val="center"/>
                    <w:rPr>
                      <w:color w:val="auto"/>
                      <w:position w:val="-6"/>
                      <w:szCs w:val="21"/>
                      <w:u w:val="single"/>
                    </w:rPr>
                  </w:pPr>
                  <w:r>
                    <w:rPr>
                      <w:rFonts w:hint="eastAsia"/>
                      <w:color w:val="auto"/>
                      <w:position w:val="-6"/>
                      <w:szCs w:val="21"/>
                      <w:u w:val="single"/>
                    </w:rPr>
                    <w:t>原料包装</w:t>
                  </w:r>
                </w:p>
              </w:tc>
              <w:tc>
                <w:tcPr>
                  <w:tcW w:w="655" w:type="pct"/>
                  <w:vAlign w:val="center"/>
                </w:tcPr>
                <w:p w14:paraId="1B062FE1">
                  <w:pPr>
                    <w:widowControl/>
                    <w:jc w:val="center"/>
                    <w:rPr>
                      <w:rFonts w:cs="宋体"/>
                      <w:color w:val="auto"/>
                      <w:szCs w:val="21"/>
                      <w:u w:val="single"/>
                    </w:rPr>
                  </w:pPr>
                  <w:r>
                    <w:rPr>
                      <w:rFonts w:hint="eastAsia" w:cs="宋体"/>
                      <w:color w:val="auto"/>
                      <w:szCs w:val="21"/>
                      <w:u w:val="single"/>
                    </w:rPr>
                    <w:t>0.1</w:t>
                  </w:r>
                </w:p>
              </w:tc>
              <w:tc>
                <w:tcPr>
                  <w:tcW w:w="1066" w:type="pct"/>
                  <w:vAlign w:val="center"/>
                </w:tcPr>
                <w:p w14:paraId="57677CDD">
                  <w:pPr>
                    <w:widowControl/>
                    <w:jc w:val="center"/>
                    <w:rPr>
                      <w:rFonts w:cs="宋体"/>
                      <w:color w:val="auto"/>
                      <w:szCs w:val="21"/>
                      <w:u w:val="single"/>
                    </w:rPr>
                  </w:pPr>
                  <w:r>
                    <w:rPr>
                      <w:rFonts w:hint="eastAsia" w:cs="宋体"/>
                      <w:color w:val="auto"/>
                      <w:szCs w:val="21"/>
                      <w:u w:val="single"/>
                    </w:rPr>
                    <w:t>有资质单位处理</w:t>
                  </w:r>
                </w:p>
              </w:tc>
            </w:tr>
            <w:tr w14:paraId="0C06A6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1" w:type="pct"/>
                  <w:vAlign w:val="center"/>
                </w:tcPr>
                <w:p w14:paraId="5B5ACF06">
                  <w:pPr>
                    <w:widowControl/>
                    <w:jc w:val="center"/>
                    <w:rPr>
                      <w:rFonts w:cs="宋体"/>
                      <w:color w:val="auto"/>
                      <w:szCs w:val="21"/>
                      <w:u w:val="single"/>
                    </w:rPr>
                  </w:pPr>
                  <w:r>
                    <w:rPr>
                      <w:rFonts w:hint="eastAsia" w:cs="宋体"/>
                      <w:color w:val="auto"/>
                      <w:szCs w:val="21"/>
                      <w:u w:val="single"/>
                    </w:rPr>
                    <w:t>12</w:t>
                  </w:r>
                </w:p>
              </w:tc>
              <w:tc>
                <w:tcPr>
                  <w:tcW w:w="959" w:type="pct"/>
                  <w:vAlign w:val="center"/>
                </w:tcPr>
                <w:p w14:paraId="45C50706">
                  <w:pPr>
                    <w:widowControl/>
                    <w:jc w:val="center"/>
                    <w:rPr>
                      <w:bCs/>
                      <w:color w:val="auto"/>
                      <w:szCs w:val="21"/>
                      <w:u w:val="single"/>
                    </w:rPr>
                  </w:pPr>
                  <w:r>
                    <w:rPr>
                      <w:rFonts w:hint="eastAsia"/>
                      <w:bCs/>
                      <w:color w:val="auto"/>
                      <w:szCs w:val="21"/>
                      <w:u w:val="single"/>
                    </w:rPr>
                    <w:t>漆渣</w:t>
                  </w:r>
                </w:p>
              </w:tc>
              <w:tc>
                <w:tcPr>
                  <w:tcW w:w="534" w:type="pct"/>
                  <w:vAlign w:val="center"/>
                </w:tcPr>
                <w:p w14:paraId="32AB55F6">
                  <w:pPr>
                    <w:jc w:val="center"/>
                    <w:rPr>
                      <w:rFonts w:cs="宋体"/>
                      <w:color w:val="auto"/>
                      <w:szCs w:val="21"/>
                      <w:u w:val="single"/>
                    </w:rPr>
                  </w:pPr>
                  <w:r>
                    <w:rPr>
                      <w:rFonts w:hint="eastAsia" w:cs="宋体"/>
                      <w:color w:val="auto"/>
                      <w:szCs w:val="21"/>
                      <w:u w:val="single"/>
                    </w:rPr>
                    <w:t>危险废物</w:t>
                  </w:r>
                </w:p>
              </w:tc>
              <w:tc>
                <w:tcPr>
                  <w:tcW w:w="1313" w:type="dxa"/>
                  <w:vAlign w:val="center"/>
                </w:tcPr>
                <w:p w14:paraId="720D7D9B">
                  <w:pPr>
                    <w:widowControl/>
                    <w:jc w:val="center"/>
                    <w:rPr>
                      <w:color w:val="auto"/>
                      <w:position w:val="-6"/>
                      <w:szCs w:val="21"/>
                      <w:u w:val="single"/>
                    </w:rPr>
                  </w:pPr>
                  <w:r>
                    <w:rPr>
                      <w:rFonts w:cs="宋体"/>
                      <w:color w:val="auto"/>
                      <w:szCs w:val="21"/>
                      <w:u w:val="single"/>
                    </w:rPr>
                    <w:t>900-252-12</w:t>
                  </w:r>
                </w:p>
              </w:tc>
              <w:tc>
                <w:tcPr>
                  <w:tcW w:w="730" w:type="pct"/>
                  <w:vAlign w:val="center"/>
                </w:tcPr>
                <w:p w14:paraId="0A9888D7">
                  <w:pPr>
                    <w:jc w:val="center"/>
                    <w:rPr>
                      <w:color w:val="auto"/>
                      <w:position w:val="-6"/>
                      <w:szCs w:val="21"/>
                      <w:u w:val="single"/>
                    </w:rPr>
                  </w:pPr>
                  <w:r>
                    <w:rPr>
                      <w:rFonts w:hint="eastAsia"/>
                      <w:color w:val="auto"/>
                      <w:position w:val="-6"/>
                      <w:szCs w:val="21"/>
                      <w:u w:val="single"/>
                    </w:rPr>
                    <w:t>喷涂</w:t>
                  </w:r>
                </w:p>
              </w:tc>
              <w:tc>
                <w:tcPr>
                  <w:tcW w:w="655" w:type="pct"/>
                  <w:vAlign w:val="center"/>
                </w:tcPr>
                <w:p w14:paraId="18C65861">
                  <w:pPr>
                    <w:widowControl/>
                    <w:jc w:val="center"/>
                    <w:rPr>
                      <w:rFonts w:cs="宋体"/>
                      <w:color w:val="auto"/>
                      <w:szCs w:val="21"/>
                      <w:u w:val="single"/>
                    </w:rPr>
                  </w:pPr>
                  <w:r>
                    <w:rPr>
                      <w:rFonts w:hint="eastAsia" w:cs="宋体"/>
                      <w:color w:val="auto"/>
                      <w:szCs w:val="21"/>
                      <w:u w:val="single"/>
                    </w:rPr>
                    <w:t>0.2</w:t>
                  </w:r>
                </w:p>
              </w:tc>
              <w:tc>
                <w:tcPr>
                  <w:tcW w:w="1066" w:type="pct"/>
                  <w:vAlign w:val="center"/>
                </w:tcPr>
                <w:p w14:paraId="0C394487">
                  <w:pPr>
                    <w:widowControl/>
                    <w:jc w:val="center"/>
                    <w:rPr>
                      <w:rFonts w:cs="宋体"/>
                      <w:color w:val="auto"/>
                      <w:szCs w:val="21"/>
                      <w:u w:val="single"/>
                    </w:rPr>
                  </w:pPr>
                  <w:r>
                    <w:rPr>
                      <w:rFonts w:hint="eastAsia" w:cs="宋体"/>
                      <w:color w:val="auto"/>
                      <w:szCs w:val="21"/>
                      <w:u w:val="single"/>
                    </w:rPr>
                    <w:t>有资质单位处理</w:t>
                  </w:r>
                </w:p>
              </w:tc>
            </w:tr>
            <w:tr w14:paraId="748D93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1" w:type="pct"/>
                  <w:vAlign w:val="center"/>
                </w:tcPr>
                <w:p w14:paraId="763C527C">
                  <w:pPr>
                    <w:widowControl/>
                    <w:jc w:val="center"/>
                    <w:rPr>
                      <w:rFonts w:cs="宋体"/>
                      <w:color w:val="auto"/>
                      <w:szCs w:val="21"/>
                      <w:u w:val="single"/>
                    </w:rPr>
                  </w:pPr>
                  <w:r>
                    <w:rPr>
                      <w:rFonts w:hint="eastAsia" w:cs="宋体"/>
                      <w:color w:val="auto"/>
                      <w:szCs w:val="21"/>
                      <w:u w:val="single"/>
                    </w:rPr>
                    <w:t>13</w:t>
                  </w:r>
                </w:p>
              </w:tc>
              <w:tc>
                <w:tcPr>
                  <w:tcW w:w="959" w:type="pct"/>
                  <w:vAlign w:val="center"/>
                </w:tcPr>
                <w:p w14:paraId="033555F6">
                  <w:pPr>
                    <w:widowControl/>
                    <w:jc w:val="center"/>
                    <w:rPr>
                      <w:rFonts w:cs="宋体"/>
                      <w:color w:val="auto"/>
                      <w:szCs w:val="21"/>
                      <w:u w:val="single"/>
                    </w:rPr>
                  </w:pPr>
                  <w:r>
                    <w:rPr>
                      <w:rFonts w:hint="eastAsia" w:cs="宋体"/>
                      <w:color w:val="auto"/>
                      <w:szCs w:val="21"/>
                      <w:u w:val="single"/>
                    </w:rPr>
                    <w:t>漆雾过滤棉</w:t>
                  </w:r>
                </w:p>
              </w:tc>
              <w:tc>
                <w:tcPr>
                  <w:tcW w:w="534" w:type="pct"/>
                  <w:vAlign w:val="center"/>
                </w:tcPr>
                <w:p w14:paraId="302F7C09">
                  <w:pPr>
                    <w:widowControl/>
                    <w:jc w:val="center"/>
                    <w:rPr>
                      <w:rFonts w:cs="宋体"/>
                      <w:color w:val="auto"/>
                      <w:szCs w:val="21"/>
                      <w:u w:val="single"/>
                    </w:rPr>
                  </w:pPr>
                  <w:r>
                    <w:rPr>
                      <w:rFonts w:hint="eastAsia" w:cs="宋体"/>
                      <w:color w:val="auto"/>
                      <w:szCs w:val="21"/>
                      <w:u w:val="single"/>
                    </w:rPr>
                    <w:t>危险废物</w:t>
                  </w:r>
                </w:p>
              </w:tc>
              <w:tc>
                <w:tcPr>
                  <w:tcW w:w="1313" w:type="dxa"/>
                  <w:vAlign w:val="center"/>
                </w:tcPr>
                <w:p w14:paraId="28B62B8E">
                  <w:pPr>
                    <w:widowControl/>
                    <w:jc w:val="center"/>
                    <w:rPr>
                      <w:rFonts w:cs="宋体"/>
                      <w:color w:val="auto"/>
                      <w:szCs w:val="21"/>
                      <w:u w:val="single"/>
                    </w:rPr>
                  </w:pPr>
                  <w:r>
                    <w:rPr>
                      <w:rFonts w:cs="宋体"/>
                      <w:color w:val="auto"/>
                      <w:szCs w:val="21"/>
                      <w:u w:val="single"/>
                    </w:rPr>
                    <w:t>900-041-49</w:t>
                  </w:r>
                </w:p>
              </w:tc>
              <w:tc>
                <w:tcPr>
                  <w:tcW w:w="730" w:type="pct"/>
                  <w:vAlign w:val="center"/>
                </w:tcPr>
                <w:p w14:paraId="6FB1BF99">
                  <w:pPr>
                    <w:widowControl/>
                    <w:jc w:val="center"/>
                    <w:rPr>
                      <w:rFonts w:cs="宋体"/>
                      <w:color w:val="auto"/>
                      <w:szCs w:val="21"/>
                      <w:u w:val="single"/>
                    </w:rPr>
                  </w:pPr>
                  <w:r>
                    <w:rPr>
                      <w:rFonts w:hint="eastAsia" w:cs="宋体"/>
                      <w:color w:val="auto"/>
                      <w:szCs w:val="21"/>
                      <w:u w:val="single"/>
                    </w:rPr>
                    <w:t>废气处理装置</w:t>
                  </w:r>
                </w:p>
              </w:tc>
              <w:tc>
                <w:tcPr>
                  <w:tcW w:w="655" w:type="pct"/>
                  <w:vAlign w:val="center"/>
                </w:tcPr>
                <w:p w14:paraId="111048B2">
                  <w:pPr>
                    <w:widowControl/>
                    <w:jc w:val="center"/>
                    <w:rPr>
                      <w:rFonts w:cs="宋体"/>
                      <w:color w:val="auto"/>
                      <w:szCs w:val="21"/>
                      <w:u w:val="single"/>
                    </w:rPr>
                  </w:pPr>
                  <w:r>
                    <w:rPr>
                      <w:rFonts w:hint="eastAsia" w:cs="宋体"/>
                      <w:color w:val="auto"/>
                      <w:szCs w:val="21"/>
                      <w:u w:val="single"/>
                    </w:rPr>
                    <w:t>1</w:t>
                  </w:r>
                </w:p>
              </w:tc>
              <w:tc>
                <w:tcPr>
                  <w:tcW w:w="1066" w:type="pct"/>
                  <w:vAlign w:val="center"/>
                </w:tcPr>
                <w:p w14:paraId="38C18EBC">
                  <w:pPr>
                    <w:widowControl/>
                    <w:jc w:val="center"/>
                    <w:rPr>
                      <w:rFonts w:cs="宋体"/>
                      <w:color w:val="auto"/>
                      <w:szCs w:val="21"/>
                      <w:u w:val="single"/>
                    </w:rPr>
                  </w:pPr>
                  <w:r>
                    <w:rPr>
                      <w:rFonts w:hint="eastAsia" w:cs="宋体"/>
                      <w:color w:val="auto"/>
                      <w:szCs w:val="21"/>
                      <w:u w:val="single"/>
                    </w:rPr>
                    <w:t>有资质单位处理</w:t>
                  </w:r>
                </w:p>
              </w:tc>
            </w:tr>
            <w:tr w14:paraId="5D087B2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1" w:type="pct"/>
                  <w:vAlign w:val="center"/>
                </w:tcPr>
                <w:p w14:paraId="765B6B84">
                  <w:pPr>
                    <w:widowControl/>
                    <w:jc w:val="center"/>
                    <w:rPr>
                      <w:rFonts w:cs="宋体"/>
                      <w:color w:val="auto"/>
                      <w:szCs w:val="21"/>
                      <w:u w:val="single"/>
                    </w:rPr>
                  </w:pPr>
                  <w:r>
                    <w:rPr>
                      <w:rFonts w:hint="eastAsia" w:cs="宋体"/>
                      <w:color w:val="auto"/>
                      <w:szCs w:val="21"/>
                      <w:u w:val="single"/>
                    </w:rPr>
                    <w:t>14</w:t>
                  </w:r>
                </w:p>
              </w:tc>
              <w:tc>
                <w:tcPr>
                  <w:tcW w:w="959" w:type="pct"/>
                  <w:vAlign w:val="center"/>
                </w:tcPr>
                <w:p w14:paraId="2C389639">
                  <w:pPr>
                    <w:widowControl/>
                    <w:jc w:val="center"/>
                    <w:rPr>
                      <w:rFonts w:cs="宋体"/>
                      <w:color w:val="auto"/>
                      <w:szCs w:val="21"/>
                      <w:u w:val="single"/>
                    </w:rPr>
                  </w:pPr>
                  <w:r>
                    <w:rPr>
                      <w:rFonts w:hint="eastAsia" w:cs="宋体"/>
                      <w:color w:val="auto"/>
                      <w:szCs w:val="21"/>
                      <w:u w:val="single"/>
                    </w:rPr>
                    <w:t>废活性炭</w:t>
                  </w:r>
                </w:p>
              </w:tc>
              <w:tc>
                <w:tcPr>
                  <w:tcW w:w="534" w:type="pct"/>
                  <w:vAlign w:val="center"/>
                </w:tcPr>
                <w:p w14:paraId="11E7D882">
                  <w:pPr>
                    <w:widowControl/>
                    <w:jc w:val="center"/>
                    <w:rPr>
                      <w:rFonts w:cs="宋体"/>
                      <w:color w:val="auto"/>
                      <w:szCs w:val="21"/>
                      <w:u w:val="single"/>
                    </w:rPr>
                  </w:pPr>
                  <w:r>
                    <w:rPr>
                      <w:rFonts w:hint="eastAsia" w:cs="宋体"/>
                      <w:color w:val="auto"/>
                      <w:szCs w:val="21"/>
                      <w:u w:val="single"/>
                    </w:rPr>
                    <w:t>危险废物</w:t>
                  </w:r>
                </w:p>
              </w:tc>
              <w:tc>
                <w:tcPr>
                  <w:tcW w:w="1313" w:type="dxa"/>
                  <w:vAlign w:val="center"/>
                </w:tcPr>
                <w:p w14:paraId="0669B7DD">
                  <w:pPr>
                    <w:widowControl/>
                    <w:jc w:val="center"/>
                    <w:rPr>
                      <w:rFonts w:cs="宋体"/>
                      <w:color w:val="auto"/>
                      <w:szCs w:val="21"/>
                      <w:u w:val="single"/>
                    </w:rPr>
                  </w:pPr>
                  <w:r>
                    <w:rPr>
                      <w:rFonts w:cs="宋体"/>
                      <w:color w:val="auto"/>
                      <w:szCs w:val="21"/>
                      <w:u w:val="single"/>
                    </w:rPr>
                    <w:t>900-039-49</w:t>
                  </w:r>
                </w:p>
              </w:tc>
              <w:tc>
                <w:tcPr>
                  <w:tcW w:w="730" w:type="pct"/>
                  <w:vAlign w:val="center"/>
                </w:tcPr>
                <w:p w14:paraId="20BF5B73">
                  <w:pPr>
                    <w:widowControl/>
                    <w:jc w:val="center"/>
                    <w:rPr>
                      <w:rFonts w:cs="宋体"/>
                      <w:color w:val="auto"/>
                      <w:szCs w:val="21"/>
                      <w:u w:val="single"/>
                    </w:rPr>
                  </w:pPr>
                  <w:r>
                    <w:rPr>
                      <w:rFonts w:hint="eastAsia" w:cs="宋体"/>
                      <w:color w:val="auto"/>
                      <w:szCs w:val="21"/>
                      <w:u w:val="single"/>
                    </w:rPr>
                    <w:t>废气处理装置</w:t>
                  </w:r>
                </w:p>
              </w:tc>
              <w:tc>
                <w:tcPr>
                  <w:tcW w:w="655" w:type="pct"/>
                  <w:vAlign w:val="center"/>
                </w:tcPr>
                <w:p w14:paraId="68240D29">
                  <w:pPr>
                    <w:widowControl/>
                    <w:jc w:val="center"/>
                    <w:rPr>
                      <w:rFonts w:hint="default" w:eastAsia="宋体" w:cs="宋体"/>
                      <w:color w:val="auto"/>
                      <w:szCs w:val="21"/>
                      <w:u w:val="single"/>
                      <w:lang w:val="en-US" w:eastAsia="zh-CN"/>
                    </w:rPr>
                  </w:pPr>
                  <w:r>
                    <w:rPr>
                      <w:rFonts w:hint="eastAsia" w:cs="宋体"/>
                      <w:color w:val="auto"/>
                      <w:szCs w:val="21"/>
                      <w:u w:val="single"/>
                      <w:lang w:val="en-US" w:eastAsia="zh-CN"/>
                    </w:rPr>
                    <w:t>21.17</w:t>
                  </w:r>
                </w:p>
              </w:tc>
              <w:tc>
                <w:tcPr>
                  <w:tcW w:w="1066" w:type="pct"/>
                  <w:vAlign w:val="center"/>
                </w:tcPr>
                <w:p w14:paraId="4A19DB8D">
                  <w:pPr>
                    <w:widowControl/>
                    <w:jc w:val="center"/>
                    <w:rPr>
                      <w:rFonts w:cs="宋体"/>
                      <w:color w:val="auto"/>
                      <w:szCs w:val="21"/>
                      <w:u w:val="single"/>
                    </w:rPr>
                  </w:pPr>
                  <w:r>
                    <w:rPr>
                      <w:rFonts w:hint="eastAsia" w:cs="宋体"/>
                      <w:color w:val="auto"/>
                      <w:szCs w:val="21"/>
                      <w:u w:val="single"/>
                    </w:rPr>
                    <w:t>有资质单位处理</w:t>
                  </w:r>
                </w:p>
              </w:tc>
            </w:tr>
          </w:tbl>
          <w:p w14:paraId="29695339">
            <w:pPr>
              <w:widowControl/>
              <w:tabs>
                <w:tab w:val="left" w:pos="4245"/>
              </w:tabs>
              <w:spacing w:before="120" w:beforeLines="50" w:line="360" w:lineRule="auto"/>
              <w:jc w:val="center"/>
              <w:rPr>
                <w:rFonts w:cs="宋体"/>
                <w:b/>
                <w:bCs/>
                <w:color w:val="auto"/>
                <w:szCs w:val="21"/>
                <w:u w:val="single"/>
              </w:rPr>
            </w:pPr>
            <w:r>
              <w:rPr>
                <w:rFonts w:hint="eastAsia" w:cs="宋体"/>
                <w:b/>
                <w:bCs/>
                <w:color w:val="auto"/>
                <w:szCs w:val="21"/>
                <w:u w:val="single"/>
              </w:rPr>
              <w:t>表4-20  项目危险废物产生情况汇总表</w:t>
            </w:r>
          </w:p>
          <w:tbl>
            <w:tblPr>
              <w:tblStyle w:val="30"/>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1"/>
              <w:gridCol w:w="1042"/>
              <w:gridCol w:w="903"/>
              <w:gridCol w:w="1196"/>
              <w:gridCol w:w="979"/>
              <w:gridCol w:w="967"/>
              <w:gridCol w:w="967"/>
              <w:gridCol w:w="1054"/>
              <w:gridCol w:w="1225"/>
            </w:tblGrid>
            <w:tr w14:paraId="3E9D43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2" w:hRule="exact"/>
                <w:jc w:val="center"/>
              </w:trPr>
              <w:tc>
                <w:tcPr>
                  <w:tcW w:w="274" w:type="pct"/>
                  <w:vAlign w:val="center"/>
                </w:tcPr>
                <w:p w14:paraId="48AA7332">
                  <w:pPr>
                    <w:widowControl/>
                    <w:tabs>
                      <w:tab w:val="left" w:pos="4245"/>
                    </w:tabs>
                    <w:jc w:val="center"/>
                    <w:rPr>
                      <w:rFonts w:cs="宋体"/>
                      <w:color w:val="auto"/>
                      <w:szCs w:val="21"/>
                      <w:u w:val="single"/>
                    </w:rPr>
                  </w:pPr>
                  <w:r>
                    <w:rPr>
                      <w:rFonts w:hint="eastAsia" w:cs="宋体"/>
                      <w:color w:val="auto"/>
                      <w:szCs w:val="21"/>
                      <w:u w:val="single"/>
                    </w:rPr>
                    <w:t>序号</w:t>
                  </w:r>
                </w:p>
              </w:tc>
              <w:tc>
                <w:tcPr>
                  <w:tcW w:w="598" w:type="pct"/>
                  <w:vAlign w:val="center"/>
                </w:tcPr>
                <w:p w14:paraId="4E121590">
                  <w:pPr>
                    <w:widowControl/>
                    <w:tabs>
                      <w:tab w:val="left" w:pos="4245"/>
                    </w:tabs>
                    <w:jc w:val="center"/>
                    <w:rPr>
                      <w:rFonts w:cs="宋体"/>
                      <w:color w:val="auto"/>
                      <w:szCs w:val="21"/>
                      <w:u w:val="single"/>
                    </w:rPr>
                  </w:pPr>
                  <w:r>
                    <w:rPr>
                      <w:rFonts w:hint="eastAsia" w:cs="宋体"/>
                      <w:color w:val="auto"/>
                      <w:szCs w:val="21"/>
                      <w:u w:val="single"/>
                    </w:rPr>
                    <w:t>危险废物名称</w:t>
                  </w:r>
                </w:p>
              </w:tc>
              <w:tc>
                <w:tcPr>
                  <w:tcW w:w="519" w:type="pct"/>
                  <w:vAlign w:val="center"/>
                </w:tcPr>
                <w:p w14:paraId="26D20B55">
                  <w:pPr>
                    <w:widowControl/>
                    <w:tabs>
                      <w:tab w:val="left" w:pos="4245"/>
                    </w:tabs>
                    <w:jc w:val="center"/>
                    <w:rPr>
                      <w:rFonts w:cs="宋体"/>
                      <w:color w:val="auto"/>
                      <w:szCs w:val="21"/>
                      <w:u w:val="single"/>
                    </w:rPr>
                  </w:pPr>
                  <w:r>
                    <w:rPr>
                      <w:rFonts w:hint="eastAsia" w:cs="宋体"/>
                      <w:color w:val="auto"/>
                      <w:szCs w:val="21"/>
                      <w:u w:val="single"/>
                    </w:rPr>
                    <w:t>危险废物类别</w:t>
                  </w:r>
                </w:p>
              </w:tc>
              <w:tc>
                <w:tcPr>
                  <w:tcW w:w="626" w:type="pct"/>
                  <w:vAlign w:val="center"/>
                </w:tcPr>
                <w:p w14:paraId="6309836F">
                  <w:pPr>
                    <w:widowControl/>
                    <w:tabs>
                      <w:tab w:val="left" w:pos="4245"/>
                    </w:tabs>
                    <w:jc w:val="center"/>
                    <w:rPr>
                      <w:rFonts w:cs="宋体"/>
                      <w:color w:val="auto"/>
                      <w:szCs w:val="21"/>
                      <w:u w:val="single"/>
                    </w:rPr>
                  </w:pPr>
                  <w:r>
                    <w:rPr>
                      <w:rFonts w:hint="eastAsia" w:cs="宋体"/>
                      <w:color w:val="auto"/>
                      <w:szCs w:val="21"/>
                      <w:u w:val="single"/>
                    </w:rPr>
                    <w:t>危险废物</w:t>
                  </w:r>
                </w:p>
                <w:p w14:paraId="7F042511">
                  <w:pPr>
                    <w:widowControl/>
                    <w:tabs>
                      <w:tab w:val="left" w:pos="4245"/>
                    </w:tabs>
                    <w:jc w:val="center"/>
                    <w:rPr>
                      <w:rFonts w:cs="宋体"/>
                      <w:color w:val="auto"/>
                      <w:szCs w:val="21"/>
                      <w:u w:val="single"/>
                    </w:rPr>
                  </w:pPr>
                  <w:r>
                    <w:rPr>
                      <w:rFonts w:hint="eastAsia" w:cs="宋体"/>
                      <w:color w:val="auto"/>
                      <w:szCs w:val="21"/>
                      <w:u w:val="single"/>
                    </w:rPr>
                    <w:t>代码</w:t>
                  </w:r>
                </w:p>
              </w:tc>
              <w:tc>
                <w:tcPr>
                  <w:tcW w:w="562" w:type="pct"/>
                  <w:vAlign w:val="center"/>
                </w:tcPr>
                <w:p w14:paraId="5D0F0505">
                  <w:pPr>
                    <w:widowControl/>
                    <w:tabs>
                      <w:tab w:val="left" w:pos="4245"/>
                    </w:tabs>
                    <w:jc w:val="center"/>
                    <w:rPr>
                      <w:rFonts w:cs="宋体"/>
                      <w:color w:val="auto"/>
                      <w:szCs w:val="21"/>
                      <w:u w:val="single"/>
                    </w:rPr>
                  </w:pPr>
                  <w:r>
                    <w:rPr>
                      <w:rFonts w:hint="eastAsia" w:cs="宋体"/>
                      <w:color w:val="auto"/>
                      <w:szCs w:val="21"/>
                      <w:u w:val="single"/>
                    </w:rPr>
                    <w:t>危险废物量（t/a）</w:t>
                  </w:r>
                </w:p>
              </w:tc>
              <w:tc>
                <w:tcPr>
                  <w:tcW w:w="555" w:type="pct"/>
                  <w:vAlign w:val="center"/>
                </w:tcPr>
                <w:p w14:paraId="244076CC">
                  <w:pPr>
                    <w:widowControl/>
                    <w:tabs>
                      <w:tab w:val="left" w:pos="4245"/>
                    </w:tabs>
                    <w:jc w:val="center"/>
                    <w:rPr>
                      <w:rFonts w:cs="宋体"/>
                      <w:color w:val="auto"/>
                      <w:szCs w:val="21"/>
                      <w:u w:val="single"/>
                    </w:rPr>
                  </w:pPr>
                  <w:r>
                    <w:rPr>
                      <w:rFonts w:hint="eastAsia" w:cs="宋体"/>
                      <w:color w:val="auto"/>
                      <w:szCs w:val="21"/>
                      <w:u w:val="single"/>
                    </w:rPr>
                    <w:t>形态</w:t>
                  </w:r>
                </w:p>
              </w:tc>
              <w:tc>
                <w:tcPr>
                  <w:tcW w:w="555" w:type="pct"/>
                  <w:vAlign w:val="center"/>
                </w:tcPr>
                <w:p w14:paraId="581A2BC0">
                  <w:pPr>
                    <w:widowControl/>
                    <w:tabs>
                      <w:tab w:val="left" w:pos="4245"/>
                    </w:tabs>
                    <w:jc w:val="center"/>
                    <w:rPr>
                      <w:rFonts w:cs="宋体"/>
                      <w:color w:val="auto"/>
                      <w:szCs w:val="21"/>
                      <w:u w:val="single"/>
                    </w:rPr>
                  </w:pPr>
                  <w:r>
                    <w:rPr>
                      <w:rFonts w:hint="eastAsia" w:cs="宋体"/>
                      <w:color w:val="auto"/>
                      <w:szCs w:val="21"/>
                      <w:u w:val="single"/>
                    </w:rPr>
                    <w:t>有害成分</w:t>
                  </w:r>
                </w:p>
              </w:tc>
              <w:tc>
                <w:tcPr>
                  <w:tcW w:w="604" w:type="pct"/>
                  <w:vAlign w:val="center"/>
                </w:tcPr>
                <w:p w14:paraId="7F0D5510">
                  <w:pPr>
                    <w:widowControl/>
                    <w:tabs>
                      <w:tab w:val="left" w:pos="4245"/>
                    </w:tabs>
                    <w:jc w:val="center"/>
                    <w:rPr>
                      <w:rFonts w:cs="宋体"/>
                      <w:color w:val="auto"/>
                      <w:szCs w:val="21"/>
                      <w:u w:val="single"/>
                    </w:rPr>
                  </w:pPr>
                  <w:r>
                    <w:rPr>
                      <w:rFonts w:hint="eastAsia" w:cs="宋体"/>
                      <w:color w:val="auto"/>
                      <w:szCs w:val="21"/>
                      <w:u w:val="single"/>
                    </w:rPr>
                    <w:t>产生工序及装置</w:t>
                  </w:r>
                </w:p>
              </w:tc>
              <w:tc>
                <w:tcPr>
                  <w:tcW w:w="701" w:type="pct"/>
                  <w:vAlign w:val="center"/>
                </w:tcPr>
                <w:p w14:paraId="3D8551BB">
                  <w:pPr>
                    <w:widowControl/>
                    <w:tabs>
                      <w:tab w:val="left" w:pos="4245"/>
                    </w:tabs>
                    <w:jc w:val="center"/>
                    <w:rPr>
                      <w:rFonts w:cs="宋体"/>
                      <w:color w:val="auto"/>
                      <w:szCs w:val="21"/>
                      <w:u w:val="single"/>
                    </w:rPr>
                  </w:pPr>
                  <w:r>
                    <w:rPr>
                      <w:rFonts w:hint="eastAsia" w:cs="宋体"/>
                      <w:color w:val="auto"/>
                      <w:szCs w:val="21"/>
                      <w:u w:val="single"/>
                    </w:rPr>
                    <w:t>处置措施</w:t>
                  </w:r>
                </w:p>
              </w:tc>
            </w:tr>
            <w:tr w14:paraId="698D1B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5" w:hRule="exact"/>
                <w:jc w:val="center"/>
              </w:trPr>
              <w:tc>
                <w:tcPr>
                  <w:tcW w:w="274" w:type="pct"/>
                  <w:vAlign w:val="center"/>
                </w:tcPr>
                <w:p w14:paraId="323E291F">
                  <w:pPr>
                    <w:widowControl/>
                    <w:jc w:val="center"/>
                    <w:rPr>
                      <w:rFonts w:cs="宋体"/>
                      <w:color w:val="auto"/>
                      <w:szCs w:val="21"/>
                      <w:u w:val="single"/>
                    </w:rPr>
                  </w:pPr>
                  <w:r>
                    <w:rPr>
                      <w:rFonts w:hint="eastAsia" w:cs="宋体"/>
                      <w:color w:val="auto"/>
                      <w:szCs w:val="21"/>
                      <w:u w:val="single"/>
                    </w:rPr>
                    <w:t>1</w:t>
                  </w:r>
                </w:p>
              </w:tc>
              <w:tc>
                <w:tcPr>
                  <w:tcW w:w="598" w:type="pct"/>
                  <w:vAlign w:val="center"/>
                </w:tcPr>
                <w:p w14:paraId="15BC5F75">
                  <w:pPr>
                    <w:widowControl/>
                    <w:jc w:val="center"/>
                    <w:rPr>
                      <w:rFonts w:cs="宋体"/>
                      <w:color w:val="auto"/>
                      <w:szCs w:val="21"/>
                      <w:u w:val="single"/>
                    </w:rPr>
                  </w:pPr>
                  <w:r>
                    <w:rPr>
                      <w:rFonts w:hint="eastAsia" w:cs="宋体"/>
                      <w:color w:val="auto"/>
                      <w:szCs w:val="21"/>
                      <w:u w:val="single"/>
                    </w:rPr>
                    <w:t>含油废抹布和手套</w:t>
                  </w:r>
                </w:p>
              </w:tc>
              <w:tc>
                <w:tcPr>
                  <w:tcW w:w="519" w:type="pct"/>
                  <w:vAlign w:val="center"/>
                </w:tcPr>
                <w:p w14:paraId="76A6D322">
                  <w:pPr>
                    <w:widowControl/>
                    <w:jc w:val="center"/>
                    <w:rPr>
                      <w:rFonts w:cs="宋体"/>
                      <w:color w:val="auto"/>
                      <w:szCs w:val="21"/>
                      <w:u w:val="single"/>
                    </w:rPr>
                  </w:pPr>
                  <w:r>
                    <w:rPr>
                      <w:rFonts w:hint="eastAsia" w:cs="宋体"/>
                      <w:color w:val="auto"/>
                      <w:szCs w:val="21"/>
                      <w:u w:val="single"/>
                    </w:rPr>
                    <w:t>HW49</w:t>
                  </w:r>
                </w:p>
              </w:tc>
              <w:tc>
                <w:tcPr>
                  <w:tcW w:w="626" w:type="pct"/>
                  <w:vAlign w:val="center"/>
                </w:tcPr>
                <w:p w14:paraId="78FEB210">
                  <w:pPr>
                    <w:widowControl/>
                    <w:jc w:val="center"/>
                    <w:rPr>
                      <w:rFonts w:cs="宋体"/>
                      <w:color w:val="auto"/>
                      <w:szCs w:val="21"/>
                      <w:u w:val="single"/>
                    </w:rPr>
                  </w:pPr>
                  <w:r>
                    <w:rPr>
                      <w:rFonts w:cs="宋体"/>
                      <w:color w:val="auto"/>
                      <w:szCs w:val="21"/>
                      <w:u w:val="single"/>
                    </w:rPr>
                    <w:t>900-041-49</w:t>
                  </w:r>
                </w:p>
              </w:tc>
              <w:tc>
                <w:tcPr>
                  <w:tcW w:w="562" w:type="pct"/>
                  <w:vAlign w:val="center"/>
                </w:tcPr>
                <w:p w14:paraId="5E02139C">
                  <w:pPr>
                    <w:widowControl/>
                    <w:jc w:val="center"/>
                    <w:rPr>
                      <w:rFonts w:cs="宋体"/>
                      <w:color w:val="auto"/>
                      <w:szCs w:val="21"/>
                      <w:u w:val="single"/>
                    </w:rPr>
                  </w:pPr>
                  <w:r>
                    <w:rPr>
                      <w:rFonts w:hint="eastAsia" w:cs="宋体"/>
                      <w:color w:val="auto"/>
                      <w:szCs w:val="21"/>
                      <w:u w:val="single"/>
                    </w:rPr>
                    <w:t>0.05</w:t>
                  </w:r>
                </w:p>
              </w:tc>
              <w:tc>
                <w:tcPr>
                  <w:tcW w:w="555" w:type="pct"/>
                  <w:vAlign w:val="center"/>
                </w:tcPr>
                <w:p w14:paraId="10B734FF">
                  <w:pPr>
                    <w:widowControl/>
                    <w:jc w:val="center"/>
                    <w:rPr>
                      <w:rFonts w:cs="宋体"/>
                      <w:color w:val="auto"/>
                      <w:szCs w:val="21"/>
                      <w:u w:val="single"/>
                    </w:rPr>
                  </w:pPr>
                  <w:r>
                    <w:rPr>
                      <w:rFonts w:hint="eastAsia" w:cs="宋体"/>
                      <w:color w:val="auto"/>
                      <w:szCs w:val="21"/>
                      <w:u w:val="single"/>
                    </w:rPr>
                    <w:t>固</w:t>
                  </w:r>
                </w:p>
              </w:tc>
              <w:tc>
                <w:tcPr>
                  <w:tcW w:w="555" w:type="pct"/>
                  <w:vAlign w:val="center"/>
                </w:tcPr>
                <w:p w14:paraId="5F78CEA3">
                  <w:pPr>
                    <w:widowControl/>
                    <w:jc w:val="center"/>
                    <w:rPr>
                      <w:rFonts w:cs="宋体"/>
                      <w:color w:val="auto"/>
                      <w:szCs w:val="21"/>
                      <w:u w:val="single"/>
                    </w:rPr>
                  </w:pPr>
                  <w:r>
                    <w:rPr>
                      <w:rFonts w:hint="eastAsia" w:cs="宋体"/>
                      <w:color w:val="auto"/>
                      <w:szCs w:val="21"/>
                      <w:u w:val="single"/>
                    </w:rPr>
                    <w:t>矿物</w:t>
                  </w:r>
                  <w:r>
                    <w:rPr>
                      <w:rFonts w:cs="宋体"/>
                      <w:color w:val="auto"/>
                      <w:szCs w:val="21"/>
                      <w:u w:val="single"/>
                    </w:rPr>
                    <w:t>油</w:t>
                  </w:r>
                </w:p>
              </w:tc>
              <w:tc>
                <w:tcPr>
                  <w:tcW w:w="604" w:type="pct"/>
                  <w:vAlign w:val="center"/>
                </w:tcPr>
                <w:p w14:paraId="389C1F4D">
                  <w:pPr>
                    <w:widowControl/>
                    <w:tabs>
                      <w:tab w:val="left" w:pos="4245"/>
                    </w:tabs>
                    <w:jc w:val="center"/>
                    <w:rPr>
                      <w:rFonts w:cs="宋体"/>
                      <w:color w:val="auto"/>
                      <w:szCs w:val="21"/>
                      <w:u w:val="single"/>
                    </w:rPr>
                  </w:pPr>
                  <w:r>
                    <w:rPr>
                      <w:rFonts w:cs="宋体"/>
                      <w:color w:val="auto"/>
                      <w:szCs w:val="21"/>
                      <w:u w:val="single"/>
                    </w:rPr>
                    <w:t>设备维修</w:t>
                  </w:r>
                </w:p>
              </w:tc>
              <w:tc>
                <w:tcPr>
                  <w:tcW w:w="701" w:type="pct"/>
                  <w:vAlign w:val="center"/>
                </w:tcPr>
                <w:p w14:paraId="5869AFE0">
                  <w:pPr>
                    <w:widowControl/>
                    <w:tabs>
                      <w:tab w:val="left" w:pos="4245"/>
                    </w:tabs>
                    <w:jc w:val="center"/>
                    <w:rPr>
                      <w:rFonts w:cs="宋体"/>
                      <w:color w:val="auto"/>
                      <w:szCs w:val="21"/>
                      <w:u w:val="single"/>
                    </w:rPr>
                  </w:pPr>
                  <w:r>
                    <w:rPr>
                      <w:rFonts w:hint="eastAsia" w:cs="宋体"/>
                      <w:color w:val="auto"/>
                      <w:szCs w:val="21"/>
                      <w:u w:val="single"/>
                    </w:rPr>
                    <w:t>有资质单位处理</w:t>
                  </w:r>
                </w:p>
              </w:tc>
            </w:tr>
            <w:tr w14:paraId="450E0EC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5" w:hRule="exact"/>
                <w:jc w:val="center"/>
              </w:trPr>
              <w:tc>
                <w:tcPr>
                  <w:tcW w:w="274" w:type="pct"/>
                  <w:vAlign w:val="center"/>
                </w:tcPr>
                <w:p w14:paraId="656822F4">
                  <w:pPr>
                    <w:widowControl/>
                    <w:jc w:val="center"/>
                    <w:rPr>
                      <w:rFonts w:cs="宋体"/>
                      <w:color w:val="auto"/>
                      <w:szCs w:val="21"/>
                      <w:u w:val="single"/>
                    </w:rPr>
                  </w:pPr>
                  <w:r>
                    <w:rPr>
                      <w:rFonts w:hint="eastAsia" w:cs="宋体"/>
                      <w:color w:val="auto"/>
                      <w:szCs w:val="21"/>
                      <w:u w:val="single"/>
                    </w:rPr>
                    <w:t>2</w:t>
                  </w:r>
                </w:p>
              </w:tc>
              <w:tc>
                <w:tcPr>
                  <w:tcW w:w="598" w:type="pct"/>
                  <w:vAlign w:val="center"/>
                </w:tcPr>
                <w:p w14:paraId="6711E632">
                  <w:pPr>
                    <w:widowControl/>
                    <w:jc w:val="center"/>
                    <w:rPr>
                      <w:bCs/>
                      <w:color w:val="auto"/>
                      <w:szCs w:val="21"/>
                      <w:u w:val="single"/>
                    </w:rPr>
                  </w:pPr>
                  <w:r>
                    <w:rPr>
                      <w:rFonts w:hint="eastAsia" w:cs="宋体"/>
                      <w:color w:val="auto"/>
                      <w:szCs w:val="21"/>
                      <w:u w:val="single"/>
                    </w:rPr>
                    <w:t>废机油</w:t>
                  </w:r>
                </w:p>
              </w:tc>
              <w:tc>
                <w:tcPr>
                  <w:tcW w:w="519" w:type="pct"/>
                  <w:vAlign w:val="center"/>
                </w:tcPr>
                <w:p w14:paraId="34B8FA29">
                  <w:pPr>
                    <w:jc w:val="center"/>
                    <w:rPr>
                      <w:color w:val="auto"/>
                      <w:position w:val="-6"/>
                      <w:szCs w:val="21"/>
                      <w:u w:val="single"/>
                    </w:rPr>
                  </w:pPr>
                  <w:r>
                    <w:rPr>
                      <w:rFonts w:hint="eastAsia"/>
                      <w:color w:val="auto"/>
                      <w:position w:val="-6"/>
                      <w:szCs w:val="21"/>
                      <w:u w:val="single"/>
                    </w:rPr>
                    <w:t>HW08</w:t>
                  </w:r>
                </w:p>
              </w:tc>
              <w:tc>
                <w:tcPr>
                  <w:tcW w:w="626" w:type="pct"/>
                  <w:vAlign w:val="center"/>
                </w:tcPr>
                <w:p w14:paraId="3761C33F">
                  <w:pPr>
                    <w:jc w:val="center"/>
                    <w:rPr>
                      <w:color w:val="auto"/>
                      <w:position w:val="-6"/>
                      <w:szCs w:val="21"/>
                      <w:u w:val="single"/>
                    </w:rPr>
                  </w:pPr>
                  <w:r>
                    <w:rPr>
                      <w:rFonts w:hint="eastAsia"/>
                      <w:color w:val="auto"/>
                      <w:position w:val="-6"/>
                      <w:szCs w:val="21"/>
                      <w:u w:val="single"/>
                    </w:rPr>
                    <w:t>900-217-08</w:t>
                  </w:r>
                </w:p>
              </w:tc>
              <w:tc>
                <w:tcPr>
                  <w:tcW w:w="562" w:type="pct"/>
                  <w:vAlign w:val="center"/>
                </w:tcPr>
                <w:p w14:paraId="3C8C253F">
                  <w:pPr>
                    <w:widowControl/>
                    <w:jc w:val="center"/>
                    <w:rPr>
                      <w:rFonts w:cs="宋体"/>
                      <w:color w:val="auto"/>
                      <w:szCs w:val="21"/>
                      <w:u w:val="single"/>
                    </w:rPr>
                  </w:pPr>
                  <w:r>
                    <w:rPr>
                      <w:rFonts w:hint="eastAsia" w:cs="宋体"/>
                      <w:color w:val="auto"/>
                      <w:szCs w:val="21"/>
                      <w:u w:val="single"/>
                    </w:rPr>
                    <w:t>0.1</w:t>
                  </w:r>
                </w:p>
              </w:tc>
              <w:tc>
                <w:tcPr>
                  <w:tcW w:w="555" w:type="pct"/>
                  <w:vAlign w:val="center"/>
                </w:tcPr>
                <w:p w14:paraId="677DC829">
                  <w:pPr>
                    <w:widowControl/>
                    <w:jc w:val="center"/>
                    <w:rPr>
                      <w:rFonts w:cs="宋体"/>
                      <w:color w:val="auto"/>
                      <w:szCs w:val="21"/>
                      <w:u w:val="single"/>
                    </w:rPr>
                  </w:pPr>
                  <w:r>
                    <w:rPr>
                      <w:rFonts w:hint="eastAsia" w:cs="宋体"/>
                      <w:color w:val="auto"/>
                      <w:szCs w:val="21"/>
                      <w:u w:val="single"/>
                    </w:rPr>
                    <w:t>液</w:t>
                  </w:r>
                </w:p>
              </w:tc>
              <w:tc>
                <w:tcPr>
                  <w:tcW w:w="555" w:type="pct"/>
                  <w:vAlign w:val="center"/>
                </w:tcPr>
                <w:p w14:paraId="5F74CAC6">
                  <w:pPr>
                    <w:widowControl/>
                    <w:jc w:val="center"/>
                    <w:rPr>
                      <w:color w:val="auto"/>
                      <w:position w:val="-6"/>
                      <w:szCs w:val="21"/>
                      <w:u w:val="single"/>
                    </w:rPr>
                  </w:pPr>
                  <w:r>
                    <w:rPr>
                      <w:rFonts w:hint="eastAsia" w:cs="宋体"/>
                      <w:color w:val="auto"/>
                      <w:szCs w:val="21"/>
                      <w:u w:val="single"/>
                    </w:rPr>
                    <w:t>矿物油、有机烃</w:t>
                  </w:r>
                </w:p>
              </w:tc>
              <w:tc>
                <w:tcPr>
                  <w:tcW w:w="604" w:type="pct"/>
                  <w:vAlign w:val="center"/>
                </w:tcPr>
                <w:p w14:paraId="1E93EDC4">
                  <w:pPr>
                    <w:jc w:val="center"/>
                    <w:rPr>
                      <w:color w:val="auto"/>
                      <w:position w:val="-6"/>
                      <w:szCs w:val="21"/>
                      <w:u w:val="single"/>
                    </w:rPr>
                  </w:pPr>
                  <w:r>
                    <w:rPr>
                      <w:rFonts w:hint="eastAsia"/>
                      <w:color w:val="auto"/>
                      <w:position w:val="-6"/>
                      <w:szCs w:val="21"/>
                      <w:u w:val="single"/>
                    </w:rPr>
                    <w:t>设备维护</w:t>
                  </w:r>
                </w:p>
              </w:tc>
              <w:tc>
                <w:tcPr>
                  <w:tcW w:w="701" w:type="pct"/>
                  <w:vAlign w:val="center"/>
                </w:tcPr>
                <w:p w14:paraId="2C1537E5">
                  <w:pPr>
                    <w:jc w:val="center"/>
                    <w:rPr>
                      <w:color w:val="auto"/>
                      <w:position w:val="-6"/>
                      <w:szCs w:val="21"/>
                      <w:u w:val="single"/>
                    </w:rPr>
                  </w:pPr>
                  <w:r>
                    <w:rPr>
                      <w:rFonts w:hint="eastAsia" w:cs="宋体"/>
                      <w:color w:val="auto"/>
                      <w:szCs w:val="21"/>
                      <w:u w:val="single"/>
                    </w:rPr>
                    <w:t>有资质单位处理</w:t>
                  </w:r>
                </w:p>
              </w:tc>
            </w:tr>
            <w:tr w14:paraId="30AC77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5" w:hRule="exact"/>
                <w:jc w:val="center"/>
              </w:trPr>
              <w:tc>
                <w:tcPr>
                  <w:tcW w:w="274" w:type="pct"/>
                  <w:vAlign w:val="center"/>
                </w:tcPr>
                <w:p w14:paraId="475ABAAB">
                  <w:pPr>
                    <w:widowControl/>
                    <w:jc w:val="center"/>
                    <w:rPr>
                      <w:rFonts w:cs="宋体"/>
                      <w:color w:val="auto"/>
                      <w:szCs w:val="21"/>
                      <w:u w:val="single"/>
                    </w:rPr>
                  </w:pPr>
                  <w:r>
                    <w:rPr>
                      <w:rFonts w:hint="eastAsia" w:cs="宋体"/>
                      <w:color w:val="auto"/>
                      <w:szCs w:val="21"/>
                      <w:u w:val="single"/>
                    </w:rPr>
                    <w:t>3</w:t>
                  </w:r>
                </w:p>
              </w:tc>
              <w:tc>
                <w:tcPr>
                  <w:tcW w:w="598" w:type="pct"/>
                  <w:vAlign w:val="center"/>
                </w:tcPr>
                <w:p w14:paraId="7EB8170C">
                  <w:pPr>
                    <w:widowControl/>
                    <w:jc w:val="center"/>
                    <w:rPr>
                      <w:rFonts w:cs="宋体"/>
                      <w:color w:val="auto"/>
                      <w:szCs w:val="21"/>
                      <w:u w:val="single"/>
                    </w:rPr>
                  </w:pPr>
                  <w:r>
                    <w:rPr>
                      <w:rFonts w:hint="eastAsia" w:cs="宋体"/>
                      <w:color w:val="auto"/>
                      <w:szCs w:val="21"/>
                      <w:u w:val="single"/>
                    </w:rPr>
                    <w:t>废油漆桶</w:t>
                  </w:r>
                </w:p>
              </w:tc>
              <w:tc>
                <w:tcPr>
                  <w:tcW w:w="519" w:type="pct"/>
                  <w:vAlign w:val="center"/>
                </w:tcPr>
                <w:p w14:paraId="77591AE5">
                  <w:pPr>
                    <w:widowControl/>
                    <w:jc w:val="center"/>
                    <w:rPr>
                      <w:rFonts w:cs="宋体"/>
                      <w:color w:val="auto"/>
                      <w:szCs w:val="21"/>
                      <w:u w:val="single"/>
                    </w:rPr>
                  </w:pPr>
                  <w:r>
                    <w:rPr>
                      <w:rFonts w:hint="eastAsia" w:cs="宋体"/>
                      <w:color w:val="auto"/>
                      <w:szCs w:val="21"/>
                      <w:u w:val="single"/>
                    </w:rPr>
                    <w:t>HW49</w:t>
                  </w:r>
                </w:p>
              </w:tc>
              <w:tc>
                <w:tcPr>
                  <w:tcW w:w="626" w:type="pct"/>
                  <w:vAlign w:val="center"/>
                </w:tcPr>
                <w:p w14:paraId="3069C6FE">
                  <w:pPr>
                    <w:widowControl/>
                    <w:jc w:val="center"/>
                    <w:rPr>
                      <w:rFonts w:cs="宋体"/>
                      <w:color w:val="auto"/>
                      <w:szCs w:val="21"/>
                      <w:u w:val="single"/>
                    </w:rPr>
                  </w:pPr>
                  <w:r>
                    <w:rPr>
                      <w:rFonts w:cs="宋体"/>
                      <w:color w:val="auto"/>
                      <w:szCs w:val="21"/>
                      <w:u w:val="single"/>
                    </w:rPr>
                    <w:t>900-041-49</w:t>
                  </w:r>
                </w:p>
              </w:tc>
              <w:tc>
                <w:tcPr>
                  <w:tcW w:w="562" w:type="pct"/>
                  <w:vAlign w:val="center"/>
                </w:tcPr>
                <w:p w14:paraId="6503C53B">
                  <w:pPr>
                    <w:widowControl/>
                    <w:jc w:val="center"/>
                    <w:rPr>
                      <w:rFonts w:cs="宋体"/>
                      <w:color w:val="auto"/>
                      <w:szCs w:val="21"/>
                      <w:u w:val="single"/>
                    </w:rPr>
                  </w:pPr>
                  <w:r>
                    <w:rPr>
                      <w:rFonts w:hint="eastAsia" w:cs="宋体"/>
                      <w:color w:val="auto"/>
                      <w:szCs w:val="21"/>
                      <w:u w:val="single"/>
                    </w:rPr>
                    <w:t>0.1</w:t>
                  </w:r>
                </w:p>
              </w:tc>
              <w:tc>
                <w:tcPr>
                  <w:tcW w:w="555" w:type="pct"/>
                  <w:vAlign w:val="center"/>
                </w:tcPr>
                <w:p w14:paraId="5CB242CC">
                  <w:pPr>
                    <w:widowControl/>
                    <w:jc w:val="center"/>
                    <w:rPr>
                      <w:rFonts w:cs="宋体"/>
                      <w:color w:val="auto"/>
                      <w:szCs w:val="21"/>
                      <w:u w:val="single"/>
                    </w:rPr>
                  </w:pPr>
                  <w:r>
                    <w:rPr>
                      <w:rFonts w:hint="eastAsia" w:cs="宋体"/>
                      <w:color w:val="auto"/>
                      <w:szCs w:val="21"/>
                      <w:u w:val="single"/>
                    </w:rPr>
                    <w:t>固</w:t>
                  </w:r>
                </w:p>
              </w:tc>
              <w:tc>
                <w:tcPr>
                  <w:tcW w:w="555" w:type="pct"/>
                  <w:vAlign w:val="center"/>
                </w:tcPr>
                <w:p w14:paraId="3DB96832">
                  <w:pPr>
                    <w:widowControl/>
                    <w:jc w:val="center"/>
                    <w:rPr>
                      <w:rFonts w:cs="宋体"/>
                      <w:color w:val="auto"/>
                      <w:szCs w:val="21"/>
                      <w:u w:val="single"/>
                    </w:rPr>
                  </w:pPr>
                  <w:r>
                    <w:rPr>
                      <w:rFonts w:hint="eastAsia" w:cs="宋体"/>
                      <w:color w:val="auto"/>
                      <w:szCs w:val="21"/>
                      <w:u w:val="single"/>
                    </w:rPr>
                    <w:t>油漆</w:t>
                  </w:r>
                </w:p>
              </w:tc>
              <w:tc>
                <w:tcPr>
                  <w:tcW w:w="604" w:type="pct"/>
                  <w:vAlign w:val="center"/>
                </w:tcPr>
                <w:p w14:paraId="0CDF2913">
                  <w:pPr>
                    <w:widowControl/>
                    <w:tabs>
                      <w:tab w:val="left" w:pos="4245"/>
                    </w:tabs>
                    <w:jc w:val="center"/>
                    <w:rPr>
                      <w:rFonts w:cs="宋体"/>
                      <w:color w:val="auto"/>
                      <w:szCs w:val="21"/>
                      <w:u w:val="single"/>
                    </w:rPr>
                  </w:pPr>
                  <w:r>
                    <w:rPr>
                      <w:rFonts w:hint="eastAsia" w:cs="宋体"/>
                      <w:color w:val="auto"/>
                      <w:szCs w:val="21"/>
                      <w:u w:val="single"/>
                    </w:rPr>
                    <w:t>原料包装</w:t>
                  </w:r>
                </w:p>
              </w:tc>
              <w:tc>
                <w:tcPr>
                  <w:tcW w:w="701" w:type="pct"/>
                  <w:vAlign w:val="center"/>
                </w:tcPr>
                <w:p w14:paraId="68376862">
                  <w:pPr>
                    <w:widowControl/>
                    <w:tabs>
                      <w:tab w:val="left" w:pos="4245"/>
                    </w:tabs>
                    <w:jc w:val="center"/>
                    <w:rPr>
                      <w:rFonts w:cs="宋体"/>
                      <w:color w:val="auto"/>
                      <w:szCs w:val="21"/>
                      <w:u w:val="single"/>
                    </w:rPr>
                  </w:pPr>
                  <w:r>
                    <w:rPr>
                      <w:rFonts w:hint="eastAsia" w:cs="宋体"/>
                      <w:color w:val="auto"/>
                      <w:szCs w:val="21"/>
                      <w:u w:val="single"/>
                    </w:rPr>
                    <w:t>有资质单位处理</w:t>
                  </w:r>
                </w:p>
              </w:tc>
            </w:tr>
            <w:tr w14:paraId="296DFB0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5" w:hRule="exact"/>
                <w:jc w:val="center"/>
              </w:trPr>
              <w:tc>
                <w:tcPr>
                  <w:tcW w:w="274" w:type="pct"/>
                  <w:vAlign w:val="center"/>
                </w:tcPr>
                <w:p w14:paraId="636E8C27">
                  <w:pPr>
                    <w:widowControl/>
                    <w:jc w:val="center"/>
                    <w:rPr>
                      <w:rFonts w:cs="宋体"/>
                      <w:color w:val="auto"/>
                      <w:szCs w:val="21"/>
                      <w:u w:val="single"/>
                    </w:rPr>
                  </w:pPr>
                  <w:r>
                    <w:rPr>
                      <w:rFonts w:hint="eastAsia" w:cs="宋体"/>
                      <w:color w:val="auto"/>
                      <w:szCs w:val="21"/>
                      <w:u w:val="single"/>
                    </w:rPr>
                    <w:t>4</w:t>
                  </w:r>
                </w:p>
              </w:tc>
              <w:tc>
                <w:tcPr>
                  <w:tcW w:w="598" w:type="pct"/>
                  <w:vAlign w:val="center"/>
                </w:tcPr>
                <w:p w14:paraId="2303A22A">
                  <w:pPr>
                    <w:widowControl/>
                    <w:jc w:val="center"/>
                    <w:rPr>
                      <w:rFonts w:cs="宋体"/>
                      <w:color w:val="auto"/>
                      <w:szCs w:val="21"/>
                      <w:u w:val="single"/>
                    </w:rPr>
                  </w:pPr>
                  <w:r>
                    <w:rPr>
                      <w:rFonts w:hint="eastAsia" w:cs="宋体"/>
                      <w:color w:val="auto"/>
                      <w:szCs w:val="21"/>
                      <w:u w:val="single"/>
                    </w:rPr>
                    <w:t>漆渣</w:t>
                  </w:r>
                </w:p>
              </w:tc>
              <w:tc>
                <w:tcPr>
                  <w:tcW w:w="519" w:type="pct"/>
                  <w:vAlign w:val="center"/>
                </w:tcPr>
                <w:p w14:paraId="5D70F19C">
                  <w:pPr>
                    <w:widowControl/>
                    <w:jc w:val="center"/>
                    <w:rPr>
                      <w:rFonts w:cs="宋体"/>
                      <w:color w:val="auto"/>
                      <w:szCs w:val="21"/>
                      <w:u w:val="single"/>
                    </w:rPr>
                  </w:pPr>
                  <w:r>
                    <w:rPr>
                      <w:rFonts w:hint="eastAsia" w:cs="宋体"/>
                      <w:color w:val="auto"/>
                      <w:szCs w:val="21"/>
                      <w:u w:val="single"/>
                    </w:rPr>
                    <w:t>HW12</w:t>
                  </w:r>
                </w:p>
              </w:tc>
              <w:tc>
                <w:tcPr>
                  <w:tcW w:w="626" w:type="pct"/>
                  <w:vAlign w:val="center"/>
                </w:tcPr>
                <w:p w14:paraId="50F1CB08">
                  <w:pPr>
                    <w:widowControl/>
                    <w:jc w:val="center"/>
                    <w:rPr>
                      <w:rFonts w:cs="宋体"/>
                      <w:color w:val="auto"/>
                      <w:szCs w:val="21"/>
                      <w:u w:val="single"/>
                    </w:rPr>
                  </w:pPr>
                  <w:r>
                    <w:rPr>
                      <w:rFonts w:cs="宋体"/>
                      <w:color w:val="auto"/>
                      <w:szCs w:val="21"/>
                      <w:u w:val="single"/>
                    </w:rPr>
                    <w:t>900-252-12</w:t>
                  </w:r>
                </w:p>
              </w:tc>
              <w:tc>
                <w:tcPr>
                  <w:tcW w:w="562" w:type="pct"/>
                  <w:vAlign w:val="center"/>
                </w:tcPr>
                <w:p w14:paraId="6706D82E">
                  <w:pPr>
                    <w:widowControl/>
                    <w:jc w:val="center"/>
                    <w:rPr>
                      <w:rFonts w:cs="宋体"/>
                      <w:color w:val="auto"/>
                      <w:szCs w:val="21"/>
                      <w:u w:val="single"/>
                    </w:rPr>
                  </w:pPr>
                  <w:r>
                    <w:rPr>
                      <w:rFonts w:hint="eastAsia" w:cs="宋体"/>
                      <w:color w:val="auto"/>
                      <w:szCs w:val="21"/>
                      <w:u w:val="single"/>
                    </w:rPr>
                    <w:t>0.2</w:t>
                  </w:r>
                </w:p>
              </w:tc>
              <w:tc>
                <w:tcPr>
                  <w:tcW w:w="555" w:type="pct"/>
                  <w:vAlign w:val="center"/>
                </w:tcPr>
                <w:p w14:paraId="0CA05A98">
                  <w:pPr>
                    <w:widowControl/>
                    <w:jc w:val="center"/>
                    <w:rPr>
                      <w:rFonts w:cs="宋体"/>
                      <w:color w:val="auto"/>
                      <w:szCs w:val="21"/>
                      <w:u w:val="single"/>
                    </w:rPr>
                  </w:pPr>
                  <w:r>
                    <w:rPr>
                      <w:rFonts w:hint="eastAsia" w:cs="宋体"/>
                      <w:color w:val="auto"/>
                      <w:szCs w:val="21"/>
                      <w:u w:val="single"/>
                    </w:rPr>
                    <w:t>固</w:t>
                  </w:r>
                </w:p>
              </w:tc>
              <w:tc>
                <w:tcPr>
                  <w:tcW w:w="555" w:type="pct"/>
                  <w:vAlign w:val="center"/>
                </w:tcPr>
                <w:p w14:paraId="7EC032AF">
                  <w:pPr>
                    <w:widowControl/>
                    <w:jc w:val="center"/>
                    <w:rPr>
                      <w:rFonts w:cs="宋体"/>
                      <w:color w:val="auto"/>
                      <w:szCs w:val="21"/>
                      <w:u w:val="single"/>
                    </w:rPr>
                  </w:pPr>
                  <w:r>
                    <w:rPr>
                      <w:rFonts w:hint="eastAsia" w:cs="宋体"/>
                      <w:color w:val="auto"/>
                      <w:szCs w:val="21"/>
                      <w:u w:val="single"/>
                    </w:rPr>
                    <w:t>油漆</w:t>
                  </w:r>
                </w:p>
              </w:tc>
              <w:tc>
                <w:tcPr>
                  <w:tcW w:w="604" w:type="pct"/>
                  <w:vAlign w:val="center"/>
                </w:tcPr>
                <w:p w14:paraId="2E656FFE">
                  <w:pPr>
                    <w:widowControl/>
                    <w:tabs>
                      <w:tab w:val="left" w:pos="4245"/>
                    </w:tabs>
                    <w:jc w:val="center"/>
                    <w:rPr>
                      <w:rFonts w:cs="宋体"/>
                      <w:color w:val="auto"/>
                      <w:szCs w:val="21"/>
                      <w:u w:val="single"/>
                    </w:rPr>
                  </w:pPr>
                  <w:r>
                    <w:rPr>
                      <w:rFonts w:hint="eastAsia" w:cs="宋体"/>
                      <w:color w:val="auto"/>
                      <w:szCs w:val="21"/>
                      <w:u w:val="single"/>
                    </w:rPr>
                    <w:t>喷涂</w:t>
                  </w:r>
                </w:p>
              </w:tc>
              <w:tc>
                <w:tcPr>
                  <w:tcW w:w="701" w:type="pct"/>
                  <w:vAlign w:val="center"/>
                </w:tcPr>
                <w:p w14:paraId="0486260A">
                  <w:pPr>
                    <w:widowControl/>
                    <w:tabs>
                      <w:tab w:val="left" w:pos="4245"/>
                    </w:tabs>
                    <w:jc w:val="center"/>
                    <w:rPr>
                      <w:rFonts w:cs="宋体"/>
                      <w:color w:val="auto"/>
                      <w:szCs w:val="21"/>
                      <w:u w:val="single"/>
                    </w:rPr>
                  </w:pPr>
                  <w:r>
                    <w:rPr>
                      <w:rFonts w:hint="eastAsia" w:cs="宋体"/>
                      <w:color w:val="auto"/>
                      <w:szCs w:val="21"/>
                      <w:u w:val="single"/>
                    </w:rPr>
                    <w:t>有资质单位处理</w:t>
                  </w:r>
                </w:p>
              </w:tc>
            </w:tr>
            <w:tr w14:paraId="151D51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5" w:hRule="exact"/>
                <w:jc w:val="center"/>
              </w:trPr>
              <w:tc>
                <w:tcPr>
                  <w:tcW w:w="274" w:type="pct"/>
                  <w:vAlign w:val="center"/>
                </w:tcPr>
                <w:p w14:paraId="7B448B51">
                  <w:pPr>
                    <w:widowControl/>
                    <w:jc w:val="center"/>
                    <w:rPr>
                      <w:rFonts w:cs="宋体"/>
                      <w:color w:val="auto"/>
                      <w:szCs w:val="21"/>
                      <w:u w:val="single"/>
                    </w:rPr>
                  </w:pPr>
                  <w:r>
                    <w:rPr>
                      <w:rFonts w:hint="eastAsia" w:cs="宋体"/>
                      <w:color w:val="auto"/>
                      <w:szCs w:val="21"/>
                      <w:u w:val="single"/>
                    </w:rPr>
                    <w:t>5</w:t>
                  </w:r>
                </w:p>
              </w:tc>
              <w:tc>
                <w:tcPr>
                  <w:tcW w:w="598" w:type="pct"/>
                  <w:vAlign w:val="center"/>
                </w:tcPr>
                <w:p w14:paraId="0FA196B8">
                  <w:pPr>
                    <w:widowControl/>
                    <w:jc w:val="center"/>
                    <w:rPr>
                      <w:rFonts w:cs="宋体"/>
                      <w:color w:val="auto"/>
                      <w:szCs w:val="21"/>
                      <w:u w:val="single"/>
                    </w:rPr>
                  </w:pPr>
                  <w:r>
                    <w:rPr>
                      <w:rFonts w:hint="eastAsia" w:cs="宋体"/>
                      <w:color w:val="auto"/>
                      <w:szCs w:val="21"/>
                      <w:u w:val="single"/>
                    </w:rPr>
                    <w:t>漆雾过滤棉</w:t>
                  </w:r>
                </w:p>
              </w:tc>
              <w:tc>
                <w:tcPr>
                  <w:tcW w:w="519" w:type="pct"/>
                  <w:vAlign w:val="center"/>
                </w:tcPr>
                <w:p w14:paraId="451FC0B9">
                  <w:pPr>
                    <w:widowControl/>
                    <w:jc w:val="center"/>
                    <w:rPr>
                      <w:rFonts w:cs="宋体"/>
                      <w:color w:val="auto"/>
                      <w:szCs w:val="21"/>
                      <w:u w:val="single"/>
                    </w:rPr>
                  </w:pPr>
                  <w:r>
                    <w:rPr>
                      <w:rFonts w:hint="eastAsia" w:cs="宋体"/>
                      <w:color w:val="auto"/>
                      <w:szCs w:val="21"/>
                      <w:u w:val="single"/>
                    </w:rPr>
                    <w:t>HW49</w:t>
                  </w:r>
                </w:p>
              </w:tc>
              <w:tc>
                <w:tcPr>
                  <w:tcW w:w="626" w:type="pct"/>
                  <w:vAlign w:val="center"/>
                </w:tcPr>
                <w:p w14:paraId="6E3155AB">
                  <w:pPr>
                    <w:widowControl/>
                    <w:jc w:val="center"/>
                    <w:rPr>
                      <w:rFonts w:cs="宋体"/>
                      <w:color w:val="auto"/>
                      <w:szCs w:val="21"/>
                      <w:u w:val="single"/>
                    </w:rPr>
                  </w:pPr>
                  <w:r>
                    <w:rPr>
                      <w:rFonts w:cs="宋体"/>
                      <w:color w:val="auto"/>
                      <w:szCs w:val="21"/>
                      <w:u w:val="single"/>
                    </w:rPr>
                    <w:t>900-041-49</w:t>
                  </w:r>
                </w:p>
              </w:tc>
              <w:tc>
                <w:tcPr>
                  <w:tcW w:w="562" w:type="pct"/>
                  <w:vAlign w:val="center"/>
                </w:tcPr>
                <w:p w14:paraId="75B06080">
                  <w:pPr>
                    <w:widowControl/>
                    <w:jc w:val="center"/>
                    <w:rPr>
                      <w:rFonts w:cs="宋体"/>
                      <w:color w:val="auto"/>
                      <w:szCs w:val="21"/>
                      <w:u w:val="single"/>
                    </w:rPr>
                  </w:pPr>
                  <w:r>
                    <w:rPr>
                      <w:rFonts w:hint="eastAsia" w:cs="宋体"/>
                      <w:color w:val="auto"/>
                      <w:szCs w:val="21"/>
                      <w:u w:val="single"/>
                    </w:rPr>
                    <w:t>1</w:t>
                  </w:r>
                </w:p>
              </w:tc>
              <w:tc>
                <w:tcPr>
                  <w:tcW w:w="555" w:type="pct"/>
                  <w:vAlign w:val="center"/>
                </w:tcPr>
                <w:p w14:paraId="0A73178C">
                  <w:pPr>
                    <w:widowControl/>
                    <w:jc w:val="center"/>
                    <w:rPr>
                      <w:rFonts w:cs="宋体"/>
                      <w:color w:val="auto"/>
                      <w:szCs w:val="21"/>
                      <w:u w:val="single"/>
                    </w:rPr>
                  </w:pPr>
                  <w:r>
                    <w:rPr>
                      <w:rFonts w:hint="eastAsia" w:cs="宋体"/>
                      <w:color w:val="auto"/>
                      <w:szCs w:val="21"/>
                      <w:u w:val="single"/>
                    </w:rPr>
                    <w:t>固</w:t>
                  </w:r>
                </w:p>
              </w:tc>
              <w:tc>
                <w:tcPr>
                  <w:tcW w:w="555" w:type="pct"/>
                  <w:vAlign w:val="center"/>
                </w:tcPr>
                <w:p w14:paraId="7C5B11E0">
                  <w:pPr>
                    <w:widowControl/>
                    <w:jc w:val="center"/>
                    <w:rPr>
                      <w:rFonts w:cs="宋体"/>
                      <w:color w:val="auto"/>
                      <w:szCs w:val="21"/>
                      <w:u w:val="single"/>
                    </w:rPr>
                  </w:pPr>
                  <w:r>
                    <w:rPr>
                      <w:rFonts w:hint="eastAsia" w:cs="宋体"/>
                      <w:color w:val="auto"/>
                      <w:szCs w:val="21"/>
                      <w:u w:val="single"/>
                    </w:rPr>
                    <w:t>油漆</w:t>
                  </w:r>
                </w:p>
              </w:tc>
              <w:tc>
                <w:tcPr>
                  <w:tcW w:w="604" w:type="pct"/>
                  <w:vAlign w:val="center"/>
                </w:tcPr>
                <w:p w14:paraId="4CC9AB2C">
                  <w:pPr>
                    <w:widowControl/>
                    <w:tabs>
                      <w:tab w:val="left" w:pos="4245"/>
                    </w:tabs>
                    <w:jc w:val="center"/>
                    <w:rPr>
                      <w:rFonts w:cs="宋体"/>
                      <w:color w:val="auto"/>
                      <w:szCs w:val="21"/>
                      <w:u w:val="single"/>
                    </w:rPr>
                  </w:pPr>
                  <w:r>
                    <w:rPr>
                      <w:rFonts w:hint="eastAsia" w:cs="宋体"/>
                      <w:color w:val="auto"/>
                      <w:szCs w:val="21"/>
                      <w:u w:val="single"/>
                    </w:rPr>
                    <w:t>废气处理装置</w:t>
                  </w:r>
                </w:p>
              </w:tc>
              <w:tc>
                <w:tcPr>
                  <w:tcW w:w="701" w:type="pct"/>
                  <w:vAlign w:val="center"/>
                </w:tcPr>
                <w:p w14:paraId="6FB886EE">
                  <w:pPr>
                    <w:widowControl/>
                    <w:tabs>
                      <w:tab w:val="left" w:pos="4245"/>
                    </w:tabs>
                    <w:jc w:val="center"/>
                    <w:rPr>
                      <w:rFonts w:cs="宋体"/>
                      <w:color w:val="auto"/>
                      <w:szCs w:val="21"/>
                      <w:u w:val="single"/>
                    </w:rPr>
                  </w:pPr>
                  <w:r>
                    <w:rPr>
                      <w:rFonts w:hint="eastAsia" w:cs="宋体"/>
                      <w:color w:val="auto"/>
                      <w:szCs w:val="21"/>
                      <w:u w:val="single"/>
                    </w:rPr>
                    <w:t>有资质单位处理</w:t>
                  </w:r>
                </w:p>
              </w:tc>
            </w:tr>
            <w:tr w14:paraId="29B0012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5" w:hRule="exact"/>
                <w:jc w:val="center"/>
              </w:trPr>
              <w:tc>
                <w:tcPr>
                  <w:tcW w:w="274" w:type="pct"/>
                  <w:vAlign w:val="center"/>
                </w:tcPr>
                <w:p w14:paraId="20C87020">
                  <w:pPr>
                    <w:widowControl/>
                    <w:jc w:val="center"/>
                    <w:rPr>
                      <w:rFonts w:cs="宋体"/>
                      <w:color w:val="auto"/>
                      <w:szCs w:val="21"/>
                      <w:u w:val="single"/>
                    </w:rPr>
                  </w:pPr>
                  <w:r>
                    <w:rPr>
                      <w:rFonts w:hint="eastAsia" w:cs="宋体"/>
                      <w:color w:val="auto"/>
                      <w:szCs w:val="21"/>
                      <w:u w:val="single"/>
                    </w:rPr>
                    <w:t>6</w:t>
                  </w:r>
                </w:p>
              </w:tc>
              <w:tc>
                <w:tcPr>
                  <w:tcW w:w="598" w:type="pct"/>
                  <w:vAlign w:val="center"/>
                </w:tcPr>
                <w:p w14:paraId="44824CB3">
                  <w:pPr>
                    <w:widowControl/>
                    <w:jc w:val="center"/>
                    <w:rPr>
                      <w:rFonts w:cs="宋体"/>
                      <w:color w:val="auto"/>
                      <w:szCs w:val="21"/>
                      <w:u w:val="single"/>
                    </w:rPr>
                  </w:pPr>
                  <w:r>
                    <w:rPr>
                      <w:rFonts w:hint="eastAsia" w:cs="宋体"/>
                      <w:color w:val="auto"/>
                      <w:szCs w:val="21"/>
                      <w:u w:val="single"/>
                    </w:rPr>
                    <w:t>废活性炭</w:t>
                  </w:r>
                </w:p>
              </w:tc>
              <w:tc>
                <w:tcPr>
                  <w:tcW w:w="519" w:type="pct"/>
                  <w:vAlign w:val="center"/>
                </w:tcPr>
                <w:p w14:paraId="55C53708">
                  <w:pPr>
                    <w:widowControl/>
                    <w:jc w:val="center"/>
                    <w:rPr>
                      <w:rFonts w:cs="宋体"/>
                      <w:color w:val="auto"/>
                      <w:szCs w:val="21"/>
                      <w:u w:val="single"/>
                    </w:rPr>
                  </w:pPr>
                  <w:r>
                    <w:rPr>
                      <w:rFonts w:hint="eastAsia" w:cs="宋体"/>
                      <w:color w:val="auto"/>
                      <w:szCs w:val="21"/>
                      <w:u w:val="single"/>
                    </w:rPr>
                    <w:t>HW49</w:t>
                  </w:r>
                </w:p>
              </w:tc>
              <w:tc>
                <w:tcPr>
                  <w:tcW w:w="626" w:type="pct"/>
                  <w:vAlign w:val="center"/>
                </w:tcPr>
                <w:p w14:paraId="09DD1D1A">
                  <w:pPr>
                    <w:widowControl/>
                    <w:jc w:val="center"/>
                    <w:rPr>
                      <w:rFonts w:cs="宋体"/>
                      <w:color w:val="auto"/>
                      <w:szCs w:val="21"/>
                      <w:u w:val="single"/>
                    </w:rPr>
                  </w:pPr>
                  <w:r>
                    <w:rPr>
                      <w:rFonts w:cs="宋体"/>
                      <w:color w:val="auto"/>
                      <w:szCs w:val="21"/>
                      <w:u w:val="single"/>
                    </w:rPr>
                    <w:t>900-039-49</w:t>
                  </w:r>
                </w:p>
              </w:tc>
              <w:tc>
                <w:tcPr>
                  <w:tcW w:w="562" w:type="pct"/>
                  <w:vAlign w:val="center"/>
                </w:tcPr>
                <w:p w14:paraId="02B23734">
                  <w:pPr>
                    <w:widowControl/>
                    <w:jc w:val="center"/>
                    <w:rPr>
                      <w:rFonts w:hint="default" w:eastAsia="宋体" w:cs="宋体"/>
                      <w:color w:val="auto"/>
                      <w:szCs w:val="21"/>
                      <w:u w:val="single"/>
                      <w:lang w:val="en-US" w:eastAsia="zh-CN"/>
                    </w:rPr>
                  </w:pPr>
                  <w:r>
                    <w:rPr>
                      <w:rFonts w:hint="eastAsia" w:cs="宋体"/>
                      <w:color w:val="auto"/>
                      <w:szCs w:val="21"/>
                      <w:u w:val="single"/>
                      <w:lang w:val="en-US" w:eastAsia="zh-CN"/>
                    </w:rPr>
                    <w:t>21.17</w:t>
                  </w:r>
                </w:p>
              </w:tc>
              <w:tc>
                <w:tcPr>
                  <w:tcW w:w="555" w:type="pct"/>
                  <w:vAlign w:val="center"/>
                </w:tcPr>
                <w:p w14:paraId="09FC87AE">
                  <w:pPr>
                    <w:widowControl/>
                    <w:jc w:val="center"/>
                    <w:rPr>
                      <w:rFonts w:cs="宋体"/>
                      <w:color w:val="auto"/>
                      <w:szCs w:val="21"/>
                      <w:u w:val="single"/>
                    </w:rPr>
                  </w:pPr>
                  <w:r>
                    <w:rPr>
                      <w:rFonts w:hint="eastAsia" w:cs="宋体"/>
                      <w:color w:val="auto"/>
                      <w:szCs w:val="21"/>
                      <w:u w:val="single"/>
                    </w:rPr>
                    <w:t>固</w:t>
                  </w:r>
                </w:p>
              </w:tc>
              <w:tc>
                <w:tcPr>
                  <w:tcW w:w="555" w:type="pct"/>
                  <w:vAlign w:val="center"/>
                </w:tcPr>
                <w:p w14:paraId="37EDE41F">
                  <w:pPr>
                    <w:widowControl/>
                    <w:jc w:val="center"/>
                    <w:rPr>
                      <w:rFonts w:cs="宋体"/>
                      <w:color w:val="auto"/>
                      <w:szCs w:val="21"/>
                      <w:u w:val="single"/>
                    </w:rPr>
                  </w:pPr>
                  <w:r>
                    <w:rPr>
                      <w:rFonts w:hint="eastAsia" w:cs="宋体"/>
                      <w:color w:val="auto"/>
                      <w:szCs w:val="21"/>
                      <w:u w:val="single"/>
                    </w:rPr>
                    <w:t>油漆、有机物</w:t>
                  </w:r>
                </w:p>
              </w:tc>
              <w:tc>
                <w:tcPr>
                  <w:tcW w:w="604" w:type="pct"/>
                  <w:vAlign w:val="center"/>
                </w:tcPr>
                <w:p w14:paraId="3C5555CA">
                  <w:pPr>
                    <w:widowControl/>
                    <w:tabs>
                      <w:tab w:val="left" w:pos="4245"/>
                    </w:tabs>
                    <w:jc w:val="center"/>
                    <w:rPr>
                      <w:rFonts w:cs="宋体"/>
                      <w:color w:val="auto"/>
                      <w:szCs w:val="21"/>
                      <w:u w:val="single"/>
                    </w:rPr>
                  </w:pPr>
                  <w:r>
                    <w:rPr>
                      <w:rFonts w:hint="eastAsia" w:cs="宋体"/>
                      <w:color w:val="auto"/>
                      <w:szCs w:val="21"/>
                      <w:u w:val="single"/>
                    </w:rPr>
                    <w:t>废气处理装置</w:t>
                  </w:r>
                </w:p>
              </w:tc>
              <w:tc>
                <w:tcPr>
                  <w:tcW w:w="701" w:type="pct"/>
                  <w:vAlign w:val="center"/>
                </w:tcPr>
                <w:p w14:paraId="30C8FD73">
                  <w:pPr>
                    <w:widowControl/>
                    <w:tabs>
                      <w:tab w:val="left" w:pos="4245"/>
                    </w:tabs>
                    <w:jc w:val="center"/>
                    <w:rPr>
                      <w:rFonts w:cs="宋体"/>
                      <w:color w:val="auto"/>
                      <w:szCs w:val="21"/>
                      <w:u w:val="single"/>
                    </w:rPr>
                  </w:pPr>
                  <w:r>
                    <w:rPr>
                      <w:rFonts w:hint="eastAsia" w:cs="宋体"/>
                      <w:color w:val="auto"/>
                      <w:szCs w:val="21"/>
                      <w:u w:val="single"/>
                    </w:rPr>
                    <w:t>有资质单位处理</w:t>
                  </w:r>
                </w:p>
              </w:tc>
            </w:tr>
          </w:tbl>
          <w:p w14:paraId="602980AC">
            <w:pPr>
              <w:pStyle w:val="38"/>
              <w:spacing w:line="360" w:lineRule="auto"/>
              <w:jc w:val="left"/>
              <w:rPr>
                <w:rFonts w:ascii="Times New Roman" w:hAnsi="Times New Roman" w:cs="Times New Roman"/>
                <w:b/>
                <w:bCs/>
                <w:color w:val="auto"/>
              </w:rPr>
            </w:pPr>
            <w:r>
              <w:rPr>
                <w:rFonts w:hint="eastAsia" w:ascii="Times New Roman" w:hAnsi="Times New Roman" w:cs="Times New Roman"/>
                <w:b/>
                <w:bCs/>
                <w:color w:val="auto"/>
              </w:rPr>
              <w:t>（2）</w:t>
            </w:r>
            <w:r>
              <w:rPr>
                <w:rFonts w:ascii="Times New Roman" w:hAnsi="Times New Roman" w:cs="Times New Roman"/>
                <w:b/>
                <w:bCs/>
                <w:color w:val="auto"/>
              </w:rPr>
              <w:t>固体废物污染环境管理要求</w:t>
            </w:r>
          </w:p>
          <w:p w14:paraId="333A2D36">
            <w:pPr>
              <w:spacing w:line="360" w:lineRule="auto"/>
              <w:ind w:firstLine="480" w:firstLineChars="200"/>
              <w:rPr>
                <w:bCs/>
                <w:color w:val="auto"/>
                <w:sz w:val="24"/>
              </w:rPr>
            </w:pPr>
            <w:r>
              <w:rPr>
                <w:rFonts w:hint="eastAsia"/>
                <w:bCs/>
                <w:color w:val="auto"/>
                <w:sz w:val="24"/>
              </w:rPr>
              <w:t>1）一般工业固废暂存措施：</w:t>
            </w:r>
          </w:p>
          <w:p w14:paraId="59E54B94">
            <w:pPr>
              <w:spacing w:line="360" w:lineRule="auto"/>
              <w:ind w:firstLine="480" w:firstLineChars="200"/>
              <w:rPr>
                <w:bCs/>
                <w:color w:val="auto"/>
                <w:sz w:val="24"/>
              </w:rPr>
            </w:pPr>
            <w:r>
              <w:rPr>
                <w:rFonts w:hint="eastAsia"/>
                <w:bCs/>
                <w:color w:val="auto"/>
                <w:sz w:val="24"/>
              </w:rPr>
              <w:t>①要按照</w:t>
            </w:r>
            <w:r>
              <w:rPr>
                <w:rFonts w:hint="eastAsia"/>
                <w:color w:val="auto"/>
                <w:sz w:val="24"/>
              </w:rPr>
              <w:t>《一般工业固体废物贮存和填埋污染控制标准》（GB18599-2020）</w:t>
            </w:r>
            <w:r>
              <w:rPr>
                <w:rFonts w:hint="eastAsia"/>
                <w:bCs/>
                <w:color w:val="auto"/>
                <w:sz w:val="24"/>
              </w:rPr>
              <w:t>要求设置暂存场所。</w:t>
            </w:r>
          </w:p>
          <w:p w14:paraId="4C915A3C">
            <w:pPr>
              <w:spacing w:line="360" w:lineRule="auto"/>
              <w:ind w:firstLine="480" w:firstLineChars="200"/>
              <w:rPr>
                <w:bCs/>
                <w:color w:val="auto"/>
                <w:sz w:val="24"/>
              </w:rPr>
            </w:pPr>
            <w:r>
              <w:rPr>
                <w:rFonts w:hint="eastAsia"/>
                <w:bCs/>
                <w:color w:val="auto"/>
                <w:sz w:val="24"/>
              </w:rPr>
              <w:t>②贮存、处置场的设置必须与将要堆放的一般工业固体废物的类别相一致。</w:t>
            </w:r>
          </w:p>
          <w:p w14:paraId="7F3F9818">
            <w:pPr>
              <w:spacing w:line="360" w:lineRule="auto"/>
              <w:ind w:firstLine="480" w:firstLineChars="200"/>
              <w:rPr>
                <w:bCs/>
                <w:color w:val="auto"/>
                <w:sz w:val="24"/>
              </w:rPr>
            </w:pPr>
            <w:r>
              <w:rPr>
                <w:rFonts w:hint="eastAsia"/>
                <w:bCs/>
                <w:color w:val="auto"/>
                <w:sz w:val="24"/>
              </w:rPr>
              <w:t>③不得露天堆放，防止雨水进入产生二次污染。</w:t>
            </w:r>
          </w:p>
          <w:p w14:paraId="45BACAED">
            <w:pPr>
              <w:spacing w:line="360" w:lineRule="auto"/>
              <w:ind w:firstLine="480" w:firstLineChars="200"/>
              <w:rPr>
                <w:bCs/>
                <w:color w:val="auto"/>
                <w:sz w:val="24"/>
              </w:rPr>
            </w:pPr>
            <w:r>
              <w:rPr>
                <w:rFonts w:hint="eastAsia"/>
                <w:bCs/>
                <w:color w:val="auto"/>
                <w:sz w:val="24"/>
              </w:rPr>
              <w:t>④单位须针对此对员工进行培训，加强安全及防止污染的意识，培训通过后上岗，对于固体废弃物的收集、运输要实施专人专职管理制度并建立好档案制度。应将入场的一般工业固体废物的种类和数量以及下列资料，详细记录在案，长期保存，供随时查阅。</w:t>
            </w:r>
          </w:p>
          <w:p w14:paraId="2A07C9D4">
            <w:pPr>
              <w:spacing w:line="360" w:lineRule="auto"/>
              <w:ind w:firstLine="480" w:firstLineChars="200"/>
              <w:rPr>
                <w:bCs/>
                <w:color w:val="auto"/>
                <w:sz w:val="24"/>
              </w:rPr>
            </w:pPr>
            <w:r>
              <w:rPr>
                <w:rFonts w:hint="eastAsia"/>
                <w:bCs/>
                <w:color w:val="auto"/>
                <w:sz w:val="24"/>
              </w:rPr>
              <w:t>2）危险废物暂存措施：</w:t>
            </w:r>
          </w:p>
          <w:p w14:paraId="07D69ACB">
            <w:pPr>
              <w:spacing w:line="360" w:lineRule="auto"/>
              <w:ind w:firstLine="480" w:firstLineChars="200"/>
              <w:rPr>
                <w:color w:val="auto"/>
                <w:sz w:val="24"/>
              </w:rPr>
            </w:pPr>
            <w:r>
              <w:rPr>
                <w:rFonts w:hint="eastAsia"/>
                <w:bCs/>
                <w:color w:val="auto"/>
                <w:sz w:val="24"/>
              </w:rPr>
              <w:t>项目拟设置危废暂存间（位于厂房南面），面积约</w:t>
            </w:r>
            <w:r>
              <w:rPr>
                <w:rFonts w:hint="eastAsia"/>
                <w:bCs/>
                <w:color w:val="auto"/>
                <w:sz w:val="24"/>
                <w:lang w:val="en-US" w:eastAsia="zh-CN"/>
              </w:rPr>
              <w:t>1</w:t>
            </w:r>
            <w:r>
              <w:rPr>
                <w:rFonts w:hint="eastAsia"/>
                <w:bCs/>
                <w:color w:val="auto"/>
                <w:sz w:val="24"/>
              </w:rPr>
              <w:t>0m</w:t>
            </w:r>
            <w:r>
              <w:rPr>
                <w:rFonts w:hint="eastAsia"/>
                <w:bCs/>
                <w:color w:val="auto"/>
                <w:sz w:val="24"/>
                <w:vertAlign w:val="superscript"/>
              </w:rPr>
              <w:t>2</w:t>
            </w:r>
            <w:r>
              <w:rPr>
                <w:rFonts w:hint="eastAsia"/>
                <w:bCs/>
                <w:color w:val="auto"/>
                <w:sz w:val="24"/>
              </w:rPr>
              <w:t>，存放点应按《危险废物贮存污染控制标准》（GB18597-2023）建设。</w:t>
            </w:r>
            <w:r>
              <w:rPr>
                <w:color w:val="auto"/>
                <w:sz w:val="24"/>
              </w:rPr>
              <w:t>危险废物的收集、存放及转运应严格遵守《危险废物转移联单管理办法》</w:t>
            </w:r>
            <w:r>
              <w:rPr>
                <w:rFonts w:hint="eastAsia" w:ascii="宋体" w:hAnsi="宋体" w:cs="宋体"/>
                <w:color w:val="auto"/>
                <w:sz w:val="24"/>
              </w:rPr>
              <w:t>(</w:t>
            </w:r>
            <w:r>
              <w:rPr>
                <w:color w:val="auto"/>
                <w:sz w:val="24"/>
              </w:rPr>
              <w:t>1999 年第5号令</w:t>
            </w:r>
            <w:r>
              <w:rPr>
                <w:rFonts w:hint="eastAsia" w:ascii="宋体" w:hAnsi="宋体" w:cs="宋体"/>
                <w:color w:val="auto"/>
                <w:sz w:val="24"/>
              </w:rPr>
              <w:t>)</w:t>
            </w:r>
            <w:r>
              <w:rPr>
                <w:color w:val="auto"/>
                <w:sz w:val="24"/>
              </w:rPr>
              <w:t>执行，本评价针对项目的具体特点提出如下措施：</w:t>
            </w:r>
          </w:p>
          <w:p w14:paraId="4EFD09E1">
            <w:pPr>
              <w:spacing w:line="360" w:lineRule="auto"/>
              <w:ind w:firstLine="480" w:firstLineChars="200"/>
              <w:rPr>
                <w:color w:val="auto"/>
                <w:sz w:val="24"/>
              </w:rPr>
            </w:pPr>
            <w:r>
              <w:rPr>
                <w:color w:val="auto"/>
                <w:sz w:val="24"/>
              </w:rPr>
              <w:t>a.暂存库地面裙角要用坚固、防渗的材料建造，建筑材料必须与危险废物相容，同时地面硬化，且表面无裂隙。</w:t>
            </w:r>
          </w:p>
          <w:p w14:paraId="5C70D60D">
            <w:pPr>
              <w:spacing w:line="360" w:lineRule="auto"/>
              <w:ind w:firstLine="480" w:firstLineChars="200"/>
              <w:rPr>
                <w:color w:val="auto"/>
                <w:sz w:val="24"/>
              </w:rPr>
            </w:pPr>
            <w:r>
              <w:rPr>
                <w:color w:val="auto"/>
                <w:sz w:val="24"/>
              </w:rPr>
              <w:t>b.暂存库基础必须防渗，防渗层为至少1m厚粘土层（渗透系数≤10</w:t>
            </w:r>
            <w:r>
              <w:rPr>
                <w:color w:val="auto"/>
                <w:sz w:val="24"/>
                <w:vertAlign w:val="superscript"/>
              </w:rPr>
              <w:t>-7</w:t>
            </w:r>
            <w:r>
              <w:rPr>
                <w:color w:val="auto"/>
                <w:sz w:val="24"/>
              </w:rPr>
              <w:t>cm/s），或2mm厚高密度聚乙烯，或至少2mm厚的其他人工材料，渗透系数≤10</w:t>
            </w:r>
            <w:r>
              <w:rPr>
                <w:color w:val="auto"/>
                <w:sz w:val="24"/>
                <w:vertAlign w:val="superscript"/>
              </w:rPr>
              <w:t>-10</w:t>
            </w:r>
            <w:r>
              <w:rPr>
                <w:color w:val="auto"/>
                <w:sz w:val="24"/>
              </w:rPr>
              <w:t>cm/s。</w:t>
            </w:r>
          </w:p>
          <w:p w14:paraId="6FD09E57">
            <w:pPr>
              <w:spacing w:line="360" w:lineRule="auto"/>
              <w:ind w:firstLine="480" w:firstLineChars="200"/>
              <w:rPr>
                <w:color w:val="auto"/>
                <w:sz w:val="24"/>
              </w:rPr>
            </w:pPr>
            <w:r>
              <w:rPr>
                <w:color w:val="auto"/>
                <w:sz w:val="24"/>
              </w:rPr>
              <w:t>c.暂存库需按GB15562.2设置警示标志及环境保护图形标志。危险废物贮存设施周围应设置围墙或其它防护栅栏。</w:t>
            </w:r>
          </w:p>
          <w:p w14:paraId="315765D8">
            <w:pPr>
              <w:spacing w:line="360" w:lineRule="auto"/>
              <w:ind w:firstLine="480" w:firstLineChars="200"/>
              <w:rPr>
                <w:color w:val="auto"/>
                <w:sz w:val="24"/>
              </w:rPr>
            </w:pPr>
            <w:r>
              <w:rPr>
                <w:color w:val="auto"/>
                <w:sz w:val="24"/>
              </w:rPr>
              <w:t>d.危险废物须妥善地保存于暂存库中，严禁露天堆放。</w:t>
            </w:r>
          </w:p>
          <w:p w14:paraId="00EADB3A">
            <w:pPr>
              <w:spacing w:line="360" w:lineRule="auto"/>
              <w:ind w:firstLine="480" w:firstLineChars="200"/>
              <w:rPr>
                <w:color w:val="auto"/>
                <w:sz w:val="24"/>
              </w:rPr>
            </w:pPr>
            <w:r>
              <w:rPr>
                <w:color w:val="auto"/>
                <w:sz w:val="24"/>
              </w:rPr>
              <w:t>e.危险废物应当使用符合标准的容器盛装，盛装危险废物的容器上必须粘贴符合标准的标签。必须定期对所贮存的危险废物包装容器及贮存设施进行检查，发现破损，应及时采取措施清理更换。</w:t>
            </w:r>
            <w:r>
              <w:rPr>
                <w:rFonts w:hint="eastAsia"/>
                <w:color w:val="auto"/>
                <w:sz w:val="24"/>
              </w:rPr>
              <w:t>储存污水的容器周围应设置围堰，围堰容积不小于容器容积。</w:t>
            </w:r>
          </w:p>
          <w:p w14:paraId="4CE8E5AF">
            <w:pPr>
              <w:spacing w:line="360" w:lineRule="auto"/>
              <w:ind w:firstLine="480" w:firstLineChars="200"/>
              <w:rPr>
                <w:color w:val="auto"/>
                <w:sz w:val="24"/>
              </w:rPr>
            </w:pPr>
            <w:r>
              <w:rPr>
                <w:color w:val="auto"/>
                <w:sz w:val="24"/>
              </w:rPr>
              <w:t>f.配备通讯设备、照明设施、安全防护服装及工具，并设有应急防护设施。建立检查维护制度，发现有损坏可能或异常，应及时采取必要措施，以保障正常运行；详细记录入库的危险废物种类和数量以及其他相关资料并长期保存，供随时查阅。</w:t>
            </w:r>
          </w:p>
          <w:p w14:paraId="1DC04B76">
            <w:pPr>
              <w:spacing w:line="360" w:lineRule="auto"/>
              <w:ind w:firstLine="480" w:firstLineChars="200"/>
              <w:rPr>
                <w:color w:val="auto"/>
                <w:sz w:val="24"/>
              </w:rPr>
            </w:pPr>
            <w:r>
              <w:rPr>
                <w:color w:val="auto"/>
                <w:sz w:val="24"/>
              </w:rPr>
              <w:t>g.产生的危险废物产生量、拟采取的处置措施及去向应按规定向环境保护行政主管部门申报，填报危险废物转移六联单，按要求进行全过程严格管理和安全处置。</w:t>
            </w:r>
          </w:p>
          <w:p w14:paraId="751BA77C">
            <w:pPr>
              <w:spacing w:line="360" w:lineRule="auto"/>
              <w:ind w:firstLine="482" w:firstLineChars="200"/>
              <w:rPr>
                <w:b/>
                <w:color w:val="auto"/>
                <w:sz w:val="24"/>
              </w:rPr>
            </w:pPr>
            <w:r>
              <w:rPr>
                <w:b/>
                <w:color w:val="auto"/>
                <w:sz w:val="24"/>
              </w:rPr>
              <w:t>暂存要求：</w:t>
            </w:r>
          </w:p>
          <w:p w14:paraId="40F53409">
            <w:pPr>
              <w:spacing w:line="360" w:lineRule="auto"/>
              <w:ind w:firstLine="480" w:firstLineChars="200"/>
              <w:rPr>
                <w:color w:val="auto"/>
                <w:sz w:val="24"/>
              </w:rPr>
            </w:pPr>
            <w:r>
              <w:rPr>
                <w:color w:val="auto"/>
                <w:sz w:val="24"/>
              </w:rPr>
              <w:t>a.应当使用符合标准的容器盛装危险废物。</w:t>
            </w:r>
          </w:p>
          <w:p w14:paraId="19DA1E01">
            <w:pPr>
              <w:spacing w:line="360" w:lineRule="auto"/>
              <w:ind w:firstLine="480" w:firstLineChars="200"/>
              <w:rPr>
                <w:color w:val="auto"/>
                <w:sz w:val="24"/>
              </w:rPr>
            </w:pPr>
            <w:r>
              <w:rPr>
                <w:color w:val="auto"/>
                <w:sz w:val="24"/>
              </w:rPr>
              <w:t>b.装载危险废物的容器及材质要满足相应的强度要求。</w:t>
            </w:r>
          </w:p>
          <w:p w14:paraId="5FBDD2F2">
            <w:pPr>
              <w:spacing w:line="360" w:lineRule="auto"/>
              <w:ind w:firstLine="480" w:firstLineChars="200"/>
              <w:rPr>
                <w:color w:val="auto"/>
                <w:sz w:val="24"/>
              </w:rPr>
            </w:pPr>
            <w:r>
              <w:rPr>
                <w:color w:val="auto"/>
                <w:sz w:val="24"/>
              </w:rPr>
              <w:t>c.装载危险废物的容器必须完好无损。</w:t>
            </w:r>
          </w:p>
          <w:p w14:paraId="10526BCD">
            <w:pPr>
              <w:spacing w:line="360" w:lineRule="auto"/>
              <w:ind w:firstLine="480" w:firstLineChars="200"/>
              <w:rPr>
                <w:color w:val="auto"/>
                <w:sz w:val="24"/>
                <w:u w:val="single"/>
              </w:rPr>
            </w:pPr>
            <w:r>
              <w:rPr>
                <w:color w:val="auto"/>
                <w:sz w:val="24"/>
              </w:rPr>
              <w:t>d.盛装危险废物的容器材质和衬里要与危险废物相容</w:t>
            </w:r>
            <w:r>
              <w:rPr>
                <w:rFonts w:hint="eastAsia" w:ascii="宋体" w:hAnsi="宋体" w:cs="宋体"/>
                <w:color w:val="auto"/>
                <w:sz w:val="24"/>
              </w:rPr>
              <w:t>(</w:t>
            </w:r>
            <w:r>
              <w:rPr>
                <w:color w:val="auto"/>
                <w:sz w:val="24"/>
              </w:rPr>
              <w:t>不相互反应</w:t>
            </w:r>
            <w:r>
              <w:rPr>
                <w:rFonts w:hint="eastAsia" w:ascii="宋体" w:hAnsi="宋体" w:cs="宋体"/>
                <w:color w:val="auto"/>
                <w:sz w:val="24"/>
              </w:rPr>
              <w:t>)</w:t>
            </w:r>
            <w:r>
              <w:rPr>
                <w:color w:val="auto"/>
                <w:sz w:val="24"/>
              </w:rPr>
              <w:t>。</w:t>
            </w:r>
          </w:p>
          <w:p w14:paraId="44FE61CD">
            <w:pPr>
              <w:spacing w:line="360" w:lineRule="auto"/>
              <w:ind w:firstLine="480" w:firstLineChars="200"/>
              <w:rPr>
                <w:bCs/>
                <w:color w:val="auto"/>
                <w:sz w:val="24"/>
              </w:rPr>
            </w:pPr>
            <w:r>
              <w:rPr>
                <w:color w:val="auto"/>
                <w:sz w:val="24"/>
              </w:rPr>
              <w:t>e.液体危险废物可注入开孔直径不超过70毫米并有放气孔的桶中</w:t>
            </w:r>
            <w:r>
              <w:rPr>
                <w:rFonts w:hint="eastAsia"/>
                <w:bCs/>
                <w:color w:val="auto"/>
                <w:sz w:val="24"/>
              </w:rPr>
              <w:t>。</w:t>
            </w:r>
          </w:p>
          <w:p w14:paraId="6DFAD681">
            <w:pPr>
              <w:spacing w:line="360" w:lineRule="auto"/>
              <w:ind w:firstLine="480" w:firstLineChars="200"/>
              <w:rPr>
                <w:bCs/>
                <w:color w:val="auto"/>
                <w:sz w:val="24"/>
              </w:rPr>
            </w:pPr>
            <w:r>
              <w:rPr>
                <w:rFonts w:hint="eastAsia"/>
                <w:bCs/>
                <w:color w:val="auto"/>
                <w:sz w:val="24"/>
              </w:rPr>
              <w:t>经采用上述措施后，本项目产生的固体废物对周围环境基本无影响。</w:t>
            </w:r>
          </w:p>
          <w:p w14:paraId="4B03F552">
            <w:pPr>
              <w:spacing w:line="360" w:lineRule="auto"/>
              <w:ind w:left="420"/>
              <w:rPr>
                <w:bCs/>
                <w:color w:val="auto"/>
                <w:sz w:val="24"/>
              </w:rPr>
            </w:pPr>
            <w:r>
              <w:rPr>
                <w:rFonts w:hint="eastAsia"/>
                <w:bCs/>
                <w:color w:val="auto"/>
                <w:sz w:val="24"/>
              </w:rPr>
              <w:t>3）日常管理和台账要求</w:t>
            </w:r>
          </w:p>
          <w:p w14:paraId="71E71856">
            <w:pPr>
              <w:spacing w:line="360" w:lineRule="auto"/>
              <w:ind w:firstLine="480" w:firstLineChars="200"/>
              <w:rPr>
                <w:bCs/>
                <w:color w:val="auto"/>
                <w:sz w:val="24"/>
              </w:rPr>
            </w:pPr>
            <w:r>
              <w:rPr>
                <w:rFonts w:hint="eastAsia"/>
                <w:bCs/>
                <w:color w:val="auto"/>
                <w:sz w:val="24"/>
              </w:rPr>
              <w:t>一般工业固废交由合法、合规的单位收集处理。建设单位应建立严格危险废物管理体系，将危废委托具有危废处理资质单位处置，禁止将危险废物提供或委托给无危险废物经营许可证的单位。严格执行危废五联单转移制度等管理要求，做到：坚持减量化、资源化、无害化原则，妥善利用或处置产生的危险废物；规范危险废物贮存场所建设，根据危险废物的种类和特性进行分区、分类贮存，按照相关规范要求，设置防雨、防扬散、防渗漏等设施，最大贮存期限一般不超过一年；按照国家和本市有关要求制定危险废物年度管理计划，并进行在线申报备案；结合自身实际，建立危险废物台账，如实记载危险废物的种类、数量、性质、产生环节、流向、贮存、利用处置等信息，并在信息系统中及时申报，申报数据应与台账、管理计划数据相一致。</w:t>
            </w:r>
          </w:p>
          <w:p w14:paraId="499D9B5F">
            <w:pPr>
              <w:adjustRightInd w:val="0"/>
              <w:snapToGrid w:val="0"/>
              <w:spacing w:line="360" w:lineRule="auto"/>
              <w:jc w:val="left"/>
              <w:rPr>
                <w:b/>
                <w:color w:val="auto"/>
                <w:spacing w:val="-10"/>
                <w:sz w:val="24"/>
              </w:rPr>
            </w:pPr>
            <w:r>
              <w:rPr>
                <w:rFonts w:hint="eastAsia"/>
                <w:b/>
                <w:color w:val="auto"/>
                <w:spacing w:val="-10"/>
                <w:sz w:val="24"/>
              </w:rPr>
              <w:t>（3）</w:t>
            </w:r>
            <w:r>
              <w:rPr>
                <w:b/>
                <w:color w:val="auto"/>
                <w:spacing w:val="-10"/>
                <w:sz w:val="24"/>
              </w:rPr>
              <w:t>固体废物环境影响评价结论</w:t>
            </w:r>
          </w:p>
          <w:p w14:paraId="3E5E565E">
            <w:pPr>
              <w:tabs>
                <w:tab w:val="left" w:pos="4245"/>
              </w:tabs>
              <w:spacing w:line="360" w:lineRule="auto"/>
              <w:ind w:firstLine="480" w:firstLineChars="200"/>
              <w:rPr>
                <w:bCs/>
                <w:color w:val="auto"/>
                <w:sz w:val="24"/>
              </w:rPr>
            </w:pPr>
            <w:r>
              <w:rPr>
                <w:bCs/>
                <w:color w:val="auto"/>
                <w:sz w:val="24"/>
              </w:rPr>
              <w:t>综上分析，</w:t>
            </w:r>
            <w:r>
              <w:rPr>
                <w:rFonts w:hint="eastAsia"/>
                <w:color w:val="auto"/>
                <w:sz w:val="24"/>
              </w:rPr>
              <w:t>本项目生活垃圾统一收集后交由环卫部门清运；一般固废交专门的单位处置或回用于生产，危险废物交由有资质单位处置。</w:t>
            </w:r>
            <w:r>
              <w:rPr>
                <w:bCs/>
                <w:color w:val="auto"/>
                <w:sz w:val="24"/>
              </w:rPr>
              <w:t>因此，</w:t>
            </w:r>
            <w:r>
              <w:rPr>
                <w:rFonts w:hint="eastAsia" w:cs="宋体"/>
                <w:color w:val="auto"/>
                <w:sz w:val="24"/>
              </w:rPr>
              <w:t>项目产生的固体废物通过以上措施处理后，可以得到及时、妥善的处理和处置，不会对周围环境产生大的污染影响。</w:t>
            </w:r>
            <w:r>
              <w:rPr>
                <w:bCs/>
                <w:color w:val="auto"/>
                <w:sz w:val="24"/>
              </w:rPr>
              <w:t>各类固体废弃物处置率达100</w:t>
            </w:r>
            <w:r>
              <w:rPr>
                <w:rFonts w:hint="eastAsia"/>
                <w:bCs/>
                <w:color w:val="auto"/>
                <w:sz w:val="24"/>
              </w:rPr>
              <w:t>%</w:t>
            </w:r>
            <w:r>
              <w:rPr>
                <w:bCs/>
                <w:color w:val="auto"/>
                <w:sz w:val="24"/>
              </w:rPr>
              <w:t>，不会进入当地环境，不会对区域环境产生直接影响。</w:t>
            </w:r>
          </w:p>
          <w:p w14:paraId="4424193B">
            <w:pPr>
              <w:pStyle w:val="38"/>
              <w:spacing w:line="360" w:lineRule="auto"/>
              <w:jc w:val="left"/>
              <w:rPr>
                <w:rFonts w:ascii="Times New Roman" w:hAnsi="Times New Roman" w:cs="Times New Roman"/>
                <w:b/>
                <w:bCs/>
                <w:color w:val="auto"/>
              </w:rPr>
            </w:pPr>
            <w:r>
              <w:rPr>
                <w:rFonts w:hint="eastAsia" w:ascii="Times New Roman" w:hAnsi="Times New Roman" w:cs="Times New Roman"/>
                <w:b/>
                <w:bCs/>
                <w:color w:val="auto"/>
              </w:rPr>
              <w:t>5、地下水和土壤环评影响评价分析</w:t>
            </w:r>
          </w:p>
          <w:p w14:paraId="37E8D868">
            <w:pPr>
              <w:pStyle w:val="12"/>
              <w:snapToGrid/>
              <w:spacing w:before="0" w:after="0" w:line="360" w:lineRule="auto"/>
              <w:ind w:right="0" w:firstLine="480" w:firstLineChars="200"/>
              <w:rPr>
                <w:color w:val="auto"/>
                <w:sz w:val="24"/>
                <w:szCs w:val="24"/>
              </w:rPr>
            </w:pPr>
            <w:r>
              <w:rPr>
                <w:rFonts w:hint="eastAsia"/>
                <w:color w:val="auto"/>
                <w:sz w:val="24"/>
                <w:szCs w:val="24"/>
              </w:rPr>
              <w:t>（1）污染源、污染物类型和污染途径</w:t>
            </w:r>
          </w:p>
          <w:p w14:paraId="7AC2DDCD">
            <w:pPr>
              <w:pStyle w:val="12"/>
              <w:snapToGrid/>
              <w:spacing w:before="0" w:after="0" w:line="360" w:lineRule="auto"/>
              <w:ind w:right="0" w:firstLine="480" w:firstLineChars="200"/>
              <w:rPr>
                <w:color w:val="auto"/>
                <w:sz w:val="24"/>
                <w:szCs w:val="24"/>
              </w:rPr>
            </w:pPr>
            <w:r>
              <w:rPr>
                <w:rFonts w:hint="eastAsia"/>
                <w:color w:val="auto"/>
                <w:sz w:val="24"/>
                <w:szCs w:val="24"/>
              </w:rPr>
              <w:t>本项目对地下水、土壤造成影响的污染源、污染物类型和污染途径可能有厂内原辅材料（油漆）、废机油泄漏且长时间未处理导致污染物渗透进入土壤，随后下渗地表水，影响地下水，但项目场地已硬化处理，基本无污染途径，造成严重污染的可能性小。</w:t>
            </w:r>
          </w:p>
          <w:p w14:paraId="20C40161">
            <w:pPr>
              <w:pStyle w:val="12"/>
              <w:snapToGrid/>
              <w:spacing w:before="0" w:after="0" w:line="360" w:lineRule="auto"/>
              <w:ind w:right="0" w:firstLine="480" w:firstLineChars="200"/>
              <w:rPr>
                <w:color w:val="auto"/>
                <w:sz w:val="24"/>
                <w:szCs w:val="24"/>
              </w:rPr>
            </w:pPr>
            <w:r>
              <w:rPr>
                <w:rFonts w:hint="eastAsia"/>
                <w:color w:val="auto"/>
                <w:sz w:val="24"/>
                <w:szCs w:val="24"/>
              </w:rPr>
              <w:t>（2）分区防控措施</w:t>
            </w:r>
          </w:p>
          <w:p w14:paraId="1A759C1D">
            <w:pPr>
              <w:pStyle w:val="12"/>
              <w:snapToGrid/>
              <w:spacing w:before="0" w:after="0" w:line="360" w:lineRule="auto"/>
              <w:ind w:right="0" w:firstLine="480" w:firstLineChars="200"/>
              <w:rPr>
                <w:color w:val="auto"/>
                <w:sz w:val="24"/>
                <w:szCs w:val="24"/>
              </w:rPr>
            </w:pPr>
            <w:r>
              <w:rPr>
                <w:rFonts w:hint="eastAsia"/>
                <w:color w:val="auto"/>
                <w:sz w:val="24"/>
                <w:szCs w:val="24"/>
              </w:rPr>
              <w:t>项目租用现有厂房，厂房内部及四周均已硬化，项目环境风险物质分区合理存放，不会对区域土壤、地下水造成污染。为加强风险防控，根据项目各区域功能，将化学品仓库、生产区、危废间划分为重点污染防治区，提出以下防控措施：</w:t>
            </w:r>
          </w:p>
          <w:p w14:paraId="2CF2CF04">
            <w:pPr>
              <w:pStyle w:val="12"/>
              <w:snapToGrid/>
              <w:spacing w:before="0" w:after="0" w:line="360" w:lineRule="auto"/>
              <w:ind w:right="0" w:firstLine="480" w:firstLineChars="200"/>
              <w:rPr>
                <w:color w:val="auto"/>
                <w:sz w:val="24"/>
                <w:szCs w:val="24"/>
              </w:rPr>
            </w:pPr>
            <w:r>
              <w:rPr>
                <w:rFonts w:hint="eastAsia"/>
                <w:color w:val="auto"/>
                <w:sz w:val="24"/>
                <w:szCs w:val="24"/>
              </w:rPr>
              <w:t>项目生产车间和一般固废暂存间地面做硬化防渗防油污处理，危废暂存间、化学品仓库、生产区做重点防油污防渗漏处理，采取“粘土+混凝土防渗+人工材料”措施，防渗性能达到“至少 1m 厚粘土层（渗透系数≤10</w:t>
            </w:r>
            <w:r>
              <w:rPr>
                <w:rFonts w:hint="eastAsia"/>
                <w:color w:val="auto"/>
                <w:sz w:val="24"/>
                <w:szCs w:val="24"/>
                <w:vertAlign w:val="superscript"/>
              </w:rPr>
              <w:t>-7</w:t>
            </w:r>
            <w:r>
              <w:rPr>
                <w:rFonts w:hint="eastAsia"/>
                <w:color w:val="auto"/>
                <w:sz w:val="24"/>
                <w:szCs w:val="24"/>
              </w:rPr>
              <w:t>cm/s），或 2mm 厚高密度聚乙烯，或至少 2mm 厚的其它人工材料，渗透系数≤10</w:t>
            </w:r>
            <w:r>
              <w:rPr>
                <w:rFonts w:hint="eastAsia"/>
                <w:color w:val="auto"/>
                <w:sz w:val="24"/>
                <w:szCs w:val="24"/>
                <w:vertAlign w:val="superscript"/>
              </w:rPr>
              <w:t>-10</w:t>
            </w:r>
            <w:r>
              <w:rPr>
                <w:rFonts w:hint="eastAsia"/>
                <w:color w:val="auto"/>
                <w:sz w:val="24"/>
                <w:szCs w:val="24"/>
              </w:rPr>
              <w:t>cm/s”的要求。</w:t>
            </w:r>
          </w:p>
          <w:p w14:paraId="79FC950E">
            <w:pPr>
              <w:pStyle w:val="12"/>
              <w:snapToGrid/>
              <w:spacing w:before="0" w:after="0" w:line="360" w:lineRule="auto"/>
              <w:ind w:right="0" w:firstLine="480" w:firstLineChars="200"/>
              <w:rPr>
                <w:color w:val="auto"/>
                <w:sz w:val="24"/>
                <w:szCs w:val="24"/>
              </w:rPr>
            </w:pPr>
            <w:r>
              <w:rPr>
                <w:rFonts w:hint="eastAsia"/>
                <w:color w:val="auto"/>
                <w:sz w:val="24"/>
                <w:szCs w:val="24"/>
              </w:rPr>
              <w:t>本项目建成后应切实加强对项目的危险废物进行管理，对生产过程中临时存放和使用油漆等环境风险物质的仓库和车间采取严密的防渗措施，项目固体废物临时堆放库应严格按照《一般工业固体废物贮存和填埋污染控制标准》（GB18599-2020）的有关规定建设。危险废物应分类收集暂存，严格按照《危险废物贮存污染控制标准》（GB18597-2023）对危险废物进行收集、暂存，并委托持有《危险废物经营许可证》的单位进行无害化处理处置。原辅料仓库和危废暂存间应备有泄漏应急处理设备（防渗托盘）和合适的收容材料，储存、运输过程中应当进行密闭，使用塑料包装物进行密闭等措施，避免化学品泄露。</w:t>
            </w:r>
          </w:p>
          <w:p w14:paraId="69EF3AA9">
            <w:pPr>
              <w:pStyle w:val="12"/>
              <w:snapToGrid/>
              <w:spacing w:before="0" w:after="0" w:line="360" w:lineRule="auto"/>
              <w:ind w:right="0" w:firstLine="480" w:firstLineChars="200"/>
              <w:rPr>
                <w:color w:val="auto"/>
                <w:sz w:val="24"/>
                <w:szCs w:val="24"/>
              </w:rPr>
            </w:pPr>
            <w:r>
              <w:rPr>
                <w:rFonts w:hint="eastAsia"/>
                <w:color w:val="auto"/>
                <w:sz w:val="24"/>
                <w:szCs w:val="24"/>
              </w:rPr>
              <w:t>（3）跟踪监测要求</w:t>
            </w:r>
          </w:p>
          <w:p w14:paraId="19AA59E9">
            <w:pPr>
              <w:pStyle w:val="12"/>
              <w:snapToGrid/>
              <w:spacing w:before="0" w:after="0" w:line="360" w:lineRule="auto"/>
              <w:ind w:right="0" w:firstLine="480" w:firstLineChars="200"/>
              <w:rPr>
                <w:color w:val="auto"/>
                <w:sz w:val="24"/>
                <w:szCs w:val="24"/>
              </w:rPr>
            </w:pPr>
            <w:r>
              <w:rPr>
                <w:rFonts w:hint="eastAsia"/>
                <w:color w:val="auto"/>
                <w:sz w:val="24"/>
                <w:szCs w:val="24"/>
              </w:rPr>
              <w:t>根据《排污许可证申请与核发技术规范 金属铸造工业》（HJ1115-2020）、《排污单位自行监测技术指南 金属铸造工业》（HJ1251-2022），自行监测污染源和污染物项目应包括排放标准、环境影响评价文件及其审批意见和其他环境管理要求中涉及的废气、废水污染源和污染物项目，法律法规等有明确要求的，按要求开展周边环境质量影响监测。本项目不涉及生产铅基及铅青铜，不属于土壤和地下水重点行业，且落实上述防控措施及相关管理要求后，污染物对地下水和土壤造成污染的可能性小，对地下水和土壤环境影响可接受。因此，本评价不提出跟踪监测要求。</w:t>
            </w:r>
          </w:p>
          <w:p w14:paraId="3748046E">
            <w:pPr>
              <w:adjustRightInd w:val="0"/>
              <w:snapToGrid w:val="0"/>
              <w:spacing w:line="360" w:lineRule="auto"/>
              <w:jc w:val="left"/>
              <w:rPr>
                <w:b/>
                <w:color w:val="auto"/>
                <w:spacing w:val="-10"/>
                <w:sz w:val="24"/>
              </w:rPr>
            </w:pPr>
            <w:r>
              <w:rPr>
                <w:rFonts w:hint="eastAsia"/>
                <w:b/>
                <w:color w:val="auto"/>
                <w:spacing w:val="-10"/>
                <w:sz w:val="24"/>
              </w:rPr>
              <w:t>6、电磁辐射</w:t>
            </w:r>
          </w:p>
          <w:p w14:paraId="60DEC00F">
            <w:pPr>
              <w:adjustRightInd w:val="0"/>
              <w:spacing w:line="360" w:lineRule="auto"/>
              <w:ind w:firstLine="480" w:firstLineChars="200"/>
              <w:rPr>
                <w:color w:val="auto"/>
                <w:kern w:val="1"/>
                <w:sz w:val="24"/>
                <w:szCs w:val="22"/>
              </w:rPr>
            </w:pPr>
            <w:r>
              <w:rPr>
                <w:rFonts w:hint="eastAsia"/>
                <w:color w:val="auto"/>
                <w:kern w:val="1"/>
                <w:sz w:val="24"/>
                <w:szCs w:val="22"/>
              </w:rPr>
              <w:t>项目无电磁辐射。</w:t>
            </w:r>
          </w:p>
          <w:p w14:paraId="5C7ADFF5">
            <w:pPr>
              <w:adjustRightInd w:val="0"/>
              <w:snapToGrid w:val="0"/>
              <w:spacing w:line="360" w:lineRule="auto"/>
              <w:jc w:val="left"/>
              <w:rPr>
                <w:b/>
                <w:color w:val="auto"/>
                <w:spacing w:val="-10"/>
                <w:sz w:val="24"/>
              </w:rPr>
            </w:pPr>
            <w:r>
              <w:rPr>
                <w:rFonts w:hint="eastAsia"/>
                <w:b/>
                <w:color w:val="auto"/>
                <w:spacing w:val="-10"/>
                <w:sz w:val="24"/>
              </w:rPr>
              <w:t>7、环境风险</w:t>
            </w:r>
          </w:p>
          <w:p w14:paraId="70EE920B">
            <w:pPr>
              <w:spacing w:line="360" w:lineRule="auto"/>
              <w:ind w:firstLine="480" w:firstLineChars="200"/>
              <w:rPr>
                <w:color w:val="auto"/>
                <w:sz w:val="24"/>
                <w:u w:val="single"/>
              </w:rPr>
            </w:pPr>
            <w:r>
              <w:rPr>
                <w:rFonts w:hint="eastAsia"/>
                <w:color w:val="auto"/>
                <w:sz w:val="24"/>
                <w:u w:val="single"/>
              </w:rPr>
              <w:t>（1）风险识别</w:t>
            </w:r>
          </w:p>
          <w:p w14:paraId="0B659A3F">
            <w:pPr>
              <w:adjustRightInd w:val="0"/>
              <w:spacing w:line="360" w:lineRule="auto"/>
              <w:ind w:firstLine="480" w:firstLineChars="200"/>
              <w:rPr>
                <w:color w:val="auto"/>
                <w:kern w:val="1"/>
                <w:sz w:val="24"/>
                <w:szCs w:val="22"/>
                <w:u w:val="single"/>
              </w:rPr>
            </w:pPr>
            <w:r>
              <w:rPr>
                <w:rFonts w:hint="eastAsia"/>
                <w:color w:val="auto"/>
                <w:kern w:val="1"/>
                <w:sz w:val="24"/>
                <w:szCs w:val="22"/>
                <w:u w:val="single"/>
              </w:rPr>
              <w:t>根据《有毒有害大气污染物名录》、《有毒有害水污染物名录》及《建设项目环境风险评价技术导则》（HJ/T169-2018）附录B中表B.1和表B.2中的环境风险物质。本项目涉及的风险物质主要为油漆、稀释剂、丙烷、危险废物等，暂存量较少，见下表。根据表B.2其他危险物质临界量推荐值，油漆稀释剂等属于健康危险急性物质。本项目风险源、分布情况、影响途径见下表。</w:t>
            </w:r>
          </w:p>
          <w:p w14:paraId="53DB2C3E">
            <w:pPr>
              <w:spacing w:line="300" w:lineRule="exact"/>
              <w:jc w:val="center"/>
              <w:rPr>
                <w:b/>
                <w:color w:val="auto"/>
                <w:szCs w:val="21"/>
                <w:u w:val="single"/>
              </w:rPr>
            </w:pPr>
            <w:r>
              <w:rPr>
                <w:rFonts w:hint="eastAsia"/>
                <w:b/>
                <w:color w:val="auto"/>
                <w:szCs w:val="21"/>
                <w:u w:val="single"/>
              </w:rPr>
              <w:t>表4-21  厂区风险物质筛选结果一览表</w:t>
            </w:r>
          </w:p>
          <w:tbl>
            <w:tblPr>
              <w:tblStyle w:val="3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0"/>
              <w:gridCol w:w="1834"/>
              <w:gridCol w:w="1733"/>
              <w:gridCol w:w="1383"/>
              <w:gridCol w:w="1944"/>
            </w:tblGrid>
            <w:tr w14:paraId="7C5FF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0" w:type="pct"/>
                  <w:vAlign w:val="center"/>
                </w:tcPr>
                <w:p w14:paraId="1A3D19B2">
                  <w:pPr>
                    <w:spacing w:line="280" w:lineRule="exact"/>
                    <w:jc w:val="center"/>
                    <w:rPr>
                      <w:color w:val="auto"/>
                      <w:szCs w:val="21"/>
                      <w:u w:val="single"/>
                    </w:rPr>
                  </w:pPr>
                  <w:r>
                    <w:rPr>
                      <w:rFonts w:hint="eastAsia"/>
                      <w:color w:val="auto"/>
                      <w:szCs w:val="21"/>
                      <w:u w:val="single"/>
                    </w:rPr>
                    <w:t>风险物</w:t>
                  </w:r>
                  <w:r>
                    <w:rPr>
                      <w:color w:val="auto"/>
                      <w:szCs w:val="21"/>
                      <w:u w:val="single"/>
                    </w:rPr>
                    <w:t>质</w:t>
                  </w:r>
                </w:p>
              </w:tc>
              <w:tc>
                <w:tcPr>
                  <w:tcW w:w="1042" w:type="pct"/>
                  <w:vAlign w:val="center"/>
                </w:tcPr>
                <w:p w14:paraId="350F8CF8">
                  <w:pPr>
                    <w:spacing w:line="280" w:lineRule="exact"/>
                    <w:jc w:val="center"/>
                    <w:rPr>
                      <w:color w:val="auto"/>
                      <w:szCs w:val="21"/>
                      <w:u w:val="single"/>
                    </w:rPr>
                  </w:pPr>
                  <w:r>
                    <w:rPr>
                      <w:color w:val="auto"/>
                      <w:szCs w:val="21"/>
                      <w:u w:val="single"/>
                    </w:rPr>
                    <w:t>最大存在量q</w:t>
                  </w:r>
                  <w:r>
                    <w:rPr>
                      <w:color w:val="auto"/>
                      <w:szCs w:val="21"/>
                      <w:u w:val="single"/>
                      <w:vertAlign w:val="subscript"/>
                    </w:rPr>
                    <w:t>n</w:t>
                  </w:r>
                  <w:r>
                    <w:rPr>
                      <w:color w:val="auto"/>
                      <w:szCs w:val="21"/>
                      <w:u w:val="single"/>
                    </w:rPr>
                    <w:t>（t）</w:t>
                  </w:r>
                </w:p>
              </w:tc>
              <w:tc>
                <w:tcPr>
                  <w:tcW w:w="985" w:type="pct"/>
                  <w:vAlign w:val="center"/>
                </w:tcPr>
                <w:p w14:paraId="309FCEA0">
                  <w:pPr>
                    <w:spacing w:line="280" w:lineRule="exact"/>
                    <w:jc w:val="center"/>
                    <w:rPr>
                      <w:color w:val="auto"/>
                      <w:szCs w:val="21"/>
                      <w:u w:val="single"/>
                    </w:rPr>
                  </w:pPr>
                  <w:r>
                    <w:rPr>
                      <w:color w:val="auto"/>
                      <w:szCs w:val="21"/>
                      <w:u w:val="single"/>
                    </w:rPr>
                    <w:t>临界量Q</w:t>
                  </w:r>
                  <w:r>
                    <w:rPr>
                      <w:color w:val="auto"/>
                      <w:szCs w:val="21"/>
                      <w:u w:val="single"/>
                      <w:vertAlign w:val="subscript"/>
                    </w:rPr>
                    <w:t>n</w:t>
                  </w:r>
                  <w:r>
                    <w:rPr>
                      <w:color w:val="auto"/>
                      <w:szCs w:val="21"/>
                      <w:u w:val="single"/>
                    </w:rPr>
                    <w:t>（t）</w:t>
                  </w:r>
                </w:p>
              </w:tc>
              <w:tc>
                <w:tcPr>
                  <w:tcW w:w="786" w:type="pct"/>
                  <w:vAlign w:val="center"/>
                </w:tcPr>
                <w:p w14:paraId="7DC6A35E">
                  <w:pPr>
                    <w:spacing w:line="280" w:lineRule="exact"/>
                    <w:jc w:val="center"/>
                    <w:rPr>
                      <w:color w:val="auto"/>
                      <w:szCs w:val="21"/>
                      <w:u w:val="single"/>
                    </w:rPr>
                  </w:pPr>
                  <w:r>
                    <w:rPr>
                      <w:color w:val="auto"/>
                      <w:szCs w:val="21"/>
                      <w:u w:val="single"/>
                    </w:rPr>
                    <w:t>比值q</w:t>
                  </w:r>
                  <w:r>
                    <w:rPr>
                      <w:color w:val="auto"/>
                      <w:szCs w:val="21"/>
                      <w:u w:val="single"/>
                      <w:vertAlign w:val="subscript"/>
                    </w:rPr>
                    <w:t>n</w:t>
                  </w:r>
                  <w:r>
                    <w:rPr>
                      <w:color w:val="auto"/>
                      <w:szCs w:val="21"/>
                      <w:u w:val="single"/>
                    </w:rPr>
                    <w:t>/Q</w:t>
                  </w:r>
                  <w:r>
                    <w:rPr>
                      <w:color w:val="auto"/>
                      <w:szCs w:val="21"/>
                      <w:u w:val="single"/>
                      <w:vertAlign w:val="subscript"/>
                    </w:rPr>
                    <w:t>n</w:t>
                  </w:r>
                </w:p>
              </w:tc>
              <w:tc>
                <w:tcPr>
                  <w:tcW w:w="1105" w:type="pct"/>
                  <w:vAlign w:val="center"/>
                </w:tcPr>
                <w:p w14:paraId="487645C8">
                  <w:pPr>
                    <w:spacing w:line="280" w:lineRule="exact"/>
                    <w:jc w:val="center"/>
                    <w:rPr>
                      <w:color w:val="auto"/>
                      <w:szCs w:val="21"/>
                      <w:u w:val="single"/>
                    </w:rPr>
                  </w:pPr>
                  <w:r>
                    <w:rPr>
                      <w:color w:val="auto"/>
                      <w:szCs w:val="21"/>
                      <w:u w:val="single"/>
                    </w:rPr>
                    <w:t>临界量确定依据</w:t>
                  </w:r>
                </w:p>
              </w:tc>
            </w:tr>
            <w:tr w14:paraId="4ABF4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080" w:type="pct"/>
                  <w:vAlign w:val="center"/>
                </w:tcPr>
                <w:p w14:paraId="0836B353">
                  <w:pPr>
                    <w:spacing w:line="280" w:lineRule="exact"/>
                    <w:jc w:val="center"/>
                    <w:rPr>
                      <w:bCs/>
                      <w:color w:val="auto"/>
                      <w:szCs w:val="21"/>
                      <w:u w:val="single"/>
                    </w:rPr>
                  </w:pPr>
                  <w:r>
                    <w:rPr>
                      <w:bCs/>
                      <w:color w:val="auto"/>
                      <w:szCs w:val="21"/>
                      <w:u w:val="single"/>
                    </w:rPr>
                    <w:t>油漆</w:t>
                  </w:r>
                </w:p>
              </w:tc>
              <w:tc>
                <w:tcPr>
                  <w:tcW w:w="1042" w:type="pct"/>
                  <w:vAlign w:val="center"/>
                </w:tcPr>
                <w:p w14:paraId="358A3DD0">
                  <w:pPr>
                    <w:spacing w:line="280" w:lineRule="exact"/>
                    <w:jc w:val="center"/>
                    <w:rPr>
                      <w:color w:val="auto"/>
                      <w:szCs w:val="21"/>
                      <w:u w:val="single"/>
                    </w:rPr>
                  </w:pPr>
                  <w:r>
                    <w:rPr>
                      <w:rFonts w:hint="eastAsia"/>
                      <w:color w:val="auto"/>
                      <w:szCs w:val="21"/>
                      <w:u w:val="single"/>
                    </w:rPr>
                    <w:t>3.3</w:t>
                  </w:r>
                </w:p>
              </w:tc>
              <w:tc>
                <w:tcPr>
                  <w:tcW w:w="985" w:type="pct"/>
                  <w:vAlign w:val="center"/>
                </w:tcPr>
                <w:p w14:paraId="1372130E">
                  <w:pPr>
                    <w:spacing w:line="280" w:lineRule="exact"/>
                    <w:jc w:val="center"/>
                    <w:rPr>
                      <w:color w:val="auto"/>
                      <w:szCs w:val="21"/>
                      <w:u w:val="single"/>
                    </w:rPr>
                  </w:pPr>
                  <w:r>
                    <w:rPr>
                      <w:color w:val="auto"/>
                      <w:szCs w:val="21"/>
                      <w:u w:val="single"/>
                    </w:rPr>
                    <w:t>50</w:t>
                  </w:r>
                </w:p>
              </w:tc>
              <w:tc>
                <w:tcPr>
                  <w:tcW w:w="786" w:type="pct"/>
                  <w:vAlign w:val="center"/>
                </w:tcPr>
                <w:p w14:paraId="1A51C64C">
                  <w:pPr>
                    <w:spacing w:line="280" w:lineRule="exact"/>
                    <w:jc w:val="center"/>
                    <w:rPr>
                      <w:color w:val="auto"/>
                      <w:szCs w:val="21"/>
                      <w:u w:val="single"/>
                    </w:rPr>
                  </w:pPr>
                  <w:r>
                    <w:rPr>
                      <w:rFonts w:hint="eastAsia"/>
                      <w:color w:val="auto"/>
                      <w:szCs w:val="21"/>
                      <w:u w:val="single"/>
                    </w:rPr>
                    <w:t>0.066</w:t>
                  </w:r>
                </w:p>
              </w:tc>
              <w:tc>
                <w:tcPr>
                  <w:tcW w:w="1105" w:type="pct"/>
                  <w:vMerge w:val="restart"/>
                  <w:vAlign w:val="center"/>
                </w:tcPr>
                <w:p w14:paraId="4E310CA7">
                  <w:pPr>
                    <w:spacing w:line="280" w:lineRule="exact"/>
                    <w:jc w:val="center"/>
                    <w:rPr>
                      <w:color w:val="auto"/>
                      <w:szCs w:val="21"/>
                      <w:highlight w:val="yellow"/>
                      <w:u w:val="single"/>
                    </w:rPr>
                  </w:pPr>
                  <w:r>
                    <w:rPr>
                      <w:color w:val="auto"/>
                      <w:szCs w:val="21"/>
                      <w:u w:val="single"/>
                    </w:rPr>
                    <w:t>HJ169-2018附录B</w:t>
                  </w:r>
                </w:p>
              </w:tc>
            </w:tr>
            <w:tr w14:paraId="12B69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080" w:type="pct"/>
                  <w:vAlign w:val="center"/>
                </w:tcPr>
                <w:p w14:paraId="2644901B">
                  <w:pPr>
                    <w:spacing w:line="280" w:lineRule="exact"/>
                    <w:jc w:val="center"/>
                    <w:rPr>
                      <w:bCs/>
                      <w:color w:val="auto"/>
                      <w:szCs w:val="21"/>
                      <w:u w:val="single"/>
                    </w:rPr>
                  </w:pPr>
                  <w:r>
                    <w:rPr>
                      <w:bCs/>
                      <w:color w:val="auto"/>
                      <w:szCs w:val="21"/>
                      <w:u w:val="single"/>
                    </w:rPr>
                    <w:t>稀释剂</w:t>
                  </w:r>
                </w:p>
              </w:tc>
              <w:tc>
                <w:tcPr>
                  <w:tcW w:w="1042" w:type="pct"/>
                  <w:vAlign w:val="center"/>
                </w:tcPr>
                <w:p w14:paraId="2F592983">
                  <w:pPr>
                    <w:spacing w:line="280" w:lineRule="exact"/>
                    <w:jc w:val="center"/>
                    <w:rPr>
                      <w:color w:val="auto"/>
                      <w:szCs w:val="21"/>
                      <w:u w:val="single"/>
                    </w:rPr>
                  </w:pPr>
                  <w:r>
                    <w:rPr>
                      <w:rFonts w:hint="eastAsia"/>
                      <w:color w:val="auto"/>
                      <w:szCs w:val="21"/>
                      <w:u w:val="single"/>
                    </w:rPr>
                    <w:t>0.6</w:t>
                  </w:r>
                </w:p>
              </w:tc>
              <w:tc>
                <w:tcPr>
                  <w:tcW w:w="985" w:type="pct"/>
                  <w:vAlign w:val="center"/>
                </w:tcPr>
                <w:p w14:paraId="0A9A47EE">
                  <w:pPr>
                    <w:spacing w:line="280" w:lineRule="exact"/>
                    <w:jc w:val="center"/>
                    <w:rPr>
                      <w:color w:val="auto"/>
                      <w:szCs w:val="21"/>
                      <w:u w:val="single"/>
                    </w:rPr>
                  </w:pPr>
                  <w:r>
                    <w:rPr>
                      <w:color w:val="auto"/>
                      <w:szCs w:val="21"/>
                      <w:u w:val="single"/>
                    </w:rPr>
                    <w:t>50</w:t>
                  </w:r>
                </w:p>
              </w:tc>
              <w:tc>
                <w:tcPr>
                  <w:tcW w:w="786" w:type="pct"/>
                  <w:vAlign w:val="center"/>
                </w:tcPr>
                <w:p w14:paraId="5BC637EC">
                  <w:pPr>
                    <w:spacing w:line="280" w:lineRule="exact"/>
                    <w:jc w:val="center"/>
                    <w:rPr>
                      <w:color w:val="auto"/>
                      <w:szCs w:val="21"/>
                      <w:u w:val="single"/>
                    </w:rPr>
                  </w:pPr>
                  <w:r>
                    <w:rPr>
                      <w:rFonts w:hint="eastAsia"/>
                      <w:color w:val="auto"/>
                      <w:szCs w:val="21"/>
                      <w:u w:val="single"/>
                    </w:rPr>
                    <w:t>0.012</w:t>
                  </w:r>
                </w:p>
              </w:tc>
              <w:tc>
                <w:tcPr>
                  <w:tcW w:w="1105" w:type="pct"/>
                  <w:vMerge w:val="continue"/>
                  <w:vAlign w:val="center"/>
                </w:tcPr>
                <w:p w14:paraId="5E5C36FE">
                  <w:pPr>
                    <w:widowControl/>
                    <w:spacing w:line="280" w:lineRule="exact"/>
                    <w:jc w:val="center"/>
                    <w:rPr>
                      <w:color w:val="auto"/>
                      <w:szCs w:val="21"/>
                      <w:highlight w:val="yellow"/>
                      <w:u w:val="single"/>
                    </w:rPr>
                  </w:pPr>
                </w:p>
              </w:tc>
            </w:tr>
            <w:tr w14:paraId="5CE11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080" w:type="pct"/>
                  <w:vAlign w:val="center"/>
                </w:tcPr>
                <w:p w14:paraId="027630D8">
                  <w:pPr>
                    <w:spacing w:line="280" w:lineRule="exact"/>
                    <w:jc w:val="center"/>
                    <w:rPr>
                      <w:bCs/>
                      <w:color w:val="auto"/>
                      <w:szCs w:val="21"/>
                      <w:highlight w:val="yellow"/>
                      <w:u w:val="single"/>
                    </w:rPr>
                  </w:pPr>
                  <w:r>
                    <w:rPr>
                      <w:rFonts w:hint="eastAsia"/>
                      <w:bCs/>
                      <w:color w:val="auto"/>
                      <w:szCs w:val="21"/>
                      <w:u w:val="single"/>
                    </w:rPr>
                    <w:t>机油</w:t>
                  </w:r>
                </w:p>
              </w:tc>
              <w:tc>
                <w:tcPr>
                  <w:tcW w:w="1042" w:type="pct"/>
                  <w:vAlign w:val="center"/>
                </w:tcPr>
                <w:p w14:paraId="0B3C8C70">
                  <w:pPr>
                    <w:widowControl/>
                    <w:spacing w:line="280" w:lineRule="exact"/>
                    <w:jc w:val="center"/>
                    <w:textAlignment w:val="center"/>
                    <w:rPr>
                      <w:bCs/>
                      <w:color w:val="auto"/>
                      <w:kern w:val="0"/>
                      <w:szCs w:val="21"/>
                      <w:highlight w:val="yellow"/>
                      <w:u w:val="single"/>
                    </w:rPr>
                  </w:pPr>
                  <w:r>
                    <w:rPr>
                      <w:rFonts w:hint="eastAsia"/>
                      <w:bCs/>
                      <w:color w:val="auto"/>
                      <w:kern w:val="0"/>
                      <w:szCs w:val="21"/>
                      <w:u w:val="single"/>
                    </w:rPr>
                    <w:t>0.1</w:t>
                  </w:r>
                </w:p>
              </w:tc>
              <w:tc>
                <w:tcPr>
                  <w:tcW w:w="985" w:type="pct"/>
                  <w:vAlign w:val="center"/>
                </w:tcPr>
                <w:p w14:paraId="2CE4607C">
                  <w:pPr>
                    <w:spacing w:line="280" w:lineRule="exact"/>
                    <w:jc w:val="center"/>
                    <w:rPr>
                      <w:color w:val="auto"/>
                      <w:szCs w:val="21"/>
                      <w:u w:val="single"/>
                    </w:rPr>
                  </w:pPr>
                  <w:r>
                    <w:rPr>
                      <w:rFonts w:hint="eastAsia"/>
                      <w:color w:val="auto"/>
                      <w:szCs w:val="21"/>
                      <w:u w:val="single"/>
                    </w:rPr>
                    <w:t>2500</w:t>
                  </w:r>
                </w:p>
              </w:tc>
              <w:tc>
                <w:tcPr>
                  <w:tcW w:w="786" w:type="pct"/>
                  <w:vAlign w:val="center"/>
                </w:tcPr>
                <w:p w14:paraId="50563D91">
                  <w:pPr>
                    <w:spacing w:line="280" w:lineRule="exact"/>
                    <w:jc w:val="center"/>
                    <w:rPr>
                      <w:color w:val="auto"/>
                      <w:szCs w:val="21"/>
                      <w:u w:val="single"/>
                    </w:rPr>
                  </w:pPr>
                  <w:r>
                    <w:rPr>
                      <w:rFonts w:hint="eastAsia"/>
                      <w:color w:val="auto"/>
                      <w:szCs w:val="21"/>
                      <w:u w:val="single"/>
                    </w:rPr>
                    <w:t>0.00004</w:t>
                  </w:r>
                </w:p>
              </w:tc>
              <w:tc>
                <w:tcPr>
                  <w:tcW w:w="1105" w:type="pct"/>
                  <w:vMerge w:val="continue"/>
                  <w:vAlign w:val="center"/>
                </w:tcPr>
                <w:p w14:paraId="1784CE0A">
                  <w:pPr>
                    <w:widowControl/>
                    <w:spacing w:line="280" w:lineRule="exact"/>
                    <w:jc w:val="center"/>
                    <w:rPr>
                      <w:color w:val="auto"/>
                      <w:szCs w:val="21"/>
                      <w:highlight w:val="yellow"/>
                      <w:u w:val="single"/>
                    </w:rPr>
                  </w:pPr>
                </w:p>
              </w:tc>
            </w:tr>
            <w:tr w14:paraId="4DC59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0" w:type="pct"/>
                  <w:vAlign w:val="center"/>
                </w:tcPr>
                <w:p w14:paraId="42189278">
                  <w:pPr>
                    <w:spacing w:line="280" w:lineRule="exact"/>
                    <w:jc w:val="center"/>
                    <w:rPr>
                      <w:bCs/>
                      <w:color w:val="auto"/>
                      <w:szCs w:val="21"/>
                      <w:u w:val="single"/>
                    </w:rPr>
                  </w:pPr>
                  <w:r>
                    <w:rPr>
                      <w:rFonts w:hint="eastAsia"/>
                      <w:bCs/>
                      <w:color w:val="auto"/>
                      <w:szCs w:val="21"/>
                      <w:u w:val="single"/>
                    </w:rPr>
                    <w:t>丙烷</w:t>
                  </w:r>
                </w:p>
              </w:tc>
              <w:tc>
                <w:tcPr>
                  <w:tcW w:w="1042" w:type="pct"/>
                  <w:vAlign w:val="center"/>
                </w:tcPr>
                <w:p w14:paraId="43B7EEF1">
                  <w:pPr>
                    <w:widowControl/>
                    <w:spacing w:line="280" w:lineRule="exact"/>
                    <w:jc w:val="center"/>
                    <w:textAlignment w:val="center"/>
                    <w:rPr>
                      <w:bCs/>
                      <w:color w:val="auto"/>
                      <w:kern w:val="0"/>
                      <w:szCs w:val="21"/>
                      <w:u w:val="single"/>
                    </w:rPr>
                  </w:pPr>
                  <w:r>
                    <w:rPr>
                      <w:rFonts w:hint="eastAsia"/>
                      <w:bCs/>
                      <w:color w:val="auto"/>
                      <w:kern w:val="0"/>
                      <w:szCs w:val="21"/>
                      <w:u w:val="single"/>
                    </w:rPr>
                    <w:t>0.2</w:t>
                  </w:r>
                </w:p>
              </w:tc>
              <w:tc>
                <w:tcPr>
                  <w:tcW w:w="985" w:type="pct"/>
                  <w:vAlign w:val="center"/>
                </w:tcPr>
                <w:p w14:paraId="02567C3B">
                  <w:pPr>
                    <w:spacing w:line="280" w:lineRule="exact"/>
                    <w:jc w:val="center"/>
                    <w:rPr>
                      <w:color w:val="auto"/>
                      <w:szCs w:val="21"/>
                      <w:u w:val="single"/>
                    </w:rPr>
                  </w:pPr>
                  <w:r>
                    <w:rPr>
                      <w:rFonts w:hint="eastAsia"/>
                      <w:color w:val="auto"/>
                      <w:szCs w:val="21"/>
                      <w:u w:val="single"/>
                    </w:rPr>
                    <w:t>10</w:t>
                  </w:r>
                </w:p>
              </w:tc>
              <w:tc>
                <w:tcPr>
                  <w:tcW w:w="786" w:type="pct"/>
                  <w:vAlign w:val="center"/>
                </w:tcPr>
                <w:p w14:paraId="4AE88D65">
                  <w:pPr>
                    <w:spacing w:line="280" w:lineRule="exact"/>
                    <w:jc w:val="center"/>
                    <w:rPr>
                      <w:color w:val="auto"/>
                      <w:szCs w:val="21"/>
                      <w:u w:val="single"/>
                    </w:rPr>
                  </w:pPr>
                  <w:r>
                    <w:rPr>
                      <w:rFonts w:hint="eastAsia"/>
                      <w:color w:val="auto"/>
                      <w:szCs w:val="21"/>
                      <w:u w:val="single"/>
                    </w:rPr>
                    <w:t>0.02</w:t>
                  </w:r>
                </w:p>
              </w:tc>
              <w:tc>
                <w:tcPr>
                  <w:tcW w:w="1105" w:type="pct"/>
                  <w:vMerge w:val="continue"/>
                  <w:vAlign w:val="center"/>
                </w:tcPr>
                <w:p w14:paraId="56852ABE">
                  <w:pPr>
                    <w:widowControl/>
                    <w:spacing w:line="280" w:lineRule="exact"/>
                    <w:jc w:val="center"/>
                    <w:rPr>
                      <w:color w:val="auto"/>
                      <w:szCs w:val="21"/>
                      <w:highlight w:val="yellow"/>
                      <w:u w:val="single"/>
                    </w:rPr>
                  </w:pPr>
                </w:p>
              </w:tc>
            </w:tr>
            <w:tr w14:paraId="58008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80" w:type="pct"/>
                  <w:vAlign w:val="center"/>
                </w:tcPr>
                <w:p w14:paraId="313FE4B3">
                  <w:pPr>
                    <w:spacing w:line="280" w:lineRule="exact"/>
                    <w:jc w:val="center"/>
                    <w:rPr>
                      <w:bCs/>
                      <w:color w:val="auto"/>
                      <w:szCs w:val="21"/>
                      <w:u w:val="single"/>
                    </w:rPr>
                  </w:pPr>
                  <w:r>
                    <w:rPr>
                      <w:rFonts w:hint="eastAsia"/>
                      <w:color w:val="auto"/>
                      <w:szCs w:val="21"/>
                      <w:u w:val="single"/>
                    </w:rPr>
                    <w:t>废机油、废活性炭等危险废物</w:t>
                  </w:r>
                </w:p>
              </w:tc>
              <w:tc>
                <w:tcPr>
                  <w:tcW w:w="1042" w:type="pct"/>
                  <w:vAlign w:val="center"/>
                </w:tcPr>
                <w:p w14:paraId="7B35667D">
                  <w:pPr>
                    <w:widowControl/>
                    <w:spacing w:line="280" w:lineRule="exact"/>
                    <w:jc w:val="center"/>
                    <w:textAlignment w:val="center"/>
                    <w:rPr>
                      <w:rFonts w:hint="default" w:eastAsia="宋体"/>
                      <w:bCs/>
                      <w:color w:val="auto"/>
                      <w:kern w:val="0"/>
                      <w:szCs w:val="21"/>
                      <w:u w:val="single"/>
                      <w:lang w:val="en-US" w:eastAsia="zh-CN"/>
                    </w:rPr>
                  </w:pPr>
                  <w:r>
                    <w:rPr>
                      <w:rFonts w:hint="eastAsia"/>
                      <w:bCs/>
                      <w:color w:val="auto"/>
                      <w:kern w:val="0"/>
                      <w:szCs w:val="21"/>
                      <w:u w:val="single"/>
                      <w:lang w:val="en-US" w:eastAsia="zh-CN"/>
                    </w:rPr>
                    <w:t>21.17</w:t>
                  </w:r>
                </w:p>
              </w:tc>
              <w:tc>
                <w:tcPr>
                  <w:tcW w:w="985" w:type="pct"/>
                  <w:vAlign w:val="center"/>
                </w:tcPr>
                <w:p w14:paraId="4AA9C3D8">
                  <w:pPr>
                    <w:spacing w:line="280" w:lineRule="exact"/>
                    <w:jc w:val="center"/>
                    <w:rPr>
                      <w:color w:val="auto"/>
                      <w:szCs w:val="21"/>
                      <w:u w:val="single"/>
                    </w:rPr>
                  </w:pPr>
                  <w:r>
                    <w:rPr>
                      <w:color w:val="auto"/>
                      <w:szCs w:val="21"/>
                      <w:u w:val="single"/>
                    </w:rPr>
                    <w:t>50</w:t>
                  </w:r>
                </w:p>
              </w:tc>
              <w:tc>
                <w:tcPr>
                  <w:tcW w:w="786" w:type="pct"/>
                  <w:vAlign w:val="center"/>
                </w:tcPr>
                <w:p w14:paraId="6DCB07D0">
                  <w:pPr>
                    <w:spacing w:line="280" w:lineRule="exact"/>
                    <w:jc w:val="center"/>
                    <w:rPr>
                      <w:rFonts w:hint="default" w:eastAsia="宋体"/>
                      <w:color w:val="auto"/>
                      <w:szCs w:val="21"/>
                      <w:u w:val="single"/>
                      <w:lang w:val="en-US" w:eastAsia="zh-CN"/>
                    </w:rPr>
                  </w:pPr>
                  <w:r>
                    <w:rPr>
                      <w:rFonts w:hint="eastAsia"/>
                      <w:color w:val="auto"/>
                      <w:szCs w:val="21"/>
                      <w:u w:val="single"/>
                    </w:rPr>
                    <w:t>0.</w:t>
                  </w:r>
                  <w:r>
                    <w:rPr>
                      <w:rFonts w:hint="eastAsia"/>
                      <w:color w:val="auto"/>
                      <w:szCs w:val="21"/>
                      <w:u w:val="single"/>
                      <w:lang w:val="en-US" w:eastAsia="zh-CN"/>
                    </w:rPr>
                    <w:t>4234</w:t>
                  </w:r>
                </w:p>
              </w:tc>
              <w:tc>
                <w:tcPr>
                  <w:tcW w:w="1105" w:type="pct"/>
                  <w:vMerge w:val="continue"/>
                  <w:vAlign w:val="center"/>
                </w:tcPr>
                <w:p w14:paraId="20F7A84E">
                  <w:pPr>
                    <w:widowControl/>
                    <w:spacing w:line="280" w:lineRule="exact"/>
                    <w:jc w:val="center"/>
                    <w:rPr>
                      <w:color w:val="auto"/>
                      <w:szCs w:val="21"/>
                      <w:highlight w:val="yellow"/>
                      <w:u w:val="single"/>
                    </w:rPr>
                  </w:pPr>
                </w:p>
              </w:tc>
            </w:tr>
            <w:tr w14:paraId="42495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7" w:type="pct"/>
                  <w:gridSpan w:val="3"/>
                  <w:vAlign w:val="center"/>
                </w:tcPr>
                <w:p w14:paraId="276DAB9C">
                  <w:pPr>
                    <w:spacing w:line="280" w:lineRule="exact"/>
                    <w:jc w:val="center"/>
                    <w:rPr>
                      <w:color w:val="auto"/>
                      <w:szCs w:val="21"/>
                      <w:u w:val="single"/>
                    </w:rPr>
                  </w:pPr>
                  <w:r>
                    <w:rPr>
                      <w:rFonts w:hint="eastAsia"/>
                      <w:color w:val="auto"/>
                      <w:szCs w:val="21"/>
                      <w:u w:val="single"/>
                    </w:rPr>
                    <w:t>合计</w:t>
                  </w:r>
                </w:p>
              </w:tc>
              <w:tc>
                <w:tcPr>
                  <w:tcW w:w="786" w:type="pct"/>
                  <w:vAlign w:val="center"/>
                </w:tcPr>
                <w:p w14:paraId="355D4A14">
                  <w:pPr>
                    <w:spacing w:line="280" w:lineRule="exact"/>
                    <w:jc w:val="center"/>
                    <w:rPr>
                      <w:rFonts w:hint="default" w:eastAsia="宋体"/>
                      <w:color w:val="auto"/>
                      <w:szCs w:val="21"/>
                      <w:u w:val="single"/>
                      <w:lang w:val="en-US" w:eastAsia="zh-CN"/>
                    </w:rPr>
                  </w:pPr>
                  <w:r>
                    <w:rPr>
                      <w:rFonts w:hint="eastAsia"/>
                      <w:color w:val="auto"/>
                      <w:szCs w:val="21"/>
                      <w:u w:val="single"/>
                    </w:rPr>
                    <w:t>0.</w:t>
                  </w:r>
                  <w:r>
                    <w:rPr>
                      <w:rFonts w:hint="eastAsia"/>
                      <w:color w:val="auto"/>
                      <w:szCs w:val="21"/>
                      <w:u w:val="single"/>
                      <w:lang w:val="en-US" w:eastAsia="zh-CN"/>
                    </w:rPr>
                    <w:t>52144</w:t>
                  </w:r>
                </w:p>
              </w:tc>
              <w:tc>
                <w:tcPr>
                  <w:tcW w:w="1105" w:type="pct"/>
                  <w:vAlign w:val="center"/>
                </w:tcPr>
                <w:p w14:paraId="56EFA2E7">
                  <w:pPr>
                    <w:spacing w:line="280" w:lineRule="exact"/>
                    <w:jc w:val="center"/>
                    <w:rPr>
                      <w:color w:val="auto"/>
                      <w:szCs w:val="21"/>
                      <w:u w:val="single"/>
                    </w:rPr>
                  </w:pPr>
                </w:p>
              </w:tc>
            </w:tr>
          </w:tbl>
          <w:p w14:paraId="127EC964">
            <w:pPr>
              <w:spacing w:line="300" w:lineRule="exact"/>
              <w:jc w:val="center"/>
              <w:rPr>
                <w:b/>
                <w:color w:val="auto"/>
                <w:szCs w:val="21"/>
              </w:rPr>
            </w:pPr>
            <w:r>
              <w:rPr>
                <w:b/>
                <w:color w:val="auto"/>
                <w:szCs w:val="21"/>
              </w:rPr>
              <w:t>表</w:t>
            </w:r>
            <w:r>
              <w:rPr>
                <w:rFonts w:hint="eastAsia"/>
                <w:b/>
                <w:color w:val="auto"/>
                <w:szCs w:val="21"/>
              </w:rPr>
              <w:t xml:space="preserve">4-22  </w:t>
            </w:r>
            <w:r>
              <w:rPr>
                <w:b/>
                <w:color w:val="auto"/>
                <w:szCs w:val="21"/>
              </w:rPr>
              <w:t>生产过程风险源识别</w:t>
            </w:r>
          </w:p>
          <w:tbl>
            <w:tblPr>
              <w:tblStyle w:val="3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16"/>
              <w:gridCol w:w="1693"/>
              <w:gridCol w:w="5288"/>
            </w:tblGrid>
            <w:tr w14:paraId="5F1AC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32" w:type="pct"/>
                  <w:vAlign w:val="center"/>
                </w:tcPr>
                <w:p w14:paraId="2500C9A3">
                  <w:pPr>
                    <w:pStyle w:val="76"/>
                    <w:kinsoku w:val="0"/>
                    <w:overflowPunct w:val="0"/>
                    <w:spacing w:line="320" w:lineRule="exact"/>
                    <w:jc w:val="center"/>
                    <w:rPr>
                      <w:rFonts w:ascii="Times New Roman" w:hAnsi="Times New Roman"/>
                      <w:color w:val="auto"/>
                    </w:rPr>
                  </w:pPr>
                  <w:r>
                    <w:rPr>
                      <w:rFonts w:ascii="Times New Roman" w:hAnsi="Times New Roman"/>
                      <w:bCs/>
                      <w:color w:val="auto"/>
                      <w:szCs w:val="21"/>
                    </w:rPr>
                    <w:t>危险物质</w:t>
                  </w:r>
                </w:p>
              </w:tc>
              <w:tc>
                <w:tcPr>
                  <w:tcW w:w="962" w:type="pct"/>
                  <w:vAlign w:val="center"/>
                </w:tcPr>
                <w:p w14:paraId="2A44308F">
                  <w:pPr>
                    <w:pStyle w:val="76"/>
                    <w:kinsoku w:val="0"/>
                    <w:overflowPunct w:val="0"/>
                    <w:spacing w:line="320" w:lineRule="exact"/>
                    <w:jc w:val="center"/>
                    <w:rPr>
                      <w:rFonts w:ascii="Times New Roman" w:hAnsi="Times New Roman"/>
                      <w:color w:val="auto"/>
                    </w:rPr>
                  </w:pPr>
                  <w:r>
                    <w:rPr>
                      <w:rFonts w:ascii="Times New Roman" w:hAnsi="Times New Roman"/>
                      <w:bCs/>
                      <w:color w:val="auto"/>
                      <w:szCs w:val="21"/>
                    </w:rPr>
                    <w:t>风险源分布情况</w:t>
                  </w:r>
                </w:p>
              </w:tc>
              <w:tc>
                <w:tcPr>
                  <w:tcW w:w="3004" w:type="pct"/>
                  <w:vAlign w:val="center"/>
                </w:tcPr>
                <w:p w14:paraId="15079639">
                  <w:pPr>
                    <w:pStyle w:val="76"/>
                    <w:kinsoku w:val="0"/>
                    <w:overflowPunct w:val="0"/>
                    <w:spacing w:line="320" w:lineRule="exact"/>
                    <w:jc w:val="center"/>
                    <w:rPr>
                      <w:rFonts w:ascii="Times New Roman" w:hAnsi="Times New Roman"/>
                      <w:color w:val="auto"/>
                    </w:rPr>
                  </w:pPr>
                  <w:r>
                    <w:rPr>
                      <w:rFonts w:ascii="Times New Roman" w:hAnsi="Times New Roman"/>
                      <w:bCs/>
                      <w:color w:val="auto"/>
                      <w:szCs w:val="21"/>
                    </w:rPr>
                    <w:t>可能影响的途径</w:t>
                  </w:r>
                </w:p>
              </w:tc>
            </w:tr>
            <w:tr w14:paraId="0E8CB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32" w:type="pct"/>
                  <w:vAlign w:val="center"/>
                </w:tcPr>
                <w:p w14:paraId="2210AD76">
                  <w:pPr>
                    <w:pStyle w:val="76"/>
                    <w:kinsoku w:val="0"/>
                    <w:overflowPunct w:val="0"/>
                    <w:spacing w:line="320" w:lineRule="exact"/>
                    <w:jc w:val="center"/>
                    <w:rPr>
                      <w:rFonts w:ascii="Times New Roman" w:hAnsi="Times New Roman"/>
                      <w:bCs/>
                      <w:color w:val="auto"/>
                      <w:szCs w:val="21"/>
                    </w:rPr>
                  </w:pPr>
                  <w:r>
                    <w:rPr>
                      <w:rFonts w:ascii="Times New Roman" w:hAnsi="Times New Roman"/>
                      <w:bCs/>
                      <w:color w:val="auto"/>
                      <w:szCs w:val="21"/>
                    </w:rPr>
                    <w:t>油漆、稀释剂、</w:t>
                  </w:r>
                </w:p>
                <w:p w14:paraId="74DB47B4">
                  <w:pPr>
                    <w:pStyle w:val="76"/>
                    <w:kinsoku w:val="0"/>
                    <w:overflowPunct w:val="0"/>
                    <w:spacing w:line="320" w:lineRule="exact"/>
                    <w:jc w:val="center"/>
                    <w:rPr>
                      <w:rFonts w:ascii="Times New Roman" w:hAnsi="Times New Roman"/>
                      <w:bCs/>
                      <w:color w:val="auto"/>
                      <w:szCs w:val="21"/>
                    </w:rPr>
                  </w:pPr>
                  <w:r>
                    <w:rPr>
                      <w:rFonts w:hint="eastAsia" w:ascii="Times New Roman" w:hAnsi="Times New Roman"/>
                      <w:bCs/>
                      <w:color w:val="auto"/>
                      <w:szCs w:val="21"/>
                    </w:rPr>
                    <w:t>机</w:t>
                  </w:r>
                  <w:r>
                    <w:rPr>
                      <w:rFonts w:ascii="Times New Roman" w:hAnsi="Times New Roman"/>
                      <w:bCs/>
                      <w:color w:val="auto"/>
                      <w:szCs w:val="21"/>
                    </w:rPr>
                    <w:t>油</w:t>
                  </w:r>
                  <w:r>
                    <w:rPr>
                      <w:rFonts w:hint="eastAsia" w:ascii="Times New Roman" w:hAnsi="Times New Roman"/>
                      <w:bCs/>
                      <w:color w:val="auto"/>
                      <w:szCs w:val="21"/>
                    </w:rPr>
                    <w:t>等</w:t>
                  </w:r>
                </w:p>
              </w:tc>
              <w:tc>
                <w:tcPr>
                  <w:tcW w:w="962" w:type="pct"/>
                  <w:vAlign w:val="center"/>
                </w:tcPr>
                <w:p w14:paraId="1B5ABB4E">
                  <w:pPr>
                    <w:pStyle w:val="76"/>
                    <w:kinsoku w:val="0"/>
                    <w:overflowPunct w:val="0"/>
                    <w:spacing w:line="320" w:lineRule="exact"/>
                    <w:jc w:val="center"/>
                    <w:rPr>
                      <w:rFonts w:ascii="Times New Roman" w:hAnsi="Times New Roman"/>
                      <w:bCs/>
                      <w:color w:val="auto"/>
                      <w:szCs w:val="21"/>
                    </w:rPr>
                  </w:pPr>
                  <w:r>
                    <w:rPr>
                      <w:rFonts w:hint="eastAsia" w:ascii="Times New Roman" w:hAnsi="Times New Roman"/>
                      <w:bCs/>
                      <w:color w:val="auto"/>
                      <w:szCs w:val="21"/>
                    </w:rPr>
                    <w:t>原料仓库</w:t>
                  </w:r>
                </w:p>
              </w:tc>
              <w:tc>
                <w:tcPr>
                  <w:tcW w:w="3004" w:type="pct"/>
                  <w:vAlign w:val="center"/>
                </w:tcPr>
                <w:p w14:paraId="02D05D02">
                  <w:pPr>
                    <w:pStyle w:val="76"/>
                    <w:kinsoku w:val="0"/>
                    <w:overflowPunct w:val="0"/>
                    <w:spacing w:line="320" w:lineRule="exact"/>
                    <w:jc w:val="center"/>
                    <w:rPr>
                      <w:rFonts w:ascii="Times New Roman" w:hAnsi="Times New Roman"/>
                      <w:bCs/>
                      <w:color w:val="auto"/>
                      <w:szCs w:val="21"/>
                    </w:rPr>
                  </w:pPr>
                  <w:r>
                    <w:rPr>
                      <w:rFonts w:ascii="Times New Roman" w:hAnsi="Times New Roman"/>
                      <w:bCs/>
                      <w:color w:val="auto"/>
                      <w:szCs w:val="21"/>
                    </w:rPr>
                    <w:t>贮存系统有害物质泄漏，对土壤、地下水产生影响；火灾等次生环境污染对环境空气的影响</w:t>
                  </w:r>
                </w:p>
              </w:tc>
            </w:tr>
            <w:tr w14:paraId="432DE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32" w:type="pct"/>
                  <w:vAlign w:val="center"/>
                </w:tcPr>
                <w:p w14:paraId="47216352">
                  <w:pPr>
                    <w:pStyle w:val="76"/>
                    <w:kinsoku w:val="0"/>
                    <w:overflowPunct w:val="0"/>
                    <w:spacing w:line="320" w:lineRule="exact"/>
                    <w:jc w:val="center"/>
                    <w:rPr>
                      <w:rFonts w:ascii="Times New Roman" w:hAnsi="Times New Roman"/>
                      <w:color w:val="auto"/>
                    </w:rPr>
                  </w:pPr>
                  <w:r>
                    <w:rPr>
                      <w:rFonts w:ascii="Times New Roman" w:hAnsi="Times New Roman"/>
                      <w:color w:val="auto"/>
                      <w:szCs w:val="21"/>
                    </w:rPr>
                    <w:t>危险废物</w:t>
                  </w:r>
                </w:p>
              </w:tc>
              <w:tc>
                <w:tcPr>
                  <w:tcW w:w="962" w:type="pct"/>
                  <w:vAlign w:val="center"/>
                </w:tcPr>
                <w:p w14:paraId="66EC0C3D">
                  <w:pPr>
                    <w:pStyle w:val="76"/>
                    <w:kinsoku w:val="0"/>
                    <w:overflowPunct w:val="0"/>
                    <w:spacing w:line="320" w:lineRule="exact"/>
                    <w:jc w:val="center"/>
                    <w:rPr>
                      <w:rFonts w:ascii="Times New Roman" w:hAnsi="Times New Roman"/>
                      <w:color w:val="auto"/>
                    </w:rPr>
                  </w:pPr>
                  <w:r>
                    <w:rPr>
                      <w:rFonts w:ascii="Times New Roman" w:hAnsi="Times New Roman"/>
                      <w:color w:val="auto"/>
                      <w:szCs w:val="21"/>
                    </w:rPr>
                    <w:t>危废暂存间</w:t>
                  </w:r>
                </w:p>
              </w:tc>
              <w:tc>
                <w:tcPr>
                  <w:tcW w:w="3004" w:type="pct"/>
                  <w:vAlign w:val="center"/>
                </w:tcPr>
                <w:p w14:paraId="089E7CFF">
                  <w:pPr>
                    <w:pStyle w:val="76"/>
                    <w:kinsoku w:val="0"/>
                    <w:overflowPunct w:val="0"/>
                    <w:spacing w:line="320" w:lineRule="exact"/>
                    <w:jc w:val="center"/>
                    <w:rPr>
                      <w:rFonts w:ascii="Times New Roman" w:hAnsi="Times New Roman"/>
                      <w:color w:val="auto"/>
                    </w:rPr>
                  </w:pPr>
                  <w:r>
                    <w:rPr>
                      <w:rFonts w:ascii="Times New Roman" w:hAnsi="Times New Roman"/>
                      <w:color w:val="auto"/>
                      <w:spacing w:val="-5"/>
                      <w:szCs w:val="21"/>
                    </w:rPr>
                    <w:t>危废暂存间</w:t>
                  </w:r>
                  <w:r>
                    <w:rPr>
                      <w:rFonts w:ascii="Times New Roman" w:hAnsi="Times New Roman"/>
                      <w:color w:val="auto"/>
                      <w:szCs w:val="21"/>
                    </w:rPr>
                    <w:t>可能会发生危废泄漏，可能污染土壤</w:t>
                  </w:r>
                </w:p>
              </w:tc>
            </w:tr>
            <w:tr w14:paraId="60995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32" w:type="pct"/>
                  <w:vAlign w:val="center"/>
                </w:tcPr>
                <w:p w14:paraId="530E61D0">
                  <w:pPr>
                    <w:pStyle w:val="76"/>
                    <w:kinsoku w:val="0"/>
                    <w:overflowPunct w:val="0"/>
                    <w:spacing w:line="320" w:lineRule="exact"/>
                    <w:jc w:val="center"/>
                    <w:rPr>
                      <w:rFonts w:ascii="Times New Roman" w:hAnsi="Times New Roman"/>
                      <w:color w:val="auto"/>
                    </w:rPr>
                  </w:pPr>
                  <w:r>
                    <w:rPr>
                      <w:rFonts w:ascii="Times New Roman" w:hAnsi="Times New Roman"/>
                      <w:color w:val="auto"/>
                      <w:szCs w:val="21"/>
                    </w:rPr>
                    <w:t>火灾事故次生污染物次生</w:t>
                  </w:r>
                </w:p>
              </w:tc>
              <w:tc>
                <w:tcPr>
                  <w:tcW w:w="962" w:type="pct"/>
                  <w:vAlign w:val="center"/>
                </w:tcPr>
                <w:p w14:paraId="69CB4C4A">
                  <w:pPr>
                    <w:pStyle w:val="76"/>
                    <w:kinsoku w:val="0"/>
                    <w:overflowPunct w:val="0"/>
                    <w:spacing w:line="320" w:lineRule="exact"/>
                    <w:jc w:val="center"/>
                    <w:rPr>
                      <w:rFonts w:ascii="Times New Roman" w:hAnsi="Times New Roman"/>
                      <w:color w:val="auto"/>
                    </w:rPr>
                  </w:pPr>
                  <w:r>
                    <w:rPr>
                      <w:rFonts w:hint="eastAsia" w:ascii="Times New Roman" w:hAnsi="Times New Roman"/>
                      <w:color w:val="auto"/>
                      <w:szCs w:val="21"/>
                    </w:rPr>
                    <w:t>厂房</w:t>
                  </w:r>
                  <w:r>
                    <w:rPr>
                      <w:rFonts w:ascii="Times New Roman" w:hAnsi="Times New Roman"/>
                      <w:color w:val="auto"/>
                      <w:szCs w:val="21"/>
                    </w:rPr>
                    <w:t>、喷涂区</w:t>
                  </w:r>
                </w:p>
              </w:tc>
              <w:tc>
                <w:tcPr>
                  <w:tcW w:w="3004" w:type="pct"/>
                  <w:vAlign w:val="center"/>
                </w:tcPr>
                <w:p w14:paraId="373AAA05">
                  <w:pPr>
                    <w:pStyle w:val="76"/>
                    <w:kinsoku w:val="0"/>
                    <w:overflowPunct w:val="0"/>
                    <w:spacing w:line="320" w:lineRule="exact"/>
                    <w:jc w:val="center"/>
                    <w:rPr>
                      <w:rFonts w:ascii="Times New Roman" w:hAnsi="Times New Roman"/>
                      <w:color w:val="auto"/>
                      <w:szCs w:val="21"/>
                    </w:rPr>
                  </w:pPr>
                  <w:r>
                    <w:rPr>
                      <w:rFonts w:ascii="Times New Roman" w:hAnsi="Times New Roman"/>
                      <w:color w:val="auto"/>
                      <w:spacing w:val="-5"/>
                      <w:szCs w:val="21"/>
                    </w:rPr>
                    <w:t>厂房发生火灾产生的燃烧烟气、消防废水等次生</w:t>
                  </w:r>
                  <w:r>
                    <w:rPr>
                      <w:rFonts w:hint="eastAsia" w:ascii="Times New Roman" w:hAnsi="Times New Roman"/>
                      <w:color w:val="auto"/>
                      <w:spacing w:val="-5"/>
                      <w:szCs w:val="21"/>
                    </w:rPr>
                    <w:t>污染</w:t>
                  </w:r>
                  <w:r>
                    <w:rPr>
                      <w:rFonts w:ascii="Times New Roman" w:hAnsi="Times New Roman"/>
                      <w:color w:val="auto"/>
                      <w:spacing w:val="-5"/>
                      <w:szCs w:val="21"/>
                    </w:rPr>
                    <w:t>，</w:t>
                  </w:r>
                  <w:r>
                    <w:rPr>
                      <w:rFonts w:ascii="Times New Roman" w:hAnsi="Times New Roman"/>
                      <w:color w:val="auto"/>
                      <w:szCs w:val="21"/>
                    </w:rPr>
                    <w:t>可能污染周围土壤、水体及环境空气</w:t>
                  </w:r>
                </w:p>
              </w:tc>
            </w:tr>
          </w:tbl>
          <w:p w14:paraId="75445A60">
            <w:pPr>
              <w:spacing w:line="360" w:lineRule="auto"/>
              <w:ind w:firstLine="480"/>
              <w:rPr>
                <w:b/>
                <w:bCs/>
                <w:color w:val="auto"/>
                <w:kern w:val="0"/>
                <w:szCs w:val="21"/>
              </w:rPr>
            </w:pPr>
            <w:r>
              <w:rPr>
                <w:color w:val="auto"/>
                <w:sz w:val="24"/>
              </w:rPr>
              <w:t>从上表可以看出，本项目危险物质的总量与其临界量的比值之和计量Q&lt;1</w:t>
            </w:r>
            <w:r>
              <w:rPr>
                <w:rFonts w:hint="eastAsia"/>
                <w:color w:val="auto"/>
                <w:sz w:val="24"/>
              </w:rPr>
              <w:t>，风险潜势直接判定为I，风险评价等级为简单分析</w:t>
            </w:r>
            <w:r>
              <w:rPr>
                <w:color w:val="auto"/>
                <w:sz w:val="24"/>
              </w:rPr>
              <w:t>。</w:t>
            </w:r>
          </w:p>
          <w:p w14:paraId="5A4C027E">
            <w:pPr>
              <w:widowControl/>
              <w:spacing w:line="360" w:lineRule="auto"/>
              <w:ind w:firstLine="420"/>
              <w:rPr>
                <w:color w:val="auto"/>
                <w:kern w:val="0"/>
                <w:sz w:val="24"/>
              </w:rPr>
            </w:pPr>
            <w:r>
              <w:rPr>
                <w:color w:val="auto"/>
                <w:kern w:val="0"/>
                <w:sz w:val="24"/>
              </w:rPr>
              <w:t>（</w:t>
            </w:r>
            <w:r>
              <w:rPr>
                <w:rFonts w:hint="eastAsia"/>
                <w:color w:val="auto"/>
                <w:kern w:val="0"/>
                <w:sz w:val="24"/>
              </w:rPr>
              <w:t>2</w:t>
            </w:r>
            <w:r>
              <w:rPr>
                <w:color w:val="auto"/>
                <w:kern w:val="0"/>
                <w:sz w:val="24"/>
              </w:rPr>
              <w:t>）</w:t>
            </w:r>
            <w:r>
              <w:rPr>
                <w:rFonts w:hint="eastAsia"/>
                <w:color w:val="auto"/>
                <w:kern w:val="0"/>
                <w:sz w:val="24"/>
              </w:rPr>
              <w:t>环境风险分析</w:t>
            </w:r>
          </w:p>
          <w:p w14:paraId="31089216">
            <w:pPr>
              <w:adjustRightInd w:val="0"/>
              <w:snapToGrid w:val="0"/>
              <w:spacing w:line="360" w:lineRule="auto"/>
              <w:ind w:firstLine="480" w:firstLineChars="200"/>
              <w:textAlignment w:val="baseline"/>
              <w:rPr>
                <w:bCs/>
                <w:snapToGrid w:val="0"/>
                <w:color w:val="auto"/>
                <w:kern w:val="0"/>
                <w:sz w:val="24"/>
              </w:rPr>
            </w:pPr>
            <w:r>
              <w:rPr>
                <w:bCs/>
                <w:snapToGrid w:val="0"/>
                <w:color w:val="auto"/>
                <w:kern w:val="0"/>
                <w:sz w:val="24"/>
              </w:rPr>
              <w:t>风险物质泄漏事故：本项目环境风险物</w:t>
            </w:r>
            <w:r>
              <w:rPr>
                <w:rFonts w:hint="eastAsia"/>
                <w:bCs/>
                <w:snapToGrid w:val="0"/>
                <w:color w:val="auto"/>
                <w:kern w:val="0"/>
                <w:sz w:val="24"/>
              </w:rPr>
              <w:t>油漆</w:t>
            </w:r>
            <w:r>
              <w:rPr>
                <w:bCs/>
                <w:snapToGrid w:val="0"/>
                <w:color w:val="auto"/>
                <w:kern w:val="0"/>
                <w:sz w:val="24"/>
              </w:rPr>
              <w:t>、</w:t>
            </w:r>
            <w:r>
              <w:rPr>
                <w:rFonts w:hint="eastAsia"/>
                <w:bCs/>
                <w:snapToGrid w:val="0"/>
                <w:color w:val="auto"/>
                <w:kern w:val="0"/>
                <w:sz w:val="24"/>
              </w:rPr>
              <w:t>稀释剂</w:t>
            </w:r>
            <w:r>
              <w:rPr>
                <w:bCs/>
                <w:snapToGrid w:val="0"/>
                <w:color w:val="auto"/>
                <w:kern w:val="0"/>
                <w:sz w:val="24"/>
              </w:rPr>
              <w:t>、</w:t>
            </w:r>
            <w:r>
              <w:rPr>
                <w:rFonts w:hint="eastAsia"/>
                <w:bCs/>
                <w:snapToGrid w:val="0"/>
                <w:color w:val="auto"/>
                <w:kern w:val="0"/>
                <w:sz w:val="24"/>
              </w:rPr>
              <w:t>机</w:t>
            </w:r>
            <w:r>
              <w:rPr>
                <w:bCs/>
                <w:snapToGrid w:val="0"/>
                <w:color w:val="auto"/>
                <w:kern w:val="0"/>
                <w:sz w:val="24"/>
              </w:rPr>
              <w:t>油等为液态，若发生泄漏，进入</w:t>
            </w:r>
            <w:r>
              <w:rPr>
                <w:rFonts w:hint="eastAsia"/>
                <w:bCs/>
                <w:snapToGrid w:val="0"/>
                <w:color w:val="auto"/>
                <w:kern w:val="0"/>
                <w:sz w:val="24"/>
              </w:rPr>
              <w:t>土壤</w:t>
            </w:r>
            <w:r>
              <w:rPr>
                <w:bCs/>
                <w:snapToGrid w:val="0"/>
                <w:color w:val="auto"/>
                <w:kern w:val="0"/>
                <w:sz w:val="24"/>
              </w:rPr>
              <w:t>，将对周围地</w:t>
            </w:r>
            <w:r>
              <w:rPr>
                <w:rFonts w:hint="eastAsia"/>
                <w:bCs/>
                <w:snapToGrid w:val="0"/>
                <w:color w:val="auto"/>
                <w:kern w:val="0"/>
                <w:sz w:val="24"/>
              </w:rPr>
              <w:t>下</w:t>
            </w:r>
            <w:r>
              <w:rPr>
                <w:bCs/>
                <w:snapToGrid w:val="0"/>
                <w:color w:val="auto"/>
                <w:kern w:val="0"/>
                <w:sz w:val="24"/>
              </w:rPr>
              <w:t>水</w:t>
            </w:r>
            <w:r>
              <w:rPr>
                <w:rFonts w:hint="eastAsia"/>
                <w:bCs/>
                <w:snapToGrid w:val="0"/>
                <w:color w:val="auto"/>
                <w:kern w:val="0"/>
                <w:sz w:val="24"/>
              </w:rPr>
              <w:t>、土壤</w:t>
            </w:r>
            <w:r>
              <w:rPr>
                <w:bCs/>
                <w:snapToGrid w:val="0"/>
                <w:color w:val="auto"/>
                <w:kern w:val="0"/>
                <w:sz w:val="24"/>
              </w:rPr>
              <w:t>产生较大影响。</w:t>
            </w:r>
          </w:p>
          <w:p w14:paraId="30D92890">
            <w:pPr>
              <w:adjustRightInd w:val="0"/>
              <w:snapToGrid w:val="0"/>
              <w:spacing w:line="360" w:lineRule="auto"/>
              <w:ind w:firstLine="480" w:firstLineChars="200"/>
              <w:textAlignment w:val="baseline"/>
              <w:rPr>
                <w:bCs/>
                <w:snapToGrid w:val="0"/>
                <w:color w:val="auto"/>
                <w:kern w:val="0"/>
                <w:sz w:val="24"/>
              </w:rPr>
            </w:pPr>
            <w:r>
              <w:rPr>
                <w:bCs/>
                <w:snapToGrid w:val="0"/>
                <w:color w:val="auto"/>
                <w:kern w:val="0"/>
                <w:sz w:val="24"/>
              </w:rPr>
              <w:t>危废暂存间管理风险：危废暂存间防渗层破损或破裂，且在收集和转运过程中若管理不当，容易导致危险废物渗漏和洒落至地面，并可能进入地表及地下水体，对水环境造成污染。</w:t>
            </w:r>
          </w:p>
          <w:p w14:paraId="15F5FC99">
            <w:pPr>
              <w:adjustRightInd w:val="0"/>
              <w:snapToGrid w:val="0"/>
              <w:spacing w:line="360" w:lineRule="auto"/>
              <w:ind w:firstLine="480" w:firstLineChars="200"/>
              <w:textAlignment w:val="baseline"/>
              <w:rPr>
                <w:bCs/>
                <w:snapToGrid w:val="0"/>
                <w:color w:val="auto"/>
                <w:kern w:val="0"/>
                <w:sz w:val="24"/>
              </w:rPr>
            </w:pPr>
            <w:r>
              <w:rPr>
                <w:bCs/>
                <w:snapToGrid w:val="0"/>
                <w:color w:val="auto"/>
                <w:kern w:val="0"/>
                <w:sz w:val="24"/>
              </w:rPr>
              <w:t>火灾次生事件：在储存和使用过程中，</w:t>
            </w:r>
            <w:r>
              <w:rPr>
                <w:rFonts w:hint="eastAsia"/>
                <w:bCs/>
                <w:snapToGrid w:val="0"/>
                <w:color w:val="auto"/>
                <w:kern w:val="0"/>
                <w:sz w:val="24"/>
              </w:rPr>
              <w:t>油漆及机油</w:t>
            </w:r>
            <w:r>
              <w:rPr>
                <w:bCs/>
                <w:snapToGrid w:val="0"/>
                <w:color w:val="auto"/>
                <w:kern w:val="0"/>
                <w:sz w:val="24"/>
              </w:rPr>
              <w:t>遇明火会引发火灾。在火灾过程中，物体燃烧后产生高温和烟雾可以使人体受到伤害，甚至危及人的生命；火灾会毁坏物资，造成经济损失：</w:t>
            </w:r>
            <w:r>
              <w:rPr>
                <w:rFonts w:hint="eastAsia"/>
                <w:bCs/>
                <w:snapToGrid w:val="0"/>
                <w:color w:val="auto"/>
                <w:kern w:val="0"/>
                <w:sz w:val="24"/>
              </w:rPr>
              <w:t>燃烧的材料会产生大量的有害气体，所产生的气体根据材料的不同而不同。这些烟气不仅对火场的人员有毒害作用，还会进入大气造成大气污染；火灾中的热量，以热传导、对流、辐射的形式向周围散发，对人体、动植物具有明显的物理伤害，会造成动物死亡以及植物脱水等状况。火灾还会对土壤以及周围的河流造成污染。火灾发生时，会产生含有致癌物质苯并芘的黑烟，这些烟尘落入土壤和河流中，会造成污染，最终进入食物链，危害到食物链中的所有动植物。同时，灭火使用的消防用水最后成了消防废水，废水里包含多种有害物质，不经过处理排放会对周边水体、土壤带来巨大危害</w:t>
            </w:r>
            <w:r>
              <w:rPr>
                <w:bCs/>
                <w:snapToGrid w:val="0"/>
                <w:color w:val="auto"/>
                <w:kern w:val="0"/>
                <w:sz w:val="24"/>
              </w:rPr>
              <w:t>。</w:t>
            </w:r>
          </w:p>
          <w:p w14:paraId="18E83CB8">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w:t>
            </w:r>
            <w:r>
              <w:rPr>
                <w:rFonts w:hint="eastAsia"/>
                <w:bCs/>
                <w:snapToGrid w:val="0"/>
                <w:color w:val="auto"/>
                <w:kern w:val="0"/>
                <w:sz w:val="24"/>
                <w:u w:val="single"/>
              </w:rPr>
              <w:t>3</w:t>
            </w:r>
            <w:r>
              <w:rPr>
                <w:bCs/>
                <w:snapToGrid w:val="0"/>
                <w:color w:val="auto"/>
                <w:kern w:val="0"/>
                <w:sz w:val="24"/>
                <w:u w:val="single"/>
              </w:rPr>
              <w:t>）风险防范措施</w:t>
            </w:r>
          </w:p>
          <w:p w14:paraId="206E2F18">
            <w:pPr>
              <w:adjustRightInd w:val="0"/>
              <w:snapToGrid w:val="0"/>
              <w:spacing w:line="360" w:lineRule="auto"/>
              <w:ind w:firstLine="480" w:firstLineChars="200"/>
              <w:textAlignment w:val="baseline"/>
              <w:rPr>
                <w:bCs/>
                <w:snapToGrid w:val="0"/>
                <w:color w:val="auto"/>
                <w:kern w:val="0"/>
                <w:sz w:val="24"/>
                <w:u w:val="single"/>
              </w:rPr>
            </w:pPr>
            <w:r>
              <w:rPr>
                <w:rFonts w:hint="eastAsia"/>
                <w:bCs/>
                <w:snapToGrid w:val="0"/>
                <w:color w:val="auto"/>
                <w:kern w:val="0"/>
                <w:sz w:val="24"/>
                <w:u w:val="single"/>
              </w:rPr>
              <w:t>1</w:t>
            </w:r>
            <w:r>
              <w:rPr>
                <w:bCs/>
                <w:snapToGrid w:val="0"/>
                <w:color w:val="auto"/>
                <w:kern w:val="0"/>
                <w:sz w:val="24"/>
                <w:u w:val="single"/>
              </w:rPr>
              <w:t>）泄漏防范措施</w:t>
            </w:r>
          </w:p>
          <w:p w14:paraId="3E1173CD">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a、企业采取厂内分区防渗措施，对</w:t>
            </w:r>
            <w:r>
              <w:rPr>
                <w:rFonts w:hint="eastAsia"/>
                <w:bCs/>
                <w:snapToGrid w:val="0"/>
                <w:color w:val="auto"/>
                <w:kern w:val="0"/>
                <w:sz w:val="24"/>
                <w:u w:val="single"/>
              </w:rPr>
              <w:t>原料仓库</w:t>
            </w:r>
            <w:r>
              <w:rPr>
                <w:bCs/>
                <w:snapToGrid w:val="0"/>
                <w:color w:val="auto"/>
                <w:kern w:val="0"/>
                <w:sz w:val="24"/>
                <w:u w:val="single"/>
              </w:rPr>
              <w:t>等定为重点防渗区，地面采用水泥砂浆抹面、找平，并且涂上环氧树脂防腐防渗；各池体采用防渗混凝土浇筑，并采用环氧树脂防腐防渗，渗透系数≤1×10</w:t>
            </w:r>
            <w:r>
              <w:rPr>
                <w:bCs/>
                <w:snapToGrid w:val="0"/>
                <w:color w:val="auto"/>
                <w:kern w:val="0"/>
                <w:sz w:val="24"/>
                <w:u w:val="single"/>
                <w:vertAlign w:val="superscript"/>
              </w:rPr>
              <w:t>-10</w:t>
            </w:r>
            <w:r>
              <w:rPr>
                <w:bCs/>
                <w:snapToGrid w:val="0"/>
                <w:color w:val="auto"/>
                <w:kern w:val="0"/>
                <w:sz w:val="24"/>
                <w:u w:val="single"/>
              </w:rPr>
              <w:t>cm/s。</w:t>
            </w:r>
          </w:p>
          <w:p w14:paraId="3E944F46">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b、企业定期检查防渗层是否存在破损情况，及时发现及时处理</w:t>
            </w:r>
            <w:r>
              <w:rPr>
                <w:rFonts w:hint="eastAsia"/>
                <w:bCs/>
                <w:snapToGrid w:val="0"/>
                <w:color w:val="auto"/>
                <w:kern w:val="0"/>
                <w:sz w:val="24"/>
                <w:u w:val="single"/>
              </w:rPr>
              <w:t>，</w:t>
            </w:r>
            <w:r>
              <w:rPr>
                <w:bCs/>
                <w:snapToGrid w:val="0"/>
                <w:color w:val="auto"/>
                <w:kern w:val="0"/>
                <w:sz w:val="24"/>
                <w:u w:val="single"/>
              </w:rPr>
              <w:t>若少量液体泄漏，用干砂、泥土吸附泄漏液体</w:t>
            </w:r>
            <w:r>
              <w:rPr>
                <w:rFonts w:hint="eastAsia"/>
                <w:bCs/>
                <w:snapToGrid w:val="0"/>
                <w:color w:val="auto"/>
                <w:kern w:val="0"/>
                <w:sz w:val="24"/>
                <w:u w:val="single"/>
              </w:rPr>
              <w:t>；</w:t>
            </w:r>
            <w:r>
              <w:rPr>
                <w:bCs/>
                <w:snapToGrid w:val="0"/>
                <w:color w:val="auto"/>
                <w:kern w:val="0"/>
                <w:sz w:val="24"/>
                <w:u w:val="single"/>
              </w:rPr>
              <w:t>若大量泄漏，收容并回收</w:t>
            </w:r>
            <w:r>
              <w:rPr>
                <w:rFonts w:hint="eastAsia"/>
                <w:bCs/>
                <w:snapToGrid w:val="0"/>
                <w:color w:val="auto"/>
                <w:kern w:val="0"/>
                <w:sz w:val="24"/>
                <w:u w:val="single"/>
              </w:rPr>
              <w:t>，</w:t>
            </w:r>
            <w:r>
              <w:rPr>
                <w:bCs/>
                <w:snapToGrid w:val="0"/>
                <w:color w:val="auto"/>
                <w:kern w:val="0"/>
                <w:sz w:val="24"/>
                <w:u w:val="single"/>
              </w:rPr>
              <w:t>严禁直接对地面进行冲洗。</w:t>
            </w:r>
          </w:p>
          <w:p w14:paraId="5AB1F510">
            <w:pPr>
              <w:adjustRightInd w:val="0"/>
              <w:snapToGrid w:val="0"/>
              <w:spacing w:line="360" w:lineRule="auto"/>
              <w:ind w:firstLine="480" w:firstLineChars="200"/>
              <w:textAlignment w:val="baseline"/>
              <w:rPr>
                <w:bCs/>
                <w:color w:val="auto"/>
                <w:kern w:val="0"/>
                <w:sz w:val="24"/>
                <w:szCs w:val="21"/>
                <w:u w:val="single"/>
              </w:rPr>
            </w:pPr>
            <w:r>
              <w:rPr>
                <w:rFonts w:hint="eastAsia"/>
                <w:bCs/>
                <w:snapToGrid w:val="0"/>
                <w:color w:val="auto"/>
                <w:kern w:val="0"/>
                <w:sz w:val="24"/>
                <w:u w:val="single"/>
              </w:rPr>
              <w:t>2）</w:t>
            </w:r>
            <w:r>
              <w:rPr>
                <w:bCs/>
                <w:snapToGrid w:val="0"/>
                <w:color w:val="auto"/>
                <w:kern w:val="0"/>
                <w:sz w:val="24"/>
                <w:u w:val="single"/>
              </w:rPr>
              <w:t>危废暂存间</w:t>
            </w:r>
            <w:r>
              <w:rPr>
                <w:rFonts w:hint="eastAsia"/>
                <w:bCs/>
                <w:snapToGrid w:val="0"/>
                <w:color w:val="auto"/>
                <w:kern w:val="0"/>
                <w:sz w:val="24"/>
                <w:u w:val="single"/>
              </w:rPr>
              <w:t>防范措施</w:t>
            </w:r>
          </w:p>
          <w:p w14:paraId="78134F56">
            <w:pPr>
              <w:widowControl/>
              <w:spacing w:line="360" w:lineRule="auto"/>
              <w:ind w:firstLine="480" w:firstLineChars="200"/>
              <w:jc w:val="left"/>
              <w:rPr>
                <w:bCs/>
                <w:color w:val="auto"/>
                <w:kern w:val="0"/>
                <w:sz w:val="24"/>
                <w:szCs w:val="21"/>
                <w:u w:val="single"/>
              </w:rPr>
            </w:pPr>
            <w:r>
              <w:rPr>
                <w:bCs/>
                <w:color w:val="auto"/>
                <w:kern w:val="0"/>
                <w:sz w:val="24"/>
                <w:szCs w:val="21"/>
                <w:u w:val="single"/>
                <w:lang w:val="zh-CN"/>
              </w:rPr>
              <w:t>对生产过程中产生的危险废物采用专桶收集。对收集桶堆放地面加工区和危废暂存间作防渗防漏处理，设置防跑冒滴漏托盘，并在周边设置围堰，确保事故状态下不进入外环境。对事故状态下围堰收集的泄漏风险物质，应交有处理资质的单位处置，严禁随意排放。</w:t>
            </w:r>
            <w:r>
              <w:rPr>
                <w:bCs/>
                <w:color w:val="auto"/>
                <w:kern w:val="0"/>
                <w:sz w:val="24"/>
                <w:szCs w:val="21"/>
                <w:u w:val="single"/>
              </w:rPr>
              <w:t>危废暂存间</w:t>
            </w:r>
            <w:r>
              <w:rPr>
                <w:rFonts w:hint="eastAsia"/>
                <w:bCs/>
                <w:color w:val="auto"/>
                <w:kern w:val="0"/>
                <w:sz w:val="24"/>
                <w:szCs w:val="21"/>
                <w:u w:val="single"/>
              </w:rPr>
              <w:t>需按照《危险废物贮存污染控制标准》（GB18597-2023）中的相关要求建设，</w:t>
            </w:r>
            <w:r>
              <w:rPr>
                <w:bCs/>
                <w:color w:val="auto"/>
                <w:kern w:val="0"/>
                <w:sz w:val="24"/>
                <w:szCs w:val="21"/>
                <w:u w:val="single"/>
              </w:rPr>
              <w:t>必须派专人进行管理，并严格执行危废暂存间的管理制度，降低管理产生的风险。</w:t>
            </w:r>
          </w:p>
          <w:p w14:paraId="17D77EFF">
            <w:pPr>
              <w:adjustRightInd w:val="0"/>
              <w:snapToGrid w:val="0"/>
              <w:spacing w:line="360" w:lineRule="auto"/>
              <w:ind w:firstLine="480" w:firstLineChars="200"/>
              <w:textAlignment w:val="baseline"/>
              <w:rPr>
                <w:bCs/>
                <w:snapToGrid w:val="0"/>
                <w:color w:val="auto"/>
                <w:kern w:val="0"/>
                <w:sz w:val="24"/>
                <w:u w:val="single"/>
              </w:rPr>
            </w:pPr>
            <w:r>
              <w:rPr>
                <w:rFonts w:hint="eastAsia"/>
                <w:bCs/>
                <w:snapToGrid w:val="0"/>
                <w:color w:val="auto"/>
                <w:kern w:val="0"/>
                <w:sz w:val="24"/>
                <w:u w:val="single"/>
              </w:rPr>
              <w:t>3</w:t>
            </w:r>
            <w:r>
              <w:rPr>
                <w:bCs/>
                <w:snapToGrid w:val="0"/>
                <w:color w:val="auto"/>
                <w:kern w:val="0"/>
                <w:sz w:val="24"/>
                <w:u w:val="single"/>
              </w:rPr>
              <w:t>）火灾风险防范措施</w:t>
            </w:r>
          </w:p>
          <w:p w14:paraId="412FADB7">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a、火患往往起于细微之处，要格外注意用电的安全，合理布置电源电线的使用。不要同时使用大功率电器，也不要把所有电器设备的插头都插在一个接线板上，避免线路老化，短路发生火灾。</w:t>
            </w:r>
          </w:p>
          <w:p w14:paraId="5D281E58">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 xml:space="preserve">b、易燃物品贮存区禁正明灭进入，严禁吸烟，禁止使用易产生火花的设备与工具。 </w:t>
            </w:r>
          </w:p>
          <w:p w14:paraId="67210024">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 xml:space="preserve">c、生产厂房、易燃物品贮存区须确保全面通风、配备相应品种和数量的消防器材，预留必要的安全间距，远离火种和热源，防止阳光直射。车间工作人员及相关责任人均应熟悉其放置地点、用法，而且要经常检查，消防通道保持畅通。 </w:t>
            </w:r>
          </w:p>
          <w:p w14:paraId="780F4DAD">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d、应加强消防设施及消防教育建设，对重要场所需要重点防范，制定严格的操作规范，避免火灾等事故发生。</w:t>
            </w:r>
          </w:p>
          <w:p w14:paraId="7E23D590">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e、确保安全出口和疏散通道畅通无阻。</w:t>
            </w:r>
          </w:p>
          <w:p w14:paraId="3FC4EEEC">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f、加强电气防火安全管理，及时消除火灾隐患，不得超负荷用电，不得擅自拉接临时电线。</w:t>
            </w:r>
          </w:p>
          <w:p w14:paraId="010EA616">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g、对于电器的使用，应当养成随手断电、随手关灯的好习惯。</w:t>
            </w:r>
          </w:p>
          <w:p w14:paraId="2A063F02">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h、定期对操作人员进行安全生产与安全知识培训，并制定严格的安全操作规程，切实加强生产过程中的温度控制，保证劳动安全，防止意外事故的发生。应加强消防设施及消防教育建设，对原料仓库、危废间、废气处理、废水处理设施等重要场所需要重点防范，制定严格的操作规范，避免火灾等事故发生。</w:t>
            </w:r>
          </w:p>
          <w:p w14:paraId="4CABFF3A">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I、火灾发生时，先把总电源关掉，按响警铃以警示车间内其他人员，同时联络消防队，利用灭火器尽量灭火，如果无效，应该马上离开现场到安全地点集合，在离开时要确保所有人都已经离开车间，再把门窗关上。</w:t>
            </w:r>
          </w:p>
          <w:p w14:paraId="7D6B2EB1">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j、为了减轻万一发生火灾事故造成的损失，工厂还应该制定火灾应急预案，并报上级主管部门批准，并定期演练。</w:t>
            </w:r>
          </w:p>
          <w:p w14:paraId="13EB43ED">
            <w:pPr>
              <w:adjustRightInd w:val="0"/>
              <w:snapToGrid w:val="0"/>
              <w:spacing w:line="360" w:lineRule="auto"/>
              <w:ind w:firstLine="480" w:firstLineChars="200"/>
              <w:textAlignment w:val="baseline"/>
              <w:rPr>
                <w:bCs/>
                <w:snapToGrid w:val="0"/>
                <w:color w:val="auto"/>
                <w:kern w:val="0"/>
                <w:sz w:val="24"/>
                <w:u w:val="single"/>
              </w:rPr>
            </w:pPr>
            <w:r>
              <w:rPr>
                <w:rFonts w:hint="eastAsia"/>
                <w:bCs/>
                <w:snapToGrid w:val="0"/>
                <w:color w:val="auto"/>
                <w:kern w:val="0"/>
                <w:sz w:val="24"/>
                <w:u w:val="single"/>
              </w:rPr>
              <w:t>4</w:t>
            </w:r>
            <w:r>
              <w:rPr>
                <w:bCs/>
                <w:snapToGrid w:val="0"/>
                <w:color w:val="auto"/>
                <w:kern w:val="0"/>
                <w:sz w:val="24"/>
                <w:u w:val="single"/>
              </w:rPr>
              <w:t>）废气非正常排放风险防范措施</w:t>
            </w:r>
          </w:p>
          <w:p w14:paraId="439985E2">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a、制定科学安全的废气处理设施操作规程，包括定期检查工作、规范操作、日常巡查等。</w:t>
            </w:r>
          </w:p>
          <w:p w14:paraId="73B1FE13">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b、若发生泄露及超标排放，需停止相关产污工序，立即排查原因并进行维修；</w:t>
            </w:r>
          </w:p>
          <w:p w14:paraId="0E6D09FA">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c、废气治理工程施工时，应做好基础加固、防风、防雨等工作，避免因施工质量导致废气事故排放的情况发生。</w:t>
            </w:r>
          </w:p>
          <w:p w14:paraId="08248507">
            <w:pPr>
              <w:adjustRightInd w:val="0"/>
              <w:snapToGrid w:val="0"/>
              <w:spacing w:line="360" w:lineRule="auto"/>
              <w:ind w:firstLine="480" w:firstLineChars="200"/>
              <w:textAlignment w:val="baseline"/>
              <w:rPr>
                <w:bCs/>
                <w:snapToGrid w:val="0"/>
                <w:color w:val="auto"/>
                <w:kern w:val="0"/>
                <w:sz w:val="24"/>
                <w:u w:val="single"/>
              </w:rPr>
            </w:pPr>
            <w:r>
              <w:rPr>
                <w:bCs/>
                <w:snapToGrid w:val="0"/>
                <w:color w:val="auto"/>
                <w:kern w:val="0"/>
                <w:sz w:val="24"/>
                <w:u w:val="single"/>
              </w:rPr>
              <w:t>d、定期对废气治理设备及时检修。</w:t>
            </w:r>
          </w:p>
          <w:p w14:paraId="7C1022C6">
            <w:pPr>
              <w:widowControl/>
              <w:spacing w:line="360" w:lineRule="auto"/>
              <w:ind w:firstLine="480" w:firstLineChars="200"/>
              <w:rPr>
                <w:color w:val="auto"/>
                <w:kern w:val="0"/>
                <w:sz w:val="24"/>
                <w:u w:val="single"/>
              </w:rPr>
            </w:pPr>
            <w:r>
              <w:rPr>
                <w:color w:val="auto"/>
                <w:kern w:val="0"/>
                <w:sz w:val="24"/>
                <w:u w:val="single"/>
              </w:rPr>
              <w:t>为预防、减少风险事故的发生，降低风险事故对环境影响，企业应采取如下风险防范措施：</w:t>
            </w:r>
          </w:p>
          <w:p w14:paraId="1212FFD7">
            <w:pPr>
              <w:widowControl/>
              <w:spacing w:line="360" w:lineRule="auto"/>
              <w:ind w:firstLine="480" w:firstLineChars="200"/>
              <w:rPr>
                <w:color w:val="auto"/>
                <w:kern w:val="0"/>
                <w:sz w:val="24"/>
                <w:u w:val="single"/>
              </w:rPr>
            </w:pPr>
            <w:r>
              <w:rPr>
                <w:rFonts w:hint="eastAsia"/>
                <w:color w:val="auto"/>
                <w:kern w:val="0"/>
                <w:sz w:val="24"/>
                <w:u w:val="single"/>
              </w:rPr>
              <w:t>①设立报警、通讯系统以及事故处置领导体系；</w:t>
            </w:r>
          </w:p>
          <w:p w14:paraId="7DEDA2F5">
            <w:pPr>
              <w:widowControl/>
              <w:spacing w:line="360" w:lineRule="auto"/>
              <w:ind w:firstLine="480" w:firstLineChars="200"/>
              <w:rPr>
                <w:color w:val="auto"/>
                <w:kern w:val="0"/>
                <w:sz w:val="24"/>
                <w:u w:val="single"/>
              </w:rPr>
            </w:pPr>
            <w:r>
              <w:rPr>
                <w:rFonts w:hint="eastAsia"/>
                <w:color w:val="auto"/>
                <w:kern w:val="0"/>
                <w:sz w:val="24"/>
                <w:u w:val="single"/>
              </w:rPr>
              <w:t>②制定有效处理事故的应急行动方案，并得到有关部门的认可，能与有关部门有效配合；</w:t>
            </w:r>
          </w:p>
          <w:p w14:paraId="209198A0">
            <w:pPr>
              <w:widowControl/>
              <w:spacing w:line="360" w:lineRule="auto"/>
              <w:ind w:firstLine="480" w:firstLineChars="200"/>
              <w:rPr>
                <w:color w:val="auto"/>
                <w:kern w:val="0"/>
                <w:sz w:val="24"/>
                <w:u w:val="single"/>
              </w:rPr>
            </w:pPr>
            <w:r>
              <w:rPr>
                <w:rFonts w:hint="eastAsia"/>
                <w:color w:val="auto"/>
                <w:kern w:val="0"/>
                <w:sz w:val="24"/>
                <w:u w:val="single"/>
              </w:rPr>
              <w:t>③制定控制和减少事故影响范围以及补救行动的实施计划；</w:t>
            </w:r>
          </w:p>
          <w:p w14:paraId="0C990347">
            <w:pPr>
              <w:widowControl/>
              <w:spacing w:line="360" w:lineRule="auto"/>
              <w:ind w:firstLine="480" w:firstLineChars="200"/>
              <w:rPr>
                <w:color w:val="auto"/>
                <w:kern w:val="0"/>
                <w:sz w:val="24"/>
                <w:u w:val="single"/>
              </w:rPr>
            </w:pPr>
            <w:r>
              <w:rPr>
                <w:rFonts w:hint="eastAsia"/>
                <w:color w:val="auto"/>
                <w:kern w:val="0"/>
                <w:sz w:val="24"/>
                <w:u w:val="single"/>
              </w:rPr>
              <w:t>④明确职责，并落实到单位和有关人员；对事故现场管理以及事故处置全过程的监督，应由负有事故处置经验的人员或有关部门工作人员承担；</w:t>
            </w:r>
          </w:p>
          <w:p w14:paraId="651F6367">
            <w:pPr>
              <w:spacing w:line="360" w:lineRule="auto"/>
              <w:ind w:firstLine="480" w:firstLineChars="200"/>
              <w:rPr>
                <w:color w:val="auto"/>
                <w:sz w:val="24"/>
                <w:u w:val="single"/>
              </w:rPr>
            </w:pPr>
            <w:r>
              <w:rPr>
                <w:rFonts w:hint="eastAsia"/>
                <w:color w:val="auto"/>
                <w:sz w:val="24"/>
                <w:u w:val="single"/>
              </w:rPr>
              <w:t>⑤对用电设备及线路定期进行检修、维护等措施，可有效降低其发生的概率。</w:t>
            </w:r>
          </w:p>
          <w:p w14:paraId="0035517F">
            <w:pPr>
              <w:spacing w:line="360" w:lineRule="auto"/>
              <w:jc w:val="left"/>
              <w:rPr>
                <w:b/>
                <w:bCs/>
                <w:color w:val="auto"/>
                <w:szCs w:val="21"/>
                <w:u w:val="single"/>
              </w:rPr>
            </w:pPr>
            <w:r>
              <w:rPr>
                <w:color w:val="auto"/>
                <w:sz w:val="24"/>
                <w:u w:val="single"/>
              </w:rPr>
              <w:t>综上所述，</w:t>
            </w:r>
            <w:r>
              <w:rPr>
                <w:rFonts w:hint="eastAsia"/>
                <w:color w:val="auto"/>
                <w:sz w:val="24"/>
                <w:u w:val="single"/>
              </w:rPr>
              <w:t>建设单位</w:t>
            </w:r>
            <w:r>
              <w:rPr>
                <w:color w:val="auto"/>
                <w:sz w:val="24"/>
                <w:u w:val="single"/>
              </w:rPr>
              <w:t>在采取一定的防范措施后，其</w:t>
            </w:r>
            <w:r>
              <w:rPr>
                <w:rFonts w:hint="eastAsia"/>
                <w:color w:val="auto"/>
                <w:sz w:val="24"/>
                <w:u w:val="single"/>
              </w:rPr>
              <w:t>营运期</w:t>
            </w:r>
            <w:r>
              <w:rPr>
                <w:color w:val="auto"/>
                <w:sz w:val="24"/>
                <w:u w:val="single"/>
              </w:rPr>
              <w:t>对</w:t>
            </w:r>
            <w:r>
              <w:rPr>
                <w:rFonts w:hint="eastAsia"/>
                <w:color w:val="auto"/>
                <w:sz w:val="24"/>
                <w:u w:val="single"/>
              </w:rPr>
              <w:t>外环境</w:t>
            </w:r>
            <w:r>
              <w:rPr>
                <w:color w:val="auto"/>
                <w:sz w:val="24"/>
                <w:u w:val="single"/>
              </w:rPr>
              <w:t>的风险影响不大，可满足环境风险的要求</w:t>
            </w:r>
            <w:r>
              <w:rPr>
                <w:rFonts w:hint="eastAsia"/>
                <w:color w:val="auto"/>
                <w:sz w:val="24"/>
                <w:u w:val="single"/>
              </w:rPr>
              <w:t>。</w:t>
            </w:r>
          </w:p>
          <w:p w14:paraId="188417E8">
            <w:pPr>
              <w:jc w:val="center"/>
              <w:rPr>
                <w:color w:val="auto"/>
                <w:szCs w:val="21"/>
              </w:rPr>
            </w:pPr>
            <w:r>
              <w:rPr>
                <w:b/>
                <w:bCs/>
                <w:color w:val="auto"/>
                <w:szCs w:val="21"/>
              </w:rPr>
              <w:t>表</w:t>
            </w:r>
            <w:r>
              <w:rPr>
                <w:rFonts w:hint="eastAsia"/>
                <w:b/>
                <w:bCs/>
                <w:color w:val="auto"/>
                <w:szCs w:val="21"/>
              </w:rPr>
              <w:t>4-23</w:t>
            </w:r>
            <w:r>
              <w:rPr>
                <w:b/>
                <w:bCs/>
                <w:color w:val="auto"/>
                <w:szCs w:val="21"/>
              </w:rPr>
              <w:t xml:space="preserve">  建设项目环境风险简单分析内容表</w:t>
            </w:r>
          </w:p>
          <w:tbl>
            <w:tblPr>
              <w:tblStyle w:val="30"/>
              <w:tblW w:w="4995" w:type="pct"/>
              <w:tblInd w:w="0"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0" w:type="dxa"/>
                <w:bottom w:w="0" w:type="dxa"/>
                <w:right w:w="0" w:type="dxa"/>
              </w:tblCellMar>
            </w:tblPr>
            <w:tblGrid>
              <w:gridCol w:w="1899"/>
              <w:gridCol w:w="1143"/>
              <w:gridCol w:w="1570"/>
              <w:gridCol w:w="898"/>
              <w:gridCol w:w="1464"/>
              <w:gridCol w:w="1816"/>
            </w:tblGrid>
            <w:tr w14:paraId="089100A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080" w:type="pct"/>
                  <w:tcBorders>
                    <w:bottom w:val="single" w:color="000000" w:sz="4" w:space="0"/>
                  </w:tcBorders>
                  <w:vAlign w:val="center"/>
                </w:tcPr>
                <w:p w14:paraId="1E95DD8D">
                  <w:pPr>
                    <w:adjustRightInd w:val="0"/>
                    <w:snapToGrid w:val="0"/>
                    <w:jc w:val="center"/>
                    <w:rPr>
                      <w:snapToGrid w:val="0"/>
                      <w:color w:val="auto"/>
                      <w:szCs w:val="21"/>
                    </w:rPr>
                  </w:pPr>
                  <w:r>
                    <w:rPr>
                      <w:snapToGrid w:val="0"/>
                      <w:color w:val="auto"/>
                      <w:szCs w:val="21"/>
                    </w:rPr>
                    <w:t>建设项目名称</w:t>
                  </w:r>
                </w:p>
              </w:tc>
              <w:tc>
                <w:tcPr>
                  <w:tcW w:w="3919" w:type="pct"/>
                  <w:gridSpan w:val="5"/>
                  <w:tcBorders>
                    <w:bottom w:val="single" w:color="000000" w:sz="4" w:space="0"/>
                  </w:tcBorders>
                  <w:vAlign w:val="center"/>
                </w:tcPr>
                <w:p w14:paraId="766129E4">
                  <w:pPr>
                    <w:adjustRightInd w:val="0"/>
                    <w:snapToGrid w:val="0"/>
                    <w:jc w:val="center"/>
                    <w:rPr>
                      <w:snapToGrid w:val="0"/>
                      <w:color w:val="auto"/>
                      <w:szCs w:val="21"/>
                    </w:rPr>
                  </w:pPr>
                  <w:r>
                    <w:rPr>
                      <w:rFonts w:hint="eastAsia"/>
                      <w:snapToGrid w:val="0"/>
                      <w:color w:val="auto"/>
                      <w:szCs w:val="21"/>
                    </w:rPr>
                    <w:t>年产4000台水泵、电机生产项目</w:t>
                  </w:r>
                </w:p>
              </w:tc>
            </w:tr>
            <w:tr w14:paraId="7BB14D5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080" w:type="pct"/>
                  <w:tcBorders>
                    <w:top w:val="single" w:color="000000" w:sz="4" w:space="0"/>
                    <w:bottom w:val="single" w:color="000000" w:sz="4" w:space="0"/>
                  </w:tcBorders>
                  <w:vAlign w:val="center"/>
                </w:tcPr>
                <w:p w14:paraId="3DD38F3D">
                  <w:pPr>
                    <w:adjustRightInd w:val="0"/>
                    <w:snapToGrid w:val="0"/>
                    <w:jc w:val="center"/>
                    <w:rPr>
                      <w:snapToGrid w:val="0"/>
                      <w:color w:val="auto"/>
                      <w:szCs w:val="21"/>
                    </w:rPr>
                  </w:pPr>
                  <w:r>
                    <w:rPr>
                      <w:snapToGrid w:val="0"/>
                      <w:color w:val="auto"/>
                      <w:szCs w:val="21"/>
                    </w:rPr>
                    <w:t>建设地点</w:t>
                  </w:r>
                </w:p>
              </w:tc>
              <w:tc>
                <w:tcPr>
                  <w:tcW w:w="650" w:type="pct"/>
                  <w:tcBorders>
                    <w:top w:val="single" w:color="000000" w:sz="4" w:space="0"/>
                    <w:bottom w:val="single" w:color="000000" w:sz="4" w:space="0"/>
                  </w:tcBorders>
                  <w:vAlign w:val="center"/>
                </w:tcPr>
                <w:p w14:paraId="782AFF4F">
                  <w:pPr>
                    <w:adjustRightInd w:val="0"/>
                    <w:snapToGrid w:val="0"/>
                    <w:jc w:val="center"/>
                    <w:rPr>
                      <w:snapToGrid w:val="0"/>
                      <w:color w:val="auto"/>
                      <w:szCs w:val="21"/>
                    </w:rPr>
                  </w:pPr>
                  <w:r>
                    <w:rPr>
                      <w:snapToGrid w:val="0"/>
                      <w:color w:val="auto"/>
                      <w:szCs w:val="21"/>
                    </w:rPr>
                    <w:t>（湖南）省</w:t>
                  </w:r>
                </w:p>
              </w:tc>
              <w:tc>
                <w:tcPr>
                  <w:tcW w:w="893" w:type="pct"/>
                  <w:tcBorders>
                    <w:top w:val="single" w:color="000000" w:sz="4" w:space="0"/>
                    <w:bottom w:val="single" w:color="000000" w:sz="4" w:space="0"/>
                  </w:tcBorders>
                  <w:vAlign w:val="center"/>
                </w:tcPr>
                <w:p w14:paraId="249165F9">
                  <w:pPr>
                    <w:adjustRightInd w:val="0"/>
                    <w:snapToGrid w:val="0"/>
                    <w:jc w:val="center"/>
                    <w:rPr>
                      <w:snapToGrid w:val="0"/>
                      <w:color w:val="auto"/>
                      <w:szCs w:val="21"/>
                    </w:rPr>
                  </w:pPr>
                  <w:r>
                    <w:rPr>
                      <w:snapToGrid w:val="0"/>
                      <w:color w:val="auto"/>
                      <w:szCs w:val="21"/>
                    </w:rPr>
                    <w:t>（</w:t>
                  </w:r>
                  <w:r>
                    <w:rPr>
                      <w:rFonts w:hint="eastAsia"/>
                      <w:snapToGrid w:val="0"/>
                      <w:color w:val="auto"/>
                      <w:szCs w:val="21"/>
                    </w:rPr>
                    <w:t>湘潭</w:t>
                  </w:r>
                  <w:r>
                    <w:rPr>
                      <w:snapToGrid w:val="0"/>
                      <w:color w:val="auto"/>
                      <w:szCs w:val="21"/>
                    </w:rPr>
                    <w:t>）市</w:t>
                  </w:r>
                </w:p>
              </w:tc>
              <w:tc>
                <w:tcPr>
                  <w:tcW w:w="511" w:type="pct"/>
                  <w:tcBorders>
                    <w:top w:val="single" w:color="000000" w:sz="4" w:space="0"/>
                    <w:bottom w:val="single" w:color="000000" w:sz="4" w:space="0"/>
                  </w:tcBorders>
                  <w:vAlign w:val="center"/>
                </w:tcPr>
                <w:p w14:paraId="7901C710">
                  <w:pPr>
                    <w:adjustRightInd w:val="0"/>
                    <w:snapToGrid w:val="0"/>
                    <w:jc w:val="center"/>
                    <w:rPr>
                      <w:snapToGrid w:val="0"/>
                      <w:color w:val="auto"/>
                      <w:szCs w:val="21"/>
                    </w:rPr>
                  </w:pPr>
                  <w:r>
                    <w:rPr>
                      <w:snapToGrid w:val="0"/>
                      <w:color w:val="auto"/>
                      <w:szCs w:val="21"/>
                    </w:rPr>
                    <w:t>（</w:t>
                  </w:r>
                  <w:r>
                    <w:rPr>
                      <w:rFonts w:hint="eastAsia"/>
                      <w:snapToGrid w:val="0"/>
                      <w:color w:val="auto"/>
                      <w:szCs w:val="21"/>
                    </w:rPr>
                    <w:t>/</w:t>
                  </w:r>
                  <w:r>
                    <w:rPr>
                      <w:snapToGrid w:val="0"/>
                      <w:color w:val="auto"/>
                      <w:szCs w:val="21"/>
                    </w:rPr>
                    <w:t>）市</w:t>
                  </w:r>
                </w:p>
              </w:tc>
              <w:tc>
                <w:tcPr>
                  <w:tcW w:w="833" w:type="pct"/>
                  <w:tcBorders>
                    <w:top w:val="single" w:color="000000" w:sz="4" w:space="0"/>
                    <w:bottom w:val="single" w:color="000000" w:sz="4" w:space="0"/>
                  </w:tcBorders>
                  <w:vAlign w:val="center"/>
                </w:tcPr>
                <w:p w14:paraId="543EA733">
                  <w:pPr>
                    <w:adjustRightInd w:val="0"/>
                    <w:snapToGrid w:val="0"/>
                    <w:jc w:val="center"/>
                    <w:rPr>
                      <w:snapToGrid w:val="0"/>
                      <w:color w:val="auto"/>
                      <w:szCs w:val="21"/>
                    </w:rPr>
                  </w:pPr>
                  <w:r>
                    <w:rPr>
                      <w:snapToGrid w:val="0"/>
                      <w:color w:val="auto"/>
                      <w:szCs w:val="21"/>
                    </w:rPr>
                    <w:t>（</w:t>
                  </w:r>
                  <w:r>
                    <w:rPr>
                      <w:rFonts w:hint="eastAsia"/>
                      <w:snapToGrid w:val="0"/>
                      <w:color w:val="auto"/>
                      <w:szCs w:val="21"/>
                    </w:rPr>
                    <w:t>湘潭</w:t>
                  </w:r>
                  <w:r>
                    <w:rPr>
                      <w:snapToGrid w:val="0"/>
                      <w:color w:val="auto"/>
                      <w:szCs w:val="21"/>
                    </w:rPr>
                    <w:t>）县</w:t>
                  </w:r>
                </w:p>
              </w:tc>
              <w:tc>
                <w:tcPr>
                  <w:tcW w:w="1032" w:type="pct"/>
                  <w:tcBorders>
                    <w:top w:val="single" w:color="000000" w:sz="4" w:space="0"/>
                    <w:bottom w:val="single" w:color="000000" w:sz="4" w:space="0"/>
                  </w:tcBorders>
                  <w:vAlign w:val="center"/>
                </w:tcPr>
                <w:p w14:paraId="02A12912">
                  <w:pPr>
                    <w:adjustRightInd w:val="0"/>
                    <w:snapToGrid w:val="0"/>
                    <w:jc w:val="center"/>
                    <w:rPr>
                      <w:snapToGrid w:val="0"/>
                      <w:color w:val="auto"/>
                      <w:szCs w:val="21"/>
                    </w:rPr>
                  </w:pPr>
                  <w:r>
                    <w:rPr>
                      <w:rFonts w:hint="eastAsia"/>
                      <w:snapToGrid w:val="0"/>
                      <w:color w:val="auto"/>
                      <w:szCs w:val="21"/>
                    </w:rPr>
                    <w:t>湘潭天易经开区海鸥东路370号</w:t>
                  </w:r>
                </w:p>
              </w:tc>
            </w:tr>
            <w:tr w14:paraId="4529BDA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080" w:type="pct"/>
                  <w:tcBorders>
                    <w:top w:val="single" w:color="000000" w:sz="4" w:space="0"/>
                    <w:bottom w:val="single" w:color="000000" w:sz="4" w:space="0"/>
                  </w:tcBorders>
                  <w:vAlign w:val="center"/>
                </w:tcPr>
                <w:p w14:paraId="5BF0C61E">
                  <w:pPr>
                    <w:adjustRightInd w:val="0"/>
                    <w:snapToGrid w:val="0"/>
                    <w:jc w:val="center"/>
                    <w:rPr>
                      <w:snapToGrid w:val="0"/>
                      <w:color w:val="auto"/>
                      <w:szCs w:val="21"/>
                    </w:rPr>
                  </w:pPr>
                  <w:r>
                    <w:rPr>
                      <w:snapToGrid w:val="0"/>
                      <w:color w:val="auto"/>
                      <w:szCs w:val="21"/>
                    </w:rPr>
                    <w:t>地理坐标</w:t>
                  </w:r>
                </w:p>
              </w:tc>
              <w:tc>
                <w:tcPr>
                  <w:tcW w:w="650" w:type="pct"/>
                  <w:tcBorders>
                    <w:top w:val="single" w:color="000000" w:sz="4" w:space="0"/>
                    <w:bottom w:val="single" w:color="000000" w:sz="4" w:space="0"/>
                  </w:tcBorders>
                  <w:vAlign w:val="center"/>
                </w:tcPr>
                <w:p w14:paraId="3EED50A1">
                  <w:pPr>
                    <w:adjustRightInd w:val="0"/>
                    <w:snapToGrid w:val="0"/>
                    <w:jc w:val="center"/>
                    <w:rPr>
                      <w:snapToGrid w:val="0"/>
                      <w:color w:val="auto"/>
                      <w:szCs w:val="21"/>
                    </w:rPr>
                  </w:pPr>
                  <w:r>
                    <w:rPr>
                      <w:snapToGrid w:val="0"/>
                      <w:color w:val="auto"/>
                      <w:szCs w:val="21"/>
                    </w:rPr>
                    <w:t>经度</w:t>
                  </w:r>
                </w:p>
              </w:tc>
              <w:tc>
                <w:tcPr>
                  <w:tcW w:w="893" w:type="pct"/>
                  <w:tcBorders>
                    <w:top w:val="single" w:color="000000" w:sz="4" w:space="0"/>
                    <w:bottom w:val="single" w:color="000000" w:sz="4" w:space="0"/>
                  </w:tcBorders>
                  <w:vAlign w:val="center"/>
                </w:tcPr>
                <w:p w14:paraId="313B0143">
                  <w:pPr>
                    <w:adjustRightInd w:val="0"/>
                    <w:snapToGrid w:val="0"/>
                    <w:jc w:val="center"/>
                    <w:rPr>
                      <w:snapToGrid w:val="0"/>
                      <w:color w:val="auto"/>
                      <w:szCs w:val="21"/>
                    </w:rPr>
                  </w:pPr>
                  <w:r>
                    <w:rPr>
                      <w:rFonts w:hint="eastAsia"/>
                      <w:color w:val="auto"/>
                    </w:rPr>
                    <w:t>112.962192</w:t>
                  </w:r>
                </w:p>
              </w:tc>
              <w:tc>
                <w:tcPr>
                  <w:tcW w:w="511" w:type="pct"/>
                  <w:tcBorders>
                    <w:top w:val="single" w:color="000000" w:sz="4" w:space="0"/>
                    <w:bottom w:val="single" w:color="000000" w:sz="4" w:space="0"/>
                  </w:tcBorders>
                  <w:vAlign w:val="center"/>
                </w:tcPr>
                <w:p w14:paraId="3FAC39D6">
                  <w:pPr>
                    <w:adjustRightInd w:val="0"/>
                    <w:snapToGrid w:val="0"/>
                    <w:jc w:val="center"/>
                    <w:rPr>
                      <w:snapToGrid w:val="0"/>
                      <w:color w:val="auto"/>
                      <w:szCs w:val="21"/>
                    </w:rPr>
                  </w:pPr>
                  <w:r>
                    <w:rPr>
                      <w:snapToGrid w:val="0"/>
                      <w:color w:val="auto"/>
                      <w:szCs w:val="21"/>
                    </w:rPr>
                    <w:t>纬度</w:t>
                  </w:r>
                </w:p>
              </w:tc>
              <w:tc>
                <w:tcPr>
                  <w:tcW w:w="833" w:type="pct"/>
                  <w:tcBorders>
                    <w:top w:val="single" w:color="000000" w:sz="4" w:space="0"/>
                    <w:bottom w:val="single" w:color="000000" w:sz="4" w:space="0"/>
                  </w:tcBorders>
                  <w:vAlign w:val="center"/>
                </w:tcPr>
                <w:p w14:paraId="4D33A00E">
                  <w:pPr>
                    <w:adjustRightInd w:val="0"/>
                    <w:snapToGrid w:val="0"/>
                    <w:jc w:val="center"/>
                    <w:rPr>
                      <w:snapToGrid w:val="0"/>
                      <w:color w:val="auto"/>
                      <w:szCs w:val="21"/>
                    </w:rPr>
                  </w:pPr>
                  <w:r>
                    <w:rPr>
                      <w:rFonts w:hint="eastAsia"/>
                      <w:color w:val="auto"/>
                    </w:rPr>
                    <w:t>27.763787</w:t>
                  </w:r>
                </w:p>
              </w:tc>
              <w:tc>
                <w:tcPr>
                  <w:tcW w:w="1032" w:type="pct"/>
                  <w:tcBorders>
                    <w:top w:val="single" w:color="000000" w:sz="4" w:space="0"/>
                    <w:bottom w:val="single" w:color="000000" w:sz="4" w:space="0"/>
                  </w:tcBorders>
                  <w:vAlign w:val="center"/>
                </w:tcPr>
                <w:p w14:paraId="509026B5">
                  <w:pPr>
                    <w:adjustRightInd w:val="0"/>
                    <w:snapToGrid w:val="0"/>
                    <w:jc w:val="center"/>
                    <w:rPr>
                      <w:snapToGrid w:val="0"/>
                      <w:color w:val="auto"/>
                      <w:szCs w:val="21"/>
                    </w:rPr>
                  </w:pPr>
                </w:p>
              </w:tc>
            </w:tr>
            <w:tr w14:paraId="742E85B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638" w:hRule="atLeast"/>
              </w:trPr>
              <w:tc>
                <w:tcPr>
                  <w:tcW w:w="1080" w:type="pct"/>
                  <w:tcBorders>
                    <w:top w:val="single" w:color="000000" w:sz="4" w:space="0"/>
                    <w:bottom w:val="single" w:color="000000" w:sz="4" w:space="0"/>
                  </w:tcBorders>
                  <w:vAlign w:val="center"/>
                </w:tcPr>
                <w:p w14:paraId="6D5C9517">
                  <w:pPr>
                    <w:adjustRightInd w:val="0"/>
                    <w:snapToGrid w:val="0"/>
                    <w:jc w:val="center"/>
                    <w:rPr>
                      <w:snapToGrid w:val="0"/>
                      <w:color w:val="auto"/>
                      <w:szCs w:val="21"/>
                    </w:rPr>
                  </w:pPr>
                  <w:r>
                    <w:rPr>
                      <w:snapToGrid w:val="0"/>
                      <w:color w:val="auto"/>
                      <w:szCs w:val="21"/>
                    </w:rPr>
                    <w:t>主要危险物质及分布</w:t>
                  </w:r>
                </w:p>
              </w:tc>
              <w:tc>
                <w:tcPr>
                  <w:tcW w:w="3919" w:type="pct"/>
                  <w:gridSpan w:val="5"/>
                  <w:tcBorders>
                    <w:top w:val="single" w:color="000000" w:sz="4" w:space="0"/>
                    <w:bottom w:val="single" w:color="000000" w:sz="4" w:space="0"/>
                  </w:tcBorders>
                  <w:vAlign w:val="center"/>
                </w:tcPr>
                <w:p w14:paraId="13D077C3">
                  <w:pPr>
                    <w:adjustRightInd w:val="0"/>
                    <w:snapToGrid w:val="0"/>
                    <w:rPr>
                      <w:snapToGrid w:val="0"/>
                      <w:color w:val="auto"/>
                      <w:szCs w:val="21"/>
                    </w:rPr>
                  </w:pPr>
                  <w:r>
                    <w:rPr>
                      <w:snapToGrid w:val="0"/>
                      <w:color w:val="auto"/>
                      <w:szCs w:val="21"/>
                    </w:rPr>
                    <w:t>①风险物质：</w:t>
                  </w:r>
                  <w:r>
                    <w:rPr>
                      <w:rFonts w:hint="eastAsia"/>
                      <w:snapToGrid w:val="0"/>
                      <w:color w:val="auto"/>
                      <w:szCs w:val="21"/>
                    </w:rPr>
                    <w:t>油漆、稀释剂、丙烷、机油、废机油等危险废物</w:t>
                  </w:r>
                </w:p>
                <w:p w14:paraId="3F8F369A">
                  <w:pPr>
                    <w:adjustRightInd w:val="0"/>
                    <w:snapToGrid w:val="0"/>
                    <w:rPr>
                      <w:snapToGrid w:val="0"/>
                      <w:color w:val="auto"/>
                      <w:szCs w:val="21"/>
                    </w:rPr>
                  </w:pPr>
                  <w:r>
                    <w:rPr>
                      <w:snapToGrid w:val="0"/>
                      <w:color w:val="auto"/>
                      <w:szCs w:val="21"/>
                    </w:rPr>
                    <w:t>②分布情况：原料区、危废暂存间</w:t>
                  </w:r>
                </w:p>
              </w:tc>
            </w:tr>
            <w:tr w14:paraId="0FD37DF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80" w:type="pct"/>
                  <w:tcBorders>
                    <w:top w:val="single" w:color="000000" w:sz="4" w:space="0"/>
                    <w:bottom w:val="single" w:color="000000" w:sz="4" w:space="0"/>
                  </w:tcBorders>
                  <w:vAlign w:val="center"/>
                </w:tcPr>
                <w:p w14:paraId="37CC9A2B">
                  <w:pPr>
                    <w:adjustRightInd w:val="0"/>
                    <w:snapToGrid w:val="0"/>
                    <w:jc w:val="center"/>
                    <w:rPr>
                      <w:snapToGrid w:val="0"/>
                      <w:color w:val="auto"/>
                      <w:szCs w:val="21"/>
                    </w:rPr>
                  </w:pPr>
                  <w:r>
                    <w:rPr>
                      <w:snapToGrid w:val="0"/>
                      <w:color w:val="auto"/>
                      <w:szCs w:val="21"/>
                    </w:rPr>
                    <w:t>环境影响途径及危害 后果（大气、地表水、地下水等）</w:t>
                  </w:r>
                </w:p>
              </w:tc>
              <w:tc>
                <w:tcPr>
                  <w:tcW w:w="3919" w:type="pct"/>
                  <w:gridSpan w:val="5"/>
                  <w:tcBorders>
                    <w:top w:val="single" w:color="000000" w:sz="4" w:space="0"/>
                    <w:bottom w:val="single" w:color="000000" w:sz="4" w:space="0"/>
                  </w:tcBorders>
                  <w:vAlign w:val="center"/>
                </w:tcPr>
                <w:p w14:paraId="3F43319F">
                  <w:pPr>
                    <w:adjustRightInd w:val="0"/>
                    <w:snapToGrid w:val="0"/>
                    <w:jc w:val="left"/>
                    <w:rPr>
                      <w:snapToGrid w:val="0"/>
                      <w:color w:val="auto"/>
                      <w:szCs w:val="21"/>
                    </w:rPr>
                  </w:pPr>
                  <w:r>
                    <w:rPr>
                      <w:snapToGrid w:val="0"/>
                      <w:color w:val="auto"/>
                      <w:szCs w:val="21"/>
                    </w:rPr>
                    <w:t>主要为风险物质发生泄漏造成的环境风险事件，通过雨水沟渠进入地表水，污染区域水环境。</w:t>
                  </w:r>
                  <w:r>
                    <w:rPr>
                      <w:rFonts w:hint="eastAsia"/>
                      <w:color w:val="auto"/>
                    </w:rPr>
                    <w:t>危险废物暂存间设置不规范导致污染地下水和土壤。火灾产生的烟气、热量、有害物质危害周边大气、水体、动植物等，同时会产生消防废水。废气处理设施出现故障导致废气不经过处理直排，污染周边大气环境。</w:t>
                  </w:r>
                </w:p>
              </w:tc>
            </w:tr>
            <w:tr w14:paraId="11E027B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80" w:type="pct"/>
                  <w:tcBorders>
                    <w:top w:val="single" w:color="000000" w:sz="4" w:space="0"/>
                  </w:tcBorders>
                  <w:vAlign w:val="center"/>
                </w:tcPr>
                <w:p w14:paraId="3F9491CC">
                  <w:pPr>
                    <w:adjustRightInd w:val="0"/>
                    <w:snapToGrid w:val="0"/>
                    <w:jc w:val="center"/>
                    <w:rPr>
                      <w:snapToGrid w:val="0"/>
                      <w:color w:val="auto"/>
                      <w:szCs w:val="21"/>
                    </w:rPr>
                  </w:pPr>
                  <w:r>
                    <w:rPr>
                      <w:snapToGrid w:val="0"/>
                      <w:color w:val="auto"/>
                      <w:szCs w:val="21"/>
                    </w:rPr>
                    <w:t>风险防范措施要求</w:t>
                  </w:r>
                </w:p>
              </w:tc>
              <w:tc>
                <w:tcPr>
                  <w:tcW w:w="3919" w:type="pct"/>
                  <w:gridSpan w:val="5"/>
                  <w:tcBorders>
                    <w:top w:val="single" w:color="000000" w:sz="4" w:space="0"/>
                    <w:bottom w:val="single" w:color="000000" w:sz="4" w:space="0"/>
                  </w:tcBorders>
                  <w:vAlign w:val="center"/>
                </w:tcPr>
                <w:p w14:paraId="41AA1EDE">
                  <w:pPr>
                    <w:adjustRightInd w:val="0"/>
                    <w:snapToGrid w:val="0"/>
                    <w:jc w:val="left"/>
                    <w:rPr>
                      <w:color w:val="auto"/>
                    </w:rPr>
                  </w:pPr>
                  <w:r>
                    <w:rPr>
                      <w:color w:val="auto"/>
                    </w:rPr>
                    <w:t>①规范设置危废暂存间，按要求做好防渗防漏措施。</w:t>
                  </w:r>
                </w:p>
                <w:p w14:paraId="366F09BC">
                  <w:pPr>
                    <w:adjustRightInd w:val="0"/>
                    <w:snapToGrid w:val="0"/>
                    <w:jc w:val="left"/>
                    <w:rPr>
                      <w:color w:val="auto"/>
                    </w:rPr>
                  </w:pPr>
                  <w:r>
                    <w:rPr>
                      <w:color w:val="auto"/>
                    </w:rPr>
                    <w:t>②制定快速有效的环境风险事故应急救援预案，建立环境风险事故报警系统体系，确保各种通讯工具处于良好状态，制定标准的报警方法和程序，并对工人进行紧急事态时的报警培训，做好救援专业队伍的组织、训练和演练，对工人进行自救和互救知识的宣传教育，杜绝液体储存和装卸过程中的跑、冒、滴、漏现象发生。</w:t>
                  </w:r>
                </w:p>
                <w:p w14:paraId="5CD53807">
                  <w:pPr>
                    <w:adjustRightInd w:val="0"/>
                    <w:snapToGrid w:val="0"/>
                    <w:jc w:val="left"/>
                    <w:rPr>
                      <w:color w:val="auto"/>
                    </w:rPr>
                  </w:pPr>
                  <w:r>
                    <w:rPr>
                      <w:color w:val="auto"/>
                    </w:rPr>
                    <w:t>③企业要制定环保责任制，企业领导为第一责任人，全面负责企业的环保事务；指定专门人员负责环保事务，确保环保治理措施落实及环境监测工作。</w:t>
                  </w:r>
                </w:p>
                <w:p w14:paraId="7AD3505D">
                  <w:pPr>
                    <w:adjustRightInd w:val="0"/>
                    <w:snapToGrid w:val="0"/>
                    <w:jc w:val="left"/>
                    <w:rPr>
                      <w:color w:val="auto"/>
                    </w:rPr>
                  </w:pPr>
                  <w:r>
                    <w:rPr>
                      <w:color w:val="auto"/>
                    </w:rPr>
                    <w:t>④厂区</w:t>
                  </w:r>
                  <w:r>
                    <w:rPr>
                      <w:rFonts w:hint="eastAsia"/>
                      <w:color w:val="auto"/>
                    </w:rPr>
                    <w:t>废油桶</w:t>
                  </w:r>
                  <w:r>
                    <w:rPr>
                      <w:color w:val="auto"/>
                    </w:rPr>
                    <w:t>应设置</w:t>
                  </w:r>
                  <w:r>
                    <w:rPr>
                      <w:rFonts w:hint="eastAsia"/>
                      <w:color w:val="auto"/>
                    </w:rPr>
                    <w:t>不锈钢</w:t>
                  </w:r>
                  <w:r>
                    <w:rPr>
                      <w:color w:val="auto"/>
                    </w:rPr>
                    <w:t>托盘，防止废</w:t>
                  </w:r>
                  <w:r>
                    <w:rPr>
                      <w:rFonts w:hint="eastAsia"/>
                      <w:color w:val="auto"/>
                    </w:rPr>
                    <w:t>油</w:t>
                  </w:r>
                  <w:r>
                    <w:rPr>
                      <w:color w:val="auto"/>
                    </w:rPr>
                    <w:t>事故泄漏。</w:t>
                  </w:r>
                </w:p>
                <w:p w14:paraId="17BEE83D">
                  <w:pPr>
                    <w:adjustRightInd w:val="0"/>
                    <w:snapToGrid w:val="0"/>
                    <w:jc w:val="left"/>
                    <w:rPr>
                      <w:color w:val="auto"/>
                    </w:rPr>
                  </w:pPr>
                  <w:r>
                    <w:rPr>
                      <w:rFonts w:hint="eastAsia"/>
                      <w:color w:val="auto"/>
                    </w:rPr>
                    <w:t>⑤</w:t>
                  </w:r>
                  <w:r>
                    <w:rPr>
                      <w:color w:val="auto"/>
                    </w:rPr>
                    <w:t>在易燃物品贮存区禁</w:t>
                  </w:r>
                  <w:r>
                    <w:rPr>
                      <w:rFonts w:hint="eastAsia"/>
                      <w:color w:val="auto"/>
                    </w:rPr>
                    <w:t>止</w:t>
                  </w:r>
                  <w:r>
                    <w:rPr>
                      <w:color w:val="auto"/>
                    </w:rPr>
                    <w:t>明</w:t>
                  </w:r>
                  <w:r>
                    <w:rPr>
                      <w:rFonts w:hint="eastAsia"/>
                      <w:color w:val="auto"/>
                    </w:rPr>
                    <w:t>火</w:t>
                  </w:r>
                  <w:r>
                    <w:rPr>
                      <w:color w:val="auto"/>
                    </w:rPr>
                    <w:t>进入，严禁吸烟，禁止使用易产生火花的设备与工具</w:t>
                  </w:r>
                  <w:r>
                    <w:rPr>
                      <w:rFonts w:hint="eastAsia"/>
                      <w:color w:val="auto"/>
                    </w:rPr>
                    <w:t>。</w:t>
                  </w:r>
                </w:p>
              </w:tc>
            </w:tr>
            <w:tr w14:paraId="257A670C">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1009" w:hRule="atLeast"/>
              </w:trPr>
              <w:tc>
                <w:tcPr>
                  <w:tcW w:w="5000" w:type="pct"/>
                  <w:gridSpan w:val="6"/>
                  <w:tcBorders>
                    <w:top w:val="single" w:color="000000" w:sz="4" w:space="0"/>
                  </w:tcBorders>
                  <w:vAlign w:val="center"/>
                </w:tcPr>
                <w:p w14:paraId="5F60F3EB">
                  <w:pPr>
                    <w:adjustRightInd w:val="0"/>
                    <w:snapToGrid w:val="0"/>
                    <w:rPr>
                      <w:color w:val="auto"/>
                    </w:rPr>
                  </w:pPr>
                  <w:r>
                    <w:rPr>
                      <w:color w:val="auto"/>
                    </w:rPr>
                    <w:t>填表说明（列出项目相关信息及评价说明）：本项目的环境风险物质主要是</w:t>
                  </w:r>
                  <w:r>
                    <w:rPr>
                      <w:rFonts w:hint="eastAsia"/>
                      <w:snapToGrid w:val="0"/>
                      <w:color w:val="auto"/>
                      <w:szCs w:val="21"/>
                    </w:rPr>
                    <w:t>油漆、稀释剂、丙烷、机油、废机油</w:t>
                  </w:r>
                  <w:r>
                    <w:rPr>
                      <w:color w:val="auto"/>
                    </w:rPr>
                    <w:t>等。根据前文的分析，直接判别本项目的环境风险潜势为Ⅰ级，进行简单分析。只要建设单位及时落实本表中提出的风险防范措施要求，本项目的环境风险可控。</w:t>
                  </w:r>
                </w:p>
              </w:tc>
            </w:tr>
          </w:tbl>
          <w:p w14:paraId="63D007AE">
            <w:pPr>
              <w:spacing w:line="360" w:lineRule="auto"/>
              <w:rPr>
                <w:b/>
                <w:color w:val="auto"/>
                <w:spacing w:val="-10"/>
                <w:sz w:val="24"/>
              </w:rPr>
            </w:pPr>
            <w:r>
              <w:rPr>
                <w:rFonts w:hint="eastAsia"/>
                <w:b/>
                <w:color w:val="auto"/>
                <w:spacing w:val="-10"/>
                <w:sz w:val="24"/>
              </w:rPr>
              <w:t>8、环保投资一览表</w:t>
            </w:r>
          </w:p>
          <w:p w14:paraId="3EC393A0">
            <w:pPr>
              <w:pStyle w:val="9"/>
              <w:rPr>
                <w:b/>
                <w:color w:val="auto"/>
                <w:szCs w:val="21"/>
                <w:u w:val="single"/>
              </w:rPr>
            </w:pPr>
            <w:r>
              <w:rPr>
                <w:rFonts w:ascii="Times New Roman" w:hAnsi="Times New Roman"/>
                <w:color w:val="auto"/>
                <w:u w:val="single"/>
              </w:rPr>
              <w:t>本项目总投资为</w:t>
            </w:r>
            <w:r>
              <w:rPr>
                <w:rFonts w:hint="eastAsia" w:ascii="Times New Roman" w:hAnsi="Times New Roman"/>
                <w:color w:val="auto"/>
                <w:u w:val="single"/>
              </w:rPr>
              <w:t>15</w:t>
            </w:r>
            <w:r>
              <w:rPr>
                <w:rFonts w:ascii="Times New Roman" w:hAnsi="Times New Roman"/>
                <w:color w:val="auto"/>
                <w:u w:val="single"/>
              </w:rPr>
              <w:t>00万元，其中环保投资为</w:t>
            </w:r>
            <w:r>
              <w:rPr>
                <w:rFonts w:hint="eastAsia" w:ascii="Times New Roman" w:hAnsi="Times New Roman"/>
                <w:color w:val="auto"/>
                <w:u w:val="single"/>
              </w:rPr>
              <w:t>57</w:t>
            </w:r>
            <w:r>
              <w:rPr>
                <w:rFonts w:ascii="Times New Roman" w:hAnsi="Times New Roman"/>
                <w:color w:val="auto"/>
                <w:u w:val="single"/>
              </w:rPr>
              <w:t>.1万元，环保投资占总投资比例为</w:t>
            </w:r>
            <w:r>
              <w:rPr>
                <w:rFonts w:hint="eastAsia" w:ascii="Times New Roman" w:hAnsi="Times New Roman"/>
                <w:color w:val="auto"/>
                <w:u w:val="single"/>
              </w:rPr>
              <w:t>3.81</w:t>
            </w:r>
            <w:r>
              <w:rPr>
                <w:rFonts w:ascii="Times New Roman" w:hAnsi="Times New Roman"/>
                <w:color w:val="auto"/>
                <w:u w:val="single"/>
              </w:rPr>
              <w:t>%。</w:t>
            </w:r>
          </w:p>
          <w:p w14:paraId="70032CCD">
            <w:pPr>
              <w:snapToGrid w:val="0"/>
              <w:jc w:val="center"/>
              <w:rPr>
                <w:b/>
                <w:color w:val="auto"/>
                <w:szCs w:val="21"/>
                <w:u w:val="single"/>
              </w:rPr>
            </w:pPr>
            <w:r>
              <w:rPr>
                <w:b/>
                <w:color w:val="auto"/>
                <w:szCs w:val="21"/>
                <w:u w:val="single"/>
              </w:rPr>
              <w:t>表</w:t>
            </w:r>
            <w:r>
              <w:rPr>
                <w:rFonts w:hint="eastAsia"/>
                <w:b/>
                <w:color w:val="auto"/>
                <w:szCs w:val="21"/>
                <w:u w:val="single"/>
              </w:rPr>
              <w:t xml:space="preserve">4-24  </w:t>
            </w:r>
            <w:r>
              <w:rPr>
                <w:b/>
                <w:color w:val="auto"/>
                <w:szCs w:val="21"/>
                <w:u w:val="single"/>
              </w:rPr>
              <w:t>环保设施投资一览表</w:t>
            </w:r>
          </w:p>
          <w:tbl>
            <w:tblPr>
              <w:tblStyle w:val="84"/>
              <w:tblW w:w="863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00"/>
              <w:gridCol w:w="2020"/>
              <w:gridCol w:w="2192"/>
              <w:gridCol w:w="2192"/>
              <w:gridCol w:w="1134"/>
            </w:tblGrid>
            <w:tr w14:paraId="4A55DA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tcBorders>
                    <w:tl2br w:val="nil"/>
                    <w:tr2bl w:val="nil"/>
                  </w:tcBorders>
                  <w:vAlign w:val="center"/>
                </w:tcPr>
                <w:p w14:paraId="44DA9FD8">
                  <w:pPr>
                    <w:pStyle w:val="83"/>
                    <w:rPr>
                      <w:rFonts w:ascii="Times New Roman" w:hAnsi="Times New Roman"/>
                      <w:bCs/>
                      <w:color w:val="auto"/>
                      <w:kern w:val="2"/>
                      <w:sz w:val="21"/>
                      <w:szCs w:val="21"/>
                      <w:u w:val="single"/>
                    </w:rPr>
                  </w:pPr>
                  <w:r>
                    <w:rPr>
                      <w:rFonts w:ascii="Times New Roman" w:hAnsi="Times New Roman"/>
                      <w:bCs/>
                      <w:color w:val="auto"/>
                      <w:kern w:val="2"/>
                      <w:sz w:val="21"/>
                      <w:szCs w:val="21"/>
                      <w:u w:val="single"/>
                    </w:rPr>
                    <w:t>环保防治项目</w:t>
                  </w:r>
                </w:p>
              </w:tc>
              <w:tc>
                <w:tcPr>
                  <w:tcW w:w="2020" w:type="dxa"/>
                  <w:tcBorders>
                    <w:tl2br w:val="nil"/>
                    <w:tr2bl w:val="nil"/>
                  </w:tcBorders>
                  <w:vAlign w:val="center"/>
                </w:tcPr>
                <w:p w14:paraId="1233068D">
                  <w:pPr>
                    <w:pStyle w:val="83"/>
                    <w:rPr>
                      <w:rFonts w:ascii="Times New Roman" w:hAnsi="Times New Roman"/>
                      <w:bCs/>
                      <w:color w:val="auto"/>
                      <w:kern w:val="2"/>
                      <w:sz w:val="21"/>
                      <w:szCs w:val="21"/>
                      <w:u w:val="single"/>
                    </w:rPr>
                  </w:pPr>
                  <w:r>
                    <w:rPr>
                      <w:rFonts w:hint="eastAsia" w:ascii="Times New Roman" w:hAnsi="Times New Roman"/>
                      <w:bCs/>
                      <w:color w:val="auto"/>
                      <w:kern w:val="2"/>
                      <w:sz w:val="21"/>
                      <w:szCs w:val="21"/>
                      <w:u w:val="single"/>
                    </w:rPr>
                    <w:t>污染源</w:t>
                  </w:r>
                </w:p>
              </w:tc>
              <w:tc>
                <w:tcPr>
                  <w:tcW w:w="4384" w:type="dxa"/>
                  <w:gridSpan w:val="2"/>
                  <w:tcBorders>
                    <w:tl2br w:val="nil"/>
                    <w:tr2bl w:val="nil"/>
                  </w:tcBorders>
                  <w:vAlign w:val="center"/>
                </w:tcPr>
                <w:p w14:paraId="4A8F03F9">
                  <w:pPr>
                    <w:pStyle w:val="83"/>
                    <w:rPr>
                      <w:rFonts w:ascii="Times New Roman" w:hAnsi="Times New Roman"/>
                      <w:bCs/>
                      <w:color w:val="auto"/>
                      <w:kern w:val="2"/>
                      <w:sz w:val="21"/>
                      <w:szCs w:val="21"/>
                      <w:u w:val="single"/>
                    </w:rPr>
                  </w:pPr>
                  <w:r>
                    <w:rPr>
                      <w:rFonts w:ascii="Times New Roman" w:hAnsi="Times New Roman"/>
                      <w:bCs/>
                      <w:color w:val="auto"/>
                      <w:kern w:val="2"/>
                      <w:sz w:val="21"/>
                      <w:szCs w:val="21"/>
                      <w:u w:val="single"/>
                    </w:rPr>
                    <w:t>主要设施</w:t>
                  </w:r>
                </w:p>
              </w:tc>
              <w:tc>
                <w:tcPr>
                  <w:tcW w:w="1134" w:type="dxa"/>
                  <w:tcBorders>
                    <w:tl2br w:val="nil"/>
                    <w:tr2bl w:val="nil"/>
                  </w:tcBorders>
                  <w:vAlign w:val="center"/>
                </w:tcPr>
                <w:p w14:paraId="6B983C80">
                  <w:pPr>
                    <w:pStyle w:val="83"/>
                    <w:rPr>
                      <w:rFonts w:ascii="Times New Roman" w:hAnsi="Times New Roman"/>
                      <w:bCs/>
                      <w:color w:val="auto"/>
                      <w:kern w:val="2"/>
                      <w:sz w:val="21"/>
                      <w:szCs w:val="21"/>
                      <w:u w:val="single"/>
                    </w:rPr>
                  </w:pPr>
                  <w:r>
                    <w:rPr>
                      <w:rFonts w:ascii="Times New Roman" w:hAnsi="Times New Roman"/>
                      <w:bCs/>
                      <w:color w:val="auto"/>
                      <w:kern w:val="2"/>
                      <w:sz w:val="21"/>
                      <w:szCs w:val="21"/>
                      <w:u w:val="single"/>
                    </w:rPr>
                    <w:t>环保投资（万元）</w:t>
                  </w:r>
                </w:p>
              </w:tc>
            </w:tr>
            <w:tr w14:paraId="274FAD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restart"/>
                  <w:tcBorders>
                    <w:tl2br w:val="nil"/>
                    <w:tr2bl w:val="nil"/>
                  </w:tcBorders>
                  <w:vAlign w:val="center"/>
                </w:tcPr>
                <w:p w14:paraId="5AAE74B1">
                  <w:pPr>
                    <w:jc w:val="center"/>
                    <w:rPr>
                      <w:color w:val="auto"/>
                      <w:szCs w:val="21"/>
                      <w:u w:val="single"/>
                    </w:rPr>
                  </w:pPr>
                  <w:r>
                    <w:rPr>
                      <w:color w:val="auto"/>
                      <w:szCs w:val="21"/>
                      <w:u w:val="single"/>
                    </w:rPr>
                    <w:t>废气</w:t>
                  </w:r>
                </w:p>
              </w:tc>
              <w:tc>
                <w:tcPr>
                  <w:tcW w:w="2020" w:type="dxa"/>
                  <w:tcBorders>
                    <w:tl2br w:val="nil"/>
                    <w:tr2bl w:val="nil"/>
                  </w:tcBorders>
                  <w:vAlign w:val="center"/>
                </w:tcPr>
                <w:p w14:paraId="71BF94D9">
                  <w:pPr>
                    <w:pStyle w:val="83"/>
                    <w:rPr>
                      <w:rFonts w:ascii="Times New Roman" w:hAnsi="Times New Roman"/>
                      <w:bCs/>
                      <w:color w:val="auto"/>
                      <w:kern w:val="2"/>
                      <w:sz w:val="21"/>
                      <w:szCs w:val="21"/>
                      <w:u w:val="single"/>
                    </w:rPr>
                  </w:pPr>
                  <w:r>
                    <w:rPr>
                      <w:rFonts w:hint="eastAsia" w:ascii="Times New Roman" w:hAnsi="Times New Roman"/>
                      <w:bCs/>
                      <w:color w:val="auto"/>
                      <w:kern w:val="2"/>
                      <w:sz w:val="21"/>
                      <w:szCs w:val="21"/>
                      <w:u w:val="single"/>
                    </w:rPr>
                    <w:t>锅炉废气</w:t>
                  </w:r>
                </w:p>
              </w:tc>
              <w:tc>
                <w:tcPr>
                  <w:tcW w:w="4384" w:type="dxa"/>
                  <w:gridSpan w:val="2"/>
                  <w:tcBorders>
                    <w:tl2br w:val="nil"/>
                    <w:tr2bl w:val="nil"/>
                  </w:tcBorders>
                  <w:vAlign w:val="center"/>
                </w:tcPr>
                <w:p w14:paraId="5DBE2DE9">
                  <w:pPr>
                    <w:pStyle w:val="83"/>
                    <w:rPr>
                      <w:rFonts w:ascii="Times New Roman" w:hAnsi="Times New Roman"/>
                      <w:bCs/>
                      <w:color w:val="auto"/>
                      <w:kern w:val="2"/>
                      <w:sz w:val="21"/>
                      <w:szCs w:val="21"/>
                      <w:u w:val="single"/>
                    </w:rPr>
                  </w:pPr>
                  <w:r>
                    <w:rPr>
                      <w:rFonts w:hint="eastAsia" w:ascii="Times New Roman" w:hAnsi="Times New Roman"/>
                      <w:bCs/>
                      <w:color w:val="auto"/>
                      <w:kern w:val="2"/>
                      <w:sz w:val="21"/>
                      <w:szCs w:val="21"/>
                      <w:u w:val="single"/>
                    </w:rPr>
                    <w:t>低氮燃烧+15m排气筒</w:t>
                  </w:r>
                </w:p>
              </w:tc>
              <w:tc>
                <w:tcPr>
                  <w:tcW w:w="1134" w:type="dxa"/>
                  <w:tcBorders>
                    <w:tl2br w:val="nil"/>
                    <w:tr2bl w:val="nil"/>
                  </w:tcBorders>
                  <w:vAlign w:val="center"/>
                </w:tcPr>
                <w:p w14:paraId="63F41ED5">
                  <w:pPr>
                    <w:pStyle w:val="83"/>
                    <w:rPr>
                      <w:rFonts w:ascii="Times New Roman" w:hAnsi="Times New Roman"/>
                      <w:bCs/>
                      <w:color w:val="auto"/>
                      <w:kern w:val="2"/>
                      <w:sz w:val="21"/>
                      <w:szCs w:val="21"/>
                      <w:u w:val="single"/>
                    </w:rPr>
                  </w:pPr>
                  <w:r>
                    <w:rPr>
                      <w:rFonts w:hint="eastAsia" w:ascii="Times New Roman" w:hAnsi="Times New Roman"/>
                      <w:bCs/>
                      <w:color w:val="auto"/>
                      <w:kern w:val="2"/>
                      <w:sz w:val="21"/>
                      <w:szCs w:val="21"/>
                      <w:u w:val="single"/>
                    </w:rPr>
                    <w:t>3</w:t>
                  </w:r>
                </w:p>
              </w:tc>
            </w:tr>
            <w:tr w14:paraId="0F802C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continue"/>
                  <w:tcBorders>
                    <w:tl2br w:val="nil"/>
                    <w:tr2bl w:val="nil"/>
                  </w:tcBorders>
                  <w:vAlign w:val="center"/>
                </w:tcPr>
                <w:p w14:paraId="36BBB144">
                  <w:pPr>
                    <w:pStyle w:val="83"/>
                    <w:rPr>
                      <w:rFonts w:ascii="Times New Roman" w:hAnsi="Times New Roman"/>
                      <w:bCs/>
                      <w:color w:val="auto"/>
                      <w:kern w:val="2"/>
                      <w:sz w:val="21"/>
                      <w:szCs w:val="21"/>
                      <w:u w:val="single"/>
                    </w:rPr>
                  </w:pPr>
                </w:p>
              </w:tc>
              <w:tc>
                <w:tcPr>
                  <w:tcW w:w="2020" w:type="dxa"/>
                  <w:tcBorders>
                    <w:tl2br w:val="nil"/>
                    <w:tr2bl w:val="nil"/>
                  </w:tcBorders>
                  <w:vAlign w:val="center"/>
                </w:tcPr>
                <w:p w14:paraId="598C52AC">
                  <w:pPr>
                    <w:pStyle w:val="83"/>
                    <w:rPr>
                      <w:rFonts w:ascii="Times New Roman" w:hAnsi="Times New Roman"/>
                      <w:bCs/>
                      <w:color w:val="auto"/>
                      <w:kern w:val="2"/>
                      <w:sz w:val="21"/>
                      <w:szCs w:val="21"/>
                      <w:u w:val="single"/>
                    </w:rPr>
                  </w:pPr>
                  <w:r>
                    <w:rPr>
                      <w:rFonts w:hint="eastAsia" w:ascii="Times New Roman" w:hAnsi="Times New Roman"/>
                      <w:bCs/>
                      <w:color w:val="auto"/>
                      <w:kern w:val="2"/>
                      <w:sz w:val="21"/>
                      <w:szCs w:val="21"/>
                      <w:u w:val="single"/>
                    </w:rPr>
                    <w:t>发泡废气</w:t>
                  </w:r>
                </w:p>
              </w:tc>
              <w:tc>
                <w:tcPr>
                  <w:tcW w:w="4384" w:type="dxa"/>
                  <w:gridSpan w:val="2"/>
                  <w:vMerge w:val="restart"/>
                  <w:tcBorders>
                    <w:tl2br w:val="nil"/>
                    <w:tr2bl w:val="nil"/>
                  </w:tcBorders>
                  <w:vAlign w:val="center"/>
                </w:tcPr>
                <w:p w14:paraId="774C6992">
                  <w:pPr>
                    <w:pStyle w:val="83"/>
                    <w:rPr>
                      <w:rFonts w:ascii="Times New Roman" w:hAnsi="Times New Roman"/>
                      <w:bCs/>
                      <w:color w:val="auto"/>
                      <w:kern w:val="2"/>
                      <w:sz w:val="21"/>
                      <w:szCs w:val="21"/>
                      <w:u w:val="single"/>
                    </w:rPr>
                  </w:pPr>
                  <w:r>
                    <w:rPr>
                      <w:rFonts w:hint="eastAsia" w:ascii="Times New Roman" w:hAnsi="Times New Roman"/>
                      <w:bCs/>
                      <w:color w:val="auto"/>
                      <w:kern w:val="2"/>
                      <w:sz w:val="21"/>
                      <w:szCs w:val="21"/>
                      <w:u w:val="single"/>
                    </w:rPr>
                    <w:t>二级活性炭吸附装置+15m排气筒</w:t>
                  </w:r>
                </w:p>
              </w:tc>
              <w:tc>
                <w:tcPr>
                  <w:tcW w:w="1134" w:type="dxa"/>
                  <w:vMerge w:val="restart"/>
                  <w:tcBorders>
                    <w:tl2br w:val="nil"/>
                    <w:tr2bl w:val="nil"/>
                  </w:tcBorders>
                  <w:vAlign w:val="center"/>
                </w:tcPr>
                <w:p w14:paraId="497B051E">
                  <w:pPr>
                    <w:pStyle w:val="83"/>
                    <w:rPr>
                      <w:rFonts w:ascii="Times New Roman" w:hAnsi="Times New Roman"/>
                      <w:bCs/>
                      <w:color w:val="auto"/>
                      <w:kern w:val="2"/>
                      <w:sz w:val="21"/>
                      <w:szCs w:val="21"/>
                      <w:u w:val="single"/>
                    </w:rPr>
                  </w:pPr>
                  <w:r>
                    <w:rPr>
                      <w:rFonts w:hint="eastAsia" w:ascii="Times New Roman" w:hAnsi="Times New Roman"/>
                      <w:bCs/>
                      <w:color w:val="auto"/>
                      <w:kern w:val="2"/>
                      <w:sz w:val="21"/>
                      <w:szCs w:val="21"/>
                      <w:u w:val="single"/>
                    </w:rPr>
                    <w:t>6</w:t>
                  </w:r>
                </w:p>
              </w:tc>
            </w:tr>
            <w:tr w14:paraId="3DE7C2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continue"/>
                  <w:tcBorders>
                    <w:tl2br w:val="nil"/>
                    <w:tr2bl w:val="nil"/>
                  </w:tcBorders>
                  <w:vAlign w:val="center"/>
                </w:tcPr>
                <w:p w14:paraId="432A0532">
                  <w:pPr>
                    <w:pStyle w:val="83"/>
                    <w:rPr>
                      <w:rFonts w:ascii="Times New Roman" w:hAnsi="Times New Roman"/>
                      <w:bCs/>
                      <w:color w:val="auto"/>
                      <w:kern w:val="2"/>
                      <w:sz w:val="21"/>
                      <w:szCs w:val="21"/>
                      <w:u w:val="single"/>
                    </w:rPr>
                  </w:pPr>
                </w:p>
              </w:tc>
              <w:tc>
                <w:tcPr>
                  <w:tcW w:w="2020" w:type="dxa"/>
                  <w:tcBorders>
                    <w:tl2br w:val="nil"/>
                    <w:tr2bl w:val="nil"/>
                  </w:tcBorders>
                  <w:vAlign w:val="center"/>
                </w:tcPr>
                <w:p w14:paraId="3E1617C5">
                  <w:pPr>
                    <w:pStyle w:val="83"/>
                    <w:rPr>
                      <w:rFonts w:ascii="Times New Roman" w:hAnsi="Times New Roman"/>
                      <w:bCs/>
                      <w:color w:val="auto"/>
                      <w:kern w:val="2"/>
                      <w:sz w:val="21"/>
                      <w:szCs w:val="21"/>
                      <w:u w:val="single"/>
                    </w:rPr>
                  </w:pPr>
                  <w:r>
                    <w:rPr>
                      <w:rFonts w:hint="eastAsia" w:ascii="Times New Roman" w:hAnsi="Times New Roman"/>
                      <w:bCs/>
                      <w:color w:val="auto"/>
                      <w:kern w:val="2"/>
                      <w:sz w:val="21"/>
                      <w:szCs w:val="21"/>
                      <w:u w:val="single"/>
                    </w:rPr>
                    <w:t>切割废气</w:t>
                  </w:r>
                </w:p>
              </w:tc>
              <w:tc>
                <w:tcPr>
                  <w:tcW w:w="4384" w:type="dxa"/>
                  <w:gridSpan w:val="2"/>
                  <w:vMerge w:val="continue"/>
                  <w:tcBorders>
                    <w:tl2br w:val="nil"/>
                    <w:tr2bl w:val="nil"/>
                  </w:tcBorders>
                  <w:vAlign w:val="center"/>
                </w:tcPr>
                <w:p w14:paraId="709ABAC7">
                  <w:pPr>
                    <w:pStyle w:val="83"/>
                    <w:rPr>
                      <w:rFonts w:ascii="Times New Roman" w:hAnsi="Times New Roman"/>
                      <w:bCs/>
                      <w:color w:val="auto"/>
                      <w:kern w:val="2"/>
                      <w:sz w:val="21"/>
                      <w:szCs w:val="21"/>
                      <w:u w:val="single"/>
                    </w:rPr>
                  </w:pPr>
                </w:p>
              </w:tc>
              <w:tc>
                <w:tcPr>
                  <w:tcW w:w="1134" w:type="dxa"/>
                  <w:vMerge w:val="continue"/>
                  <w:tcBorders>
                    <w:tl2br w:val="nil"/>
                    <w:tr2bl w:val="nil"/>
                  </w:tcBorders>
                  <w:vAlign w:val="center"/>
                </w:tcPr>
                <w:p w14:paraId="7AFC58CE">
                  <w:pPr>
                    <w:pStyle w:val="83"/>
                    <w:rPr>
                      <w:rFonts w:ascii="Times New Roman" w:hAnsi="Times New Roman"/>
                      <w:bCs/>
                      <w:color w:val="auto"/>
                      <w:kern w:val="2"/>
                      <w:sz w:val="21"/>
                      <w:szCs w:val="21"/>
                      <w:u w:val="single"/>
                    </w:rPr>
                  </w:pPr>
                </w:p>
              </w:tc>
            </w:tr>
            <w:tr w14:paraId="76ADE0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continue"/>
                  <w:tcBorders>
                    <w:tl2br w:val="nil"/>
                    <w:tr2bl w:val="nil"/>
                  </w:tcBorders>
                  <w:vAlign w:val="center"/>
                </w:tcPr>
                <w:p w14:paraId="7F0C9096">
                  <w:pPr>
                    <w:jc w:val="center"/>
                    <w:rPr>
                      <w:color w:val="auto"/>
                      <w:szCs w:val="21"/>
                      <w:u w:val="single"/>
                    </w:rPr>
                  </w:pPr>
                </w:p>
              </w:tc>
              <w:tc>
                <w:tcPr>
                  <w:tcW w:w="2020" w:type="dxa"/>
                  <w:tcBorders>
                    <w:tl2br w:val="nil"/>
                    <w:tr2bl w:val="nil"/>
                  </w:tcBorders>
                  <w:vAlign w:val="center"/>
                </w:tcPr>
                <w:p w14:paraId="2013D436">
                  <w:pPr>
                    <w:jc w:val="center"/>
                    <w:rPr>
                      <w:color w:val="auto"/>
                      <w:szCs w:val="21"/>
                      <w:u w:val="single"/>
                    </w:rPr>
                  </w:pPr>
                  <w:r>
                    <w:rPr>
                      <w:rFonts w:hint="eastAsia"/>
                      <w:color w:val="auto"/>
                      <w:szCs w:val="21"/>
                      <w:u w:val="single"/>
                    </w:rPr>
                    <w:t>熔炼废气</w:t>
                  </w:r>
                </w:p>
              </w:tc>
              <w:tc>
                <w:tcPr>
                  <w:tcW w:w="2192" w:type="dxa"/>
                  <w:vMerge w:val="restart"/>
                  <w:tcBorders>
                    <w:tl2br w:val="nil"/>
                    <w:tr2bl w:val="nil"/>
                  </w:tcBorders>
                  <w:vAlign w:val="center"/>
                </w:tcPr>
                <w:p w14:paraId="33C0F010">
                  <w:pPr>
                    <w:jc w:val="center"/>
                    <w:rPr>
                      <w:color w:val="auto"/>
                      <w:szCs w:val="21"/>
                      <w:u w:val="single"/>
                    </w:rPr>
                  </w:pPr>
                  <w:r>
                    <w:rPr>
                      <w:rFonts w:hint="eastAsia"/>
                      <w:color w:val="auto"/>
                      <w:szCs w:val="21"/>
                      <w:u w:val="single"/>
                    </w:rPr>
                    <w:t>高温布袋除尘器和二级活性炭装置</w:t>
                  </w:r>
                </w:p>
              </w:tc>
              <w:tc>
                <w:tcPr>
                  <w:tcW w:w="2192" w:type="dxa"/>
                  <w:vMerge w:val="restart"/>
                  <w:tcBorders>
                    <w:tl2br w:val="nil"/>
                    <w:tr2bl w:val="nil"/>
                  </w:tcBorders>
                  <w:vAlign w:val="center"/>
                </w:tcPr>
                <w:p w14:paraId="0BC6647E">
                  <w:pPr>
                    <w:jc w:val="center"/>
                    <w:rPr>
                      <w:color w:val="auto"/>
                      <w:szCs w:val="21"/>
                      <w:u w:val="single"/>
                    </w:rPr>
                  </w:pPr>
                  <w:r>
                    <w:rPr>
                      <w:rFonts w:hint="eastAsia"/>
                      <w:color w:val="auto"/>
                      <w:szCs w:val="21"/>
                      <w:u w:val="single"/>
                    </w:rPr>
                    <w:t>共用1根15m排气筒</w:t>
                  </w:r>
                </w:p>
              </w:tc>
              <w:tc>
                <w:tcPr>
                  <w:tcW w:w="1134" w:type="dxa"/>
                  <w:vMerge w:val="restart"/>
                  <w:tcBorders>
                    <w:tl2br w:val="nil"/>
                    <w:tr2bl w:val="nil"/>
                  </w:tcBorders>
                  <w:vAlign w:val="center"/>
                </w:tcPr>
                <w:p w14:paraId="5509DE9C">
                  <w:pPr>
                    <w:jc w:val="center"/>
                    <w:rPr>
                      <w:color w:val="auto"/>
                      <w:szCs w:val="21"/>
                      <w:u w:val="single"/>
                    </w:rPr>
                  </w:pPr>
                  <w:r>
                    <w:rPr>
                      <w:rFonts w:hint="eastAsia"/>
                      <w:color w:val="auto"/>
                      <w:szCs w:val="21"/>
                      <w:u w:val="single"/>
                    </w:rPr>
                    <w:t>22</w:t>
                  </w:r>
                </w:p>
              </w:tc>
            </w:tr>
            <w:tr w14:paraId="26A9FB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continue"/>
                  <w:tcBorders>
                    <w:tl2br w:val="nil"/>
                    <w:tr2bl w:val="nil"/>
                  </w:tcBorders>
                  <w:vAlign w:val="center"/>
                </w:tcPr>
                <w:p w14:paraId="078233A7">
                  <w:pPr>
                    <w:jc w:val="center"/>
                    <w:rPr>
                      <w:color w:val="auto"/>
                      <w:szCs w:val="21"/>
                      <w:u w:val="single"/>
                    </w:rPr>
                  </w:pPr>
                </w:p>
              </w:tc>
              <w:tc>
                <w:tcPr>
                  <w:tcW w:w="2020" w:type="dxa"/>
                  <w:tcBorders>
                    <w:tl2br w:val="nil"/>
                    <w:tr2bl w:val="nil"/>
                  </w:tcBorders>
                  <w:vAlign w:val="center"/>
                </w:tcPr>
                <w:p w14:paraId="29044D22">
                  <w:pPr>
                    <w:jc w:val="center"/>
                    <w:rPr>
                      <w:color w:val="auto"/>
                      <w:szCs w:val="21"/>
                      <w:u w:val="single"/>
                    </w:rPr>
                  </w:pPr>
                  <w:r>
                    <w:rPr>
                      <w:rFonts w:hint="eastAsia"/>
                      <w:color w:val="auto"/>
                      <w:szCs w:val="21"/>
                      <w:u w:val="single"/>
                    </w:rPr>
                    <w:t>造型浇注废气</w:t>
                  </w:r>
                </w:p>
              </w:tc>
              <w:tc>
                <w:tcPr>
                  <w:tcW w:w="2192" w:type="dxa"/>
                  <w:vMerge w:val="continue"/>
                  <w:tcBorders>
                    <w:tl2br w:val="nil"/>
                    <w:tr2bl w:val="nil"/>
                  </w:tcBorders>
                  <w:vAlign w:val="center"/>
                </w:tcPr>
                <w:p w14:paraId="250FE56C">
                  <w:pPr>
                    <w:jc w:val="center"/>
                    <w:rPr>
                      <w:color w:val="auto"/>
                      <w:szCs w:val="21"/>
                      <w:u w:val="single"/>
                    </w:rPr>
                  </w:pPr>
                </w:p>
              </w:tc>
              <w:tc>
                <w:tcPr>
                  <w:tcW w:w="2192" w:type="dxa"/>
                  <w:vMerge w:val="continue"/>
                  <w:tcBorders>
                    <w:tl2br w:val="nil"/>
                    <w:tr2bl w:val="nil"/>
                  </w:tcBorders>
                  <w:vAlign w:val="center"/>
                </w:tcPr>
                <w:p w14:paraId="6DE1326E">
                  <w:pPr>
                    <w:jc w:val="center"/>
                    <w:rPr>
                      <w:color w:val="auto"/>
                      <w:szCs w:val="21"/>
                      <w:u w:val="single"/>
                    </w:rPr>
                  </w:pPr>
                </w:p>
              </w:tc>
              <w:tc>
                <w:tcPr>
                  <w:tcW w:w="1134" w:type="dxa"/>
                  <w:vMerge w:val="continue"/>
                  <w:tcBorders>
                    <w:tl2br w:val="nil"/>
                    <w:tr2bl w:val="nil"/>
                  </w:tcBorders>
                  <w:vAlign w:val="center"/>
                </w:tcPr>
                <w:p w14:paraId="735889C3">
                  <w:pPr>
                    <w:jc w:val="center"/>
                    <w:rPr>
                      <w:color w:val="auto"/>
                      <w:szCs w:val="21"/>
                      <w:u w:val="single"/>
                    </w:rPr>
                  </w:pPr>
                </w:p>
              </w:tc>
            </w:tr>
            <w:tr w14:paraId="22AE05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continue"/>
                  <w:tcBorders>
                    <w:tl2br w:val="nil"/>
                    <w:tr2bl w:val="nil"/>
                  </w:tcBorders>
                  <w:vAlign w:val="center"/>
                </w:tcPr>
                <w:p w14:paraId="6233415D">
                  <w:pPr>
                    <w:jc w:val="center"/>
                    <w:rPr>
                      <w:color w:val="auto"/>
                      <w:szCs w:val="21"/>
                      <w:u w:val="single"/>
                    </w:rPr>
                  </w:pPr>
                </w:p>
              </w:tc>
              <w:tc>
                <w:tcPr>
                  <w:tcW w:w="2020" w:type="dxa"/>
                  <w:tcBorders>
                    <w:tl2br w:val="nil"/>
                    <w:tr2bl w:val="nil"/>
                  </w:tcBorders>
                  <w:vAlign w:val="center"/>
                </w:tcPr>
                <w:p w14:paraId="635F6D71">
                  <w:pPr>
                    <w:jc w:val="center"/>
                    <w:rPr>
                      <w:color w:val="auto"/>
                      <w:szCs w:val="21"/>
                      <w:u w:val="single"/>
                    </w:rPr>
                  </w:pPr>
                  <w:r>
                    <w:rPr>
                      <w:rFonts w:hint="eastAsia"/>
                      <w:color w:val="auto"/>
                      <w:szCs w:val="21"/>
                      <w:u w:val="single"/>
                    </w:rPr>
                    <w:t>落砂废气</w:t>
                  </w:r>
                </w:p>
              </w:tc>
              <w:tc>
                <w:tcPr>
                  <w:tcW w:w="2192" w:type="dxa"/>
                  <w:tcBorders>
                    <w:tl2br w:val="nil"/>
                    <w:tr2bl w:val="nil"/>
                  </w:tcBorders>
                  <w:vAlign w:val="center"/>
                </w:tcPr>
                <w:p w14:paraId="5EF66E07">
                  <w:pPr>
                    <w:jc w:val="center"/>
                    <w:rPr>
                      <w:color w:val="auto"/>
                      <w:szCs w:val="21"/>
                      <w:u w:val="single"/>
                    </w:rPr>
                  </w:pPr>
                  <w:r>
                    <w:rPr>
                      <w:rFonts w:hint="eastAsia"/>
                      <w:color w:val="auto"/>
                      <w:szCs w:val="21"/>
                      <w:u w:val="single"/>
                    </w:rPr>
                    <w:t>布袋除尘器</w:t>
                  </w:r>
                </w:p>
              </w:tc>
              <w:tc>
                <w:tcPr>
                  <w:tcW w:w="2192" w:type="dxa"/>
                  <w:vMerge w:val="continue"/>
                  <w:tcBorders>
                    <w:tl2br w:val="nil"/>
                    <w:tr2bl w:val="nil"/>
                  </w:tcBorders>
                  <w:vAlign w:val="center"/>
                </w:tcPr>
                <w:p w14:paraId="2EE7E48D">
                  <w:pPr>
                    <w:jc w:val="center"/>
                    <w:rPr>
                      <w:color w:val="auto"/>
                      <w:szCs w:val="21"/>
                      <w:u w:val="single"/>
                    </w:rPr>
                  </w:pPr>
                </w:p>
              </w:tc>
              <w:tc>
                <w:tcPr>
                  <w:tcW w:w="1134" w:type="dxa"/>
                  <w:vMerge w:val="continue"/>
                  <w:tcBorders>
                    <w:tl2br w:val="nil"/>
                    <w:tr2bl w:val="nil"/>
                  </w:tcBorders>
                  <w:vAlign w:val="center"/>
                </w:tcPr>
                <w:p w14:paraId="1137BF2E">
                  <w:pPr>
                    <w:jc w:val="center"/>
                    <w:rPr>
                      <w:color w:val="auto"/>
                      <w:szCs w:val="21"/>
                      <w:u w:val="single"/>
                    </w:rPr>
                  </w:pPr>
                </w:p>
              </w:tc>
            </w:tr>
            <w:tr w14:paraId="59B54F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continue"/>
                  <w:tcBorders>
                    <w:tl2br w:val="nil"/>
                    <w:tr2bl w:val="nil"/>
                  </w:tcBorders>
                  <w:vAlign w:val="center"/>
                </w:tcPr>
                <w:p w14:paraId="09253F9F">
                  <w:pPr>
                    <w:jc w:val="center"/>
                    <w:rPr>
                      <w:color w:val="auto"/>
                      <w:szCs w:val="21"/>
                      <w:u w:val="single"/>
                    </w:rPr>
                  </w:pPr>
                </w:p>
              </w:tc>
              <w:tc>
                <w:tcPr>
                  <w:tcW w:w="2020" w:type="dxa"/>
                  <w:tcBorders>
                    <w:tl2br w:val="nil"/>
                    <w:tr2bl w:val="nil"/>
                  </w:tcBorders>
                  <w:vAlign w:val="center"/>
                </w:tcPr>
                <w:p w14:paraId="75065BEC">
                  <w:pPr>
                    <w:jc w:val="center"/>
                    <w:rPr>
                      <w:color w:val="auto"/>
                      <w:szCs w:val="21"/>
                      <w:u w:val="single"/>
                    </w:rPr>
                  </w:pPr>
                  <w:r>
                    <w:rPr>
                      <w:rFonts w:hint="eastAsia"/>
                      <w:color w:val="auto"/>
                      <w:szCs w:val="21"/>
                      <w:u w:val="single"/>
                    </w:rPr>
                    <w:t>砂处理粉尘</w:t>
                  </w:r>
                </w:p>
              </w:tc>
              <w:tc>
                <w:tcPr>
                  <w:tcW w:w="2192" w:type="dxa"/>
                  <w:tcBorders>
                    <w:tl2br w:val="nil"/>
                    <w:tr2bl w:val="nil"/>
                  </w:tcBorders>
                  <w:vAlign w:val="center"/>
                </w:tcPr>
                <w:p w14:paraId="10017089">
                  <w:pPr>
                    <w:jc w:val="center"/>
                    <w:rPr>
                      <w:color w:val="auto"/>
                      <w:szCs w:val="21"/>
                      <w:u w:val="single"/>
                    </w:rPr>
                  </w:pPr>
                  <w:r>
                    <w:rPr>
                      <w:rFonts w:hint="eastAsia"/>
                      <w:color w:val="auto"/>
                      <w:szCs w:val="21"/>
                      <w:u w:val="single"/>
                    </w:rPr>
                    <w:t>布袋除尘器</w:t>
                  </w:r>
                </w:p>
              </w:tc>
              <w:tc>
                <w:tcPr>
                  <w:tcW w:w="2192" w:type="dxa"/>
                  <w:vMerge w:val="continue"/>
                  <w:tcBorders>
                    <w:tl2br w:val="nil"/>
                    <w:tr2bl w:val="nil"/>
                  </w:tcBorders>
                  <w:vAlign w:val="center"/>
                </w:tcPr>
                <w:p w14:paraId="2246FEBB">
                  <w:pPr>
                    <w:jc w:val="center"/>
                    <w:rPr>
                      <w:color w:val="auto"/>
                      <w:szCs w:val="21"/>
                      <w:u w:val="single"/>
                    </w:rPr>
                  </w:pPr>
                </w:p>
              </w:tc>
              <w:tc>
                <w:tcPr>
                  <w:tcW w:w="1134" w:type="dxa"/>
                  <w:vMerge w:val="continue"/>
                  <w:tcBorders>
                    <w:tl2br w:val="nil"/>
                    <w:tr2bl w:val="nil"/>
                  </w:tcBorders>
                  <w:vAlign w:val="center"/>
                </w:tcPr>
                <w:p w14:paraId="18A6FFF0">
                  <w:pPr>
                    <w:jc w:val="center"/>
                    <w:rPr>
                      <w:color w:val="auto"/>
                      <w:szCs w:val="21"/>
                      <w:u w:val="single"/>
                    </w:rPr>
                  </w:pPr>
                </w:p>
              </w:tc>
            </w:tr>
            <w:tr w14:paraId="7B6242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continue"/>
                  <w:tcBorders>
                    <w:tl2br w:val="nil"/>
                    <w:tr2bl w:val="nil"/>
                  </w:tcBorders>
                  <w:vAlign w:val="center"/>
                </w:tcPr>
                <w:p w14:paraId="1BC7808D">
                  <w:pPr>
                    <w:jc w:val="center"/>
                    <w:rPr>
                      <w:color w:val="auto"/>
                      <w:szCs w:val="21"/>
                      <w:u w:val="single"/>
                    </w:rPr>
                  </w:pPr>
                </w:p>
              </w:tc>
              <w:tc>
                <w:tcPr>
                  <w:tcW w:w="2020" w:type="dxa"/>
                  <w:tcBorders>
                    <w:tl2br w:val="nil"/>
                    <w:tr2bl w:val="nil"/>
                  </w:tcBorders>
                  <w:vAlign w:val="center"/>
                </w:tcPr>
                <w:p w14:paraId="4F9B7212">
                  <w:pPr>
                    <w:jc w:val="center"/>
                    <w:rPr>
                      <w:color w:val="auto"/>
                      <w:szCs w:val="21"/>
                      <w:u w:val="single"/>
                    </w:rPr>
                  </w:pPr>
                  <w:r>
                    <w:rPr>
                      <w:rFonts w:hint="eastAsia"/>
                      <w:color w:val="auto"/>
                      <w:szCs w:val="21"/>
                      <w:u w:val="single"/>
                    </w:rPr>
                    <w:t>抛丸粉尘</w:t>
                  </w:r>
                </w:p>
              </w:tc>
              <w:tc>
                <w:tcPr>
                  <w:tcW w:w="2192" w:type="dxa"/>
                  <w:tcBorders>
                    <w:tl2br w:val="nil"/>
                    <w:tr2bl w:val="nil"/>
                  </w:tcBorders>
                  <w:vAlign w:val="center"/>
                </w:tcPr>
                <w:p w14:paraId="1973F602">
                  <w:pPr>
                    <w:jc w:val="center"/>
                    <w:rPr>
                      <w:color w:val="auto"/>
                      <w:szCs w:val="21"/>
                      <w:u w:val="single"/>
                    </w:rPr>
                  </w:pPr>
                  <w:r>
                    <w:rPr>
                      <w:rFonts w:hint="eastAsia"/>
                      <w:color w:val="auto"/>
                      <w:szCs w:val="21"/>
                      <w:u w:val="single"/>
                    </w:rPr>
                    <w:t>自带布袋除尘器</w:t>
                  </w:r>
                </w:p>
              </w:tc>
              <w:tc>
                <w:tcPr>
                  <w:tcW w:w="2192" w:type="dxa"/>
                  <w:vMerge w:val="continue"/>
                  <w:tcBorders>
                    <w:tl2br w:val="nil"/>
                    <w:tr2bl w:val="nil"/>
                  </w:tcBorders>
                  <w:vAlign w:val="center"/>
                </w:tcPr>
                <w:p w14:paraId="10B1598F">
                  <w:pPr>
                    <w:jc w:val="center"/>
                    <w:rPr>
                      <w:color w:val="auto"/>
                      <w:szCs w:val="21"/>
                      <w:u w:val="single"/>
                    </w:rPr>
                  </w:pPr>
                </w:p>
              </w:tc>
              <w:tc>
                <w:tcPr>
                  <w:tcW w:w="1134" w:type="dxa"/>
                  <w:vMerge w:val="continue"/>
                  <w:tcBorders>
                    <w:tl2br w:val="nil"/>
                    <w:tr2bl w:val="nil"/>
                  </w:tcBorders>
                  <w:vAlign w:val="center"/>
                </w:tcPr>
                <w:p w14:paraId="7EC58A94">
                  <w:pPr>
                    <w:jc w:val="center"/>
                    <w:rPr>
                      <w:color w:val="auto"/>
                      <w:szCs w:val="21"/>
                      <w:u w:val="single"/>
                    </w:rPr>
                  </w:pPr>
                </w:p>
              </w:tc>
            </w:tr>
            <w:tr w14:paraId="3EB03A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continue"/>
                  <w:tcBorders>
                    <w:tl2br w:val="nil"/>
                    <w:tr2bl w:val="nil"/>
                  </w:tcBorders>
                  <w:vAlign w:val="center"/>
                </w:tcPr>
                <w:p w14:paraId="039D4620">
                  <w:pPr>
                    <w:jc w:val="center"/>
                    <w:rPr>
                      <w:color w:val="auto"/>
                      <w:szCs w:val="21"/>
                      <w:u w:val="single"/>
                    </w:rPr>
                  </w:pPr>
                </w:p>
              </w:tc>
              <w:tc>
                <w:tcPr>
                  <w:tcW w:w="2020" w:type="dxa"/>
                  <w:tcBorders>
                    <w:tl2br w:val="nil"/>
                    <w:tr2bl w:val="nil"/>
                  </w:tcBorders>
                  <w:vAlign w:val="center"/>
                </w:tcPr>
                <w:p w14:paraId="4397DA38">
                  <w:pPr>
                    <w:jc w:val="center"/>
                    <w:rPr>
                      <w:color w:val="auto"/>
                      <w:szCs w:val="21"/>
                      <w:u w:val="single"/>
                    </w:rPr>
                  </w:pPr>
                  <w:r>
                    <w:rPr>
                      <w:rFonts w:hint="eastAsia"/>
                      <w:color w:val="auto"/>
                      <w:szCs w:val="21"/>
                      <w:u w:val="single"/>
                    </w:rPr>
                    <w:t>喷涂废气</w:t>
                  </w:r>
                </w:p>
              </w:tc>
              <w:tc>
                <w:tcPr>
                  <w:tcW w:w="4384" w:type="dxa"/>
                  <w:gridSpan w:val="2"/>
                  <w:tcBorders>
                    <w:tl2br w:val="nil"/>
                    <w:tr2bl w:val="nil"/>
                  </w:tcBorders>
                  <w:vAlign w:val="center"/>
                </w:tcPr>
                <w:p w14:paraId="339B70B5">
                  <w:pPr>
                    <w:jc w:val="center"/>
                    <w:rPr>
                      <w:color w:val="auto"/>
                      <w:szCs w:val="21"/>
                      <w:u w:val="single"/>
                    </w:rPr>
                  </w:pPr>
                  <w:r>
                    <w:rPr>
                      <w:rFonts w:hint="eastAsia"/>
                      <w:color w:val="auto"/>
                      <w:szCs w:val="21"/>
                      <w:u w:val="single"/>
                    </w:rPr>
                    <w:t>过滤棉+二级活性炭吸附装置</w:t>
                  </w:r>
                  <w:r>
                    <w:rPr>
                      <w:rFonts w:hint="eastAsia"/>
                      <w:bCs/>
                      <w:color w:val="auto"/>
                      <w:szCs w:val="21"/>
                      <w:u w:val="single"/>
                    </w:rPr>
                    <w:t>+15m排气筒</w:t>
                  </w:r>
                </w:p>
              </w:tc>
              <w:tc>
                <w:tcPr>
                  <w:tcW w:w="1134" w:type="dxa"/>
                  <w:tcBorders>
                    <w:tl2br w:val="nil"/>
                    <w:tr2bl w:val="nil"/>
                  </w:tcBorders>
                  <w:vAlign w:val="center"/>
                </w:tcPr>
                <w:p w14:paraId="6D3FABD7">
                  <w:pPr>
                    <w:jc w:val="center"/>
                    <w:rPr>
                      <w:color w:val="auto"/>
                      <w:szCs w:val="21"/>
                      <w:u w:val="single"/>
                    </w:rPr>
                  </w:pPr>
                  <w:r>
                    <w:rPr>
                      <w:rFonts w:hint="eastAsia"/>
                      <w:color w:val="auto"/>
                      <w:szCs w:val="21"/>
                      <w:u w:val="single"/>
                    </w:rPr>
                    <w:t>10</w:t>
                  </w:r>
                </w:p>
              </w:tc>
            </w:tr>
            <w:tr w14:paraId="393CAB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continue"/>
                  <w:tcBorders>
                    <w:tl2br w:val="nil"/>
                    <w:tr2bl w:val="nil"/>
                  </w:tcBorders>
                  <w:vAlign w:val="center"/>
                </w:tcPr>
                <w:p w14:paraId="09AE55F1">
                  <w:pPr>
                    <w:jc w:val="center"/>
                    <w:rPr>
                      <w:color w:val="auto"/>
                      <w:szCs w:val="21"/>
                      <w:u w:val="single"/>
                    </w:rPr>
                  </w:pPr>
                </w:p>
              </w:tc>
              <w:tc>
                <w:tcPr>
                  <w:tcW w:w="2020" w:type="dxa"/>
                  <w:tcBorders>
                    <w:tl2br w:val="nil"/>
                    <w:tr2bl w:val="nil"/>
                  </w:tcBorders>
                  <w:vAlign w:val="center"/>
                </w:tcPr>
                <w:p w14:paraId="0023B1A8">
                  <w:pPr>
                    <w:jc w:val="center"/>
                    <w:rPr>
                      <w:color w:val="auto"/>
                      <w:szCs w:val="21"/>
                      <w:u w:val="single"/>
                    </w:rPr>
                  </w:pPr>
                  <w:r>
                    <w:rPr>
                      <w:rFonts w:hint="eastAsia"/>
                      <w:color w:val="auto"/>
                      <w:szCs w:val="21"/>
                      <w:u w:val="single"/>
                    </w:rPr>
                    <w:t>去冒口粉尘</w:t>
                  </w:r>
                </w:p>
              </w:tc>
              <w:tc>
                <w:tcPr>
                  <w:tcW w:w="4384" w:type="dxa"/>
                  <w:gridSpan w:val="2"/>
                  <w:vMerge w:val="restart"/>
                  <w:tcBorders>
                    <w:tl2br w:val="nil"/>
                    <w:tr2bl w:val="nil"/>
                  </w:tcBorders>
                  <w:vAlign w:val="center"/>
                </w:tcPr>
                <w:p w14:paraId="746328DC">
                  <w:pPr>
                    <w:jc w:val="center"/>
                    <w:rPr>
                      <w:color w:val="auto"/>
                      <w:szCs w:val="21"/>
                      <w:u w:val="single"/>
                    </w:rPr>
                  </w:pPr>
                  <w:r>
                    <w:rPr>
                      <w:rFonts w:hint="eastAsia"/>
                      <w:color w:val="auto"/>
                      <w:szCs w:val="21"/>
                      <w:u w:val="single"/>
                    </w:rPr>
                    <w:t>移动式除尘器</w:t>
                  </w:r>
                </w:p>
              </w:tc>
              <w:tc>
                <w:tcPr>
                  <w:tcW w:w="1134" w:type="dxa"/>
                  <w:vMerge w:val="restart"/>
                  <w:tcBorders>
                    <w:tl2br w:val="nil"/>
                    <w:tr2bl w:val="nil"/>
                  </w:tcBorders>
                  <w:vAlign w:val="center"/>
                </w:tcPr>
                <w:p w14:paraId="1B236DEC">
                  <w:pPr>
                    <w:jc w:val="center"/>
                    <w:rPr>
                      <w:color w:val="auto"/>
                      <w:szCs w:val="21"/>
                      <w:u w:val="single"/>
                    </w:rPr>
                  </w:pPr>
                  <w:r>
                    <w:rPr>
                      <w:rFonts w:hint="eastAsia"/>
                      <w:color w:val="auto"/>
                      <w:szCs w:val="21"/>
                      <w:u w:val="single"/>
                    </w:rPr>
                    <w:t>3</w:t>
                  </w:r>
                </w:p>
              </w:tc>
            </w:tr>
            <w:tr w14:paraId="330453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continue"/>
                  <w:tcBorders>
                    <w:tl2br w:val="nil"/>
                    <w:tr2bl w:val="nil"/>
                  </w:tcBorders>
                  <w:vAlign w:val="center"/>
                </w:tcPr>
                <w:p w14:paraId="677D29BC">
                  <w:pPr>
                    <w:jc w:val="center"/>
                    <w:rPr>
                      <w:color w:val="auto"/>
                      <w:szCs w:val="21"/>
                      <w:u w:val="single"/>
                    </w:rPr>
                  </w:pPr>
                </w:p>
              </w:tc>
              <w:tc>
                <w:tcPr>
                  <w:tcW w:w="2020" w:type="dxa"/>
                  <w:tcBorders>
                    <w:tl2br w:val="nil"/>
                    <w:tr2bl w:val="nil"/>
                  </w:tcBorders>
                  <w:vAlign w:val="center"/>
                </w:tcPr>
                <w:p w14:paraId="47B705F6">
                  <w:pPr>
                    <w:jc w:val="center"/>
                    <w:rPr>
                      <w:color w:val="auto"/>
                      <w:szCs w:val="21"/>
                      <w:u w:val="single"/>
                    </w:rPr>
                  </w:pPr>
                  <w:r>
                    <w:rPr>
                      <w:rFonts w:hint="eastAsia"/>
                      <w:color w:val="auto"/>
                      <w:szCs w:val="21"/>
                      <w:u w:val="single"/>
                    </w:rPr>
                    <w:t>打磨粉尘</w:t>
                  </w:r>
                </w:p>
              </w:tc>
              <w:tc>
                <w:tcPr>
                  <w:tcW w:w="4384" w:type="dxa"/>
                  <w:gridSpan w:val="2"/>
                  <w:vMerge w:val="continue"/>
                  <w:tcBorders>
                    <w:tl2br w:val="nil"/>
                    <w:tr2bl w:val="nil"/>
                  </w:tcBorders>
                  <w:vAlign w:val="center"/>
                </w:tcPr>
                <w:p w14:paraId="536C8116">
                  <w:pPr>
                    <w:jc w:val="center"/>
                    <w:rPr>
                      <w:color w:val="auto"/>
                      <w:szCs w:val="21"/>
                      <w:u w:val="single"/>
                    </w:rPr>
                  </w:pPr>
                </w:p>
              </w:tc>
              <w:tc>
                <w:tcPr>
                  <w:tcW w:w="1134" w:type="dxa"/>
                  <w:vMerge w:val="continue"/>
                  <w:tcBorders>
                    <w:tl2br w:val="nil"/>
                    <w:tr2bl w:val="nil"/>
                  </w:tcBorders>
                  <w:vAlign w:val="center"/>
                </w:tcPr>
                <w:p w14:paraId="04A11737">
                  <w:pPr>
                    <w:jc w:val="center"/>
                    <w:rPr>
                      <w:color w:val="auto"/>
                      <w:szCs w:val="21"/>
                      <w:u w:val="single"/>
                    </w:rPr>
                  </w:pPr>
                </w:p>
              </w:tc>
            </w:tr>
            <w:tr w14:paraId="6C8E89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continue"/>
                  <w:tcBorders>
                    <w:tl2br w:val="nil"/>
                    <w:tr2bl w:val="nil"/>
                  </w:tcBorders>
                  <w:vAlign w:val="center"/>
                </w:tcPr>
                <w:p w14:paraId="4812895F">
                  <w:pPr>
                    <w:jc w:val="center"/>
                    <w:rPr>
                      <w:color w:val="auto"/>
                      <w:szCs w:val="21"/>
                      <w:u w:val="single"/>
                    </w:rPr>
                  </w:pPr>
                </w:p>
              </w:tc>
              <w:tc>
                <w:tcPr>
                  <w:tcW w:w="2020" w:type="dxa"/>
                  <w:tcBorders>
                    <w:tl2br w:val="nil"/>
                    <w:tr2bl w:val="nil"/>
                  </w:tcBorders>
                  <w:vAlign w:val="center"/>
                </w:tcPr>
                <w:p w14:paraId="0A2CE8EB">
                  <w:pPr>
                    <w:jc w:val="center"/>
                    <w:rPr>
                      <w:color w:val="auto"/>
                      <w:szCs w:val="21"/>
                      <w:u w:val="single"/>
                    </w:rPr>
                  </w:pPr>
                  <w:r>
                    <w:rPr>
                      <w:rFonts w:hint="eastAsia"/>
                      <w:color w:val="auto"/>
                      <w:szCs w:val="21"/>
                      <w:u w:val="single"/>
                    </w:rPr>
                    <w:t>焊接烟尘</w:t>
                  </w:r>
                </w:p>
              </w:tc>
              <w:tc>
                <w:tcPr>
                  <w:tcW w:w="4384" w:type="dxa"/>
                  <w:gridSpan w:val="2"/>
                  <w:vMerge w:val="continue"/>
                  <w:tcBorders>
                    <w:tl2br w:val="nil"/>
                    <w:tr2bl w:val="nil"/>
                  </w:tcBorders>
                  <w:vAlign w:val="center"/>
                </w:tcPr>
                <w:p w14:paraId="77F025F5">
                  <w:pPr>
                    <w:jc w:val="center"/>
                    <w:rPr>
                      <w:color w:val="auto"/>
                      <w:szCs w:val="21"/>
                      <w:u w:val="single"/>
                    </w:rPr>
                  </w:pPr>
                </w:p>
              </w:tc>
              <w:tc>
                <w:tcPr>
                  <w:tcW w:w="1134" w:type="dxa"/>
                  <w:vMerge w:val="continue"/>
                  <w:tcBorders>
                    <w:tl2br w:val="nil"/>
                    <w:tr2bl w:val="nil"/>
                  </w:tcBorders>
                  <w:vAlign w:val="center"/>
                </w:tcPr>
                <w:p w14:paraId="52ED16BF">
                  <w:pPr>
                    <w:jc w:val="center"/>
                    <w:rPr>
                      <w:color w:val="auto"/>
                      <w:szCs w:val="21"/>
                      <w:u w:val="single"/>
                    </w:rPr>
                  </w:pPr>
                </w:p>
              </w:tc>
            </w:tr>
            <w:tr w14:paraId="26B247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restart"/>
                  <w:tcBorders>
                    <w:tl2br w:val="nil"/>
                    <w:tr2bl w:val="nil"/>
                  </w:tcBorders>
                  <w:vAlign w:val="center"/>
                </w:tcPr>
                <w:p w14:paraId="33329EB4">
                  <w:pPr>
                    <w:jc w:val="center"/>
                    <w:rPr>
                      <w:color w:val="auto"/>
                      <w:szCs w:val="21"/>
                      <w:u w:val="single"/>
                    </w:rPr>
                  </w:pPr>
                  <w:r>
                    <w:rPr>
                      <w:color w:val="auto"/>
                      <w:szCs w:val="21"/>
                      <w:u w:val="single"/>
                    </w:rPr>
                    <w:t>废水</w:t>
                  </w:r>
                </w:p>
              </w:tc>
              <w:tc>
                <w:tcPr>
                  <w:tcW w:w="2020" w:type="dxa"/>
                  <w:tcBorders>
                    <w:tl2br w:val="nil"/>
                    <w:tr2bl w:val="nil"/>
                  </w:tcBorders>
                  <w:vAlign w:val="center"/>
                </w:tcPr>
                <w:p w14:paraId="37FF4153">
                  <w:pPr>
                    <w:jc w:val="center"/>
                    <w:rPr>
                      <w:color w:val="auto"/>
                      <w:u w:val="single"/>
                    </w:rPr>
                  </w:pPr>
                  <w:r>
                    <w:rPr>
                      <w:rFonts w:hint="eastAsia"/>
                      <w:color w:val="auto"/>
                      <w:u w:val="single"/>
                    </w:rPr>
                    <w:t>生活污水</w:t>
                  </w:r>
                </w:p>
              </w:tc>
              <w:tc>
                <w:tcPr>
                  <w:tcW w:w="4384" w:type="dxa"/>
                  <w:gridSpan w:val="2"/>
                  <w:tcBorders>
                    <w:tl2br w:val="nil"/>
                    <w:tr2bl w:val="nil"/>
                  </w:tcBorders>
                  <w:vAlign w:val="center"/>
                </w:tcPr>
                <w:p w14:paraId="5679D023">
                  <w:pPr>
                    <w:jc w:val="center"/>
                    <w:rPr>
                      <w:color w:val="auto"/>
                      <w:u w:val="single"/>
                    </w:rPr>
                  </w:pPr>
                  <w:r>
                    <w:rPr>
                      <w:rFonts w:hint="eastAsia"/>
                      <w:color w:val="auto"/>
                      <w:szCs w:val="21"/>
                      <w:u w:val="single"/>
                    </w:rPr>
                    <w:t>化粪池</w:t>
                  </w:r>
                </w:p>
              </w:tc>
              <w:tc>
                <w:tcPr>
                  <w:tcW w:w="1134" w:type="dxa"/>
                  <w:tcBorders>
                    <w:tl2br w:val="nil"/>
                    <w:tr2bl w:val="nil"/>
                  </w:tcBorders>
                  <w:vAlign w:val="center"/>
                </w:tcPr>
                <w:p w14:paraId="1A32B764">
                  <w:pPr>
                    <w:jc w:val="center"/>
                    <w:rPr>
                      <w:color w:val="auto"/>
                      <w:szCs w:val="21"/>
                      <w:u w:val="single"/>
                    </w:rPr>
                  </w:pPr>
                  <w:r>
                    <w:rPr>
                      <w:rFonts w:hint="eastAsia"/>
                      <w:color w:val="auto"/>
                      <w:szCs w:val="21"/>
                      <w:u w:val="single"/>
                    </w:rPr>
                    <w:t>依托</w:t>
                  </w:r>
                </w:p>
              </w:tc>
            </w:tr>
            <w:tr w14:paraId="4F8B7C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continue"/>
                  <w:tcBorders>
                    <w:tl2br w:val="nil"/>
                    <w:tr2bl w:val="nil"/>
                  </w:tcBorders>
                  <w:vAlign w:val="center"/>
                </w:tcPr>
                <w:p w14:paraId="2073A0B8">
                  <w:pPr>
                    <w:jc w:val="center"/>
                    <w:rPr>
                      <w:color w:val="auto"/>
                      <w:szCs w:val="21"/>
                      <w:u w:val="single"/>
                    </w:rPr>
                  </w:pPr>
                </w:p>
              </w:tc>
              <w:tc>
                <w:tcPr>
                  <w:tcW w:w="2020" w:type="dxa"/>
                  <w:tcBorders>
                    <w:tl2br w:val="nil"/>
                    <w:tr2bl w:val="nil"/>
                  </w:tcBorders>
                  <w:vAlign w:val="center"/>
                </w:tcPr>
                <w:p w14:paraId="0EE97E86">
                  <w:pPr>
                    <w:jc w:val="center"/>
                    <w:rPr>
                      <w:color w:val="auto"/>
                      <w:u w:val="single"/>
                    </w:rPr>
                  </w:pPr>
                  <w:r>
                    <w:rPr>
                      <w:rFonts w:hint="eastAsia"/>
                      <w:color w:val="auto"/>
                      <w:u w:val="single"/>
                    </w:rPr>
                    <w:t>冷却废水</w:t>
                  </w:r>
                </w:p>
              </w:tc>
              <w:tc>
                <w:tcPr>
                  <w:tcW w:w="4384" w:type="dxa"/>
                  <w:gridSpan w:val="2"/>
                  <w:tcBorders>
                    <w:tl2br w:val="nil"/>
                    <w:tr2bl w:val="nil"/>
                  </w:tcBorders>
                  <w:vAlign w:val="center"/>
                </w:tcPr>
                <w:p w14:paraId="2EA79FB1">
                  <w:pPr>
                    <w:jc w:val="center"/>
                    <w:rPr>
                      <w:color w:val="auto"/>
                      <w:szCs w:val="21"/>
                      <w:u w:val="single"/>
                    </w:rPr>
                  </w:pPr>
                  <w:r>
                    <w:rPr>
                      <w:rFonts w:hint="eastAsia"/>
                      <w:color w:val="auto"/>
                      <w:szCs w:val="21"/>
                      <w:u w:val="single"/>
                    </w:rPr>
                    <w:t>循环冷却水池</w:t>
                  </w:r>
                </w:p>
              </w:tc>
              <w:tc>
                <w:tcPr>
                  <w:tcW w:w="1134" w:type="dxa"/>
                  <w:tcBorders>
                    <w:tl2br w:val="nil"/>
                    <w:tr2bl w:val="nil"/>
                  </w:tcBorders>
                  <w:vAlign w:val="center"/>
                </w:tcPr>
                <w:p w14:paraId="6FA607F0">
                  <w:pPr>
                    <w:jc w:val="center"/>
                    <w:rPr>
                      <w:color w:val="auto"/>
                      <w:szCs w:val="21"/>
                      <w:u w:val="single"/>
                    </w:rPr>
                  </w:pPr>
                  <w:r>
                    <w:rPr>
                      <w:rFonts w:hint="eastAsia"/>
                      <w:color w:val="auto"/>
                      <w:szCs w:val="21"/>
                      <w:u w:val="single"/>
                    </w:rPr>
                    <w:t>5</w:t>
                  </w:r>
                </w:p>
              </w:tc>
            </w:tr>
            <w:tr w14:paraId="018216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tcBorders>
                    <w:tl2br w:val="nil"/>
                    <w:tr2bl w:val="nil"/>
                  </w:tcBorders>
                  <w:vAlign w:val="center"/>
                </w:tcPr>
                <w:p w14:paraId="353B91E8">
                  <w:pPr>
                    <w:jc w:val="center"/>
                    <w:rPr>
                      <w:color w:val="auto"/>
                      <w:szCs w:val="21"/>
                      <w:u w:val="single"/>
                    </w:rPr>
                  </w:pPr>
                  <w:r>
                    <w:rPr>
                      <w:color w:val="auto"/>
                      <w:szCs w:val="21"/>
                      <w:u w:val="single"/>
                    </w:rPr>
                    <w:t>噪声</w:t>
                  </w:r>
                </w:p>
              </w:tc>
              <w:tc>
                <w:tcPr>
                  <w:tcW w:w="2020" w:type="dxa"/>
                  <w:tcBorders>
                    <w:tl2br w:val="nil"/>
                    <w:tr2bl w:val="nil"/>
                  </w:tcBorders>
                  <w:vAlign w:val="center"/>
                </w:tcPr>
                <w:p w14:paraId="49593192">
                  <w:pPr>
                    <w:jc w:val="center"/>
                    <w:rPr>
                      <w:color w:val="auto"/>
                      <w:szCs w:val="21"/>
                      <w:u w:val="single"/>
                    </w:rPr>
                  </w:pPr>
                  <w:r>
                    <w:rPr>
                      <w:rFonts w:hint="eastAsia"/>
                      <w:color w:val="auto"/>
                      <w:szCs w:val="21"/>
                      <w:u w:val="single"/>
                    </w:rPr>
                    <w:t>设备噪声</w:t>
                  </w:r>
                </w:p>
              </w:tc>
              <w:tc>
                <w:tcPr>
                  <w:tcW w:w="4384" w:type="dxa"/>
                  <w:gridSpan w:val="2"/>
                  <w:tcBorders>
                    <w:tl2br w:val="nil"/>
                    <w:tr2bl w:val="nil"/>
                  </w:tcBorders>
                  <w:vAlign w:val="center"/>
                </w:tcPr>
                <w:p w14:paraId="7DCF8208">
                  <w:pPr>
                    <w:jc w:val="center"/>
                    <w:rPr>
                      <w:color w:val="auto"/>
                      <w:szCs w:val="21"/>
                      <w:u w:val="single"/>
                    </w:rPr>
                  </w:pPr>
                  <w:r>
                    <w:rPr>
                      <w:color w:val="auto"/>
                      <w:szCs w:val="21"/>
                      <w:u w:val="single"/>
                    </w:rPr>
                    <w:t>隔声、减振</w:t>
                  </w:r>
                </w:p>
              </w:tc>
              <w:tc>
                <w:tcPr>
                  <w:tcW w:w="1134" w:type="dxa"/>
                  <w:tcBorders>
                    <w:tl2br w:val="nil"/>
                    <w:tr2bl w:val="nil"/>
                  </w:tcBorders>
                  <w:vAlign w:val="center"/>
                </w:tcPr>
                <w:p w14:paraId="1CBC5E80">
                  <w:pPr>
                    <w:jc w:val="center"/>
                    <w:rPr>
                      <w:color w:val="auto"/>
                      <w:szCs w:val="21"/>
                      <w:u w:val="single"/>
                    </w:rPr>
                  </w:pPr>
                  <w:r>
                    <w:rPr>
                      <w:rFonts w:hint="eastAsia"/>
                      <w:color w:val="auto"/>
                      <w:szCs w:val="21"/>
                      <w:u w:val="single"/>
                    </w:rPr>
                    <w:t>4</w:t>
                  </w:r>
                </w:p>
              </w:tc>
            </w:tr>
            <w:tr w14:paraId="16402E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restart"/>
                  <w:tcBorders>
                    <w:tl2br w:val="nil"/>
                    <w:tr2bl w:val="nil"/>
                  </w:tcBorders>
                  <w:vAlign w:val="center"/>
                </w:tcPr>
                <w:p w14:paraId="76953B2D">
                  <w:pPr>
                    <w:jc w:val="center"/>
                    <w:rPr>
                      <w:color w:val="auto"/>
                      <w:szCs w:val="21"/>
                      <w:u w:val="single"/>
                    </w:rPr>
                  </w:pPr>
                  <w:r>
                    <w:rPr>
                      <w:color w:val="auto"/>
                      <w:szCs w:val="21"/>
                      <w:u w:val="single"/>
                    </w:rPr>
                    <w:t>固废</w:t>
                  </w:r>
                </w:p>
              </w:tc>
              <w:tc>
                <w:tcPr>
                  <w:tcW w:w="2020" w:type="dxa"/>
                  <w:tcBorders>
                    <w:tl2br w:val="nil"/>
                    <w:tr2bl w:val="nil"/>
                  </w:tcBorders>
                  <w:vAlign w:val="center"/>
                </w:tcPr>
                <w:p w14:paraId="560C259C">
                  <w:pPr>
                    <w:jc w:val="center"/>
                    <w:rPr>
                      <w:color w:val="auto"/>
                      <w:szCs w:val="21"/>
                      <w:u w:val="single"/>
                    </w:rPr>
                  </w:pPr>
                  <w:r>
                    <w:rPr>
                      <w:rFonts w:hint="eastAsia"/>
                      <w:color w:val="auto"/>
                      <w:szCs w:val="21"/>
                      <w:u w:val="single"/>
                    </w:rPr>
                    <w:t>一般工业固废</w:t>
                  </w:r>
                </w:p>
              </w:tc>
              <w:tc>
                <w:tcPr>
                  <w:tcW w:w="4384" w:type="dxa"/>
                  <w:gridSpan w:val="2"/>
                  <w:tcBorders>
                    <w:tl2br w:val="nil"/>
                    <w:tr2bl w:val="nil"/>
                  </w:tcBorders>
                  <w:vAlign w:val="center"/>
                </w:tcPr>
                <w:p w14:paraId="2B0BA538">
                  <w:pPr>
                    <w:jc w:val="center"/>
                    <w:rPr>
                      <w:color w:val="auto"/>
                      <w:szCs w:val="21"/>
                      <w:u w:val="single"/>
                    </w:rPr>
                  </w:pPr>
                  <w:r>
                    <w:rPr>
                      <w:rFonts w:hint="eastAsia"/>
                      <w:color w:val="auto"/>
                      <w:szCs w:val="21"/>
                      <w:u w:val="single"/>
                    </w:rPr>
                    <w:t>固体废物暂存间收集综合利用</w:t>
                  </w:r>
                </w:p>
              </w:tc>
              <w:tc>
                <w:tcPr>
                  <w:tcW w:w="1134" w:type="dxa"/>
                  <w:tcBorders>
                    <w:tl2br w:val="nil"/>
                    <w:tr2bl w:val="nil"/>
                  </w:tcBorders>
                  <w:vAlign w:val="center"/>
                </w:tcPr>
                <w:p w14:paraId="78CE1D1F">
                  <w:pPr>
                    <w:jc w:val="center"/>
                    <w:rPr>
                      <w:color w:val="auto"/>
                      <w:szCs w:val="21"/>
                      <w:u w:val="single"/>
                    </w:rPr>
                  </w:pPr>
                  <w:r>
                    <w:rPr>
                      <w:rFonts w:hint="eastAsia"/>
                      <w:color w:val="auto"/>
                      <w:szCs w:val="21"/>
                      <w:u w:val="single"/>
                    </w:rPr>
                    <w:t>1</w:t>
                  </w:r>
                </w:p>
              </w:tc>
            </w:tr>
            <w:tr w14:paraId="1DCEC5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continue"/>
                  <w:tcBorders>
                    <w:tl2br w:val="nil"/>
                    <w:tr2bl w:val="nil"/>
                  </w:tcBorders>
                  <w:vAlign w:val="center"/>
                </w:tcPr>
                <w:p w14:paraId="37549C34">
                  <w:pPr>
                    <w:jc w:val="center"/>
                    <w:rPr>
                      <w:color w:val="auto"/>
                      <w:szCs w:val="21"/>
                    </w:rPr>
                  </w:pPr>
                </w:p>
              </w:tc>
              <w:tc>
                <w:tcPr>
                  <w:tcW w:w="2020" w:type="dxa"/>
                  <w:tcBorders>
                    <w:tl2br w:val="nil"/>
                    <w:tr2bl w:val="nil"/>
                  </w:tcBorders>
                  <w:vAlign w:val="center"/>
                </w:tcPr>
                <w:p w14:paraId="43F93E86">
                  <w:pPr>
                    <w:jc w:val="center"/>
                    <w:rPr>
                      <w:color w:val="auto"/>
                      <w:szCs w:val="21"/>
                      <w:u w:val="single"/>
                    </w:rPr>
                  </w:pPr>
                  <w:r>
                    <w:rPr>
                      <w:rFonts w:hint="eastAsia"/>
                      <w:color w:val="auto"/>
                      <w:szCs w:val="21"/>
                      <w:u w:val="single"/>
                    </w:rPr>
                    <w:t>生活垃圾</w:t>
                  </w:r>
                </w:p>
              </w:tc>
              <w:tc>
                <w:tcPr>
                  <w:tcW w:w="4384" w:type="dxa"/>
                  <w:gridSpan w:val="2"/>
                  <w:tcBorders>
                    <w:tl2br w:val="nil"/>
                    <w:tr2bl w:val="nil"/>
                  </w:tcBorders>
                  <w:vAlign w:val="center"/>
                </w:tcPr>
                <w:p w14:paraId="4BE06708">
                  <w:pPr>
                    <w:jc w:val="center"/>
                    <w:rPr>
                      <w:color w:val="auto"/>
                      <w:szCs w:val="21"/>
                      <w:u w:val="single"/>
                    </w:rPr>
                  </w:pPr>
                  <w:r>
                    <w:rPr>
                      <w:rFonts w:hint="eastAsia"/>
                      <w:color w:val="auto"/>
                      <w:szCs w:val="21"/>
                      <w:u w:val="single"/>
                    </w:rPr>
                    <w:t>垃圾桶</w:t>
                  </w:r>
                </w:p>
              </w:tc>
              <w:tc>
                <w:tcPr>
                  <w:tcW w:w="1134" w:type="dxa"/>
                  <w:tcBorders>
                    <w:tl2br w:val="nil"/>
                    <w:tr2bl w:val="nil"/>
                  </w:tcBorders>
                  <w:vAlign w:val="center"/>
                </w:tcPr>
                <w:p w14:paraId="7ADD7B43">
                  <w:pPr>
                    <w:jc w:val="center"/>
                    <w:rPr>
                      <w:color w:val="auto"/>
                      <w:szCs w:val="21"/>
                      <w:u w:val="single"/>
                    </w:rPr>
                  </w:pPr>
                  <w:r>
                    <w:rPr>
                      <w:rFonts w:hint="eastAsia"/>
                      <w:color w:val="auto"/>
                      <w:szCs w:val="21"/>
                      <w:u w:val="single"/>
                    </w:rPr>
                    <w:t>0.1</w:t>
                  </w:r>
                </w:p>
              </w:tc>
            </w:tr>
            <w:tr w14:paraId="266A08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vMerge w:val="continue"/>
                  <w:tcBorders>
                    <w:tl2br w:val="nil"/>
                    <w:tr2bl w:val="nil"/>
                  </w:tcBorders>
                  <w:vAlign w:val="center"/>
                </w:tcPr>
                <w:p w14:paraId="208E05C7">
                  <w:pPr>
                    <w:jc w:val="center"/>
                    <w:rPr>
                      <w:color w:val="auto"/>
                      <w:szCs w:val="21"/>
                    </w:rPr>
                  </w:pPr>
                </w:p>
              </w:tc>
              <w:tc>
                <w:tcPr>
                  <w:tcW w:w="2020" w:type="dxa"/>
                  <w:tcBorders>
                    <w:tl2br w:val="nil"/>
                    <w:tr2bl w:val="nil"/>
                  </w:tcBorders>
                  <w:vAlign w:val="center"/>
                </w:tcPr>
                <w:p w14:paraId="038063BC">
                  <w:pPr>
                    <w:jc w:val="center"/>
                    <w:rPr>
                      <w:color w:val="auto"/>
                      <w:szCs w:val="21"/>
                      <w:u w:val="single"/>
                    </w:rPr>
                  </w:pPr>
                  <w:r>
                    <w:rPr>
                      <w:rFonts w:hint="eastAsia"/>
                      <w:color w:val="auto"/>
                      <w:szCs w:val="21"/>
                      <w:u w:val="single"/>
                    </w:rPr>
                    <w:t>危险固废</w:t>
                  </w:r>
                </w:p>
              </w:tc>
              <w:tc>
                <w:tcPr>
                  <w:tcW w:w="4384" w:type="dxa"/>
                  <w:gridSpan w:val="2"/>
                  <w:tcBorders>
                    <w:tl2br w:val="nil"/>
                    <w:tr2bl w:val="nil"/>
                  </w:tcBorders>
                  <w:vAlign w:val="center"/>
                </w:tcPr>
                <w:p w14:paraId="6F7EDEDD">
                  <w:pPr>
                    <w:jc w:val="center"/>
                    <w:rPr>
                      <w:color w:val="auto"/>
                      <w:szCs w:val="21"/>
                      <w:u w:val="single"/>
                    </w:rPr>
                  </w:pPr>
                  <w:r>
                    <w:rPr>
                      <w:rFonts w:hint="eastAsia"/>
                      <w:color w:val="auto"/>
                      <w:szCs w:val="21"/>
                      <w:u w:val="single"/>
                    </w:rPr>
                    <w:t>危废暂存间暂存后交由有资质单位处理</w:t>
                  </w:r>
                </w:p>
              </w:tc>
              <w:tc>
                <w:tcPr>
                  <w:tcW w:w="1134" w:type="dxa"/>
                  <w:tcBorders>
                    <w:tl2br w:val="nil"/>
                    <w:tr2bl w:val="nil"/>
                  </w:tcBorders>
                  <w:vAlign w:val="center"/>
                </w:tcPr>
                <w:p w14:paraId="7138ADA2">
                  <w:pPr>
                    <w:jc w:val="center"/>
                    <w:rPr>
                      <w:color w:val="auto"/>
                      <w:szCs w:val="21"/>
                      <w:u w:val="single"/>
                    </w:rPr>
                  </w:pPr>
                  <w:r>
                    <w:rPr>
                      <w:rFonts w:hint="eastAsia"/>
                      <w:color w:val="auto"/>
                      <w:szCs w:val="21"/>
                      <w:u w:val="single"/>
                    </w:rPr>
                    <w:t>3</w:t>
                  </w:r>
                </w:p>
              </w:tc>
            </w:tr>
            <w:tr w14:paraId="7EA936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0" w:type="dxa"/>
                  <w:tcBorders>
                    <w:tl2br w:val="nil"/>
                    <w:tr2bl w:val="nil"/>
                  </w:tcBorders>
                  <w:vAlign w:val="center"/>
                </w:tcPr>
                <w:p w14:paraId="4CDBB32F">
                  <w:pPr>
                    <w:jc w:val="center"/>
                    <w:rPr>
                      <w:color w:val="auto"/>
                      <w:szCs w:val="21"/>
                    </w:rPr>
                  </w:pPr>
                  <w:r>
                    <w:rPr>
                      <w:color w:val="auto"/>
                      <w:szCs w:val="21"/>
                      <w:u w:val="single"/>
                    </w:rPr>
                    <w:t>合计</w:t>
                  </w:r>
                </w:p>
              </w:tc>
              <w:tc>
                <w:tcPr>
                  <w:tcW w:w="2020" w:type="dxa"/>
                  <w:tcBorders>
                    <w:tl2br w:val="nil"/>
                    <w:tr2bl w:val="nil"/>
                  </w:tcBorders>
                  <w:vAlign w:val="center"/>
                </w:tcPr>
                <w:p w14:paraId="2375DFDA">
                  <w:pPr>
                    <w:jc w:val="center"/>
                    <w:rPr>
                      <w:color w:val="auto"/>
                      <w:szCs w:val="21"/>
                      <w:u w:val="single"/>
                    </w:rPr>
                  </w:pPr>
                </w:p>
              </w:tc>
              <w:tc>
                <w:tcPr>
                  <w:tcW w:w="4384" w:type="dxa"/>
                  <w:gridSpan w:val="2"/>
                  <w:tcBorders>
                    <w:tl2br w:val="nil"/>
                    <w:tr2bl w:val="nil"/>
                  </w:tcBorders>
                  <w:vAlign w:val="center"/>
                </w:tcPr>
                <w:p w14:paraId="7C19767F">
                  <w:pPr>
                    <w:jc w:val="center"/>
                    <w:rPr>
                      <w:color w:val="auto"/>
                      <w:szCs w:val="21"/>
                      <w:u w:val="single"/>
                    </w:rPr>
                  </w:pPr>
                  <w:r>
                    <w:rPr>
                      <w:color w:val="auto"/>
                      <w:szCs w:val="21"/>
                      <w:u w:val="single"/>
                    </w:rPr>
                    <w:t>/</w:t>
                  </w:r>
                </w:p>
              </w:tc>
              <w:tc>
                <w:tcPr>
                  <w:tcW w:w="1134" w:type="dxa"/>
                  <w:tcBorders>
                    <w:tl2br w:val="nil"/>
                    <w:tr2bl w:val="nil"/>
                  </w:tcBorders>
                  <w:vAlign w:val="center"/>
                </w:tcPr>
                <w:p w14:paraId="77E3F133">
                  <w:pPr>
                    <w:jc w:val="center"/>
                    <w:rPr>
                      <w:color w:val="auto"/>
                      <w:szCs w:val="21"/>
                      <w:u w:val="single"/>
                    </w:rPr>
                  </w:pPr>
                  <w:r>
                    <w:rPr>
                      <w:rFonts w:hint="eastAsia"/>
                      <w:color w:val="auto"/>
                      <w:szCs w:val="21"/>
                      <w:u w:val="single"/>
                    </w:rPr>
                    <w:t>57.1</w:t>
                  </w:r>
                </w:p>
              </w:tc>
            </w:tr>
          </w:tbl>
          <w:p w14:paraId="3C9D9C67">
            <w:pPr>
              <w:spacing w:line="360" w:lineRule="auto"/>
              <w:rPr>
                <w:bCs/>
                <w:color w:val="auto"/>
                <w:spacing w:val="-10"/>
                <w:sz w:val="24"/>
              </w:rPr>
            </w:pPr>
          </w:p>
        </w:tc>
      </w:tr>
    </w:tbl>
    <w:p w14:paraId="630CB01F">
      <w:pPr>
        <w:adjustRightInd w:val="0"/>
        <w:snapToGrid w:val="0"/>
        <w:spacing w:line="360" w:lineRule="auto"/>
        <w:rPr>
          <w:rFonts w:ascii="宋体" w:cs="宋体"/>
          <w:b/>
          <w:kern w:val="0"/>
          <w:sz w:val="28"/>
          <w:szCs w:val="28"/>
        </w:rPr>
        <w:sectPr>
          <w:pgSz w:w="11907" w:h="16840"/>
          <w:pgMar w:top="1701" w:right="1361" w:bottom="1899" w:left="1361" w:header="851" w:footer="851" w:gutter="0"/>
          <w:cols w:space="720" w:num="1"/>
          <w:docGrid w:linePitch="312" w:charSpace="0"/>
        </w:sectPr>
      </w:pPr>
    </w:p>
    <w:p w14:paraId="5220B713">
      <w:pPr>
        <w:pStyle w:val="26"/>
        <w:jc w:val="center"/>
        <w:outlineLvl w:val="0"/>
        <w:rPr>
          <w:rFonts w:ascii="黑体" w:hAnsi="黑体" w:eastAsia="黑体"/>
          <w:snapToGrid w:val="0"/>
          <w:sz w:val="30"/>
          <w:szCs w:val="30"/>
        </w:rPr>
      </w:pPr>
      <w:bookmarkStart w:id="4" w:name="_Toc4468"/>
      <w:r>
        <w:rPr>
          <w:rFonts w:hint="eastAsia" w:ascii="黑体" w:hAnsi="黑体" w:eastAsia="黑体"/>
          <w:snapToGrid w:val="0"/>
          <w:sz w:val="30"/>
          <w:szCs w:val="30"/>
        </w:rPr>
        <w:t>五、环境保护措施监督检查清单</w:t>
      </w:r>
      <w:bookmarkEnd w:id="4"/>
    </w:p>
    <w:tbl>
      <w:tblPr>
        <w:tblStyle w:val="3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25"/>
        <w:gridCol w:w="1875"/>
        <w:gridCol w:w="1100"/>
        <w:gridCol w:w="2197"/>
        <w:gridCol w:w="2070"/>
      </w:tblGrid>
      <w:tr w14:paraId="721710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5" w:type="dxa"/>
            <w:tcBorders>
              <w:tl2br w:val="single" w:color="auto" w:sz="4" w:space="0"/>
            </w:tcBorders>
          </w:tcPr>
          <w:p w14:paraId="4C1C34B6">
            <w:pPr>
              <w:adjustRightInd w:val="0"/>
              <w:snapToGrid w:val="0"/>
              <w:ind w:firstLine="720" w:firstLineChars="300"/>
              <w:rPr>
                <w:rFonts w:ascii="宋体" w:hAnsi="宋体" w:cs="宋体"/>
                <w:sz w:val="24"/>
              </w:rPr>
            </w:pPr>
            <w:r>
              <w:rPr>
                <w:rFonts w:hint="eastAsia" w:ascii="宋体" w:hAnsi="宋体" w:cs="宋体"/>
                <w:sz w:val="24"/>
              </w:rPr>
              <w:t>内容</w:t>
            </w:r>
          </w:p>
          <w:p w14:paraId="711F0321">
            <w:pPr>
              <w:adjustRightInd w:val="0"/>
              <w:snapToGrid w:val="0"/>
              <w:rPr>
                <w:rFonts w:ascii="宋体" w:hAnsi="宋体" w:cs="宋体"/>
                <w:sz w:val="24"/>
              </w:rPr>
            </w:pPr>
            <w:r>
              <w:rPr>
                <w:rFonts w:hint="eastAsia" w:ascii="宋体" w:hAnsi="宋体" w:cs="宋体"/>
                <w:sz w:val="24"/>
              </w:rPr>
              <w:t>要素</w:t>
            </w:r>
          </w:p>
        </w:tc>
        <w:tc>
          <w:tcPr>
            <w:tcW w:w="1875" w:type="dxa"/>
            <w:vAlign w:val="center"/>
          </w:tcPr>
          <w:p w14:paraId="4DC80119">
            <w:pPr>
              <w:adjustRightInd w:val="0"/>
              <w:snapToGrid w:val="0"/>
              <w:jc w:val="center"/>
              <w:rPr>
                <w:rFonts w:ascii="宋体" w:hAnsi="宋体" w:cs="宋体"/>
                <w:sz w:val="24"/>
              </w:rPr>
            </w:pPr>
            <w:r>
              <w:rPr>
                <w:rFonts w:hint="eastAsia" w:ascii="宋体" w:hAnsi="宋体" w:cs="宋体"/>
                <w:sz w:val="24"/>
              </w:rPr>
              <w:t>排放口(编号、</w:t>
            </w:r>
          </w:p>
          <w:p w14:paraId="0CDEFC85">
            <w:pPr>
              <w:adjustRightInd w:val="0"/>
              <w:snapToGrid w:val="0"/>
              <w:jc w:val="center"/>
              <w:rPr>
                <w:rFonts w:ascii="宋体" w:hAnsi="宋体" w:cs="宋体"/>
                <w:sz w:val="24"/>
              </w:rPr>
            </w:pPr>
            <w:r>
              <w:rPr>
                <w:rFonts w:hint="eastAsia" w:ascii="宋体" w:hAnsi="宋体" w:cs="宋体"/>
                <w:sz w:val="24"/>
              </w:rPr>
              <w:t>名称)/污染源</w:t>
            </w:r>
          </w:p>
        </w:tc>
        <w:tc>
          <w:tcPr>
            <w:tcW w:w="1100" w:type="dxa"/>
            <w:vAlign w:val="center"/>
          </w:tcPr>
          <w:p w14:paraId="618A2506">
            <w:pPr>
              <w:adjustRightInd w:val="0"/>
              <w:snapToGrid w:val="0"/>
              <w:jc w:val="center"/>
              <w:rPr>
                <w:rFonts w:ascii="宋体" w:hAnsi="宋体" w:cs="宋体"/>
                <w:sz w:val="24"/>
              </w:rPr>
            </w:pPr>
            <w:r>
              <w:rPr>
                <w:rFonts w:hint="eastAsia" w:ascii="宋体" w:hAnsi="宋体" w:cs="宋体"/>
                <w:sz w:val="24"/>
              </w:rPr>
              <w:t>污染物项目</w:t>
            </w:r>
          </w:p>
        </w:tc>
        <w:tc>
          <w:tcPr>
            <w:tcW w:w="2197" w:type="dxa"/>
            <w:vAlign w:val="center"/>
          </w:tcPr>
          <w:p w14:paraId="0BBB458D">
            <w:pPr>
              <w:adjustRightInd w:val="0"/>
              <w:snapToGrid w:val="0"/>
              <w:jc w:val="center"/>
              <w:rPr>
                <w:rFonts w:ascii="宋体" w:hAnsi="宋体" w:cs="宋体"/>
                <w:sz w:val="24"/>
              </w:rPr>
            </w:pPr>
            <w:r>
              <w:rPr>
                <w:rFonts w:hint="eastAsia" w:ascii="宋体" w:hAnsi="宋体" w:cs="宋体"/>
                <w:sz w:val="24"/>
              </w:rPr>
              <w:t>环境保护措施</w:t>
            </w:r>
          </w:p>
        </w:tc>
        <w:tc>
          <w:tcPr>
            <w:tcW w:w="2070" w:type="dxa"/>
            <w:vAlign w:val="center"/>
          </w:tcPr>
          <w:p w14:paraId="2A67FB0E">
            <w:pPr>
              <w:adjustRightInd w:val="0"/>
              <w:snapToGrid w:val="0"/>
              <w:jc w:val="center"/>
              <w:rPr>
                <w:rFonts w:ascii="宋体" w:hAnsi="宋体" w:cs="宋体"/>
                <w:sz w:val="24"/>
              </w:rPr>
            </w:pPr>
            <w:r>
              <w:rPr>
                <w:rFonts w:hint="eastAsia" w:ascii="宋体" w:hAnsi="宋体" w:cs="宋体"/>
                <w:sz w:val="24"/>
              </w:rPr>
              <w:t>执行标准</w:t>
            </w:r>
          </w:p>
        </w:tc>
      </w:tr>
      <w:tr w14:paraId="09D9C4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5" w:type="dxa"/>
            <w:vMerge w:val="restart"/>
            <w:vAlign w:val="center"/>
          </w:tcPr>
          <w:p w14:paraId="79EDF041">
            <w:pPr>
              <w:adjustRightInd w:val="0"/>
              <w:snapToGrid w:val="0"/>
              <w:jc w:val="center"/>
              <w:rPr>
                <w:rFonts w:ascii="宋体" w:hAnsi="宋体" w:cs="宋体"/>
                <w:sz w:val="24"/>
                <w:u w:val="single"/>
              </w:rPr>
            </w:pPr>
            <w:r>
              <w:rPr>
                <w:rFonts w:hint="eastAsia" w:ascii="宋体" w:hAnsi="宋体" w:cs="宋体"/>
                <w:sz w:val="24"/>
                <w:u w:val="single"/>
              </w:rPr>
              <w:t>大气环境</w:t>
            </w:r>
          </w:p>
        </w:tc>
        <w:tc>
          <w:tcPr>
            <w:tcW w:w="1875" w:type="dxa"/>
            <w:vAlign w:val="center"/>
          </w:tcPr>
          <w:p w14:paraId="3826DA09">
            <w:pPr>
              <w:jc w:val="center"/>
              <w:rPr>
                <w:sz w:val="24"/>
                <w:u w:val="single"/>
              </w:rPr>
            </w:pPr>
            <w:r>
              <w:rPr>
                <w:rFonts w:hint="eastAsia"/>
                <w:sz w:val="24"/>
                <w:u w:val="single"/>
              </w:rPr>
              <w:t>DA001</w:t>
            </w:r>
          </w:p>
        </w:tc>
        <w:tc>
          <w:tcPr>
            <w:tcW w:w="1100" w:type="dxa"/>
            <w:vAlign w:val="center"/>
          </w:tcPr>
          <w:p w14:paraId="45875ED1">
            <w:pPr>
              <w:jc w:val="center"/>
              <w:rPr>
                <w:sz w:val="24"/>
                <w:u w:val="single"/>
              </w:rPr>
            </w:pPr>
            <w:r>
              <w:rPr>
                <w:rFonts w:hint="eastAsia"/>
                <w:sz w:val="24"/>
                <w:u w:val="single"/>
              </w:rPr>
              <w:t>颗粒物、二氧化硫、氮氧化物</w:t>
            </w:r>
          </w:p>
        </w:tc>
        <w:tc>
          <w:tcPr>
            <w:tcW w:w="2197" w:type="dxa"/>
            <w:vAlign w:val="center"/>
          </w:tcPr>
          <w:p w14:paraId="754D3FB4">
            <w:pPr>
              <w:adjustRightInd w:val="0"/>
              <w:snapToGrid w:val="0"/>
              <w:jc w:val="center"/>
              <w:rPr>
                <w:bCs/>
                <w:sz w:val="24"/>
                <w:u w:val="single"/>
              </w:rPr>
            </w:pPr>
            <w:r>
              <w:rPr>
                <w:rFonts w:hint="eastAsia"/>
                <w:bCs/>
                <w:sz w:val="24"/>
                <w:u w:val="single"/>
              </w:rPr>
              <w:t>15m高排气筒排放</w:t>
            </w:r>
          </w:p>
        </w:tc>
        <w:tc>
          <w:tcPr>
            <w:tcW w:w="2070" w:type="dxa"/>
            <w:vAlign w:val="center"/>
          </w:tcPr>
          <w:p w14:paraId="2F91DD0B">
            <w:pPr>
              <w:jc w:val="center"/>
              <w:rPr>
                <w:sz w:val="24"/>
                <w:u w:val="single"/>
              </w:rPr>
            </w:pPr>
            <w:r>
              <w:rPr>
                <w:rFonts w:hint="eastAsia"/>
                <w:sz w:val="24"/>
                <w:u w:val="single"/>
              </w:rPr>
              <w:t>《锅炉大气污染物排放标准》（GB13271-2014）</w:t>
            </w:r>
          </w:p>
        </w:tc>
      </w:tr>
      <w:tr w14:paraId="63DDF8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5" w:type="dxa"/>
            <w:vMerge w:val="continue"/>
            <w:vAlign w:val="center"/>
          </w:tcPr>
          <w:p w14:paraId="02485370">
            <w:pPr>
              <w:adjustRightInd w:val="0"/>
              <w:snapToGrid w:val="0"/>
              <w:jc w:val="center"/>
              <w:rPr>
                <w:rFonts w:ascii="宋体" w:hAnsi="宋体" w:cs="宋体"/>
                <w:sz w:val="24"/>
                <w:u w:val="single"/>
              </w:rPr>
            </w:pPr>
          </w:p>
        </w:tc>
        <w:tc>
          <w:tcPr>
            <w:tcW w:w="1875" w:type="dxa"/>
            <w:vMerge w:val="restart"/>
            <w:vAlign w:val="center"/>
          </w:tcPr>
          <w:p w14:paraId="2BB595AD">
            <w:pPr>
              <w:jc w:val="center"/>
              <w:rPr>
                <w:sz w:val="24"/>
                <w:u w:val="single"/>
              </w:rPr>
            </w:pPr>
            <w:r>
              <w:rPr>
                <w:rFonts w:hint="eastAsia"/>
                <w:sz w:val="24"/>
                <w:u w:val="single"/>
              </w:rPr>
              <w:t>DA002</w:t>
            </w:r>
          </w:p>
        </w:tc>
        <w:tc>
          <w:tcPr>
            <w:tcW w:w="1100" w:type="dxa"/>
            <w:vAlign w:val="center"/>
          </w:tcPr>
          <w:p w14:paraId="703BEB35">
            <w:pPr>
              <w:jc w:val="center"/>
              <w:rPr>
                <w:sz w:val="24"/>
                <w:u w:val="single"/>
              </w:rPr>
            </w:pPr>
            <w:r>
              <w:rPr>
                <w:rFonts w:hint="eastAsia"/>
                <w:sz w:val="24"/>
                <w:u w:val="single"/>
              </w:rPr>
              <w:t>VOC</w:t>
            </w:r>
            <w:r>
              <w:rPr>
                <w:rFonts w:hint="eastAsia"/>
                <w:sz w:val="24"/>
                <w:u w:val="single"/>
                <w:vertAlign w:val="subscript"/>
              </w:rPr>
              <w:t>S</w:t>
            </w:r>
            <w:r>
              <w:rPr>
                <w:rFonts w:hint="eastAsia"/>
                <w:sz w:val="24"/>
                <w:u w:val="single"/>
              </w:rPr>
              <w:t>（非甲烷总烃）、苯乙烯、</w:t>
            </w:r>
          </w:p>
        </w:tc>
        <w:tc>
          <w:tcPr>
            <w:tcW w:w="2197" w:type="dxa"/>
            <w:vMerge w:val="restart"/>
            <w:vAlign w:val="center"/>
          </w:tcPr>
          <w:p w14:paraId="45BB4D89">
            <w:pPr>
              <w:adjustRightInd w:val="0"/>
              <w:snapToGrid w:val="0"/>
              <w:jc w:val="center"/>
              <w:rPr>
                <w:bCs/>
                <w:sz w:val="24"/>
                <w:u w:val="single"/>
              </w:rPr>
            </w:pPr>
            <w:r>
              <w:rPr>
                <w:rFonts w:hint="eastAsia"/>
                <w:bCs/>
                <w:sz w:val="24"/>
                <w:u w:val="single"/>
              </w:rPr>
              <w:t>经二级活性炭吸附处理后通过1根15m高排气筒排放</w:t>
            </w:r>
          </w:p>
        </w:tc>
        <w:tc>
          <w:tcPr>
            <w:tcW w:w="2070" w:type="dxa"/>
            <w:vAlign w:val="center"/>
          </w:tcPr>
          <w:p w14:paraId="3D9A4F38">
            <w:pPr>
              <w:jc w:val="center"/>
              <w:rPr>
                <w:sz w:val="24"/>
                <w:u w:val="single"/>
              </w:rPr>
            </w:pPr>
            <w:r>
              <w:rPr>
                <w:rFonts w:hint="eastAsia"/>
                <w:sz w:val="24"/>
                <w:u w:val="single"/>
              </w:rPr>
              <w:t>《合成树脂工业污染物排放标准》(GB31572-2015)、</w:t>
            </w:r>
          </w:p>
        </w:tc>
      </w:tr>
      <w:tr w14:paraId="424113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5" w:type="dxa"/>
            <w:vMerge w:val="continue"/>
            <w:vAlign w:val="center"/>
          </w:tcPr>
          <w:p w14:paraId="557FFDFA">
            <w:pPr>
              <w:adjustRightInd w:val="0"/>
              <w:snapToGrid w:val="0"/>
              <w:jc w:val="center"/>
              <w:rPr>
                <w:rFonts w:ascii="宋体" w:hAnsi="宋体" w:cs="宋体"/>
                <w:sz w:val="24"/>
                <w:u w:val="single"/>
              </w:rPr>
            </w:pPr>
          </w:p>
        </w:tc>
        <w:tc>
          <w:tcPr>
            <w:tcW w:w="1875" w:type="dxa"/>
            <w:vMerge w:val="continue"/>
            <w:vAlign w:val="center"/>
          </w:tcPr>
          <w:p w14:paraId="2A3F41D4">
            <w:pPr>
              <w:jc w:val="center"/>
              <w:rPr>
                <w:sz w:val="24"/>
                <w:u w:val="single"/>
              </w:rPr>
            </w:pPr>
          </w:p>
        </w:tc>
        <w:tc>
          <w:tcPr>
            <w:tcW w:w="1100" w:type="dxa"/>
            <w:vAlign w:val="center"/>
          </w:tcPr>
          <w:p w14:paraId="57CD2BF8">
            <w:pPr>
              <w:jc w:val="center"/>
              <w:rPr>
                <w:sz w:val="24"/>
                <w:u w:val="single"/>
              </w:rPr>
            </w:pPr>
            <w:r>
              <w:rPr>
                <w:rFonts w:hint="eastAsia"/>
                <w:sz w:val="24"/>
                <w:u w:val="single"/>
              </w:rPr>
              <w:t>臭气浓度</w:t>
            </w:r>
          </w:p>
        </w:tc>
        <w:tc>
          <w:tcPr>
            <w:tcW w:w="2197" w:type="dxa"/>
            <w:vMerge w:val="continue"/>
            <w:vAlign w:val="center"/>
          </w:tcPr>
          <w:p w14:paraId="751CADA5">
            <w:pPr>
              <w:adjustRightInd w:val="0"/>
              <w:snapToGrid w:val="0"/>
              <w:jc w:val="center"/>
              <w:rPr>
                <w:bCs/>
                <w:sz w:val="24"/>
                <w:u w:val="single"/>
              </w:rPr>
            </w:pPr>
          </w:p>
        </w:tc>
        <w:tc>
          <w:tcPr>
            <w:tcW w:w="2070" w:type="dxa"/>
            <w:vAlign w:val="center"/>
          </w:tcPr>
          <w:p w14:paraId="683E8A00">
            <w:pPr>
              <w:jc w:val="center"/>
              <w:rPr>
                <w:sz w:val="24"/>
                <w:u w:val="single"/>
              </w:rPr>
            </w:pPr>
            <w:r>
              <w:rPr>
                <w:rFonts w:hint="eastAsia"/>
                <w:sz w:val="24"/>
                <w:u w:val="single"/>
              </w:rPr>
              <w:t>《恶臭污染物排放标准(GB14554-93)</w:t>
            </w:r>
          </w:p>
        </w:tc>
      </w:tr>
      <w:tr w14:paraId="1B33B0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6" w:hRule="atLeast"/>
          <w:jc w:val="center"/>
        </w:trPr>
        <w:tc>
          <w:tcPr>
            <w:tcW w:w="1725" w:type="dxa"/>
            <w:vMerge w:val="continue"/>
            <w:vAlign w:val="center"/>
          </w:tcPr>
          <w:p w14:paraId="55A7CF22">
            <w:pPr>
              <w:adjustRightInd w:val="0"/>
              <w:snapToGrid w:val="0"/>
              <w:jc w:val="center"/>
              <w:rPr>
                <w:rFonts w:ascii="宋体" w:hAnsi="宋体" w:cs="宋体"/>
                <w:sz w:val="24"/>
                <w:u w:val="single"/>
              </w:rPr>
            </w:pPr>
          </w:p>
        </w:tc>
        <w:tc>
          <w:tcPr>
            <w:tcW w:w="1875" w:type="dxa"/>
            <w:vAlign w:val="center"/>
          </w:tcPr>
          <w:p w14:paraId="21C2347A">
            <w:pPr>
              <w:jc w:val="center"/>
              <w:rPr>
                <w:sz w:val="24"/>
                <w:u w:val="single"/>
              </w:rPr>
            </w:pPr>
            <w:r>
              <w:rPr>
                <w:rFonts w:hint="eastAsia"/>
                <w:sz w:val="24"/>
                <w:u w:val="single"/>
              </w:rPr>
              <w:t>DA003</w:t>
            </w:r>
          </w:p>
        </w:tc>
        <w:tc>
          <w:tcPr>
            <w:tcW w:w="1100" w:type="dxa"/>
            <w:vAlign w:val="center"/>
          </w:tcPr>
          <w:p w14:paraId="32640017">
            <w:pPr>
              <w:jc w:val="center"/>
              <w:rPr>
                <w:sz w:val="24"/>
                <w:u w:val="single"/>
              </w:rPr>
            </w:pPr>
            <w:r>
              <w:rPr>
                <w:rFonts w:hint="eastAsia"/>
                <w:sz w:val="24"/>
                <w:u w:val="single"/>
              </w:rPr>
              <w:t>颗粒物、</w:t>
            </w:r>
          </w:p>
          <w:p w14:paraId="41644F0B">
            <w:pPr>
              <w:jc w:val="center"/>
              <w:rPr>
                <w:sz w:val="24"/>
                <w:u w:val="single"/>
              </w:rPr>
            </w:pPr>
            <w:r>
              <w:rPr>
                <w:rFonts w:hint="eastAsia"/>
                <w:sz w:val="24"/>
                <w:u w:val="single"/>
              </w:rPr>
              <w:t>VOC</w:t>
            </w:r>
            <w:r>
              <w:rPr>
                <w:rFonts w:hint="eastAsia"/>
                <w:sz w:val="24"/>
                <w:u w:val="single"/>
                <w:vertAlign w:val="subscript"/>
              </w:rPr>
              <w:t>S</w:t>
            </w:r>
            <w:r>
              <w:rPr>
                <w:rFonts w:hint="eastAsia"/>
                <w:sz w:val="24"/>
                <w:u w:val="single"/>
              </w:rPr>
              <w:t>（非甲烷总烃）</w:t>
            </w:r>
          </w:p>
        </w:tc>
        <w:tc>
          <w:tcPr>
            <w:tcW w:w="2197" w:type="dxa"/>
            <w:vAlign w:val="center"/>
          </w:tcPr>
          <w:p w14:paraId="403926EC">
            <w:pPr>
              <w:adjustRightInd w:val="0"/>
              <w:snapToGrid w:val="0"/>
              <w:jc w:val="center"/>
              <w:rPr>
                <w:bCs/>
                <w:sz w:val="24"/>
                <w:u w:val="single"/>
              </w:rPr>
            </w:pPr>
            <w:r>
              <w:rPr>
                <w:rFonts w:hint="eastAsia"/>
                <w:bCs/>
                <w:sz w:val="24"/>
                <w:u w:val="single"/>
              </w:rPr>
              <w:t>熔炼、造型浇铸废气负压收集经高温布袋除尘器和二级活性炭吸附装置净化处理，落砂、砂处理废气由集气罩收集经布袋除尘器处理，抛丸废气经自带布袋除尘器处理，共同通过1根15m高排气筒排放</w:t>
            </w:r>
          </w:p>
        </w:tc>
        <w:tc>
          <w:tcPr>
            <w:tcW w:w="2070" w:type="dxa"/>
            <w:vAlign w:val="center"/>
          </w:tcPr>
          <w:p w14:paraId="6B9701F9">
            <w:pPr>
              <w:jc w:val="center"/>
              <w:rPr>
                <w:sz w:val="24"/>
                <w:u w:val="single"/>
              </w:rPr>
            </w:pPr>
            <w:r>
              <w:rPr>
                <w:rFonts w:hint="eastAsia"/>
                <w:sz w:val="24"/>
                <w:u w:val="single"/>
              </w:rPr>
              <w:t>《铸造工业大气污染物排放标准》（GB39726-2020）</w:t>
            </w:r>
          </w:p>
        </w:tc>
      </w:tr>
      <w:tr w14:paraId="1A6819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2" w:hRule="atLeast"/>
          <w:jc w:val="center"/>
        </w:trPr>
        <w:tc>
          <w:tcPr>
            <w:tcW w:w="1725" w:type="dxa"/>
            <w:vMerge w:val="continue"/>
            <w:vAlign w:val="center"/>
          </w:tcPr>
          <w:p w14:paraId="28FE99B1">
            <w:pPr>
              <w:adjustRightInd w:val="0"/>
              <w:snapToGrid w:val="0"/>
              <w:jc w:val="center"/>
              <w:rPr>
                <w:rFonts w:ascii="宋体" w:hAnsi="宋体" w:cs="宋体"/>
                <w:sz w:val="24"/>
                <w:u w:val="single"/>
              </w:rPr>
            </w:pPr>
          </w:p>
        </w:tc>
        <w:tc>
          <w:tcPr>
            <w:tcW w:w="1875" w:type="dxa"/>
            <w:vAlign w:val="center"/>
          </w:tcPr>
          <w:p w14:paraId="4A5AE57B">
            <w:pPr>
              <w:jc w:val="center"/>
              <w:rPr>
                <w:sz w:val="24"/>
                <w:u w:val="single"/>
              </w:rPr>
            </w:pPr>
            <w:r>
              <w:rPr>
                <w:rFonts w:hint="eastAsia"/>
                <w:sz w:val="24"/>
                <w:u w:val="single"/>
              </w:rPr>
              <w:t>DA004</w:t>
            </w:r>
          </w:p>
        </w:tc>
        <w:tc>
          <w:tcPr>
            <w:tcW w:w="1100" w:type="dxa"/>
            <w:vAlign w:val="center"/>
          </w:tcPr>
          <w:p w14:paraId="1C2272C8">
            <w:pPr>
              <w:jc w:val="center"/>
              <w:rPr>
                <w:sz w:val="24"/>
                <w:u w:val="single"/>
              </w:rPr>
            </w:pPr>
            <w:r>
              <w:rPr>
                <w:rFonts w:hint="eastAsia"/>
                <w:sz w:val="24"/>
                <w:u w:val="single"/>
              </w:rPr>
              <w:t>颗粒物（漆雾）、VOC</w:t>
            </w:r>
            <w:r>
              <w:rPr>
                <w:rFonts w:hint="eastAsia"/>
                <w:sz w:val="24"/>
                <w:u w:val="single"/>
                <w:vertAlign w:val="subscript"/>
              </w:rPr>
              <w:t>S</w:t>
            </w:r>
            <w:r>
              <w:rPr>
                <w:rFonts w:hint="eastAsia"/>
                <w:sz w:val="24"/>
                <w:u w:val="single"/>
              </w:rPr>
              <w:t>（非甲烷总烃）、二甲苯</w:t>
            </w:r>
          </w:p>
        </w:tc>
        <w:tc>
          <w:tcPr>
            <w:tcW w:w="2197" w:type="dxa"/>
            <w:vAlign w:val="center"/>
          </w:tcPr>
          <w:p w14:paraId="709A26FD">
            <w:pPr>
              <w:adjustRightInd w:val="0"/>
              <w:snapToGrid w:val="0"/>
              <w:jc w:val="center"/>
              <w:rPr>
                <w:bCs/>
                <w:sz w:val="24"/>
                <w:u w:val="single"/>
              </w:rPr>
            </w:pPr>
            <w:r>
              <w:rPr>
                <w:rFonts w:hint="eastAsia"/>
                <w:bCs/>
                <w:sz w:val="24"/>
                <w:u w:val="single"/>
              </w:rPr>
              <w:t>喷涂废气经过滤棉和二级活性炭吸附处理后，通过1根15m高排气筒排放</w:t>
            </w:r>
          </w:p>
        </w:tc>
        <w:tc>
          <w:tcPr>
            <w:tcW w:w="2070" w:type="dxa"/>
            <w:vAlign w:val="center"/>
          </w:tcPr>
          <w:p w14:paraId="64D6AAEC">
            <w:pPr>
              <w:jc w:val="center"/>
              <w:rPr>
                <w:sz w:val="24"/>
                <w:u w:val="single"/>
              </w:rPr>
            </w:pPr>
            <w:r>
              <w:rPr>
                <w:rFonts w:hint="eastAsia"/>
                <w:sz w:val="24"/>
                <w:u w:val="single"/>
              </w:rPr>
              <w:t>《铸造工业大气污染物排放标准》（GB39726-2020）</w:t>
            </w:r>
          </w:p>
        </w:tc>
      </w:tr>
      <w:tr w14:paraId="762C18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1725" w:type="dxa"/>
            <w:vMerge w:val="continue"/>
            <w:vAlign w:val="center"/>
          </w:tcPr>
          <w:p w14:paraId="269597C2">
            <w:pPr>
              <w:adjustRightInd w:val="0"/>
              <w:snapToGrid w:val="0"/>
              <w:jc w:val="center"/>
              <w:rPr>
                <w:rFonts w:ascii="宋体" w:hAnsi="宋体" w:cs="宋体"/>
                <w:sz w:val="24"/>
                <w:u w:val="single"/>
              </w:rPr>
            </w:pPr>
          </w:p>
        </w:tc>
        <w:tc>
          <w:tcPr>
            <w:tcW w:w="1875" w:type="dxa"/>
            <w:vMerge w:val="restart"/>
            <w:vAlign w:val="center"/>
          </w:tcPr>
          <w:p w14:paraId="53EBC25F">
            <w:pPr>
              <w:jc w:val="center"/>
              <w:rPr>
                <w:sz w:val="24"/>
                <w:u w:val="single"/>
              </w:rPr>
            </w:pPr>
            <w:r>
              <w:rPr>
                <w:rFonts w:hint="eastAsia"/>
                <w:sz w:val="24"/>
                <w:u w:val="single"/>
              </w:rPr>
              <w:t>无组织</w:t>
            </w:r>
          </w:p>
        </w:tc>
        <w:tc>
          <w:tcPr>
            <w:tcW w:w="1100" w:type="dxa"/>
            <w:vAlign w:val="center"/>
          </w:tcPr>
          <w:p w14:paraId="168C88A3">
            <w:pPr>
              <w:jc w:val="center"/>
              <w:rPr>
                <w:sz w:val="24"/>
                <w:u w:val="single"/>
              </w:rPr>
            </w:pPr>
            <w:r>
              <w:rPr>
                <w:rFonts w:hint="eastAsia"/>
                <w:sz w:val="24"/>
                <w:u w:val="single"/>
              </w:rPr>
              <w:t>颗粒物</w:t>
            </w:r>
          </w:p>
        </w:tc>
        <w:tc>
          <w:tcPr>
            <w:tcW w:w="2197" w:type="dxa"/>
            <w:vAlign w:val="center"/>
          </w:tcPr>
          <w:p w14:paraId="28628BB1">
            <w:pPr>
              <w:adjustRightInd w:val="0"/>
              <w:snapToGrid w:val="0"/>
              <w:jc w:val="center"/>
              <w:rPr>
                <w:sz w:val="24"/>
                <w:u w:val="single"/>
              </w:rPr>
            </w:pPr>
            <w:r>
              <w:rPr>
                <w:rFonts w:hint="eastAsia"/>
                <w:sz w:val="24"/>
                <w:u w:val="single"/>
              </w:rPr>
              <w:t>车间通风，去冒口、打磨和焊接粉（烟）尘经移动式除尘器收集处理</w:t>
            </w:r>
          </w:p>
        </w:tc>
        <w:tc>
          <w:tcPr>
            <w:tcW w:w="2070" w:type="dxa"/>
            <w:vMerge w:val="restart"/>
            <w:vAlign w:val="center"/>
          </w:tcPr>
          <w:p w14:paraId="6795BACC">
            <w:pPr>
              <w:jc w:val="center"/>
              <w:rPr>
                <w:sz w:val="24"/>
                <w:u w:val="single"/>
              </w:rPr>
            </w:pPr>
            <w:r>
              <w:rPr>
                <w:rFonts w:hint="eastAsia"/>
                <w:sz w:val="24"/>
                <w:u w:val="single"/>
              </w:rPr>
              <w:t>厂区执行《铸造工业大气污染物排放标准》（GB39726-2020），</w:t>
            </w:r>
            <w:r>
              <w:rPr>
                <w:rFonts w:hint="eastAsia"/>
                <w:sz w:val="24"/>
                <w:szCs w:val="32"/>
                <w:u w:val="single"/>
              </w:rPr>
              <w:t>厂界参考执行《大气污染物综合排放标准》（GB16297-1996）</w:t>
            </w:r>
          </w:p>
        </w:tc>
      </w:tr>
      <w:tr w14:paraId="3A64FB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5" w:type="dxa"/>
            <w:vMerge w:val="continue"/>
            <w:vAlign w:val="center"/>
          </w:tcPr>
          <w:p w14:paraId="14B3B72C">
            <w:pPr>
              <w:adjustRightInd w:val="0"/>
              <w:snapToGrid w:val="0"/>
              <w:jc w:val="center"/>
              <w:rPr>
                <w:rFonts w:ascii="宋体" w:hAnsi="宋体" w:cs="宋体"/>
                <w:sz w:val="24"/>
                <w:u w:val="single"/>
              </w:rPr>
            </w:pPr>
          </w:p>
        </w:tc>
        <w:tc>
          <w:tcPr>
            <w:tcW w:w="1875" w:type="dxa"/>
            <w:vMerge w:val="continue"/>
            <w:vAlign w:val="center"/>
          </w:tcPr>
          <w:p w14:paraId="4D86C4F6">
            <w:pPr>
              <w:jc w:val="center"/>
              <w:rPr>
                <w:sz w:val="24"/>
                <w:u w:val="single"/>
              </w:rPr>
            </w:pPr>
          </w:p>
        </w:tc>
        <w:tc>
          <w:tcPr>
            <w:tcW w:w="1100" w:type="dxa"/>
            <w:vAlign w:val="center"/>
          </w:tcPr>
          <w:p w14:paraId="463EF120">
            <w:pPr>
              <w:jc w:val="center"/>
              <w:rPr>
                <w:sz w:val="24"/>
                <w:u w:val="single"/>
              </w:rPr>
            </w:pPr>
            <w:r>
              <w:rPr>
                <w:rFonts w:hint="eastAsia"/>
                <w:sz w:val="24"/>
                <w:u w:val="single"/>
              </w:rPr>
              <w:t>VOC</w:t>
            </w:r>
            <w:r>
              <w:rPr>
                <w:rFonts w:hint="eastAsia"/>
                <w:sz w:val="24"/>
                <w:u w:val="single"/>
                <w:vertAlign w:val="subscript"/>
              </w:rPr>
              <w:t>S</w:t>
            </w:r>
            <w:r>
              <w:rPr>
                <w:rFonts w:hint="eastAsia"/>
                <w:sz w:val="24"/>
                <w:u w:val="single"/>
              </w:rPr>
              <w:t>（非甲烷总烃）</w:t>
            </w:r>
          </w:p>
        </w:tc>
        <w:tc>
          <w:tcPr>
            <w:tcW w:w="2197" w:type="dxa"/>
            <w:vAlign w:val="center"/>
          </w:tcPr>
          <w:p w14:paraId="77B537B5">
            <w:pPr>
              <w:adjustRightInd w:val="0"/>
              <w:snapToGrid w:val="0"/>
              <w:jc w:val="center"/>
              <w:rPr>
                <w:sz w:val="24"/>
                <w:u w:val="single"/>
              </w:rPr>
            </w:pPr>
            <w:r>
              <w:rPr>
                <w:rFonts w:hint="eastAsia"/>
                <w:sz w:val="24"/>
                <w:u w:val="single"/>
              </w:rPr>
              <w:t>车间通风，原料储存容器密闭</w:t>
            </w:r>
          </w:p>
        </w:tc>
        <w:tc>
          <w:tcPr>
            <w:tcW w:w="2070" w:type="dxa"/>
            <w:vMerge w:val="continue"/>
            <w:vAlign w:val="center"/>
          </w:tcPr>
          <w:p w14:paraId="7E2707D9">
            <w:pPr>
              <w:jc w:val="center"/>
              <w:rPr>
                <w:sz w:val="24"/>
                <w:u w:val="single"/>
              </w:rPr>
            </w:pPr>
          </w:p>
        </w:tc>
      </w:tr>
      <w:tr w14:paraId="7FC002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5" w:type="dxa"/>
            <w:vMerge w:val="continue"/>
            <w:vAlign w:val="center"/>
          </w:tcPr>
          <w:p w14:paraId="4F171E31">
            <w:pPr>
              <w:adjustRightInd w:val="0"/>
              <w:snapToGrid w:val="0"/>
              <w:jc w:val="center"/>
              <w:rPr>
                <w:rFonts w:ascii="宋体" w:hAnsi="宋体" w:cs="宋体"/>
                <w:sz w:val="24"/>
                <w:u w:val="single"/>
              </w:rPr>
            </w:pPr>
          </w:p>
        </w:tc>
        <w:tc>
          <w:tcPr>
            <w:tcW w:w="1875" w:type="dxa"/>
            <w:vMerge w:val="continue"/>
            <w:vAlign w:val="center"/>
          </w:tcPr>
          <w:p w14:paraId="44EE268D">
            <w:pPr>
              <w:jc w:val="center"/>
              <w:rPr>
                <w:sz w:val="24"/>
                <w:u w:val="single"/>
              </w:rPr>
            </w:pPr>
          </w:p>
        </w:tc>
        <w:tc>
          <w:tcPr>
            <w:tcW w:w="1100" w:type="dxa"/>
            <w:vAlign w:val="center"/>
          </w:tcPr>
          <w:p w14:paraId="7F49C683">
            <w:pPr>
              <w:jc w:val="center"/>
              <w:rPr>
                <w:sz w:val="24"/>
                <w:u w:val="single"/>
              </w:rPr>
            </w:pPr>
            <w:r>
              <w:rPr>
                <w:rFonts w:hint="eastAsia"/>
                <w:sz w:val="24"/>
                <w:u w:val="single"/>
              </w:rPr>
              <w:t>苯乙烯</w:t>
            </w:r>
          </w:p>
        </w:tc>
        <w:tc>
          <w:tcPr>
            <w:tcW w:w="2197" w:type="dxa"/>
            <w:vAlign w:val="center"/>
          </w:tcPr>
          <w:p w14:paraId="4C5180E2">
            <w:pPr>
              <w:adjustRightInd w:val="0"/>
              <w:snapToGrid w:val="0"/>
              <w:jc w:val="center"/>
              <w:rPr>
                <w:sz w:val="24"/>
                <w:u w:val="single"/>
              </w:rPr>
            </w:pPr>
            <w:r>
              <w:rPr>
                <w:rFonts w:hint="eastAsia"/>
                <w:sz w:val="24"/>
                <w:u w:val="single"/>
              </w:rPr>
              <w:t>车间通风</w:t>
            </w:r>
          </w:p>
        </w:tc>
        <w:tc>
          <w:tcPr>
            <w:tcW w:w="2070" w:type="dxa"/>
            <w:vMerge w:val="restart"/>
            <w:vAlign w:val="center"/>
          </w:tcPr>
          <w:p w14:paraId="6DCA2A27">
            <w:pPr>
              <w:jc w:val="center"/>
              <w:rPr>
                <w:sz w:val="24"/>
                <w:u w:val="single"/>
              </w:rPr>
            </w:pPr>
            <w:r>
              <w:rPr>
                <w:rFonts w:hint="eastAsia"/>
                <w:sz w:val="24"/>
                <w:u w:val="single"/>
              </w:rPr>
              <w:t>《恶臭污染物排放标准(GB14554-93)表1</w:t>
            </w:r>
          </w:p>
        </w:tc>
      </w:tr>
      <w:tr w14:paraId="55000A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5" w:type="dxa"/>
            <w:vMerge w:val="continue"/>
            <w:vAlign w:val="center"/>
          </w:tcPr>
          <w:p w14:paraId="041A4A5E">
            <w:pPr>
              <w:adjustRightInd w:val="0"/>
              <w:snapToGrid w:val="0"/>
              <w:jc w:val="center"/>
              <w:rPr>
                <w:rFonts w:ascii="宋体" w:hAnsi="宋体" w:cs="宋体"/>
                <w:sz w:val="24"/>
                <w:u w:val="single"/>
              </w:rPr>
            </w:pPr>
          </w:p>
        </w:tc>
        <w:tc>
          <w:tcPr>
            <w:tcW w:w="1875" w:type="dxa"/>
            <w:vMerge w:val="continue"/>
            <w:vAlign w:val="center"/>
          </w:tcPr>
          <w:p w14:paraId="7FA3B5D0">
            <w:pPr>
              <w:jc w:val="center"/>
              <w:rPr>
                <w:sz w:val="24"/>
                <w:u w:val="single"/>
              </w:rPr>
            </w:pPr>
          </w:p>
        </w:tc>
        <w:tc>
          <w:tcPr>
            <w:tcW w:w="1100" w:type="dxa"/>
            <w:vAlign w:val="center"/>
          </w:tcPr>
          <w:p w14:paraId="4682D935">
            <w:pPr>
              <w:jc w:val="center"/>
              <w:rPr>
                <w:sz w:val="24"/>
                <w:u w:val="single"/>
              </w:rPr>
            </w:pPr>
            <w:r>
              <w:rPr>
                <w:rFonts w:hint="eastAsia"/>
                <w:sz w:val="24"/>
                <w:u w:val="single"/>
              </w:rPr>
              <w:t>臭气浓度</w:t>
            </w:r>
          </w:p>
        </w:tc>
        <w:tc>
          <w:tcPr>
            <w:tcW w:w="2197" w:type="dxa"/>
            <w:vAlign w:val="center"/>
          </w:tcPr>
          <w:p w14:paraId="24D3AEC8">
            <w:pPr>
              <w:adjustRightInd w:val="0"/>
              <w:snapToGrid w:val="0"/>
              <w:jc w:val="center"/>
              <w:rPr>
                <w:sz w:val="24"/>
                <w:u w:val="single"/>
              </w:rPr>
            </w:pPr>
            <w:r>
              <w:rPr>
                <w:rFonts w:hint="eastAsia"/>
                <w:sz w:val="24"/>
                <w:u w:val="single"/>
              </w:rPr>
              <w:t>车间通风</w:t>
            </w:r>
          </w:p>
        </w:tc>
        <w:tc>
          <w:tcPr>
            <w:tcW w:w="2070" w:type="dxa"/>
            <w:vMerge w:val="continue"/>
            <w:vAlign w:val="center"/>
          </w:tcPr>
          <w:p w14:paraId="67E4F10A">
            <w:pPr>
              <w:jc w:val="center"/>
              <w:rPr>
                <w:sz w:val="24"/>
                <w:u w:val="single"/>
              </w:rPr>
            </w:pPr>
          </w:p>
        </w:tc>
      </w:tr>
      <w:tr w14:paraId="425941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5" w:type="dxa"/>
            <w:vMerge w:val="restart"/>
            <w:vAlign w:val="center"/>
          </w:tcPr>
          <w:p w14:paraId="7D9783CF">
            <w:pPr>
              <w:adjustRightInd w:val="0"/>
              <w:snapToGrid w:val="0"/>
              <w:jc w:val="center"/>
              <w:rPr>
                <w:rFonts w:ascii="宋体" w:hAnsi="宋体" w:cs="宋体"/>
                <w:sz w:val="24"/>
                <w:u w:val="single"/>
              </w:rPr>
            </w:pPr>
            <w:r>
              <w:rPr>
                <w:rFonts w:hint="eastAsia" w:ascii="宋体" w:hAnsi="宋体" w:cs="宋体"/>
                <w:sz w:val="24"/>
                <w:u w:val="single"/>
              </w:rPr>
              <w:t>地表水环境</w:t>
            </w:r>
          </w:p>
        </w:tc>
        <w:tc>
          <w:tcPr>
            <w:tcW w:w="1875" w:type="dxa"/>
            <w:vAlign w:val="center"/>
          </w:tcPr>
          <w:p w14:paraId="38A88E9E">
            <w:pPr>
              <w:jc w:val="center"/>
              <w:rPr>
                <w:sz w:val="24"/>
                <w:u w:val="single"/>
              </w:rPr>
            </w:pPr>
            <w:r>
              <w:rPr>
                <w:sz w:val="24"/>
                <w:u w:val="single"/>
              </w:rPr>
              <w:t>生活污水</w:t>
            </w:r>
          </w:p>
        </w:tc>
        <w:tc>
          <w:tcPr>
            <w:tcW w:w="1100" w:type="dxa"/>
            <w:vAlign w:val="center"/>
          </w:tcPr>
          <w:p w14:paraId="357404F6">
            <w:pPr>
              <w:jc w:val="center"/>
              <w:rPr>
                <w:sz w:val="24"/>
                <w:u w:val="single"/>
              </w:rPr>
            </w:pPr>
            <w:r>
              <w:rPr>
                <w:sz w:val="24"/>
                <w:u w:val="single"/>
              </w:rPr>
              <w:t>COD</w:t>
            </w:r>
          </w:p>
          <w:p w14:paraId="3EEF28BC">
            <w:pPr>
              <w:jc w:val="center"/>
              <w:rPr>
                <w:sz w:val="24"/>
                <w:u w:val="single"/>
              </w:rPr>
            </w:pPr>
            <w:r>
              <w:rPr>
                <w:sz w:val="24"/>
                <w:u w:val="single"/>
              </w:rPr>
              <w:t>BOD</w:t>
            </w:r>
            <w:r>
              <w:rPr>
                <w:sz w:val="24"/>
                <w:u w:val="single"/>
                <w:vertAlign w:val="subscript"/>
              </w:rPr>
              <w:t>5</w:t>
            </w:r>
          </w:p>
          <w:p w14:paraId="77FA8631">
            <w:pPr>
              <w:jc w:val="center"/>
              <w:rPr>
                <w:sz w:val="24"/>
                <w:u w:val="single"/>
              </w:rPr>
            </w:pPr>
            <w:r>
              <w:rPr>
                <w:sz w:val="24"/>
                <w:u w:val="single"/>
              </w:rPr>
              <w:t>SS</w:t>
            </w:r>
          </w:p>
          <w:p w14:paraId="60FAF418">
            <w:pPr>
              <w:jc w:val="center"/>
              <w:rPr>
                <w:sz w:val="24"/>
                <w:u w:val="single"/>
              </w:rPr>
            </w:pPr>
            <w:r>
              <w:rPr>
                <w:bCs/>
                <w:sz w:val="24"/>
                <w:u w:val="single"/>
              </w:rPr>
              <w:t>NH</w:t>
            </w:r>
            <w:r>
              <w:rPr>
                <w:bCs/>
                <w:sz w:val="24"/>
                <w:u w:val="single"/>
                <w:vertAlign w:val="subscript"/>
              </w:rPr>
              <w:t>3</w:t>
            </w:r>
            <w:r>
              <w:rPr>
                <w:bCs/>
                <w:sz w:val="24"/>
                <w:u w:val="single"/>
              </w:rPr>
              <w:t>-N</w:t>
            </w:r>
          </w:p>
        </w:tc>
        <w:tc>
          <w:tcPr>
            <w:tcW w:w="2197" w:type="dxa"/>
            <w:vAlign w:val="center"/>
          </w:tcPr>
          <w:p w14:paraId="167324F2">
            <w:pPr>
              <w:jc w:val="center"/>
              <w:rPr>
                <w:sz w:val="24"/>
                <w:u w:val="single"/>
              </w:rPr>
            </w:pPr>
            <w:r>
              <w:rPr>
                <w:rFonts w:hint="eastAsia"/>
                <w:bCs/>
                <w:sz w:val="24"/>
                <w:u w:val="single"/>
              </w:rPr>
              <w:t>项目生活污水经厂内化粪池预处理后排入湘潭县第一污水处理厂</w:t>
            </w:r>
          </w:p>
        </w:tc>
        <w:tc>
          <w:tcPr>
            <w:tcW w:w="2070" w:type="dxa"/>
            <w:vAlign w:val="center"/>
          </w:tcPr>
          <w:p w14:paraId="5A5D24CA">
            <w:pPr>
              <w:jc w:val="center"/>
              <w:rPr>
                <w:sz w:val="24"/>
                <w:u w:val="single"/>
              </w:rPr>
            </w:pPr>
            <w:r>
              <w:rPr>
                <w:rFonts w:hint="eastAsia"/>
                <w:sz w:val="24"/>
                <w:u w:val="single"/>
              </w:rPr>
              <w:t>《污水综合排放标准》（GB8978-1996）表4中三级标准以及湘潭县第一污水处理厂接纳标准</w:t>
            </w:r>
          </w:p>
        </w:tc>
      </w:tr>
      <w:tr w14:paraId="192445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5" w:type="dxa"/>
            <w:vMerge w:val="continue"/>
            <w:vAlign w:val="center"/>
          </w:tcPr>
          <w:p w14:paraId="75258B52">
            <w:pPr>
              <w:adjustRightInd w:val="0"/>
              <w:snapToGrid w:val="0"/>
              <w:jc w:val="center"/>
              <w:rPr>
                <w:rFonts w:ascii="宋体" w:hAnsi="宋体" w:cs="宋体"/>
                <w:sz w:val="24"/>
                <w:u w:val="single"/>
              </w:rPr>
            </w:pPr>
          </w:p>
        </w:tc>
        <w:tc>
          <w:tcPr>
            <w:tcW w:w="1875" w:type="dxa"/>
            <w:vAlign w:val="center"/>
          </w:tcPr>
          <w:p w14:paraId="3C5EC94B">
            <w:pPr>
              <w:jc w:val="center"/>
              <w:rPr>
                <w:sz w:val="24"/>
                <w:u w:val="single"/>
              </w:rPr>
            </w:pPr>
            <w:r>
              <w:rPr>
                <w:rFonts w:hint="eastAsia"/>
                <w:sz w:val="24"/>
                <w:u w:val="single"/>
              </w:rPr>
              <w:t>冷却水</w:t>
            </w:r>
          </w:p>
        </w:tc>
        <w:tc>
          <w:tcPr>
            <w:tcW w:w="1100" w:type="dxa"/>
            <w:vAlign w:val="center"/>
          </w:tcPr>
          <w:p w14:paraId="1B5D0981">
            <w:pPr>
              <w:jc w:val="center"/>
              <w:rPr>
                <w:bCs/>
                <w:sz w:val="24"/>
                <w:u w:val="single"/>
              </w:rPr>
            </w:pPr>
            <w:r>
              <w:rPr>
                <w:rFonts w:hint="eastAsia"/>
                <w:bCs/>
                <w:sz w:val="24"/>
                <w:u w:val="single"/>
              </w:rPr>
              <w:t>/</w:t>
            </w:r>
          </w:p>
        </w:tc>
        <w:tc>
          <w:tcPr>
            <w:tcW w:w="2197" w:type="dxa"/>
            <w:vAlign w:val="center"/>
          </w:tcPr>
          <w:p w14:paraId="5B4269BC">
            <w:pPr>
              <w:jc w:val="center"/>
              <w:rPr>
                <w:bCs/>
                <w:sz w:val="24"/>
                <w:u w:val="single"/>
              </w:rPr>
            </w:pPr>
            <w:r>
              <w:rPr>
                <w:rFonts w:hint="eastAsia"/>
                <w:bCs/>
                <w:sz w:val="24"/>
                <w:u w:val="single"/>
              </w:rPr>
              <w:t>冷却水循环使用不外排</w:t>
            </w:r>
          </w:p>
        </w:tc>
        <w:tc>
          <w:tcPr>
            <w:tcW w:w="2070" w:type="dxa"/>
            <w:vAlign w:val="center"/>
          </w:tcPr>
          <w:p w14:paraId="1DDF4344">
            <w:pPr>
              <w:jc w:val="center"/>
              <w:rPr>
                <w:sz w:val="24"/>
                <w:u w:val="single"/>
              </w:rPr>
            </w:pPr>
            <w:r>
              <w:rPr>
                <w:rFonts w:hint="eastAsia"/>
                <w:sz w:val="24"/>
                <w:u w:val="single"/>
              </w:rPr>
              <w:t>/</w:t>
            </w:r>
          </w:p>
        </w:tc>
      </w:tr>
      <w:tr w14:paraId="41C605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5" w:type="dxa"/>
            <w:vAlign w:val="center"/>
          </w:tcPr>
          <w:p w14:paraId="1F947326">
            <w:pPr>
              <w:adjustRightInd w:val="0"/>
              <w:snapToGrid w:val="0"/>
              <w:jc w:val="center"/>
              <w:rPr>
                <w:rFonts w:ascii="宋体" w:hAnsi="宋体" w:cs="宋体"/>
                <w:sz w:val="24"/>
                <w:u w:val="single"/>
              </w:rPr>
            </w:pPr>
            <w:r>
              <w:rPr>
                <w:rFonts w:hint="eastAsia" w:ascii="宋体" w:hAnsi="宋体" w:cs="宋体"/>
                <w:sz w:val="24"/>
                <w:u w:val="single"/>
              </w:rPr>
              <w:t>声环境</w:t>
            </w:r>
          </w:p>
        </w:tc>
        <w:tc>
          <w:tcPr>
            <w:tcW w:w="1875" w:type="dxa"/>
            <w:vAlign w:val="center"/>
          </w:tcPr>
          <w:p w14:paraId="1D124C94">
            <w:pPr>
              <w:ind w:right="-34"/>
              <w:jc w:val="center"/>
              <w:rPr>
                <w:sz w:val="24"/>
                <w:u w:val="single"/>
              </w:rPr>
            </w:pPr>
            <w:r>
              <w:rPr>
                <w:sz w:val="24"/>
                <w:u w:val="single"/>
              </w:rPr>
              <w:t>生产设备</w:t>
            </w:r>
          </w:p>
        </w:tc>
        <w:tc>
          <w:tcPr>
            <w:tcW w:w="1100" w:type="dxa"/>
            <w:vAlign w:val="center"/>
          </w:tcPr>
          <w:p w14:paraId="62108016">
            <w:pPr>
              <w:pStyle w:val="16"/>
              <w:jc w:val="center"/>
              <w:rPr>
                <w:rFonts w:ascii="Times New Roman" w:hAnsi="Times New Roman"/>
                <w:szCs w:val="24"/>
                <w:u w:val="single"/>
              </w:rPr>
            </w:pPr>
            <w:r>
              <w:rPr>
                <w:rFonts w:ascii="Times New Roman" w:hAnsi="Times New Roman"/>
                <w:szCs w:val="24"/>
                <w:u w:val="single"/>
              </w:rPr>
              <w:t>Leq（A）</w:t>
            </w:r>
          </w:p>
        </w:tc>
        <w:tc>
          <w:tcPr>
            <w:tcW w:w="2197" w:type="dxa"/>
            <w:vAlign w:val="center"/>
          </w:tcPr>
          <w:p w14:paraId="2E0EC048">
            <w:pPr>
              <w:rPr>
                <w:sz w:val="24"/>
                <w:u w:val="single"/>
              </w:rPr>
            </w:pPr>
            <w:r>
              <w:rPr>
                <w:sz w:val="24"/>
                <w:u w:val="single"/>
              </w:rPr>
              <w:t>选用低噪</w:t>
            </w:r>
            <w:r>
              <w:rPr>
                <w:rFonts w:hint="eastAsia"/>
                <w:sz w:val="24"/>
                <w:u w:val="single"/>
              </w:rPr>
              <w:t>设备</w:t>
            </w:r>
            <w:r>
              <w:rPr>
                <w:sz w:val="24"/>
                <w:u w:val="single"/>
              </w:rPr>
              <w:t>，合理布置车间，落实消声、隔音和减振措施，合理安排生产时间</w:t>
            </w:r>
          </w:p>
        </w:tc>
        <w:tc>
          <w:tcPr>
            <w:tcW w:w="2070" w:type="dxa"/>
            <w:vAlign w:val="center"/>
          </w:tcPr>
          <w:p w14:paraId="06F36067">
            <w:pPr>
              <w:tabs>
                <w:tab w:val="left" w:pos="3225"/>
              </w:tabs>
              <w:jc w:val="center"/>
              <w:rPr>
                <w:sz w:val="24"/>
                <w:u w:val="single"/>
              </w:rPr>
            </w:pPr>
            <w:r>
              <w:rPr>
                <w:sz w:val="24"/>
                <w:u w:val="single"/>
              </w:rPr>
              <w:t>达到</w:t>
            </w:r>
            <w:r>
              <w:rPr>
                <w:rFonts w:hint="eastAsia"/>
                <w:sz w:val="24"/>
                <w:u w:val="single"/>
              </w:rPr>
              <w:t>《工业企业厂界环境噪声排放标准》（GB12348-2008）3</w:t>
            </w:r>
            <w:r>
              <w:rPr>
                <w:sz w:val="24"/>
                <w:u w:val="single"/>
              </w:rPr>
              <w:t>类标准</w:t>
            </w:r>
          </w:p>
        </w:tc>
      </w:tr>
      <w:tr w14:paraId="637C29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725" w:type="dxa"/>
            <w:vAlign w:val="center"/>
          </w:tcPr>
          <w:p w14:paraId="64CE7856">
            <w:pPr>
              <w:adjustRightInd w:val="0"/>
              <w:snapToGrid w:val="0"/>
              <w:jc w:val="center"/>
              <w:rPr>
                <w:rFonts w:ascii="宋体" w:hAnsi="宋体" w:cs="宋体"/>
                <w:sz w:val="24"/>
                <w:u w:val="single"/>
              </w:rPr>
            </w:pPr>
            <w:r>
              <w:rPr>
                <w:rFonts w:hint="eastAsia" w:ascii="宋体" w:hAnsi="宋体" w:cs="宋体"/>
                <w:sz w:val="24"/>
                <w:u w:val="single"/>
              </w:rPr>
              <w:t>固体废物</w:t>
            </w:r>
          </w:p>
        </w:tc>
        <w:tc>
          <w:tcPr>
            <w:tcW w:w="7242" w:type="dxa"/>
            <w:gridSpan w:val="4"/>
            <w:vAlign w:val="center"/>
          </w:tcPr>
          <w:p w14:paraId="5FEB5DD9">
            <w:pPr>
              <w:adjustRightInd w:val="0"/>
              <w:snapToGrid w:val="0"/>
              <w:jc w:val="center"/>
              <w:rPr>
                <w:rFonts w:ascii="宋体" w:hAnsi="宋体" w:cs="宋体"/>
                <w:sz w:val="24"/>
                <w:u w:val="single"/>
              </w:rPr>
            </w:pPr>
            <w:r>
              <w:rPr>
                <w:rFonts w:hint="eastAsia"/>
                <w:bCs/>
                <w:sz w:val="24"/>
                <w:u w:val="single"/>
              </w:rPr>
              <w:t>危险废物暂存于危废暂存间，委托有相关资质的单位处置；一般固废由专门单位处置；</w:t>
            </w:r>
            <w:r>
              <w:rPr>
                <w:sz w:val="24"/>
                <w:u w:val="single"/>
              </w:rPr>
              <w:t>生活垃圾交由环卫指定的部门每日清运</w:t>
            </w:r>
          </w:p>
        </w:tc>
      </w:tr>
      <w:tr w14:paraId="4B52A6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725" w:type="dxa"/>
            <w:vAlign w:val="center"/>
          </w:tcPr>
          <w:p w14:paraId="2D444092">
            <w:pPr>
              <w:adjustRightInd w:val="0"/>
              <w:snapToGrid w:val="0"/>
              <w:jc w:val="center"/>
              <w:rPr>
                <w:rFonts w:ascii="宋体" w:hAnsi="宋体" w:cs="宋体"/>
                <w:sz w:val="24"/>
                <w:u w:val="single"/>
              </w:rPr>
            </w:pPr>
            <w:r>
              <w:rPr>
                <w:rFonts w:hint="eastAsia" w:ascii="宋体" w:hAnsi="宋体" w:cs="宋体"/>
                <w:sz w:val="24"/>
                <w:u w:val="single"/>
              </w:rPr>
              <w:t>土壤及地下水污染防治措施</w:t>
            </w:r>
          </w:p>
        </w:tc>
        <w:tc>
          <w:tcPr>
            <w:tcW w:w="7242" w:type="dxa"/>
            <w:gridSpan w:val="4"/>
            <w:vAlign w:val="center"/>
          </w:tcPr>
          <w:p w14:paraId="2E6DF4BC">
            <w:pPr>
              <w:adjustRightInd w:val="0"/>
              <w:snapToGrid w:val="0"/>
              <w:jc w:val="left"/>
              <w:rPr>
                <w:rFonts w:ascii="宋体" w:hAnsi="宋体" w:cs="宋体"/>
                <w:sz w:val="24"/>
                <w:u w:val="single"/>
              </w:rPr>
            </w:pPr>
            <w:r>
              <w:rPr>
                <w:rFonts w:hint="eastAsia" w:ascii="宋体" w:hAnsi="宋体" w:cs="宋体"/>
                <w:sz w:val="24"/>
                <w:u w:val="single"/>
              </w:rPr>
              <w:t>生产车间及危废间地面做好防渗、防流失工作；危险废物的收集、贮存、运输等过程严格按危险废物管理规定管理，交由有相关资质的单位处置。</w:t>
            </w:r>
          </w:p>
        </w:tc>
      </w:tr>
      <w:tr w14:paraId="0D29AB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725" w:type="dxa"/>
            <w:vAlign w:val="center"/>
          </w:tcPr>
          <w:p w14:paraId="3CB7B980">
            <w:pPr>
              <w:adjustRightInd w:val="0"/>
              <w:snapToGrid w:val="0"/>
              <w:jc w:val="center"/>
              <w:rPr>
                <w:rFonts w:ascii="宋体" w:hAnsi="宋体" w:cs="宋体"/>
                <w:sz w:val="24"/>
                <w:u w:val="single"/>
              </w:rPr>
            </w:pPr>
            <w:r>
              <w:rPr>
                <w:rFonts w:hint="eastAsia" w:ascii="宋体" w:hAnsi="宋体" w:cs="宋体"/>
                <w:sz w:val="24"/>
                <w:u w:val="single"/>
              </w:rPr>
              <w:t>生态保护措施</w:t>
            </w:r>
          </w:p>
        </w:tc>
        <w:tc>
          <w:tcPr>
            <w:tcW w:w="7242" w:type="dxa"/>
            <w:gridSpan w:val="4"/>
            <w:vAlign w:val="center"/>
          </w:tcPr>
          <w:p w14:paraId="6F54395E">
            <w:pPr>
              <w:adjustRightInd w:val="0"/>
              <w:snapToGrid w:val="0"/>
              <w:jc w:val="center"/>
              <w:rPr>
                <w:rFonts w:ascii="宋体" w:hAnsi="宋体" w:cs="宋体"/>
                <w:sz w:val="24"/>
                <w:u w:val="single"/>
              </w:rPr>
            </w:pPr>
            <w:r>
              <w:rPr>
                <w:rFonts w:hint="eastAsia" w:ascii="宋体" w:hAnsi="宋体" w:cs="宋体"/>
                <w:sz w:val="24"/>
                <w:u w:val="single"/>
              </w:rPr>
              <w:t>无</w:t>
            </w:r>
          </w:p>
        </w:tc>
      </w:tr>
      <w:tr w14:paraId="19A718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1725" w:type="dxa"/>
            <w:vAlign w:val="center"/>
          </w:tcPr>
          <w:p w14:paraId="1297050E">
            <w:pPr>
              <w:adjustRightInd w:val="0"/>
              <w:snapToGrid w:val="0"/>
              <w:jc w:val="center"/>
              <w:rPr>
                <w:rFonts w:ascii="宋体" w:hAnsi="宋体" w:cs="宋体"/>
                <w:spacing w:val="-8"/>
                <w:sz w:val="24"/>
                <w:u w:val="single"/>
              </w:rPr>
            </w:pPr>
            <w:r>
              <w:rPr>
                <w:rFonts w:hint="eastAsia" w:ascii="宋体" w:hAnsi="宋体" w:cs="宋体"/>
                <w:spacing w:val="-8"/>
                <w:sz w:val="24"/>
                <w:u w:val="single"/>
              </w:rPr>
              <w:t>环境风险</w:t>
            </w:r>
          </w:p>
          <w:p w14:paraId="46A9AB6C">
            <w:pPr>
              <w:adjustRightInd w:val="0"/>
              <w:snapToGrid w:val="0"/>
              <w:jc w:val="center"/>
              <w:rPr>
                <w:rFonts w:ascii="宋体" w:hAnsi="宋体" w:cs="宋体"/>
                <w:spacing w:val="-8"/>
                <w:sz w:val="24"/>
                <w:u w:val="single"/>
              </w:rPr>
            </w:pPr>
            <w:r>
              <w:rPr>
                <w:rFonts w:hint="eastAsia" w:ascii="宋体" w:hAnsi="宋体" w:cs="宋体"/>
                <w:spacing w:val="-8"/>
                <w:sz w:val="24"/>
                <w:u w:val="single"/>
              </w:rPr>
              <w:t>防范措施</w:t>
            </w:r>
          </w:p>
        </w:tc>
        <w:tc>
          <w:tcPr>
            <w:tcW w:w="7242" w:type="dxa"/>
            <w:gridSpan w:val="4"/>
            <w:vAlign w:val="center"/>
          </w:tcPr>
          <w:p w14:paraId="7622370E">
            <w:pPr>
              <w:adjustRightInd w:val="0"/>
              <w:snapToGrid w:val="0"/>
              <w:jc w:val="left"/>
              <w:rPr>
                <w:rFonts w:ascii="宋体" w:hAnsi="宋体" w:cs="宋体"/>
                <w:sz w:val="24"/>
                <w:u w:val="single"/>
              </w:rPr>
            </w:pPr>
            <w:r>
              <w:rPr>
                <w:rFonts w:hint="eastAsia" w:ascii="宋体" w:hAnsi="宋体" w:cs="宋体"/>
                <w:sz w:val="24"/>
                <w:u w:val="single"/>
              </w:rPr>
              <w:t>严格本环评要求的火灾风险防范措施、泄漏事故防范措施。</w:t>
            </w:r>
          </w:p>
        </w:tc>
      </w:tr>
      <w:tr w14:paraId="625A50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725" w:type="dxa"/>
            <w:vAlign w:val="center"/>
          </w:tcPr>
          <w:p w14:paraId="3A6BC513">
            <w:pPr>
              <w:adjustRightInd w:val="0"/>
              <w:snapToGrid w:val="0"/>
              <w:jc w:val="center"/>
              <w:rPr>
                <w:rFonts w:ascii="宋体" w:hAnsi="宋体" w:cs="宋体"/>
                <w:spacing w:val="-8"/>
                <w:sz w:val="24"/>
                <w:u w:val="single"/>
              </w:rPr>
            </w:pPr>
            <w:r>
              <w:rPr>
                <w:rFonts w:hint="eastAsia" w:ascii="宋体" w:hAnsi="宋体" w:cs="宋体"/>
                <w:spacing w:val="-8"/>
                <w:sz w:val="24"/>
                <w:u w:val="single"/>
              </w:rPr>
              <w:t>其他环境</w:t>
            </w:r>
          </w:p>
          <w:p w14:paraId="53744444">
            <w:pPr>
              <w:adjustRightInd w:val="0"/>
              <w:snapToGrid w:val="0"/>
              <w:jc w:val="center"/>
              <w:rPr>
                <w:rFonts w:ascii="宋体" w:hAnsi="宋体" w:cs="宋体"/>
                <w:spacing w:val="-8"/>
                <w:szCs w:val="21"/>
                <w:u w:val="single"/>
              </w:rPr>
            </w:pPr>
            <w:r>
              <w:rPr>
                <w:rFonts w:hint="eastAsia" w:ascii="宋体" w:hAnsi="宋体" w:cs="宋体"/>
                <w:spacing w:val="-8"/>
                <w:sz w:val="24"/>
                <w:u w:val="single"/>
              </w:rPr>
              <w:t>管理要求</w:t>
            </w:r>
          </w:p>
        </w:tc>
        <w:tc>
          <w:tcPr>
            <w:tcW w:w="7242" w:type="dxa"/>
            <w:gridSpan w:val="4"/>
            <w:vAlign w:val="center"/>
          </w:tcPr>
          <w:p w14:paraId="2E6BC0CB">
            <w:pPr>
              <w:spacing w:line="360" w:lineRule="auto"/>
              <w:ind w:firstLine="480" w:firstLineChars="200"/>
              <w:rPr>
                <w:color w:val="000000"/>
                <w:sz w:val="24"/>
                <w:u w:val="single"/>
              </w:rPr>
            </w:pPr>
            <w:r>
              <w:rPr>
                <w:color w:val="000000"/>
                <w:sz w:val="24"/>
                <w:u w:val="single"/>
              </w:rPr>
              <w:t>1、项目应完成废气排放源、噪声排放源、危废暂存间的规范化建设，其投资纳入项目总投资中，同时各项污染源排放口应设置专项图标，执行《环境保护图形标志-排放口（源）》（GB15562-1995），</w:t>
            </w:r>
            <w:r>
              <w:rPr>
                <w:rFonts w:hint="eastAsia"/>
                <w:color w:val="000000"/>
                <w:sz w:val="24"/>
                <w:u w:val="single"/>
              </w:rPr>
              <w:t>详见下表：</w:t>
            </w:r>
          </w:p>
          <w:p w14:paraId="76CFE849">
            <w:pPr>
              <w:spacing w:line="360" w:lineRule="auto"/>
              <w:jc w:val="center"/>
              <w:rPr>
                <w:b/>
                <w:color w:val="000000"/>
                <w:u w:val="single"/>
              </w:rPr>
            </w:pPr>
            <w:r>
              <w:rPr>
                <w:rFonts w:hint="eastAsia"/>
                <w:b/>
                <w:color w:val="000000"/>
                <w:u w:val="single"/>
              </w:rPr>
              <w:t>表 5-1   环境保护图形符号一览表</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64"/>
              <w:gridCol w:w="1966"/>
              <w:gridCol w:w="2015"/>
              <w:gridCol w:w="1073"/>
              <w:gridCol w:w="1398"/>
            </w:tblGrid>
            <w:tr w14:paraId="438ACED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02" w:type="pct"/>
                  <w:vAlign w:val="center"/>
                </w:tcPr>
                <w:p w14:paraId="210F2FBC">
                  <w:pPr>
                    <w:jc w:val="center"/>
                    <w:rPr>
                      <w:color w:val="000000"/>
                      <w:szCs w:val="21"/>
                      <w:u w:val="single"/>
                    </w:rPr>
                  </w:pPr>
                  <w:r>
                    <w:rPr>
                      <w:rFonts w:hint="eastAsia"/>
                      <w:color w:val="000000"/>
                      <w:szCs w:val="21"/>
                      <w:u w:val="single"/>
                    </w:rPr>
                    <w:t>序号</w:t>
                  </w:r>
                </w:p>
              </w:tc>
              <w:tc>
                <w:tcPr>
                  <w:tcW w:w="1400" w:type="pct"/>
                  <w:vAlign w:val="center"/>
                </w:tcPr>
                <w:p w14:paraId="5EA6F279">
                  <w:pPr>
                    <w:jc w:val="center"/>
                    <w:rPr>
                      <w:color w:val="000000"/>
                      <w:szCs w:val="21"/>
                      <w:u w:val="single"/>
                    </w:rPr>
                  </w:pPr>
                  <w:r>
                    <w:rPr>
                      <w:rFonts w:hint="eastAsia"/>
                      <w:color w:val="000000"/>
                      <w:szCs w:val="21"/>
                      <w:u w:val="single"/>
                    </w:rPr>
                    <w:t>提示图形符号</w:t>
                  </w:r>
                </w:p>
              </w:tc>
              <w:tc>
                <w:tcPr>
                  <w:tcW w:w="1435" w:type="pct"/>
                  <w:vAlign w:val="center"/>
                </w:tcPr>
                <w:p w14:paraId="45B0E81E">
                  <w:pPr>
                    <w:jc w:val="center"/>
                    <w:rPr>
                      <w:color w:val="000000"/>
                      <w:szCs w:val="21"/>
                      <w:u w:val="single"/>
                    </w:rPr>
                  </w:pPr>
                  <w:r>
                    <w:rPr>
                      <w:rFonts w:hint="eastAsia"/>
                      <w:color w:val="000000"/>
                      <w:szCs w:val="21"/>
                      <w:u w:val="single"/>
                    </w:rPr>
                    <w:t>警告图形符号</w:t>
                  </w:r>
                </w:p>
              </w:tc>
              <w:tc>
                <w:tcPr>
                  <w:tcW w:w="765" w:type="pct"/>
                  <w:vAlign w:val="center"/>
                </w:tcPr>
                <w:p w14:paraId="2EC5B0C6">
                  <w:pPr>
                    <w:jc w:val="center"/>
                    <w:rPr>
                      <w:color w:val="000000"/>
                      <w:szCs w:val="21"/>
                      <w:u w:val="single"/>
                    </w:rPr>
                  </w:pPr>
                  <w:r>
                    <w:rPr>
                      <w:rFonts w:hint="eastAsia"/>
                      <w:color w:val="000000"/>
                      <w:szCs w:val="21"/>
                      <w:u w:val="single"/>
                    </w:rPr>
                    <w:t>名称</w:t>
                  </w:r>
                </w:p>
              </w:tc>
              <w:tc>
                <w:tcPr>
                  <w:tcW w:w="996" w:type="pct"/>
                  <w:vAlign w:val="center"/>
                </w:tcPr>
                <w:p w14:paraId="711B68A7">
                  <w:pPr>
                    <w:jc w:val="center"/>
                    <w:rPr>
                      <w:color w:val="000000"/>
                      <w:szCs w:val="21"/>
                      <w:u w:val="single"/>
                    </w:rPr>
                  </w:pPr>
                  <w:r>
                    <w:rPr>
                      <w:rFonts w:hint="eastAsia"/>
                      <w:color w:val="000000"/>
                      <w:szCs w:val="21"/>
                      <w:u w:val="single"/>
                    </w:rPr>
                    <w:t>功能</w:t>
                  </w:r>
                </w:p>
              </w:tc>
            </w:tr>
            <w:tr w14:paraId="02B7AEE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12" w:hRule="atLeast"/>
                <w:jc w:val="center"/>
              </w:trPr>
              <w:tc>
                <w:tcPr>
                  <w:tcW w:w="402" w:type="pct"/>
                  <w:vAlign w:val="center"/>
                </w:tcPr>
                <w:p w14:paraId="3F2F12C2">
                  <w:pPr>
                    <w:jc w:val="center"/>
                    <w:rPr>
                      <w:color w:val="000000"/>
                      <w:szCs w:val="21"/>
                      <w:u w:val="single"/>
                    </w:rPr>
                  </w:pPr>
                  <w:r>
                    <w:rPr>
                      <w:rFonts w:hint="eastAsia"/>
                      <w:color w:val="000000"/>
                      <w:szCs w:val="21"/>
                      <w:u w:val="single"/>
                    </w:rPr>
                    <w:t>1</w:t>
                  </w:r>
                </w:p>
              </w:tc>
              <w:tc>
                <w:tcPr>
                  <w:tcW w:w="1400" w:type="pct"/>
                  <w:vAlign w:val="center"/>
                </w:tcPr>
                <w:p w14:paraId="0BEF7CD6">
                  <w:pPr>
                    <w:jc w:val="center"/>
                    <w:rPr>
                      <w:color w:val="000000"/>
                      <w:szCs w:val="21"/>
                      <w:u w:val="single"/>
                    </w:rPr>
                  </w:pPr>
                  <w:r>
                    <w:rPr>
                      <w:color w:val="000000"/>
                      <w:szCs w:val="21"/>
                      <w:u w:val="single"/>
                    </w:rPr>
                    <w:drawing>
                      <wp:inline distT="0" distB="0" distL="114300" distR="114300">
                        <wp:extent cx="1066800" cy="1066800"/>
                        <wp:effectExtent l="0" t="0" r="0" b="0"/>
                        <wp:docPr id="5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
                                <pic:cNvPicPr>
                                  <a:picLocks noChangeAspect="1"/>
                                </pic:cNvPicPr>
                              </pic:nvPicPr>
                              <pic:blipFill>
                                <a:blip r:embed="rId17"/>
                                <a:stretch>
                                  <a:fillRect/>
                                </a:stretch>
                              </pic:blipFill>
                              <pic:spPr>
                                <a:xfrm>
                                  <a:off x="0" y="0"/>
                                  <a:ext cx="1066800" cy="1066800"/>
                                </a:xfrm>
                                <a:prstGeom prst="rect">
                                  <a:avLst/>
                                </a:prstGeom>
                                <a:noFill/>
                                <a:ln>
                                  <a:noFill/>
                                </a:ln>
                              </pic:spPr>
                            </pic:pic>
                          </a:graphicData>
                        </a:graphic>
                      </wp:inline>
                    </w:drawing>
                  </w:r>
                </w:p>
              </w:tc>
              <w:tc>
                <w:tcPr>
                  <w:tcW w:w="1435" w:type="pct"/>
                  <w:vAlign w:val="center"/>
                </w:tcPr>
                <w:p w14:paraId="7D94E7D8">
                  <w:pPr>
                    <w:jc w:val="center"/>
                    <w:rPr>
                      <w:color w:val="000000"/>
                      <w:szCs w:val="21"/>
                      <w:u w:val="single"/>
                    </w:rPr>
                  </w:pPr>
                  <w:r>
                    <w:rPr>
                      <w:color w:val="000000"/>
                      <w:szCs w:val="21"/>
                      <w:u w:val="single"/>
                    </w:rPr>
                    <w:drawing>
                      <wp:inline distT="0" distB="0" distL="114300" distR="114300">
                        <wp:extent cx="1176655" cy="1050290"/>
                        <wp:effectExtent l="0" t="0" r="4445" b="16510"/>
                        <wp:docPr id="5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6"/>
                                <pic:cNvPicPr>
                                  <a:picLocks noChangeAspect="1"/>
                                </pic:cNvPicPr>
                              </pic:nvPicPr>
                              <pic:blipFill>
                                <a:blip r:embed="rId18"/>
                                <a:stretch>
                                  <a:fillRect/>
                                </a:stretch>
                              </pic:blipFill>
                              <pic:spPr>
                                <a:xfrm>
                                  <a:off x="0" y="0"/>
                                  <a:ext cx="1176655" cy="1050290"/>
                                </a:xfrm>
                                <a:prstGeom prst="rect">
                                  <a:avLst/>
                                </a:prstGeom>
                                <a:noFill/>
                                <a:ln>
                                  <a:noFill/>
                                </a:ln>
                              </pic:spPr>
                            </pic:pic>
                          </a:graphicData>
                        </a:graphic>
                      </wp:inline>
                    </w:drawing>
                  </w:r>
                </w:p>
              </w:tc>
              <w:tc>
                <w:tcPr>
                  <w:tcW w:w="765" w:type="pct"/>
                  <w:vAlign w:val="center"/>
                </w:tcPr>
                <w:p w14:paraId="548F3BF5">
                  <w:pPr>
                    <w:jc w:val="center"/>
                    <w:rPr>
                      <w:color w:val="000000"/>
                      <w:szCs w:val="21"/>
                      <w:u w:val="single"/>
                    </w:rPr>
                  </w:pPr>
                  <w:r>
                    <w:rPr>
                      <w:rFonts w:hint="eastAsia"/>
                      <w:color w:val="000000"/>
                      <w:szCs w:val="21"/>
                      <w:u w:val="single"/>
                    </w:rPr>
                    <w:t>废水排放口</w:t>
                  </w:r>
                </w:p>
              </w:tc>
              <w:tc>
                <w:tcPr>
                  <w:tcW w:w="996" w:type="pct"/>
                  <w:vAlign w:val="center"/>
                </w:tcPr>
                <w:p w14:paraId="15FC14D3">
                  <w:pPr>
                    <w:jc w:val="center"/>
                    <w:rPr>
                      <w:color w:val="000000"/>
                      <w:szCs w:val="21"/>
                      <w:u w:val="single"/>
                    </w:rPr>
                  </w:pPr>
                  <w:r>
                    <w:rPr>
                      <w:rFonts w:hint="eastAsia"/>
                      <w:color w:val="000000"/>
                      <w:szCs w:val="21"/>
                      <w:u w:val="single"/>
                    </w:rPr>
                    <w:t>表示污水向水体排放</w:t>
                  </w:r>
                </w:p>
              </w:tc>
            </w:tr>
            <w:tr w14:paraId="7D3922D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02" w:type="pct"/>
                  <w:vAlign w:val="center"/>
                </w:tcPr>
                <w:p w14:paraId="5BBEB6DA">
                  <w:pPr>
                    <w:jc w:val="center"/>
                    <w:rPr>
                      <w:color w:val="000000"/>
                      <w:szCs w:val="21"/>
                      <w:u w:val="single"/>
                    </w:rPr>
                  </w:pPr>
                  <w:r>
                    <w:rPr>
                      <w:rFonts w:hint="eastAsia"/>
                      <w:color w:val="000000"/>
                      <w:szCs w:val="21"/>
                      <w:u w:val="single"/>
                    </w:rPr>
                    <w:t>2</w:t>
                  </w:r>
                </w:p>
              </w:tc>
              <w:tc>
                <w:tcPr>
                  <w:tcW w:w="1400" w:type="pct"/>
                  <w:vAlign w:val="center"/>
                </w:tcPr>
                <w:p w14:paraId="3E79B399">
                  <w:pPr>
                    <w:jc w:val="center"/>
                    <w:rPr>
                      <w:color w:val="000000"/>
                      <w:szCs w:val="21"/>
                      <w:u w:val="single"/>
                    </w:rPr>
                  </w:pPr>
                  <w:r>
                    <w:rPr>
                      <w:color w:val="000000"/>
                      <w:szCs w:val="21"/>
                      <w:u w:val="single"/>
                    </w:rPr>
                    <w:drawing>
                      <wp:inline distT="0" distB="0" distL="114300" distR="114300">
                        <wp:extent cx="1065530" cy="1089025"/>
                        <wp:effectExtent l="0" t="0" r="1270" b="15875"/>
                        <wp:docPr id="5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7"/>
                                <pic:cNvPicPr>
                                  <a:picLocks noChangeAspect="1"/>
                                </pic:cNvPicPr>
                              </pic:nvPicPr>
                              <pic:blipFill>
                                <a:blip r:embed="rId19"/>
                                <a:stretch>
                                  <a:fillRect/>
                                </a:stretch>
                              </pic:blipFill>
                              <pic:spPr>
                                <a:xfrm>
                                  <a:off x="0" y="0"/>
                                  <a:ext cx="1065530" cy="1089025"/>
                                </a:xfrm>
                                <a:prstGeom prst="rect">
                                  <a:avLst/>
                                </a:prstGeom>
                                <a:noFill/>
                                <a:ln>
                                  <a:noFill/>
                                </a:ln>
                              </pic:spPr>
                            </pic:pic>
                          </a:graphicData>
                        </a:graphic>
                      </wp:inline>
                    </w:drawing>
                  </w:r>
                </w:p>
              </w:tc>
              <w:tc>
                <w:tcPr>
                  <w:tcW w:w="1435" w:type="pct"/>
                  <w:vAlign w:val="center"/>
                </w:tcPr>
                <w:p w14:paraId="5DEBBC5D">
                  <w:pPr>
                    <w:jc w:val="center"/>
                    <w:rPr>
                      <w:color w:val="000000"/>
                      <w:szCs w:val="21"/>
                      <w:u w:val="single"/>
                    </w:rPr>
                  </w:pPr>
                  <w:r>
                    <w:rPr>
                      <w:color w:val="000000"/>
                      <w:szCs w:val="21"/>
                      <w:u w:val="single"/>
                    </w:rPr>
                    <w:drawing>
                      <wp:inline distT="0" distB="0" distL="114300" distR="114300">
                        <wp:extent cx="1113155" cy="1121410"/>
                        <wp:effectExtent l="0" t="0" r="10795" b="2540"/>
                        <wp:docPr id="6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8"/>
                                <pic:cNvPicPr>
                                  <a:picLocks noChangeAspect="1"/>
                                </pic:cNvPicPr>
                              </pic:nvPicPr>
                              <pic:blipFill>
                                <a:blip r:embed="rId20"/>
                                <a:stretch>
                                  <a:fillRect/>
                                </a:stretch>
                              </pic:blipFill>
                              <pic:spPr>
                                <a:xfrm>
                                  <a:off x="0" y="0"/>
                                  <a:ext cx="1113155" cy="1121410"/>
                                </a:xfrm>
                                <a:prstGeom prst="rect">
                                  <a:avLst/>
                                </a:prstGeom>
                                <a:noFill/>
                                <a:ln>
                                  <a:noFill/>
                                </a:ln>
                              </pic:spPr>
                            </pic:pic>
                          </a:graphicData>
                        </a:graphic>
                      </wp:inline>
                    </w:drawing>
                  </w:r>
                </w:p>
              </w:tc>
              <w:tc>
                <w:tcPr>
                  <w:tcW w:w="765" w:type="pct"/>
                  <w:vAlign w:val="center"/>
                </w:tcPr>
                <w:p w14:paraId="37A61613">
                  <w:pPr>
                    <w:jc w:val="center"/>
                    <w:rPr>
                      <w:color w:val="000000"/>
                      <w:szCs w:val="21"/>
                      <w:u w:val="single"/>
                    </w:rPr>
                  </w:pPr>
                  <w:r>
                    <w:rPr>
                      <w:rFonts w:hint="eastAsia"/>
                      <w:color w:val="000000"/>
                      <w:szCs w:val="21"/>
                      <w:u w:val="single"/>
                    </w:rPr>
                    <w:t>废气排放口</w:t>
                  </w:r>
                </w:p>
              </w:tc>
              <w:tc>
                <w:tcPr>
                  <w:tcW w:w="996" w:type="pct"/>
                  <w:vAlign w:val="center"/>
                </w:tcPr>
                <w:p w14:paraId="79A9AC05">
                  <w:pPr>
                    <w:jc w:val="center"/>
                    <w:rPr>
                      <w:color w:val="000000"/>
                      <w:szCs w:val="21"/>
                      <w:u w:val="single"/>
                    </w:rPr>
                  </w:pPr>
                  <w:r>
                    <w:rPr>
                      <w:rFonts w:hint="eastAsia"/>
                      <w:color w:val="000000"/>
                      <w:szCs w:val="21"/>
                      <w:u w:val="single"/>
                    </w:rPr>
                    <w:t>表示废气向大气环境排放</w:t>
                  </w:r>
                </w:p>
              </w:tc>
            </w:tr>
            <w:tr w14:paraId="5591DB1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02" w:type="pct"/>
                  <w:vAlign w:val="center"/>
                </w:tcPr>
                <w:p w14:paraId="13FA8905">
                  <w:pPr>
                    <w:jc w:val="center"/>
                    <w:rPr>
                      <w:color w:val="000000"/>
                      <w:szCs w:val="21"/>
                      <w:u w:val="single"/>
                    </w:rPr>
                  </w:pPr>
                  <w:r>
                    <w:rPr>
                      <w:rFonts w:hint="eastAsia"/>
                      <w:color w:val="000000"/>
                      <w:szCs w:val="21"/>
                      <w:u w:val="single"/>
                    </w:rPr>
                    <w:t>3</w:t>
                  </w:r>
                </w:p>
              </w:tc>
              <w:tc>
                <w:tcPr>
                  <w:tcW w:w="1400" w:type="pct"/>
                  <w:vAlign w:val="center"/>
                </w:tcPr>
                <w:p w14:paraId="0D67427C">
                  <w:pPr>
                    <w:jc w:val="center"/>
                    <w:rPr>
                      <w:color w:val="000000"/>
                      <w:szCs w:val="21"/>
                      <w:u w:val="single"/>
                    </w:rPr>
                  </w:pPr>
                  <w:r>
                    <w:rPr>
                      <w:color w:val="000000"/>
                      <w:szCs w:val="21"/>
                      <w:u w:val="single"/>
                    </w:rPr>
                    <w:drawing>
                      <wp:inline distT="0" distB="0" distL="114300" distR="114300">
                        <wp:extent cx="1065530" cy="1065530"/>
                        <wp:effectExtent l="0" t="0" r="1270" b="1270"/>
                        <wp:docPr id="6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9"/>
                                <pic:cNvPicPr>
                                  <a:picLocks noChangeAspect="1"/>
                                </pic:cNvPicPr>
                              </pic:nvPicPr>
                              <pic:blipFill>
                                <a:blip r:embed="rId21"/>
                                <a:stretch>
                                  <a:fillRect/>
                                </a:stretch>
                              </pic:blipFill>
                              <pic:spPr>
                                <a:xfrm>
                                  <a:off x="0" y="0"/>
                                  <a:ext cx="1065530" cy="1065530"/>
                                </a:xfrm>
                                <a:prstGeom prst="rect">
                                  <a:avLst/>
                                </a:prstGeom>
                                <a:noFill/>
                                <a:ln>
                                  <a:noFill/>
                                </a:ln>
                              </pic:spPr>
                            </pic:pic>
                          </a:graphicData>
                        </a:graphic>
                      </wp:inline>
                    </w:drawing>
                  </w:r>
                </w:p>
              </w:tc>
              <w:tc>
                <w:tcPr>
                  <w:tcW w:w="1435" w:type="pct"/>
                  <w:vAlign w:val="center"/>
                </w:tcPr>
                <w:p w14:paraId="4D6E5554">
                  <w:pPr>
                    <w:jc w:val="center"/>
                    <w:rPr>
                      <w:color w:val="000000"/>
                      <w:szCs w:val="21"/>
                      <w:u w:val="single"/>
                    </w:rPr>
                  </w:pPr>
                  <w:r>
                    <w:rPr>
                      <w:color w:val="000000"/>
                      <w:szCs w:val="21"/>
                      <w:u w:val="single"/>
                    </w:rPr>
                    <w:drawing>
                      <wp:inline distT="0" distB="0" distL="114300" distR="114300">
                        <wp:extent cx="1201420" cy="1065530"/>
                        <wp:effectExtent l="0" t="0" r="17780" b="1270"/>
                        <wp:docPr id="6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0"/>
                                <pic:cNvPicPr>
                                  <a:picLocks noChangeAspect="1"/>
                                </pic:cNvPicPr>
                              </pic:nvPicPr>
                              <pic:blipFill>
                                <a:blip r:embed="rId22"/>
                                <a:stretch>
                                  <a:fillRect/>
                                </a:stretch>
                              </pic:blipFill>
                              <pic:spPr>
                                <a:xfrm>
                                  <a:off x="0" y="0"/>
                                  <a:ext cx="1201420" cy="1065530"/>
                                </a:xfrm>
                                <a:prstGeom prst="rect">
                                  <a:avLst/>
                                </a:prstGeom>
                                <a:noFill/>
                                <a:ln>
                                  <a:noFill/>
                                </a:ln>
                              </pic:spPr>
                            </pic:pic>
                          </a:graphicData>
                        </a:graphic>
                      </wp:inline>
                    </w:drawing>
                  </w:r>
                </w:p>
              </w:tc>
              <w:tc>
                <w:tcPr>
                  <w:tcW w:w="765" w:type="pct"/>
                  <w:vAlign w:val="center"/>
                </w:tcPr>
                <w:p w14:paraId="1CCC5FE5">
                  <w:pPr>
                    <w:jc w:val="center"/>
                    <w:rPr>
                      <w:color w:val="000000"/>
                      <w:szCs w:val="21"/>
                      <w:u w:val="single"/>
                    </w:rPr>
                  </w:pPr>
                  <w:r>
                    <w:rPr>
                      <w:rFonts w:hint="eastAsia"/>
                      <w:color w:val="000000"/>
                      <w:szCs w:val="21"/>
                      <w:u w:val="single"/>
                    </w:rPr>
                    <w:t>噪声排放源</w:t>
                  </w:r>
                </w:p>
              </w:tc>
              <w:tc>
                <w:tcPr>
                  <w:tcW w:w="996" w:type="pct"/>
                  <w:vAlign w:val="center"/>
                </w:tcPr>
                <w:p w14:paraId="678788A4">
                  <w:pPr>
                    <w:jc w:val="center"/>
                    <w:rPr>
                      <w:color w:val="000000"/>
                      <w:szCs w:val="21"/>
                      <w:u w:val="single"/>
                    </w:rPr>
                  </w:pPr>
                  <w:r>
                    <w:rPr>
                      <w:rFonts w:hint="eastAsia"/>
                      <w:color w:val="000000"/>
                      <w:szCs w:val="21"/>
                      <w:u w:val="single"/>
                    </w:rPr>
                    <w:t>表示噪声向外环境排放</w:t>
                  </w:r>
                </w:p>
              </w:tc>
            </w:tr>
            <w:tr w14:paraId="3337DB6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02" w:type="pct"/>
                  <w:vAlign w:val="center"/>
                </w:tcPr>
                <w:p w14:paraId="578FB1B7">
                  <w:pPr>
                    <w:jc w:val="center"/>
                    <w:rPr>
                      <w:color w:val="000000"/>
                      <w:szCs w:val="21"/>
                      <w:u w:val="single"/>
                    </w:rPr>
                  </w:pPr>
                  <w:r>
                    <w:rPr>
                      <w:rFonts w:hint="eastAsia"/>
                      <w:color w:val="000000"/>
                      <w:szCs w:val="21"/>
                      <w:u w:val="single"/>
                    </w:rPr>
                    <w:t>4</w:t>
                  </w:r>
                </w:p>
              </w:tc>
              <w:tc>
                <w:tcPr>
                  <w:tcW w:w="1400" w:type="pct"/>
                  <w:vAlign w:val="center"/>
                </w:tcPr>
                <w:p w14:paraId="3EA18C94">
                  <w:pPr>
                    <w:jc w:val="center"/>
                    <w:rPr>
                      <w:color w:val="000000"/>
                      <w:szCs w:val="21"/>
                      <w:u w:val="single"/>
                    </w:rPr>
                  </w:pPr>
                  <w:r>
                    <w:rPr>
                      <w:color w:val="000000"/>
                      <w:szCs w:val="21"/>
                      <w:u w:val="single"/>
                    </w:rPr>
                    <w:drawing>
                      <wp:inline distT="0" distB="0" distL="114300" distR="114300">
                        <wp:extent cx="1065530" cy="1073150"/>
                        <wp:effectExtent l="0" t="0" r="1270" b="12700"/>
                        <wp:docPr id="6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1"/>
                                <pic:cNvPicPr>
                                  <a:picLocks noChangeAspect="1"/>
                                </pic:cNvPicPr>
                              </pic:nvPicPr>
                              <pic:blipFill>
                                <a:blip r:embed="rId23"/>
                                <a:stretch>
                                  <a:fillRect/>
                                </a:stretch>
                              </pic:blipFill>
                              <pic:spPr>
                                <a:xfrm>
                                  <a:off x="0" y="0"/>
                                  <a:ext cx="1065530" cy="1073150"/>
                                </a:xfrm>
                                <a:prstGeom prst="rect">
                                  <a:avLst/>
                                </a:prstGeom>
                                <a:noFill/>
                                <a:ln>
                                  <a:noFill/>
                                </a:ln>
                              </pic:spPr>
                            </pic:pic>
                          </a:graphicData>
                        </a:graphic>
                      </wp:inline>
                    </w:drawing>
                  </w:r>
                </w:p>
              </w:tc>
              <w:tc>
                <w:tcPr>
                  <w:tcW w:w="1435" w:type="pct"/>
                  <w:vAlign w:val="center"/>
                </w:tcPr>
                <w:p w14:paraId="569ACE19">
                  <w:pPr>
                    <w:jc w:val="center"/>
                    <w:rPr>
                      <w:color w:val="000000"/>
                      <w:szCs w:val="21"/>
                      <w:u w:val="single"/>
                    </w:rPr>
                  </w:pPr>
                  <w:r>
                    <w:rPr>
                      <w:color w:val="000000"/>
                      <w:szCs w:val="21"/>
                      <w:u w:val="single"/>
                    </w:rPr>
                    <w:drawing>
                      <wp:inline distT="0" distB="0" distL="114300" distR="114300">
                        <wp:extent cx="1153795" cy="1089025"/>
                        <wp:effectExtent l="0" t="0" r="8255" b="15875"/>
                        <wp:docPr id="6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2"/>
                                <pic:cNvPicPr>
                                  <a:picLocks noChangeAspect="1"/>
                                </pic:cNvPicPr>
                              </pic:nvPicPr>
                              <pic:blipFill>
                                <a:blip r:embed="rId24"/>
                                <a:stretch>
                                  <a:fillRect/>
                                </a:stretch>
                              </pic:blipFill>
                              <pic:spPr>
                                <a:xfrm>
                                  <a:off x="0" y="0"/>
                                  <a:ext cx="1153795" cy="1089025"/>
                                </a:xfrm>
                                <a:prstGeom prst="rect">
                                  <a:avLst/>
                                </a:prstGeom>
                                <a:noFill/>
                                <a:ln>
                                  <a:noFill/>
                                </a:ln>
                              </pic:spPr>
                            </pic:pic>
                          </a:graphicData>
                        </a:graphic>
                      </wp:inline>
                    </w:drawing>
                  </w:r>
                </w:p>
              </w:tc>
              <w:tc>
                <w:tcPr>
                  <w:tcW w:w="765" w:type="pct"/>
                  <w:vAlign w:val="center"/>
                </w:tcPr>
                <w:p w14:paraId="0BE1881A">
                  <w:pPr>
                    <w:jc w:val="center"/>
                    <w:rPr>
                      <w:color w:val="000000"/>
                      <w:szCs w:val="21"/>
                      <w:u w:val="single"/>
                    </w:rPr>
                  </w:pPr>
                  <w:r>
                    <w:rPr>
                      <w:rFonts w:hint="eastAsia"/>
                      <w:color w:val="000000"/>
                      <w:szCs w:val="21"/>
                      <w:u w:val="single"/>
                    </w:rPr>
                    <w:t>一般固体废物</w:t>
                  </w:r>
                </w:p>
              </w:tc>
              <w:tc>
                <w:tcPr>
                  <w:tcW w:w="996" w:type="pct"/>
                  <w:vAlign w:val="center"/>
                </w:tcPr>
                <w:p w14:paraId="662EF9F3">
                  <w:pPr>
                    <w:jc w:val="center"/>
                    <w:rPr>
                      <w:color w:val="000000"/>
                      <w:szCs w:val="21"/>
                      <w:u w:val="single"/>
                    </w:rPr>
                  </w:pPr>
                  <w:r>
                    <w:rPr>
                      <w:rFonts w:hint="eastAsia"/>
                      <w:color w:val="000000"/>
                      <w:szCs w:val="21"/>
                      <w:u w:val="single"/>
                    </w:rPr>
                    <w:t>表示一般固体废物贮存、处置场</w:t>
                  </w:r>
                </w:p>
              </w:tc>
            </w:tr>
          </w:tbl>
          <w:p w14:paraId="00EA0A58">
            <w:pPr>
              <w:adjustRightInd w:val="0"/>
              <w:snapToGrid w:val="0"/>
              <w:ind w:firstLine="480" w:firstLineChars="200"/>
              <w:rPr>
                <w:sz w:val="24"/>
                <w:u w:val="single"/>
              </w:rPr>
            </w:pPr>
          </w:p>
          <w:p w14:paraId="2D9B7D5B">
            <w:pPr>
              <w:spacing w:line="360" w:lineRule="auto"/>
              <w:ind w:firstLine="480" w:firstLineChars="200"/>
              <w:rPr>
                <w:color w:val="000000"/>
                <w:sz w:val="24"/>
                <w:u w:val="single"/>
              </w:rPr>
            </w:pPr>
            <w:r>
              <w:rPr>
                <w:rFonts w:hint="eastAsia"/>
                <w:color w:val="000000"/>
                <w:sz w:val="24"/>
                <w:u w:val="single"/>
              </w:rPr>
              <w:t>2、竣工环境保护验收</w:t>
            </w:r>
          </w:p>
          <w:p w14:paraId="4124C60E">
            <w:pPr>
              <w:spacing w:line="360" w:lineRule="auto"/>
              <w:ind w:firstLine="480" w:firstLineChars="200"/>
              <w:rPr>
                <w:sz w:val="24"/>
                <w:u w:val="single"/>
              </w:rPr>
            </w:pPr>
            <w:r>
              <w:rPr>
                <w:rFonts w:hint="eastAsia"/>
                <w:color w:val="000000"/>
                <w:sz w:val="24"/>
                <w:u w:val="single"/>
              </w:rPr>
              <w:t>根据《建设项目竣工环境保护验收暂行办法》（国环规环评〔2017〕4号）文件，建设单位作为项目竣工环保验收的责任主体，应当按照本办法规定的程序和标准，组织对配套建设的环境保护设施进行验收，编制验收报告，公开相关信息，接受社会监督，确保建设项目需要配套建设的环境保护设施与主体工程同时投产或者使用，并对验收内容、结论和所公开信息的真实性、准确性和完整性负责。项目配套建设的环保设施经验收合格，方可投入生产或使用。</w:t>
            </w:r>
          </w:p>
          <w:p w14:paraId="3ACEDCB1">
            <w:pPr>
              <w:spacing w:line="360" w:lineRule="auto"/>
              <w:ind w:firstLine="480" w:firstLineChars="200"/>
              <w:rPr>
                <w:color w:val="000000"/>
                <w:sz w:val="24"/>
                <w:u w:val="single"/>
              </w:rPr>
            </w:pPr>
            <w:r>
              <w:rPr>
                <w:rFonts w:hint="eastAsia"/>
                <w:color w:val="000000"/>
                <w:sz w:val="24"/>
                <w:u w:val="single"/>
              </w:rPr>
              <w:t>3、排污许可</w:t>
            </w:r>
          </w:p>
          <w:p w14:paraId="2CF54D1E">
            <w:pPr>
              <w:spacing w:line="360" w:lineRule="auto"/>
              <w:ind w:firstLine="480" w:firstLineChars="200"/>
              <w:rPr>
                <w:color w:val="000000"/>
                <w:sz w:val="24"/>
                <w:u w:val="single"/>
              </w:rPr>
            </w:pPr>
            <w:r>
              <w:rPr>
                <w:color w:val="000000"/>
                <w:sz w:val="24"/>
                <w:u w:val="single"/>
              </w:rPr>
              <w:t>根据《排污许可管理办法》（试行</w:t>
            </w:r>
            <w:r>
              <w:rPr>
                <w:rFonts w:hint="eastAsia"/>
                <w:color w:val="000000"/>
                <w:sz w:val="24"/>
                <w:u w:val="single"/>
              </w:rPr>
              <w:t>）</w:t>
            </w:r>
            <w:r>
              <w:rPr>
                <w:color w:val="000000"/>
                <w:sz w:val="24"/>
                <w:u w:val="single"/>
              </w:rPr>
              <w:t>（环境保护部令第48号</w:t>
            </w:r>
            <w:r>
              <w:rPr>
                <w:rFonts w:hint="eastAsia"/>
                <w:color w:val="000000"/>
                <w:sz w:val="24"/>
                <w:u w:val="single"/>
              </w:rPr>
              <w:t>）</w:t>
            </w:r>
            <w:r>
              <w:rPr>
                <w:color w:val="000000"/>
                <w:sz w:val="24"/>
                <w:u w:val="single"/>
              </w:rPr>
              <w:t>以及《固定污染源排污许可分类管理名录》</w:t>
            </w:r>
            <w:r>
              <w:rPr>
                <w:rFonts w:hint="eastAsia"/>
                <w:color w:val="000000"/>
                <w:sz w:val="24"/>
                <w:u w:val="single"/>
              </w:rPr>
              <w:t>（</w:t>
            </w:r>
            <w:r>
              <w:rPr>
                <w:color w:val="000000"/>
                <w:sz w:val="24"/>
                <w:u w:val="single"/>
              </w:rPr>
              <w:t>2019年版</w:t>
            </w:r>
            <w:r>
              <w:rPr>
                <w:rFonts w:hint="eastAsia"/>
                <w:color w:val="000000"/>
                <w:sz w:val="24"/>
                <w:u w:val="single"/>
              </w:rPr>
              <w:t>）</w:t>
            </w:r>
            <w:r>
              <w:rPr>
                <w:color w:val="000000"/>
                <w:sz w:val="24"/>
                <w:u w:val="single"/>
              </w:rPr>
              <w:t>要求，排污单位应当在生态环境部规定的实施时限内填报排污登记表</w:t>
            </w:r>
            <w:r>
              <w:rPr>
                <w:rFonts w:hint="eastAsia"/>
                <w:color w:val="000000"/>
                <w:sz w:val="24"/>
                <w:u w:val="single"/>
              </w:rPr>
              <w:t>或申领排污许可证</w:t>
            </w:r>
            <w:r>
              <w:rPr>
                <w:color w:val="000000"/>
                <w:sz w:val="24"/>
                <w:u w:val="single"/>
              </w:rPr>
              <w:t>。</w:t>
            </w:r>
          </w:p>
          <w:p w14:paraId="599C3111">
            <w:pPr>
              <w:spacing w:line="360" w:lineRule="auto"/>
              <w:ind w:firstLine="480" w:firstLineChars="200"/>
              <w:rPr>
                <w:color w:val="000000"/>
                <w:sz w:val="24"/>
                <w:u w:val="single"/>
              </w:rPr>
            </w:pPr>
            <w:r>
              <w:rPr>
                <w:color w:val="000000"/>
                <w:sz w:val="24"/>
                <w:u w:val="single"/>
              </w:rPr>
              <w:t>参考</w:t>
            </w:r>
            <w:r>
              <w:rPr>
                <w:rFonts w:hint="eastAsia" w:cs="宋体"/>
                <w:sz w:val="24"/>
                <w:u w:val="single"/>
              </w:rPr>
              <w:t>《排污许可证申请与核发技术规范 金属铸造工业》（HJ1115-2020）、《排污单位自行监测技术指南 金属铸造工业》（HJ1251-2022）</w:t>
            </w:r>
            <w:r>
              <w:rPr>
                <w:rFonts w:hint="eastAsia"/>
                <w:color w:val="000000"/>
                <w:sz w:val="24"/>
                <w:u w:val="single"/>
              </w:rPr>
              <w:t>等</w:t>
            </w:r>
            <w:r>
              <w:rPr>
                <w:color w:val="000000"/>
                <w:sz w:val="24"/>
                <w:u w:val="single"/>
              </w:rPr>
              <w:t>申请排污许可。本项目建成后，排污须依照名录要求办理排污许可，依证排污。</w:t>
            </w:r>
          </w:p>
          <w:p w14:paraId="581349B8">
            <w:pPr>
              <w:spacing w:line="360" w:lineRule="auto"/>
              <w:ind w:firstLine="480" w:firstLineChars="200"/>
              <w:rPr>
                <w:color w:val="000000"/>
                <w:sz w:val="24"/>
                <w:u w:val="single"/>
              </w:rPr>
            </w:pPr>
            <w:r>
              <w:rPr>
                <w:rFonts w:hint="eastAsia"/>
                <w:color w:val="000000"/>
                <w:sz w:val="24"/>
                <w:u w:val="single"/>
              </w:rPr>
              <w:t>4、其他环境管理要求</w:t>
            </w:r>
          </w:p>
          <w:p w14:paraId="76FFEAF0">
            <w:pPr>
              <w:spacing w:line="360" w:lineRule="auto"/>
              <w:ind w:firstLine="480" w:firstLineChars="200"/>
              <w:rPr>
                <w:color w:val="000000"/>
                <w:sz w:val="24"/>
                <w:u w:val="single"/>
              </w:rPr>
            </w:pPr>
            <w:r>
              <w:rPr>
                <w:color w:val="000000"/>
                <w:sz w:val="24"/>
                <w:u w:val="single"/>
              </w:rPr>
              <w:t>废气排放口预留监测采样孔，并应设置采样平台、规范排污口及其管理、设置排污口标识标志牌</w:t>
            </w:r>
            <w:r>
              <w:rPr>
                <w:rFonts w:hint="eastAsia"/>
                <w:color w:val="000000"/>
                <w:sz w:val="24"/>
                <w:u w:val="single"/>
              </w:rPr>
              <w:t>；</w:t>
            </w:r>
            <w:r>
              <w:rPr>
                <w:color w:val="000000"/>
                <w:sz w:val="24"/>
                <w:u w:val="single"/>
              </w:rPr>
              <w:t>营运期执行环境保护法律、法规情况</w:t>
            </w:r>
            <w:r>
              <w:rPr>
                <w:rFonts w:hint="eastAsia"/>
                <w:color w:val="000000"/>
                <w:sz w:val="24"/>
                <w:u w:val="single"/>
              </w:rPr>
              <w:t>；</w:t>
            </w:r>
            <w:r>
              <w:rPr>
                <w:color w:val="000000"/>
                <w:sz w:val="24"/>
                <w:u w:val="single"/>
              </w:rPr>
              <w:t>环境保护审批手续及环境保护档案资料</w:t>
            </w:r>
            <w:r>
              <w:rPr>
                <w:rFonts w:hint="eastAsia"/>
                <w:color w:val="000000"/>
                <w:sz w:val="24"/>
                <w:u w:val="single"/>
              </w:rPr>
              <w:t>；</w:t>
            </w:r>
            <w:r>
              <w:rPr>
                <w:color w:val="000000"/>
                <w:sz w:val="24"/>
                <w:u w:val="single"/>
              </w:rPr>
              <w:t>环境管理机构及规章管理制定</w:t>
            </w:r>
            <w:r>
              <w:rPr>
                <w:rFonts w:hint="eastAsia"/>
                <w:color w:val="000000"/>
                <w:sz w:val="24"/>
                <w:u w:val="single"/>
              </w:rPr>
              <w:t>；</w:t>
            </w:r>
            <w:r>
              <w:rPr>
                <w:color w:val="000000"/>
                <w:sz w:val="24"/>
                <w:u w:val="single"/>
              </w:rPr>
              <w:t>环境保护设施建成及运行维护记录</w:t>
            </w:r>
            <w:r>
              <w:rPr>
                <w:rFonts w:hint="eastAsia"/>
                <w:color w:val="000000"/>
                <w:sz w:val="24"/>
                <w:u w:val="single"/>
              </w:rPr>
              <w:t>；</w:t>
            </w:r>
            <w:r>
              <w:rPr>
                <w:color w:val="000000"/>
                <w:sz w:val="24"/>
                <w:u w:val="single"/>
              </w:rPr>
              <w:t>环境保护措施落实情况及实施效果</w:t>
            </w:r>
            <w:r>
              <w:rPr>
                <w:rFonts w:hint="eastAsia"/>
                <w:color w:val="000000"/>
                <w:sz w:val="24"/>
                <w:u w:val="single"/>
              </w:rPr>
              <w:t>；</w:t>
            </w:r>
            <w:r>
              <w:rPr>
                <w:color w:val="000000"/>
                <w:sz w:val="24"/>
                <w:u w:val="single"/>
              </w:rPr>
              <w:t>营运期按照环境监测计划要求定期开展环境检测。</w:t>
            </w:r>
          </w:p>
          <w:p w14:paraId="52E4E3E2">
            <w:pPr>
              <w:spacing w:line="360" w:lineRule="auto"/>
              <w:ind w:firstLine="480" w:firstLineChars="200"/>
              <w:rPr>
                <w:color w:val="000000"/>
                <w:sz w:val="24"/>
                <w:u w:val="single"/>
              </w:rPr>
            </w:pPr>
            <w:r>
              <w:rPr>
                <w:color w:val="000000"/>
                <w:sz w:val="24"/>
                <w:u w:val="single"/>
              </w:rPr>
              <w:t>项目应建立环境管理台账制度，并设置专职人员进行台账的记录、整理、维护和管理。台账应真实记录如下信息：</w:t>
            </w:r>
          </w:p>
          <w:p w14:paraId="3207481E">
            <w:pPr>
              <w:spacing w:line="360" w:lineRule="auto"/>
              <w:ind w:firstLine="480" w:firstLineChars="200"/>
              <w:rPr>
                <w:color w:val="000000"/>
                <w:sz w:val="24"/>
                <w:u w:val="single"/>
              </w:rPr>
            </w:pPr>
            <w:r>
              <w:rPr>
                <w:color w:val="000000"/>
                <w:sz w:val="24"/>
                <w:u w:val="single"/>
              </w:rPr>
              <w:t>①生产设施运行管理信息</w:t>
            </w:r>
            <w:r>
              <w:rPr>
                <w:rFonts w:hint="eastAsia"/>
                <w:color w:val="000000"/>
                <w:sz w:val="24"/>
                <w:u w:val="single"/>
              </w:rPr>
              <w:t>；</w:t>
            </w:r>
            <w:r>
              <w:rPr>
                <w:color w:val="000000"/>
                <w:sz w:val="24"/>
                <w:u w:val="single"/>
              </w:rPr>
              <w:t>②原辅料采购信息</w:t>
            </w:r>
            <w:r>
              <w:rPr>
                <w:rFonts w:hint="eastAsia"/>
                <w:color w:val="000000"/>
                <w:sz w:val="24"/>
                <w:u w:val="single"/>
              </w:rPr>
              <w:t>；</w:t>
            </w:r>
            <w:r>
              <w:rPr>
                <w:color w:val="000000"/>
                <w:sz w:val="24"/>
                <w:u w:val="single"/>
              </w:rPr>
              <w:t>③污染治理设施运行管理信息</w:t>
            </w:r>
            <w:r>
              <w:rPr>
                <w:rFonts w:hint="eastAsia"/>
                <w:color w:val="000000"/>
                <w:sz w:val="24"/>
                <w:u w:val="single"/>
              </w:rPr>
              <w:t>；</w:t>
            </w:r>
            <w:r>
              <w:rPr>
                <w:color w:val="000000"/>
                <w:sz w:val="24"/>
                <w:u w:val="single"/>
              </w:rPr>
              <w:t>④非正常工况及污染治理设施异常情况记录信息</w:t>
            </w:r>
            <w:r>
              <w:rPr>
                <w:rFonts w:hint="eastAsia"/>
                <w:color w:val="000000"/>
                <w:sz w:val="24"/>
                <w:u w:val="single"/>
              </w:rPr>
              <w:t>；</w:t>
            </w:r>
            <w:r>
              <w:rPr>
                <w:color w:val="000000"/>
                <w:sz w:val="24"/>
                <w:u w:val="single"/>
              </w:rPr>
              <w:t>⑤监测记录信息</w:t>
            </w:r>
            <w:r>
              <w:rPr>
                <w:rFonts w:hint="eastAsia"/>
                <w:color w:val="000000"/>
                <w:sz w:val="24"/>
                <w:u w:val="single"/>
              </w:rPr>
              <w:t>；</w:t>
            </w:r>
            <w:r>
              <w:rPr>
                <w:color w:val="000000"/>
                <w:sz w:val="24"/>
                <w:u w:val="single"/>
              </w:rPr>
              <w:t>⑥其他环节管理信息。</w:t>
            </w:r>
          </w:p>
          <w:p w14:paraId="5C6679C5">
            <w:pPr>
              <w:spacing w:line="360" w:lineRule="auto"/>
              <w:ind w:firstLine="420" w:firstLineChars="200"/>
              <w:rPr>
                <w:rFonts w:ascii="宋体" w:hAnsi="宋体" w:cs="宋体"/>
                <w:szCs w:val="21"/>
                <w:u w:val="single"/>
              </w:rPr>
            </w:pPr>
          </w:p>
        </w:tc>
      </w:tr>
    </w:tbl>
    <w:p w14:paraId="3DC9B270">
      <w:pPr>
        <w:pStyle w:val="26"/>
        <w:jc w:val="center"/>
        <w:outlineLvl w:val="0"/>
        <w:rPr>
          <w:rFonts w:ascii="黑体" w:hAnsi="黑体" w:eastAsia="黑体"/>
          <w:snapToGrid w:val="0"/>
          <w:sz w:val="30"/>
          <w:szCs w:val="30"/>
        </w:rPr>
      </w:pPr>
      <w:r>
        <w:rPr>
          <w:snapToGrid w:val="0"/>
        </w:rPr>
        <w:br w:type="page"/>
      </w:r>
      <w:bookmarkStart w:id="5" w:name="_Toc19752"/>
      <w:r>
        <w:rPr>
          <w:rFonts w:hint="eastAsia" w:ascii="黑体" w:hAnsi="黑体" w:eastAsia="黑体"/>
          <w:snapToGrid w:val="0"/>
          <w:sz w:val="30"/>
          <w:szCs w:val="30"/>
        </w:rPr>
        <w:t>六、结论</w:t>
      </w:r>
      <w:bookmarkEnd w:id="5"/>
    </w:p>
    <w:tbl>
      <w:tblPr>
        <w:tblStyle w:val="3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138136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7DCF446E">
            <w:pPr>
              <w:spacing w:line="360" w:lineRule="auto"/>
              <w:ind w:firstLine="480" w:firstLineChars="200"/>
              <w:rPr>
                <w:rFonts w:ascii="宋体" w:cs="宋体"/>
                <w:sz w:val="24"/>
              </w:rPr>
            </w:pPr>
            <w:r>
              <w:rPr>
                <w:color w:val="000000"/>
                <w:sz w:val="24"/>
              </w:rPr>
              <w:t>项目的建设符合国家产业政策</w:t>
            </w:r>
            <w:r>
              <w:rPr>
                <w:rFonts w:hint="eastAsia" w:hAnsi="宋体"/>
                <w:bCs/>
                <w:sz w:val="24"/>
              </w:rPr>
              <w:t>及</w:t>
            </w:r>
            <w:r>
              <w:rPr>
                <w:rFonts w:hint="eastAsia" w:hAnsi="宋体"/>
                <w:bCs/>
                <w:sz w:val="24"/>
                <w:lang w:val="en-US" w:eastAsia="zh-CN"/>
              </w:rPr>
              <w:t>生态环境</w:t>
            </w:r>
            <w:r>
              <w:rPr>
                <w:rFonts w:hint="eastAsia" w:hAnsi="宋体"/>
                <w:bCs/>
                <w:sz w:val="24"/>
              </w:rPr>
              <w:t>分区管控的要求</w:t>
            </w:r>
            <w:r>
              <w:rPr>
                <w:color w:val="000000"/>
                <w:sz w:val="24"/>
              </w:rPr>
              <w:t>，符合土地利用规划，</w:t>
            </w:r>
            <w:r>
              <w:rPr>
                <w:rFonts w:hint="eastAsia" w:hAnsi="宋体"/>
                <w:bCs/>
                <w:sz w:val="24"/>
              </w:rPr>
              <w:t>且符合园区准入条件</w:t>
            </w:r>
            <w:r>
              <w:rPr>
                <w:rFonts w:hAnsi="宋体"/>
                <w:bCs/>
                <w:sz w:val="24"/>
              </w:rPr>
              <w:t>，</w:t>
            </w:r>
            <w:r>
              <w:rPr>
                <w:color w:val="000000"/>
                <w:sz w:val="24"/>
              </w:rPr>
              <w:t>选址可行；</w:t>
            </w:r>
            <w:r>
              <w:rPr>
                <w:rFonts w:hint="eastAsia"/>
                <w:color w:val="000000"/>
                <w:sz w:val="24"/>
              </w:rPr>
              <w:t>本项目采取的</w:t>
            </w:r>
            <w:r>
              <w:rPr>
                <w:color w:val="000000"/>
                <w:sz w:val="24"/>
              </w:rPr>
              <w:t>污染</w:t>
            </w:r>
            <w:r>
              <w:rPr>
                <w:rFonts w:hint="eastAsia"/>
                <w:color w:val="000000"/>
                <w:sz w:val="24"/>
              </w:rPr>
              <w:t>防治措施</w:t>
            </w:r>
            <w:r>
              <w:rPr>
                <w:color w:val="000000"/>
                <w:sz w:val="24"/>
              </w:rPr>
              <w:t>合理，在充分落实</w:t>
            </w:r>
            <w:r>
              <w:rPr>
                <w:rFonts w:hint="eastAsia"/>
                <w:color w:val="000000"/>
                <w:sz w:val="24"/>
              </w:rPr>
              <w:t>评价提出</w:t>
            </w:r>
            <w:r>
              <w:rPr>
                <w:color w:val="000000"/>
                <w:sz w:val="24"/>
              </w:rPr>
              <w:t>的各项治理措施后，污染物可确保达标排放，不会降低评价区域环境质量现状</w:t>
            </w:r>
            <w:r>
              <w:rPr>
                <w:rFonts w:hint="eastAsia"/>
                <w:color w:val="000000"/>
                <w:sz w:val="24"/>
              </w:rPr>
              <w:t>，</w:t>
            </w:r>
            <w:r>
              <w:rPr>
                <w:snapToGrid w:val="0"/>
                <w:kern w:val="0"/>
                <w:sz w:val="24"/>
              </w:rPr>
              <w:t>对周边环境产生的影响较小，事故风险水平可被接受</w:t>
            </w:r>
            <w:r>
              <w:rPr>
                <w:color w:val="000000"/>
                <w:sz w:val="24"/>
              </w:rPr>
              <w:t>。评价认为，从环保角度</w:t>
            </w:r>
            <w:r>
              <w:rPr>
                <w:rFonts w:hint="eastAsia"/>
                <w:color w:val="000000"/>
                <w:sz w:val="24"/>
              </w:rPr>
              <w:t>而言</w:t>
            </w:r>
            <w:r>
              <w:rPr>
                <w:color w:val="000000"/>
                <w:sz w:val="24"/>
              </w:rPr>
              <w:t>，该项目的建设是可行的。</w:t>
            </w:r>
          </w:p>
        </w:tc>
      </w:tr>
    </w:tbl>
    <w:p w14:paraId="74D0CD9D">
      <w:pPr>
        <w:rPr>
          <w:rFonts w:ascii="宋体"/>
        </w:rPr>
        <w:sectPr>
          <w:pgSz w:w="11906" w:h="16838"/>
          <w:pgMar w:top="1701" w:right="1531" w:bottom="1701" w:left="1531" w:header="851" w:footer="851" w:gutter="0"/>
          <w:cols w:space="720" w:num="1"/>
          <w:docGrid w:linePitch="312" w:charSpace="0"/>
        </w:sectPr>
      </w:pPr>
    </w:p>
    <w:p w14:paraId="421C1C14">
      <w:pPr>
        <w:pStyle w:val="26"/>
        <w:adjustRightInd w:val="0"/>
        <w:snapToGrid w:val="0"/>
        <w:spacing w:before="0" w:beforeAutospacing="0" w:after="0" w:afterAutospacing="0"/>
        <w:outlineLvl w:val="0"/>
        <w:rPr>
          <w:rFonts w:ascii="黑体" w:hAnsi="黑体" w:eastAsia="黑体"/>
          <w:snapToGrid w:val="0"/>
          <w:sz w:val="32"/>
          <w:szCs w:val="32"/>
        </w:rPr>
      </w:pPr>
      <w:bookmarkStart w:id="6" w:name="_Toc12373"/>
      <w:r>
        <w:rPr>
          <w:rFonts w:hint="eastAsia" w:ascii="黑体" w:hAnsi="黑体" w:eastAsia="黑体"/>
          <w:snapToGrid w:val="0"/>
          <w:sz w:val="32"/>
          <w:szCs w:val="32"/>
        </w:rPr>
        <w:t>附表</w:t>
      </w:r>
      <w:bookmarkEnd w:id="6"/>
    </w:p>
    <w:p w14:paraId="4B6E11D8">
      <w:pPr>
        <w:jc w:val="center"/>
        <w:rPr>
          <w:sz w:val="32"/>
          <w:szCs w:val="32"/>
        </w:rPr>
      </w:pPr>
      <w:r>
        <w:rPr>
          <w:rFonts w:hint="eastAsia"/>
          <w:sz w:val="32"/>
          <w:szCs w:val="32"/>
        </w:rPr>
        <w:t>建设项目污染物排放量汇总表    （单位：t/a）</w:t>
      </w:r>
    </w:p>
    <w:tbl>
      <w:tblPr>
        <w:tblStyle w:val="30"/>
        <w:tblW w:w="138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1708"/>
        <w:gridCol w:w="1697"/>
        <w:gridCol w:w="1273"/>
        <w:gridCol w:w="1697"/>
        <w:gridCol w:w="1555"/>
        <w:gridCol w:w="1566"/>
        <w:gridCol w:w="1762"/>
        <w:gridCol w:w="1270"/>
      </w:tblGrid>
      <w:tr w14:paraId="622885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1290" w:type="dxa"/>
            <w:tcBorders>
              <w:tl2br w:val="single" w:color="auto" w:sz="4" w:space="0"/>
            </w:tcBorders>
            <w:tcMar>
              <w:left w:w="28" w:type="dxa"/>
              <w:right w:w="28" w:type="dxa"/>
            </w:tcMar>
            <w:vAlign w:val="center"/>
          </w:tcPr>
          <w:p w14:paraId="58AF587E">
            <w:pPr>
              <w:pStyle w:val="37"/>
              <w:spacing w:beforeLines="0" w:afterLines="0" w:line="240" w:lineRule="auto"/>
              <w:jc w:val="right"/>
              <w:rPr>
                <w:rFonts w:ascii="黑体" w:hAnsi="黑体" w:eastAsia="黑体" w:cs="宋体"/>
                <w:snapToGrid w:val="0"/>
                <w:spacing w:val="-6"/>
                <w:kern w:val="21"/>
                <w:szCs w:val="21"/>
                <w:u w:val="single"/>
              </w:rPr>
            </w:pPr>
            <w:r>
              <w:rPr>
                <w:rFonts w:hint="eastAsia" w:ascii="黑体" w:hAnsi="黑体" w:eastAsia="黑体" w:cs="宋体"/>
                <w:snapToGrid w:val="0"/>
                <w:spacing w:val="-6"/>
                <w:kern w:val="21"/>
                <w:szCs w:val="21"/>
                <w:u w:val="single"/>
              </w:rPr>
              <w:t>项目</w:t>
            </w:r>
          </w:p>
          <w:p w14:paraId="59E2CF7C">
            <w:pPr>
              <w:pStyle w:val="37"/>
              <w:spacing w:beforeLines="0" w:afterLines="0" w:line="240" w:lineRule="auto"/>
              <w:jc w:val="left"/>
              <w:rPr>
                <w:rFonts w:ascii="黑体" w:hAnsi="黑体" w:eastAsia="黑体" w:cs="宋体"/>
                <w:snapToGrid w:val="0"/>
                <w:spacing w:val="-6"/>
                <w:kern w:val="21"/>
                <w:szCs w:val="21"/>
                <w:u w:val="single"/>
              </w:rPr>
            </w:pPr>
            <w:r>
              <w:rPr>
                <w:rFonts w:hint="eastAsia" w:ascii="黑体" w:hAnsi="黑体" w:eastAsia="黑体" w:cs="宋体"/>
                <w:snapToGrid w:val="0"/>
                <w:spacing w:val="-6"/>
                <w:kern w:val="21"/>
                <w:szCs w:val="21"/>
                <w:u w:val="single"/>
              </w:rPr>
              <w:t>分类</w:t>
            </w:r>
          </w:p>
        </w:tc>
        <w:tc>
          <w:tcPr>
            <w:tcW w:w="1708" w:type="dxa"/>
            <w:tcMar>
              <w:left w:w="28" w:type="dxa"/>
              <w:right w:w="28" w:type="dxa"/>
            </w:tcMar>
            <w:vAlign w:val="center"/>
          </w:tcPr>
          <w:p w14:paraId="6D3EAF98">
            <w:pPr>
              <w:pStyle w:val="37"/>
              <w:spacing w:beforeLines="0" w:afterLines="0" w:line="240" w:lineRule="auto"/>
              <w:rPr>
                <w:rFonts w:ascii="黑体" w:hAnsi="黑体" w:eastAsia="黑体" w:cs="宋体"/>
                <w:snapToGrid w:val="0"/>
                <w:spacing w:val="-6"/>
                <w:kern w:val="21"/>
                <w:szCs w:val="21"/>
                <w:u w:val="single"/>
              </w:rPr>
            </w:pPr>
            <w:r>
              <w:rPr>
                <w:rFonts w:hint="eastAsia" w:ascii="黑体" w:hAnsi="黑体" w:eastAsia="黑体" w:cs="宋体"/>
                <w:snapToGrid w:val="0"/>
                <w:spacing w:val="-6"/>
                <w:kern w:val="21"/>
                <w:szCs w:val="21"/>
                <w:u w:val="single"/>
              </w:rPr>
              <w:t>污染物名称</w:t>
            </w:r>
          </w:p>
        </w:tc>
        <w:tc>
          <w:tcPr>
            <w:tcW w:w="1697" w:type="dxa"/>
            <w:tcMar>
              <w:left w:w="28" w:type="dxa"/>
              <w:right w:w="28" w:type="dxa"/>
            </w:tcMar>
            <w:vAlign w:val="center"/>
          </w:tcPr>
          <w:p w14:paraId="18E35B79">
            <w:pPr>
              <w:pStyle w:val="37"/>
              <w:spacing w:beforeLines="0" w:afterLines="0" w:line="240" w:lineRule="auto"/>
              <w:rPr>
                <w:rFonts w:ascii="黑体" w:hAnsi="黑体" w:eastAsia="黑体"/>
                <w:snapToGrid w:val="0"/>
                <w:spacing w:val="-6"/>
                <w:kern w:val="21"/>
                <w:szCs w:val="21"/>
                <w:u w:val="single"/>
              </w:rPr>
            </w:pPr>
            <w:r>
              <w:rPr>
                <w:rFonts w:ascii="黑体" w:hAnsi="黑体" w:eastAsia="黑体"/>
                <w:snapToGrid w:val="0"/>
                <w:spacing w:val="-6"/>
                <w:kern w:val="21"/>
                <w:szCs w:val="21"/>
                <w:u w:val="single"/>
              </w:rPr>
              <w:t>现有工程</w:t>
            </w:r>
          </w:p>
          <w:p w14:paraId="6538F12B">
            <w:pPr>
              <w:pStyle w:val="37"/>
              <w:spacing w:beforeLines="0" w:afterLines="0" w:line="240" w:lineRule="auto"/>
              <w:rPr>
                <w:rFonts w:ascii="黑体" w:hAnsi="黑体" w:eastAsia="黑体"/>
                <w:snapToGrid w:val="0"/>
                <w:spacing w:val="-6"/>
                <w:kern w:val="21"/>
                <w:szCs w:val="21"/>
                <w:u w:val="single"/>
              </w:rPr>
            </w:pPr>
            <w:r>
              <w:rPr>
                <w:rFonts w:ascii="黑体" w:hAnsi="黑体" w:eastAsia="黑体"/>
                <w:snapToGrid w:val="0"/>
                <w:spacing w:val="-6"/>
                <w:kern w:val="21"/>
                <w:szCs w:val="21"/>
                <w:u w:val="single"/>
              </w:rPr>
              <w:t>排放量（固</w:t>
            </w:r>
            <w:r>
              <w:rPr>
                <w:rFonts w:hint="eastAsia" w:ascii="黑体" w:hAnsi="黑体" w:eastAsia="黑体"/>
                <w:snapToGrid w:val="0"/>
                <w:spacing w:val="-6"/>
                <w:kern w:val="21"/>
                <w:szCs w:val="21"/>
                <w:u w:val="single"/>
              </w:rPr>
              <w:t>体</w:t>
            </w:r>
            <w:r>
              <w:rPr>
                <w:rFonts w:ascii="黑体" w:hAnsi="黑体" w:eastAsia="黑体"/>
                <w:snapToGrid w:val="0"/>
                <w:spacing w:val="-6"/>
                <w:kern w:val="21"/>
                <w:szCs w:val="21"/>
                <w:u w:val="single"/>
              </w:rPr>
              <w:t>废</w:t>
            </w:r>
            <w:r>
              <w:rPr>
                <w:rFonts w:hint="eastAsia" w:ascii="黑体" w:hAnsi="黑体" w:eastAsia="黑体"/>
                <w:snapToGrid w:val="0"/>
                <w:spacing w:val="-6"/>
                <w:kern w:val="21"/>
                <w:szCs w:val="21"/>
                <w:u w:val="single"/>
              </w:rPr>
              <w:t>物</w:t>
            </w:r>
            <w:r>
              <w:rPr>
                <w:rFonts w:ascii="黑体" w:hAnsi="黑体" w:eastAsia="黑体"/>
                <w:snapToGrid w:val="0"/>
                <w:spacing w:val="-6"/>
                <w:kern w:val="21"/>
                <w:szCs w:val="21"/>
                <w:u w:val="single"/>
              </w:rPr>
              <w:t>产生量）</w:t>
            </w:r>
            <w:r>
              <w:rPr>
                <w:rFonts w:ascii="黑体" w:hAnsi="黑体" w:eastAsia="黑体"/>
                <w:snapToGrid w:val="0"/>
                <w:spacing w:val="-6"/>
                <w:kern w:val="21"/>
                <w:szCs w:val="21"/>
                <w:u w:val="single"/>
              </w:rPr>
              <w:fldChar w:fldCharType="begin"/>
            </w:r>
            <w:r>
              <w:rPr>
                <w:rFonts w:ascii="黑体" w:hAnsi="黑体" w:eastAsia="黑体"/>
                <w:snapToGrid w:val="0"/>
                <w:spacing w:val="-6"/>
                <w:kern w:val="21"/>
                <w:szCs w:val="21"/>
                <w:u w:val="single"/>
              </w:rPr>
              <w:instrText xml:space="preserve"> = 1 \* GB3 \* MERGEFORMAT </w:instrText>
            </w:r>
            <w:r>
              <w:rPr>
                <w:rFonts w:ascii="黑体" w:hAnsi="黑体" w:eastAsia="黑体"/>
                <w:snapToGrid w:val="0"/>
                <w:spacing w:val="-6"/>
                <w:kern w:val="21"/>
                <w:szCs w:val="21"/>
                <w:u w:val="single"/>
              </w:rPr>
              <w:fldChar w:fldCharType="separate"/>
            </w:r>
            <w:r>
              <w:rPr>
                <w:rFonts w:hint="eastAsia" w:ascii="黑体" w:hAnsi="黑体" w:eastAsia="黑体" w:cs="宋体"/>
                <w:kern w:val="2"/>
                <w:szCs w:val="21"/>
                <w:u w:val="single"/>
              </w:rPr>
              <w:t>①</w:t>
            </w:r>
            <w:r>
              <w:rPr>
                <w:rFonts w:ascii="黑体" w:hAnsi="黑体" w:eastAsia="黑体"/>
                <w:snapToGrid w:val="0"/>
                <w:spacing w:val="-6"/>
                <w:kern w:val="21"/>
                <w:szCs w:val="21"/>
                <w:u w:val="single"/>
              </w:rPr>
              <w:fldChar w:fldCharType="end"/>
            </w:r>
          </w:p>
        </w:tc>
        <w:tc>
          <w:tcPr>
            <w:tcW w:w="1273" w:type="dxa"/>
            <w:tcMar>
              <w:left w:w="28" w:type="dxa"/>
              <w:right w:w="28" w:type="dxa"/>
            </w:tcMar>
            <w:vAlign w:val="center"/>
          </w:tcPr>
          <w:p w14:paraId="5488F202">
            <w:pPr>
              <w:pStyle w:val="37"/>
              <w:spacing w:beforeLines="0" w:afterLines="0" w:line="240" w:lineRule="auto"/>
              <w:rPr>
                <w:rFonts w:ascii="黑体" w:hAnsi="黑体" w:eastAsia="黑体"/>
                <w:snapToGrid w:val="0"/>
                <w:spacing w:val="-6"/>
                <w:kern w:val="21"/>
                <w:szCs w:val="21"/>
                <w:u w:val="single"/>
              </w:rPr>
            </w:pPr>
            <w:r>
              <w:rPr>
                <w:rFonts w:ascii="黑体" w:hAnsi="黑体" w:eastAsia="黑体"/>
                <w:snapToGrid w:val="0"/>
                <w:spacing w:val="-6"/>
                <w:kern w:val="21"/>
                <w:szCs w:val="21"/>
                <w:u w:val="single"/>
              </w:rPr>
              <w:t>现有工程</w:t>
            </w:r>
          </w:p>
          <w:p w14:paraId="24B92C71">
            <w:pPr>
              <w:pStyle w:val="37"/>
              <w:spacing w:beforeLines="0" w:afterLines="0" w:line="240" w:lineRule="auto"/>
              <w:rPr>
                <w:rFonts w:ascii="黑体" w:hAnsi="黑体" w:eastAsia="黑体"/>
                <w:snapToGrid w:val="0"/>
                <w:spacing w:val="-6"/>
                <w:kern w:val="21"/>
                <w:szCs w:val="21"/>
                <w:u w:val="single"/>
              </w:rPr>
            </w:pPr>
            <w:r>
              <w:rPr>
                <w:rFonts w:ascii="黑体" w:hAnsi="黑体" w:eastAsia="黑体"/>
                <w:snapToGrid w:val="0"/>
                <w:spacing w:val="-6"/>
                <w:kern w:val="21"/>
                <w:szCs w:val="21"/>
                <w:u w:val="single"/>
              </w:rPr>
              <w:t>许可排放量</w:t>
            </w:r>
          </w:p>
          <w:p w14:paraId="6EEAAC3C">
            <w:pPr>
              <w:pStyle w:val="37"/>
              <w:spacing w:beforeLines="0" w:afterLines="0" w:line="240" w:lineRule="auto"/>
              <w:rPr>
                <w:rFonts w:ascii="黑体" w:hAnsi="黑体" w:eastAsia="黑体"/>
                <w:snapToGrid w:val="0"/>
                <w:spacing w:val="-6"/>
                <w:kern w:val="21"/>
                <w:szCs w:val="21"/>
                <w:u w:val="single"/>
              </w:rPr>
            </w:pPr>
            <w:r>
              <w:rPr>
                <w:rFonts w:ascii="黑体" w:hAnsi="黑体" w:eastAsia="黑体"/>
                <w:snapToGrid w:val="0"/>
                <w:spacing w:val="-6"/>
                <w:kern w:val="21"/>
                <w:szCs w:val="21"/>
                <w:u w:val="single"/>
              </w:rPr>
              <w:fldChar w:fldCharType="begin"/>
            </w:r>
            <w:r>
              <w:rPr>
                <w:rFonts w:ascii="黑体" w:hAnsi="黑体" w:eastAsia="黑体"/>
                <w:snapToGrid w:val="0"/>
                <w:spacing w:val="-6"/>
                <w:kern w:val="21"/>
                <w:szCs w:val="21"/>
                <w:u w:val="single"/>
              </w:rPr>
              <w:instrText xml:space="preserve"> = 2 \* GB3 \* MERGEFORMAT </w:instrText>
            </w:r>
            <w:r>
              <w:rPr>
                <w:rFonts w:ascii="黑体" w:hAnsi="黑体" w:eastAsia="黑体"/>
                <w:snapToGrid w:val="0"/>
                <w:spacing w:val="-6"/>
                <w:kern w:val="21"/>
                <w:szCs w:val="21"/>
                <w:u w:val="single"/>
              </w:rPr>
              <w:fldChar w:fldCharType="separate"/>
            </w:r>
            <w:r>
              <w:rPr>
                <w:rFonts w:hint="eastAsia" w:ascii="黑体" w:hAnsi="黑体" w:eastAsia="黑体" w:cs="宋体"/>
                <w:snapToGrid w:val="0"/>
                <w:spacing w:val="-6"/>
                <w:kern w:val="21"/>
                <w:szCs w:val="21"/>
                <w:u w:val="single"/>
              </w:rPr>
              <w:t>②</w:t>
            </w:r>
            <w:r>
              <w:rPr>
                <w:rFonts w:ascii="黑体" w:hAnsi="黑体" w:eastAsia="黑体"/>
                <w:snapToGrid w:val="0"/>
                <w:spacing w:val="-6"/>
                <w:kern w:val="21"/>
                <w:szCs w:val="21"/>
                <w:u w:val="single"/>
              </w:rPr>
              <w:fldChar w:fldCharType="end"/>
            </w:r>
          </w:p>
        </w:tc>
        <w:tc>
          <w:tcPr>
            <w:tcW w:w="1697" w:type="dxa"/>
            <w:tcMar>
              <w:left w:w="28" w:type="dxa"/>
              <w:right w:w="28" w:type="dxa"/>
            </w:tcMar>
            <w:vAlign w:val="center"/>
          </w:tcPr>
          <w:p w14:paraId="3BDE7B0C">
            <w:pPr>
              <w:pStyle w:val="37"/>
              <w:spacing w:beforeLines="0" w:afterLines="0" w:line="240" w:lineRule="auto"/>
              <w:rPr>
                <w:rFonts w:ascii="黑体" w:hAnsi="黑体" w:eastAsia="黑体"/>
                <w:snapToGrid w:val="0"/>
                <w:spacing w:val="-6"/>
                <w:kern w:val="21"/>
                <w:szCs w:val="21"/>
                <w:u w:val="single"/>
              </w:rPr>
            </w:pPr>
            <w:r>
              <w:rPr>
                <w:rFonts w:ascii="黑体" w:hAnsi="黑体" w:eastAsia="黑体"/>
                <w:snapToGrid w:val="0"/>
                <w:spacing w:val="-6"/>
                <w:kern w:val="21"/>
                <w:szCs w:val="21"/>
                <w:u w:val="single"/>
              </w:rPr>
              <w:t>在建工程</w:t>
            </w:r>
          </w:p>
          <w:p w14:paraId="612361EF">
            <w:pPr>
              <w:pStyle w:val="37"/>
              <w:spacing w:beforeLines="0" w:afterLines="0" w:line="240" w:lineRule="auto"/>
              <w:rPr>
                <w:rFonts w:ascii="黑体" w:hAnsi="黑体" w:eastAsia="黑体"/>
                <w:snapToGrid w:val="0"/>
                <w:spacing w:val="-6"/>
                <w:kern w:val="21"/>
                <w:szCs w:val="21"/>
                <w:u w:val="single"/>
              </w:rPr>
            </w:pPr>
            <w:r>
              <w:rPr>
                <w:rFonts w:ascii="黑体" w:hAnsi="黑体" w:eastAsia="黑体"/>
                <w:snapToGrid w:val="0"/>
                <w:spacing w:val="-6"/>
                <w:kern w:val="21"/>
                <w:szCs w:val="21"/>
                <w:u w:val="single"/>
              </w:rPr>
              <w:t>排放量（固</w:t>
            </w:r>
            <w:r>
              <w:rPr>
                <w:rFonts w:hint="eastAsia" w:ascii="黑体" w:hAnsi="黑体" w:eastAsia="黑体"/>
                <w:snapToGrid w:val="0"/>
                <w:spacing w:val="-6"/>
                <w:kern w:val="21"/>
                <w:szCs w:val="21"/>
                <w:u w:val="single"/>
              </w:rPr>
              <w:t>体</w:t>
            </w:r>
            <w:r>
              <w:rPr>
                <w:rFonts w:ascii="黑体" w:hAnsi="黑体" w:eastAsia="黑体"/>
                <w:snapToGrid w:val="0"/>
                <w:spacing w:val="-6"/>
                <w:kern w:val="21"/>
                <w:szCs w:val="21"/>
                <w:u w:val="single"/>
              </w:rPr>
              <w:t>废</w:t>
            </w:r>
            <w:r>
              <w:rPr>
                <w:rFonts w:hint="eastAsia" w:ascii="黑体" w:hAnsi="黑体" w:eastAsia="黑体"/>
                <w:snapToGrid w:val="0"/>
                <w:spacing w:val="-6"/>
                <w:kern w:val="21"/>
                <w:szCs w:val="21"/>
                <w:u w:val="single"/>
              </w:rPr>
              <w:t>物</w:t>
            </w:r>
            <w:r>
              <w:rPr>
                <w:rFonts w:ascii="黑体" w:hAnsi="黑体" w:eastAsia="黑体"/>
                <w:snapToGrid w:val="0"/>
                <w:spacing w:val="-6"/>
                <w:kern w:val="21"/>
                <w:szCs w:val="21"/>
                <w:u w:val="single"/>
              </w:rPr>
              <w:t>产生量）</w:t>
            </w:r>
            <w:r>
              <w:rPr>
                <w:rFonts w:ascii="黑体" w:hAnsi="黑体" w:eastAsia="黑体"/>
                <w:snapToGrid w:val="0"/>
                <w:spacing w:val="-6"/>
                <w:kern w:val="21"/>
                <w:szCs w:val="21"/>
                <w:u w:val="single"/>
              </w:rPr>
              <w:fldChar w:fldCharType="begin"/>
            </w:r>
            <w:r>
              <w:rPr>
                <w:rFonts w:ascii="黑体" w:hAnsi="黑体" w:eastAsia="黑体"/>
                <w:snapToGrid w:val="0"/>
                <w:spacing w:val="-6"/>
                <w:kern w:val="21"/>
                <w:szCs w:val="21"/>
                <w:u w:val="single"/>
              </w:rPr>
              <w:instrText xml:space="preserve"> = 3 \* GB3 \* MERGEFORMAT </w:instrText>
            </w:r>
            <w:r>
              <w:rPr>
                <w:rFonts w:ascii="黑体" w:hAnsi="黑体" w:eastAsia="黑体"/>
                <w:snapToGrid w:val="0"/>
                <w:spacing w:val="-6"/>
                <w:kern w:val="21"/>
                <w:szCs w:val="21"/>
                <w:u w:val="single"/>
              </w:rPr>
              <w:fldChar w:fldCharType="separate"/>
            </w:r>
            <w:r>
              <w:rPr>
                <w:rFonts w:hint="eastAsia" w:ascii="黑体" w:hAnsi="黑体" w:eastAsia="黑体" w:cs="宋体"/>
                <w:kern w:val="2"/>
                <w:szCs w:val="21"/>
                <w:u w:val="single"/>
              </w:rPr>
              <w:t>③</w:t>
            </w:r>
            <w:r>
              <w:rPr>
                <w:rFonts w:ascii="黑体" w:hAnsi="黑体" w:eastAsia="黑体"/>
                <w:snapToGrid w:val="0"/>
                <w:spacing w:val="-6"/>
                <w:kern w:val="21"/>
                <w:szCs w:val="21"/>
                <w:u w:val="single"/>
              </w:rPr>
              <w:fldChar w:fldCharType="end"/>
            </w:r>
          </w:p>
        </w:tc>
        <w:tc>
          <w:tcPr>
            <w:tcW w:w="1555" w:type="dxa"/>
            <w:tcMar>
              <w:left w:w="28" w:type="dxa"/>
              <w:right w:w="28" w:type="dxa"/>
            </w:tcMar>
            <w:vAlign w:val="center"/>
          </w:tcPr>
          <w:p w14:paraId="25710137">
            <w:pPr>
              <w:pStyle w:val="37"/>
              <w:spacing w:beforeLines="0" w:afterLines="0" w:line="240" w:lineRule="auto"/>
              <w:rPr>
                <w:rFonts w:ascii="黑体" w:hAnsi="黑体" w:eastAsia="黑体"/>
                <w:snapToGrid w:val="0"/>
                <w:spacing w:val="-6"/>
                <w:kern w:val="21"/>
                <w:szCs w:val="21"/>
                <w:u w:val="single"/>
              </w:rPr>
            </w:pPr>
            <w:r>
              <w:rPr>
                <w:rFonts w:ascii="黑体" w:hAnsi="黑体" w:eastAsia="黑体"/>
                <w:snapToGrid w:val="0"/>
                <w:spacing w:val="-6"/>
                <w:kern w:val="21"/>
                <w:szCs w:val="21"/>
                <w:u w:val="single"/>
              </w:rPr>
              <w:t>本项目</w:t>
            </w:r>
          </w:p>
          <w:p w14:paraId="7B486A54">
            <w:pPr>
              <w:pStyle w:val="37"/>
              <w:spacing w:beforeLines="0" w:afterLines="0" w:line="240" w:lineRule="auto"/>
              <w:rPr>
                <w:rFonts w:ascii="黑体" w:hAnsi="黑体" w:eastAsia="黑体"/>
                <w:snapToGrid w:val="0"/>
                <w:spacing w:val="-6"/>
                <w:kern w:val="21"/>
                <w:szCs w:val="21"/>
                <w:u w:val="single"/>
              </w:rPr>
            </w:pPr>
            <w:r>
              <w:rPr>
                <w:rFonts w:ascii="黑体" w:hAnsi="黑体" w:eastAsia="黑体"/>
                <w:snapToGrid w:val="0"/>
                <w:spacing w:val="-6"/>
                <w:kern w:val="21"/>
                <w:szCs w:val="21"/>
                <w:u w:val="single"/>
              </w:rPr>
              <w:t>排放量（固</w:t>
            </w:r>
            <w:r>
              <w:rPr>
                <w:rFonts w:hint="eastAsia" w:ascii="黑体" w:hAnsi="黑体" w:eastAsia="黑体"/>
                <w:snapToGrid w:val="0"/>
                <w:spacing w:val="-6"/>
                <w:kern w:val="21"/>
                <w:szCs w:val="21"/>
                <w:u w:val="single"/>
              </w:rPr>
              <w:t>体</w:t>
            </w:r>
            <w:r>
              <w:rPr>
                <w:rFonts w:ascii="黑体" w:hAnsi="黑体" w:eastAsia="黑体"/>
                <w:snapToGrid w:val="0"/>
                <w:spacing w:val="-6"/>
                <w:kern w:val="21"/>
                <w:szCs w:val="21"/>
                <w:u w:val="single"/>
              </w:rPr>
              <w:t>废</w:t>
            </w:r>
            <w:r>
              <w:rPr>
                <w:rFonts w:hint="eastAsia" w:ascii="黑体" w:hAnsi="黑体" w:eastAsia="黑体"/>
                <w:snapToGrid w:val="0"/>
                <w:spacing w:val="-6"/>
                <w:kern w:val="21"/>
                <w:szCs w:val="21"/>
                <w:u w:val="single"/>
              </w:rPr>
              <w:t>物</w:t>
            </w:r>
            <w:r>
              <w:rPr>
                <w:rFonts w:ascii="黑体" w:hAnsi="黑体" w:eastAsia="黑体"/>
                <w:snapToGrid w:val="0"/>
                <w:spacing w:val="-6"/>
                <w:kern w:val="21"/>
                <w:szCs w:val="21"/>
                <w:u w:val="single"/>
              </w:rPr>
              <w:t>产生量）</w:t>
            </w:r>
            <w:r>
              <w:rPr>
                <w:rFonts w:ascii="黑体" w:hAnsi="黑体" w:eastAsia="黑体"/>
                <w:snapToGrid w:val="0"/>
                <w:spacing w:val="-6"/>
                <w:kern w:val="21"/>
                <w:szCs w:val="21"/>
                <w:u w:val="single"/>
              </w:rPr>
              <w:fldChar w:fldCharType="begin"/>
            </w:r>
            <w:r>
              <w:rPr>
                <w:rFonts w:ascii="黑体" w:hAnsi="黑体" w:eastAsia="黑体"/>
                <w:snapToGrid w:val="0"/>
                <w:spacing w:val="-6"/>
                <w:kern w:val="21"/>
                <w:szCs w:val="21"/>
                <w:u w:val="single"/>
              </w:rPr>
              <w:instrText xml:space="preserve"> = 4 \* GB3 \* MERGEFORMAT </w:instrText>
            </w:r>
            <w:r>
              <w:rPr>
                <w:rFonts w:ascii="黑体" w:hAnsi="黑体" w:eastAsia="黑体"/>
                <w:snapToGrid w:val="0"/>
                <w:spacing w:val="-6"/>
                <w:kern w:val="21"/>
                <w:szCs w:val="21"/>
                <w:u w:val="single"/>
              </w:rPr>
              <w:fldChar w:fldCharType="separate"/>
            </w:r>
            <w:r>
              <w:rPr>
                <w:rFonts w:hint="eastAsia" w:ascii="黑体" w:hAnsi="黑体" w:eastAsia="黑体" w:cs="宋体"/>
                <w:kern w:val="2"/>
                <w:szCs w:val="21"/>
                <w:u w:val="single"/>
              </w:rPr>
              <w:t>④</w:t>
            </w:r>
            <w:r>
              <w:rPr>
                <w:rFonts w:ascii="黑体" w:hAnsi="黑体" w:eastAsia="黑体"/>
                <w:snapToGrid w:val="0"/>
                <w:spacing w:val="-6"/>
                <w:kern w:val="21"/>
                <w:szCs w:val="21"/>
                <w:u w:val="single"/>
              </w:rPr>
              <w:fldChar w:fldCharType="end"/>
            </w:r>
          </w:p>
        </w:tc>
        <w:tc>
          <w:tcPr>
            <w:tcW w:w="1566" w:type="dxa"/>
            <w:tcMar>
              <w:left w:w="28" w:type="dxa"/>
              <w:right w:w="28" w:type="dxa"/>
            </w:tcMar>
            <w:vAlign w:val="center"/>
          </w:tcPr>
          <w:p w14:paraId="24240012">
            <w:pPr>
              <w:pStyle w:val="37"/>
              <w:spacing w:beforeLines="0" w:afterLines="0" w:line="240" w:lineRule="auto"/>
              <w:rPr>
                <w:rFonts w:ascii="黑体" w:hAnsi="黑体" w:eastAsia="黑体"/>
                <w:snapToGrid w:val="0"/>
                <w:spacing w:val="-16"/>
                <w:kern w:val="21"/>
                <w:szCs w:val="21"/>
                <w:u w:val="single"/>
              </w:rPr>
            </w:pPr>
            <w:r>
              <w:rPr>
                <w:rFonts w:ascii="黑体" w:hAnsi="黑体" w:eastAsia="黑体"/>
                <w:snapToGrid w:val="0"/>
                <w:spacing w:val="-16"/>
                <w:kern w:val="21"/>
                <w:szCs w:val="21"/>
                <w:u w:val="single"/>
              </w:rPr>
              <w:t>以新带老削减量</w:t>
            </w:r>
          </w:p>
          <w:p w14:paraId="14236737">
            <w:pPr>
              <w:pStyle w:val="37"/>
              <w:spacing w:beforeLines="0" w:afterLines="0" w:line="240" w:lineRule="auto"/>
              <w:rPr>
                <w:rFonts w:ascii="黑体" w:hAnsi="黑体" w:eastAsia="黑体"/>
                <w:snapToGrid w:val="0"/>
                <w:spacing w:val="-16"/>
                <w:kern w:val="21"/>
                <w:szCs w:val="21"/>
                <w:u w:val="single"/>
              </w:rPr>
            </w:pPr>
            <w:r>
              <w:rPr>
                <w:rFonts w:ascii="黑体" w:hAnsi="黑体" w:eastAsia="黑体"/>
                <w:snapToGrid w:val="0"/>
                <w:spacing w:val="-16"/>
                <w:kern w:val="21"/>
                <w:szCs w:val="21"/>
                <w:u w:val="single"/>
              </w:rPr>
              <w:t>（新建项目不填）</w:t>
            </w:r>
            <w:r>
              <w:rPr>
                <w:rFonts w:ascii="黑体" w:hAnsi="黑体" w:eastAsia="黑体"/>
                <w:snapToGrid w:val="0"/>
                <w:spacing w:val="-16"/>
                <w:kern w:val="21"/>
                <w:szCs w:val="21"/>
                <w:u w:val="single"/>
              </w:rPr>
              <w:fldChar w:fldCharType="begin"/>
            </w:r>
            <w:r>
              <w:rPr>
                <w:rFonts w:ascii="黑体" w:hAnsi="黑体" w:eastAsia="黑体"/>
                <w:snapToGrid w:val="0"/>
                <w:spacing w:val="-16"/>
                <w:kern w:val="21"/>
                <w:szCs w:val="21"/>
                <w:u w:val="single"/>
              </w:rPr>
              <w:instrText xml:space="preserve"> = 5 \* GB3 \* MERGEFORMAT </w:instrText>
            </w:r>
            <w:r>
              <w:rPr>
                <w:rFonts w:ascii="黑体" w:hAnsi="黑体" w:eastAsia="黑体"/>
                <w:snapToGrid w:val="0"/>
                <w:spacing w:val="-16"/>
                <w:kern w:val="21"/>
                <w:szCs w:val="21"/>
                <w:u w:val="single"/>
              </w:rPr>
              <w:fldChar w:fldCharType="separate"/>
            </w:r>
            <w:r>
              <w:rPr>
                <w:rFonts w:hint="eastAsia" w:ascii="黑体" w:hAnsi="黑体" w:eastAsia="黑体" w:cs="宋体"/>
                <w:kern w:val="2"/>
                <w:szCs w:val="21"/>
                <w:u w:val="single"/>
              </w:rPr>
              <w:t>⑤</w:t>
            </w:r>
            <w:r>
              <w:rPr>
                <w:rFonts w:ascii="黑体" w:hAnsi="黑体" w:eastAsia="黑体"/>
                <w:snapToGrid w:val="0"/>
                <w:spacing w:val="-16"/>
                <w:kern w:val="21"/>
                <w:szCs w:val="21"/>
                <w:u w:val="single"/>
              </w:rPr>
              <w:fldChar w:fldCharType="end"/>
            </w:r>
          </w:p>
        </w:tc>
        <w:tc>
          <w:tcPr>
            <w:tcW w:w="1762" w:type="dxa"/>
            <w:tcMar>
              <w:left w:w="28" w:type="dxa"/>
              <w:right w:w="28" w:type="dxa"/>
            </w:tcMar>
            <w:vAlign w:val="center"/>
          </w:tcPr>
          <w:p w14:paraId="2D3B770F">
            <w:pPr>
              <w:pStyle w:val="37"/>
              <w:spacing w:beforeLines="0" w:afterLines="0" w:line="240" w:lineRule="auto"/>
              <w:rPr>
                <w:rFonts w:ascii="黑体" w:hAnsi="黑体" w:eastAsia="黑体"/>
                <w:snapToGrid w:val="0"/>
                <w:spacing w:val="-16"/>
                <w:kern w:val="21"/>
                <w:szCs w:val="21"/>
                <w:u w:val="single"/>
              </w:rPr>
            </w:pPr>
            <w:r>
              <w:rPr>
                <w:rFonts w:ascii="黑体" w:hAnsi="黑体" w:eastAsia="黑体"/>
                <w:snapToGrid w:val="0"/>
                <w:spacing w:val="-16"/>
                <w:kern w:val="21"/>
                <w:szCs w:val="21"/>
                <w:u w:val="single"/>
              </w:rPr>
              <w:t>本项目建成后</w:t>
            </w:r>
          </w:p>
          <w:p w14:paraId="5D533843">
            <w:pPr>
              <w:pStyle w:val="37"/>
              <w:spacing w:beforeLines="0" w:afterLines="0" w:line="240" w:lineRule="auto"/>
              <w:rPr>
                <w:rFonts w:ascii="黑体" w:hAnsi="黑体" w:eastAsia="黑体"/>
                <w:snapToGrid w:val="0"/>
                <w:spacing w:val="-16"/>
                <w:kern w:val="21"/>
                <w:szCs w:val="21"/>
                <w:u w:val="single"/>
              </w:rPr>
            </w:pPr>
            <w:r>
              <w:rPr>
                <w:rFonts w:hint="eastAsia" w:ascii="黑体" w:hAnsi="黑体" w:eastAsia="黑体"/>
                <w:snapToGrid w:val="0"/>
                <w:spacing w:val="-16"/>
                <w:kern w:val="21"/>
                <w:szCs w:val="21"/>
                <w:u w:val="single"/>
              </w:rPr>
              <w:t>全厂</w:t>
            </w:r>
            <w:r>
              <w:rPr>
                <w:rFonts w:ascii="黑体" w:hAnsi="黑体" w:eastAsia="黑体"/>
                <w:snapToGrid w:val="0"/>
                <w:spacing w:val="-16"/>
                <w:kern w:val="21"/>
                <w:szCs w:val="21"/>
                <w:u w:val="single"/>
              </w:rPr>
              <w:t>排放量（固</w:t>
            </w:r>
            <w:r>
              <w:rPr>
                <w:rFonts w:hint="eastAsia" w:ascii="黑体" w:hAnsi="黑体" w:eastAsia="黑体"/>
                <w:snapToGrid w:val="0"/>
                <w:spacing w:val="-16"/>
                <w:kern w:val="21"/>
                <w:szCs w:val="21"/>
                <w:u w:val="single"/>
              </w:rPr>
              <w:t>体</w:t>
            </w:r>
            <w:r>
              <w:rPr>
                <w:rFonts w:ascii="黑体" w:hAnsi="黑体" w:eastAsia="黑体"/>
                <w:snapToGrid w:val="0"/>
                <w:spacing w:val="-16"/>
                <w:kern w:val="21"/>
                <w:szCs w:val="21"/>
                <w:u w:val="single"/>
              </w:rPr>
              <w:t>废</w:t>
            </w:r>
            <w:r>
              <w:rPr>
                <w:rFonts w:hint="eastAsia" w:ascii="黑体" w:hAnsi="黑体" w:eastAsia="黑体"/>
                <w:snapToGrid w:val="0"/>
                <w:spacing w:val="-16"/>
                <w:kern w:val="21"/>
                <w:szCs w:val="21"/>
                <w:u w:val="single"/>
              </w:rPr>
              <w:t>物</w:t>
            </w:r>
            <w:r>
              <w:rPr>
                <w:rFonts w:ascii="黑体" w:hAnsi="黑体" w:eastAsia="黑体"/>
                <w:snapToGrid w:val="0"/>
                <w:spacing w:val="-16"/>
                <w:kern w:val="21"/>
                <w:szCs w:val="21"/>
                <w:u w:val="single"/>
              </w:rPr>
              <w:t>产生量）</w:t>
            </w:r>
            <w:r>
              <w:rPr>
                <w:rFonts w:ascii="黑体" w:hAnsi="黑体" w:eastAsia="黑体"/>
                <w:snapToGrid w:val="0"/>
                <w:spacing w:val="-16"/>
                <w:kern w:val="21"/>
                <w:szCs w:val="21"/>
                <w:u w:val="single"/>
              </w:rPr>
              <w:fldChar w:fldCharType="begin"/>
            </w:r>
            <w:r>
              <w:rPr>
                <w:rFonts w:ascii="黑体" w:hAnsi="黑体" w:eastAsia="黑体"/>
                <w:snapToGrid w:val="0"/>
                <w:spacing w:val="-16"/>
                <w:kern w:val="21"/>
                <w:szCs w:val="21"/>
                <w:u w:val="single"/>
              </w:rPr>
              <w:instrText xml:space="preserve"> = 6 \* GB3 \* MERGEFORMAT </w:instrText>
            </w:r>
            <w:r>
              <w:rPr>
                <w:rFonts w:ascii="黑体" w:hAnsi="黑体" w:eastAsia="黑体"/>
                <w:snapToGrid w:val="0"/>
                <w:spacing w:val="-16"/>
                <w:kern w:val="21"/>
                <w:szCs w:val="21"/>
                <w:u w:val="single"/>
              </w:rPr>
              <w:fldChar w:fldCharType="separate"/>
            </w:r>
            <w:r>
              <w:rPr>
                <w:rFonts w:hint="eastAsia" w:ascii="黑体" w:hAnsi="黑体" w:eastAsia="黑体" w:cs="宋体"/>
                <w:kern w:val="2"/>
                <w:szCs w:val="21"/>
                <w:u w:val="single"/>
              </w:rPr>
              <w:t>⑥</w:t>
            </w:r>
            <w:r>
              <w:rPr>
                <w:rFonts w:ascii="黑体" w:hAnsi="黑体" w:eastAsia="黑体"/>
                <w:snapToGrid w:val="0"/>
                <w:spacing w:val="-16"/>
                <w:kern w:val="21"/>
                <w:szCs w:val="21"/>
                <w:u w:val="single"/>
              </w:rPr>
              <w:fldChar w:fldCharType="end"/>
            </w:r>
          </w:p>
        </w:tc>
        <w:tc>
          <w:tcPr>
            <w:tcW w:w="1270" w:type="dxa"/>
            <w:tcMar>
              <w:left w:w="28" w:type="dxa"/>
              <w:right w:w="28" w:type="dxa"/>
            </w:tcMar>
            <w:vAlign w:val="center"/>
          </w:tcPr>
          <w:p w14:paraId="5CA25CEC">
            <w:pPr>
              <w:pStyle w:val="37"/>
              <w:spacing w:beforeLines="0" w:afterLines="0" w:line="240" w:lineRule="auto"/>
              <w:rPr>
                <w:rFonts w:ascii="黑体" w:hAnsi="黑体" w:eastAsia="黑体"/>
                <w:snapToGrid w:val="0"/>
                <w:spacing w:val="-6"/>
                <w:kern w:val="21"/>
                <w:szCs w:val="21"/>
                <w:u w:val="single"/>
              </w:rPr>
            </w:pPr>
            <w:r>
              <w:rPr>
                <w:rFonts w:ascii="黑体" w:hAnsi="黑体" w:eastAsia="黑体"/>
                <w:snapToGrid w:val="0"/>
                <w:spacing w:val="-6"/>
                <w:kern w:val="21"/>
                <w:szCs w:val="21"/>
                <w:u w:val="single"/>
              </w:rPr>
              <w:t>变化量</w:t>
            </w:r>
          </w:p>
          <w:p w14:paraId="5BD3A9DE">
            <w:pPr>
              <w:pStyle w:val="37"/>
              <w:spacing w:beforeLines="0" w:afterLines="0" w:line="240" w:lineRule="auto"/>
              <w:rPr>
                <w:rFonts w:ascii="黑体" w:hAnsi="黑体" w:eastAsia="黑体"/>
                <w:snapToGrid w:val="0"/>
                <w:spacing w:val="-6"/>
                <w:kern w:val="21"/>
                <w:szCs w:val="21"/>
                <w:u w:val="single"/>
              </w:rPr>
            </w:pPr>
            <w:r>
              <w:rPr>
                <w:rFonts w:ascii="黑体" w:hAnsi="黑体" w:eastAsia="黑体"/>
                <w:snapToGrid w:val="0"/>
                <w:spacing w:val="-6"/>
                <w:kern w:val="21"/>
                <w:szCs w:val="21"/>
                <w:u w:val="single"/>
              </w:rPr>
              <w:fldChar w:fldCharType="begin"/>
            </w:r>
            <w:r>
              <w:rPr>
                <w:rFonts w:ascii="黑体" w:hAnsi="黑体" w:eastAsia="黑体"/>
                <w:snapToGrid w:val="0"/>
                <w:spacing w:val="-6"/>
                <w:kern w:val="21"/>
                <w:szCs w:val="21"/>
                <w:u w:val="single"/>
              </w:rPr>
              <w:instrText xml:space="preserve"> = 7 \* GB3 \* MERGEFORMAT </w:instrText>
            </w:r>
            <w:r>
              <w:rPr>
                <w:rFonts w:ascii="黑体" w:hAnsi="黑体" w:eastAsia="黑体"/>
                <w:snapToGrid w:val="0"/>
                <w:spacing w:val="-6"/>
                <w:kern w:val="21"/>
                <w:szCs w:val="21"/>
                <w:u w:val="single"/>
              </w:rPr>
              <w:fldChar w:fldCharType="separate"/>
            </w:r>
            <w:r>
              <w:rPr>
                <w:rFonts w:hint="eastAsia" w:ascii="黑体" w:hAnsi="黑体" w:eastAsia="黑体" w:cs="宋体"/>
                <w:kern w:val="2"/>
                <w:szCs w:val="21"/>
                <w:u w:val="single"/>
              </w:rPr>
              <w:t>⑦</w:t>
            </w:r>
            <w:r>
              <w:rPr>
                <w:rFonts w:ascii="黑体" w:hAnsi="黑体" w:eastAsia="黑体"/>
                <w:snapToGrid w:val="0"/>
                <w:spacing w:val="-6"/>
                <w:kern w:val="21"/>
                <w:szCs w:val="21"/>
                <w:u w:val="single"/>
              </w:rPr>
              <w:fldChar w:fldCharType="end"/>
            </w:r>
          </w:p>
        </w:tc>
      </w:tr>
      <w:tr w14:paraId="17B265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restart"/>
            <w:vAlign w:val="center"/>
          </w:tcPr>
          <w:p w14:paraId="478B411B">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废气</w:t>
            </w:r>
          </w:p>
        </w:tc>
        <w:tc>
          <w:tcPr>
            <w:tcW w:w="1708" w:type="dxa"/>
            <w:vAlign w:val="center"/>
          </w:tcPr>
          <w:p w14:paraId="444D9681">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二氧化硫</w:t>
            </w:r>
          </w:p>
        </w:tc>
        <w:tc>
          <w:tcPr>
            <w:tcW w:w="1697" w:type="dxa"/>
            <w:vAlign w:val="center"/>
          </w:tcPr>
          <w:p w14:paraId="6F93A9B4">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0EE24C3D">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1A937EBA">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277172C0">
            <w:pPr>
              <w:autoSpaceDE w:val="0"/>
              <w:autoSpaceDN w:val="0"/>
              <w:adjustRightInd w:val="0"/>
              <w:jc w:val="center"/>
              <w:textAlignment w:val="baseline"/>
              <w:rPr>
                <w:kern w:val="0"/>
                <w:szCs w:val="21"/>
                <w:u w:val="single"/>
              </w:rPr>
            </w:pPr>
            <w:r>
              <w:rPr>
                <w:rFonts w:hint="eastAsia"/>
                <w:kern w:val="0"/>
                <w:szCs w:val="21"/>
                <w:u w:val="single"/>
              </w:rPr>
              <w:t>0.02</w:t>
            </w:r>
          </w:p>
        </w:tc>
        <w:tc>
          <w:tcPr>
            <w:tcW w:w="1566" w:type="dxa"/>
            <w:vAlign w:val="center"/>
          </w:tcPr>
          <w:p w14:paraId="464BE6AC">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68DD33CA">
            <w:pPr>
              <w:autoSpaceDE w:val="0"/>
              <w:autoSpaceDN w:val="0"/>
              <w:adjustRightInd w:val="0"/>
              <w:jc w:val="center"/>
              <w:textAlignment w:val="baseline"/>
              <w:rPr>
                <w:kern w:val="0"/>
                <w:szCs w:val="21"/>
                <w:u w:val="single"/>
              </w:rPr>
            </w:pPr>
            <w:r>
              <w:rPr>
                <w:rFonts w:hint="eastAsia"/>
                <w:kern w:val="0"/>
                <w:szCs w:val="21"/>
                <w:u w:val="single"/>
              </w:rPr>
              <w:t>0.02</w:t>
            </w:r>
          </w:p>
        </w:tc>
        <w:tc>
          <w:tcPr>
            <w:tcW w:w="1270" w:type="dxa"/>
            <w:vAlign w:val="center"/>
          </w:tcPr>
          <w:p w14:paraId="0918CE63">
            <w:pPr>
              <w:autoSpaceDE w:val="0"/>
              <w:autoSpaceDN w:val="0"/>
              <w:adjustRightInd w:val="0"/>
              <w:jc w:val="center"/>
              <w:textAlignment w:val="baseline"/>
              <w:rPr>
                <w:kern w:val="0"/>
                <w:szCs w:val="21"/>
                <w:u w:val="single"/>
              </w:rPr>
            </w:pPr>
            <w:r>
              <w:rPr>
                <w:rFonts w:hint="eastAsia"/>
                <w:kern w:val="0"/>
                <w:szCs w:val="21"/>
                <w:u w:val="single"/>
              </w:rPr>
              <w:t>+0.02</w:t>
            </w:r>
          </w:p>
        </w:tc>
      </w:tr>
      <w:tr w14:paraId="5A289E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31DBDA06">
            <w:pPr>
              <w:pStyle w:val="37"/>
              <w:spacing w:beforeLines="0" w:afterLines="0" w:line="240" w:lineRule="auto"/>
              <w:rPr>
                <w:rFonts w:hAnsi="宋体" w:cs="宋体"/>
                <w:snapToGrid w:val="0"/>
                <w:kern w:val="21"/>
                <w:szCs w:val="21"/>
                <w:u w:val="single"/>
              </w:rPr>
            </w:pPr>
          </w:p>
        </w:tc>
        <w:tc>
          <w:tcPr>
            <w:tcW w:w="1708" w:type="dxa"/>
            <w:vAlign w:val="center"/>
          </w:tcPr>
          <w:p w14:paraId="5A47EF65">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氮氧化物</w:t>
            </w:r>
          </w:p>
        </w:tc>
        <w:tc>
          <w:tcPr>
            <w:tcW w:w="1697" w:type="dxa"/>
            <w:vAlign w:val="center"/>
          </w:tcPr>
          <w:p w14:paraId="14B7E005">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6D19C9A0">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1158E69B">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1A9375F1">
            <w:pPr>
              <w:autoSpaceDE w:val="0"/>
              <w:autoSpaceDN w:val="0"/>
              <w:adjustRightInd w:val="0"/>
              <w:jc w:val="center"/>
              <w:textAlignment w:val="baseline"/>
              <w:rPr>
                <w:rFonts w:hint="eastAsia" w:eastAsia="宋体"/>
                <w:kern w:val="0"/>
                <w:szCs w:val="21"/>
                <w:u w:val="single"/>
                <w:lang w:val="en-US" w:eastAsia="zh-CN"/>
              </w:rPr>
            </w:pPr>
            <w:r>
              <w:rPr>
                <w:rFonts w:hint="eastAsia"/>
                <w:kern w:val="0"/>
                <w:szCs w:val="21"/>
                <w:u w:val="single"/>
              </w:rPr>
              <w:t>0.0</w:t>
            </w:r>
            <w:r>
              <w:rPr>
                <w:rFonts w:hint="eastAsia"/>
                <w:kern w:val="0"/>
                <w:szCs w:val="21"/>
                <w:u w:val="single"/>
                <w:lang w:val="en-US" w:eastAsia="zh-CN"/>
              </w:rPr>
              <w:t>7</w:t>
            </w:r>
          </w:p>
        </w:tc>
        <w:tc>
          <w:tcPr>
            <w:tcW w:w="1566" w:type="dxa"/>
            <w:vAlign w:val="center"/>
          </w:tcPr>
          <w:p w14:paraId="262069C8">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4486DF38">
            <w:pPr>
              <w:autoSpaceDE w:val="0"/>
              <w:autoSpaceDN w:val="0"/>
              <w:adjustRightInd w:val="0"/>
              <w:jc w:val="center"/>
              <w:textAlignment w:val="baseline"/>
              <w:rPr>
                <w:rFonts w:hint="eastAsia" w:eastAsia="宋体"/>
                <w:kern w:val="0"/>
                <w:szCs w:val="21"/>
                <w:u w:val="single"/>
                <w:lang w:val="en-US" w:eastAsia="zh-CN"/>
              </w:rPr>
            </w:pPr>
            <w:r>
              <w:rPr>
                <w:rFonts w:hint="eastAsia"/>
                <w:kern w:val="0"/>
                <w:szCs w:val="21"/>
                <w:u w:val="single"/>
              </w:rPr>
              <w:t>0.0</w:t>
            </w:r>
            <w:r>
              <w:rPr>
                <w:rFonts w:hint="eastAsia"/>
                <w:kern w:val="0"/>
                <w:szCs w:val="21"/>
                <w:u w:val="single"/>
                <w:lang w:val="en-US" w:eastAsia="zh-CN"/>
              </w:rPr>
              <w:t>7</w:t>
            </w:r>
          </w:p>
        </w:tc>
        <w:tc>
          <w:tcPr>
            <w:tcW w:w="1270" w:type="dxa"/>
            <w:vAlign w:val="center"/>
          </w:tcPr>
          <w:p w14:paraId="052E3EB7">
            <w:pPr>
              <w:autoSpaceDE w:val="0"/>
              <w:autoSpaceDN w:val="0"/>
              <w:adjustRightInd w:val="0"/>
              <w:jc w:val="center"/>
              <w:textAlignment w:val="baseline"/>
              <w:rPr>
                <w:rFonts w:hint="eastAsia" w:eastAsia="宋体"/>
                <w:kern w:val="0"/>
                <w:szCs w:val="21"/>
                <w:u w:val="single"/>
                <w:lang w:val="en-US" w:eastAsia="zh-CN"/>
              </w:rPr>
            </w:pPr>
            <w:r>
              <w:rPr>
                <w:rFonts w:hint="eastAsia"/>
                <w:kern w:val="0"/>
                <w:szCs w:val="21"/>
                <w:u w:val="single"/>
              </w:rPr>
              <w:t>+0.0</w:t>
            </w:r>
            <w:r>
              <w:rPr>
                <w:rFonts w:hint="eastAsia"/>
                <w:kern w:val="0"/>
                <w:szCs w:val="21"/>
                <w:u w:val="single"/>
                <w:lang w:val="en-US" w:eastAsia="zh-CN"/>
              </w:rPr>
              <w:t>7</w:t>
            </w:r>
          </w:p>
        </w:tc>
      </w:tr>
      <w:tr w14:paraId="3A9BC4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6342C762">
            <w:pPr>
              <w:pStyle w:val="37"/>
              <w:spacing w:beforeLines="0" w:afterLines="0" w:line="240" w:lineRule="auto"/>
              <w:rPr>
                <w:rFonts w:hAnsi="宋体" w:cs="宋体"/>
                <w:snapToGrid w:val="0"/>
                <w:kern w:val="21"/>
                <w:szCs w:val="21"/>
                <w:u w:val="single"/>
              </w:rPr>
            </w:pPr>
          </w:p>
        </w:tc>
        <w:tc>
          <w:tcPr>
            <w:tcW w:w="1708" w:type="dxa"/>
            <w:vAlign w:val="center"/>
          </w:tcPr>
          <w:p w14:paraId="13E7E2D4">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颗粒物</w:t>
            </w:r>
          </w:p>
        </w:tc>
        <w:tc>
          <w:tcPr>
            <w:tcW w:w="1697" w:type="dxa"/>
            <w:vAlign w:val="center"/>
          </w:tcPr>
          <w:p w14:paraId="41F5ABE4">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08D0319C">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360BD0BD">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7E53BCCC">
            <w:pPr>
              <w:autoSpaceDE w:val="0"/>
              <w:autoSpaceDN w:val="0"/>
              <w:adjustRightInd w:val="0"/>
              <w:jc w:val="center"/>
              <w:textAlignment w:val="baseline"/>
              <w:rPr>
                <w:kern w:val="0"/>
                <w:szCs w:val="21"/>
                <w:u w:val="single"/>
              </w:rPr>
            </w:pPr>
            <w:r>
              <w:rPr>
                <w:rFonts w:hint="eastAsia"/>
                <w:kern w:val="0"/>
                <w:szCs w:val="21"/>
                <w:u w:val="single"/>
              </w:rPr>
              <w:t>6.223</w:t>
            </w:r>
          </w:p>
        </w:tc>
        <w:tc>
          <w:tcPr>
            <w:tcW w:w="1566" w:type="dxa"/>
            <w:vAlign w:val="center"/>
          </w:tcPr>
          <w:p w14:paraId="6D7ECBA7">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3457B516">
            <w:pPr>
              <w:autoSpaceDE w:val="0"/>
              <w:autoSpaceDN w:val="0"/>
              <w:adjustRightInd w:val="0"/>
              <w:jc w:val="center"/>
              <w:textAlignment w:val="baseline"/>
              <w:rPr>
                <w:kern w:val="0"/>
                <w:szCs w:val="21"/>
                <w:u w:val="single"/>
              </w:rPr>
            </w:pPr>
            <w:r>
              <w:rPr>
                <w:rFonts w:hint="eastAsia"/>
                <w:kern w:val="0"/>
                <w:szCs w:val="21"/>
                <w:u w:val="single"/>
              </w:rPr>
              <w:t>6.223</w:t>
            </w:r>
          </w:p>
        </w:tc>
        <w:tc>
          <w:tcPr>
            <w:tcW w:w="1270" w:type="dxa"/>
            <w:vAlign w:val="center"/>
          </w:tcPr>
          <w:p w14:paraId="23CAEABB">
            <w:pPr>
              <w:autoSpaceDE w:val="0"/>
              <w:autoSpaceDN w:val="0"/>
              <w:adjustRightInd w:val="0"/>
              <w:jc w:val="center"/>
              <w:textAlignment w:val="baseline"/>
              <w:rPr>
                <w:kern w:val="0"/>
                <w:szCs w:val="21"/>
                <w:u w:val="single"/>
              </w:rPr>
            </w:pPr>
            <w:r>
              <w:rPr>
                <w:rFonts w:hint="eastAsia"/>
                <w:kern w:val="0"/>
                <w:szCs w:val="21"/>
                <w:u w:val="single"/>
              </w:rPr>
              <w:t>+6.223</w:t>
            </w:r>
          </w:p>
        </w:tc>
      </w:tr>
      <w:tr w14:paraId="42B2F3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04C78D6E">
            <w:pPr>
              <w:pStyle w:val="37"/>
              <w:spacing w:beforeLines="0" w:afterLines="0" w:line="240" w:lineRule="auto"/>
              <w:rPr>
                <w:rFonts w:hAnsi="宋体" w:cs="宋体"/>
                <w:snapToGrid w:val="0"/>
                <w:kern w:val="21"/>
                <w:szCs w:val="21"/>
                <w:u w:val="single"/>
              </w:rPr>
            </w:pPr>
          </w:p>
        </w:tc>
        <w:tc>
          <w:tcPr>
            <w:tcW w:w="1708" w:type="dxa"/>
            <w:vAlign w:val="center"/>
          </w:tcPr>
          <w:p w14:paraId="7689704D">
            <w:pPr>
              <w:pStyle w:val="37"/>
              <w:spacing w:beforeLines="0" w:afterLines="0" w:line="240" w:lineRule="auto"/>
              <w:rPr>
                <w:rFonts w:hAnsi="宋体" w:cs="宋体"/>
                <w:snapToGrid w:val="0"/>
                <w:kern w:val="21"/>
                <w:szCs w:val="21"/>
                <w:u w:val="single"/>
              </w:rPr>
            </w:pPr>
            <w:r>
              <w:rPr>
                <w:rFonts w:hint="eastAsia" w:ascii="Times New Roman"/>
                <w:kern w:val="2"/>
                <w:szCs w:val="21"/>
                <w:u w:val="single"/>
              </w:rPr>
              <w:t>VOCs</w:t>
            </w:r>
          </w:p>
        </w:tc>
        <w:tc>
          <w:tcPr>
            <w:tcW w:w="1697" w:type="dxa"/>
            <w:vAlign w:val="center"/>
          </w:tcPr>
          <w:p w14:paraId="11A634C9">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3043AB68">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2F138AF3">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1BC661C6">
            <w:pPr>
              <w:autoSpaceDE w:val="0"/>
              <w:autoSpaceDN w:val="0"/>
              <w:adjustRightInd w:val="0"/>
              <w:jc w:val="center"/>
              <w:textAlignment w:val="baseline"/>
              <w:rPr>
                <w:rFonts w:hint="default" w:eastAsia="宋体"/>
                <w:kern w:val="0"/>
                <w:szCs w:val="21"/>
                <w:u w:val="single"/>
                <w:lang w:val="en-US" w:eastAsia="zh-CN"/>
              </w:rPr>
            </w:pPr>
            <w:r>
              <w:rPr>
                <w:rFonts w:hint="eastAsia"/>
                <w:kern w:val="0"/>
                <w:szCs w:val="21"/>
                <w:u w:val="single"/>
                <w:lang w:val="en-US" w:eastAsia="zh-CN"/>
              </w:rPr>
              <w:t>1.228</w:t>
            </w:r>
          </w:p>
        </w:tc>
        <w:tc>
          <w:tcPr>
            <w:tcW w:w="1566" w:type="dxa"/>
            <w:vAlign w:val="center"/>
          </w:tcPr>
          <w:p w14:paraId="24A1A613">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686CE2C5">
            <w:pPr>
              <w:autoSpaceDE w:val="0"/>
              <w:autoSpaceDN w:val="0"/>
              <w:adjustRightInd w:val="0"/>
              <w:jc w:val="center"/>
              <w:textAlignment w:val="baseline"/>
              <w:rPr>
                <w:kern w:val="0"/>
                <w:szCs w:val="21"/>
                <w:u w:val="single"/>
              </w:rPr>
            </w:pPr>
            <w:r>
              <w:rPr>
                <w:rFonts w:hint="eastAsia"/>
                <w:kern w:val="0"/>
                <w:szCs w:val="21"/>
                <w:u w:val="single"/>
                <w:lang w:val="en-US" w:eastAsia="zh-CN"/>
              </w:rPr>
              <w:t>1.228</w:t>
            </w:r>
          </w:p>
        </w:tc>
        <w:tc>
          <w:tcPr>
            <w:tcW w:w="1270" w:type="dxa"/>
            <w:vAlign w:val="center"/>
          </w:tcPr>
          <w:p w14:paraId="34447E6D">
            <w:pPr>
              <w:autoSpaceDE w:val="0"/>
              <w:autoSpaceDN w:val="0"/>
              <w:adjustRightInd w:val="0"/>
              <w:jc w:val="center"/>
              <w:textAlignment w:val="baseline"/>
              <w:rPr>
                <w:kern w:val="0"/>
                <w:szCs w:val="21"/>
                <w:u w:val="single"/>
              </w:rPr>
            </w:pPr>
            <w:r>
              <w:rPr>
                <w:rFonts w:hint="eastAsia"/>
                <w:kern w:val="0"/>
                <w:szCs w:val="21"/>
                <w:u w:val="single"/>
              </w:rPr>
              <w:t>+</w:t>
            </w:r>
            <w:r>
              <w:rPr>
                <w:rFonts w:hint="eastAsia"/>
                <w:kern w:val="0"/>
                <w:szCs w:val="21"/>
                <w:u w:val="single"/>
                <w:lang w:val="en-US" w:eastAsia="zh-CN"/>
              </w:rPr>
              <w:t>1.228</w:t>
            </w:r>
          </w:p>
        </w:tc>
      </w:tr>
      <w:tr w14:paraId="03199F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663F5E34">
            <w:pPr>
              <w:pStyle w:val="37"/>
              <w:spacing w:beforeLines="0" w:afterLines="0" w:line="240" w:lineRule="auto"/>
              <w:rPr>
                <w:rFonts w:hAnsi="宋体" w:cs="宋体"/>
                <w:snapToGrid w:val="0"/>
                <w:kern w:val="21"/>
                <w:szCs w:val="21"/>
                <w:u w:val="single"/>
              </w:rPr>
            </w:pPr>
          </w:p>
        </w:tc>
        <w:tc>
          <w:tcPr>
            <w:tcW w:w="1708" w:type="dxa"/>
            <w:vAlign w:val="center"/>
          </w:tcPr>
          <w:p w14:paraId="280DD838">
            <w:pPr>
              <w:pStyle w:val="37"/>
              <w:spacing w:beforeLines="0" w:afterLines="0" w:line="240" w:lineRule="auto"/>
              <w:rPr>
                <w:rFonts w:ascii="Times New Roman"/>
                <w:kern w:val="2"/>
                <w:szCs w:val="21"/>
                <w:u w:val="single"/>
              </w:rPr>
            </w:pPr>
            <w:r>
              <w:rPr>
                <w:rFonts w:hint="eastAsia" w:ascii="Times New Roman"/>
                <w:kern w:val="2"/>
                <w:szCs w:val="21"/>
                <w:u w:val="single"/>
              </w:rPr>
              <w:t>二甲苯</w:t>
            </w:r>
          </w:p>
        </w:tc>
        <w:tc>
          <w:tcPr>
            <w:tcW w:w="1697" w:type="dxa"/>
            <w:shd w:val="clear" w:color="auto" w:fill="auto"/>
            <w:vAlign w:val="center"/>
          </w:tcPr>
          <w:p w14:paraId="362CA254">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shd w:val="clear" w:color="auto" w:fill="auto"/>
            <w:vAlign w:val="center"/>
          </w:tcPr>
          <w:p w14:paraId="695C3D04">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shd w:val="clear" w:color="auto" w:fill="auto"/>
            <w:vAlign w:val="center"/>
          </w:tcPr>
          <w:p w14:paraId="129DADC1">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461F7CC9">
            <w:pPr>
              <w:autoSpaceDE w:val="0"/>
              <w:autoSpaceDN w:val="0"/>
              <w:adjustRightInd w:val="0"/>
              <w:jc w:val="center"/>
              <w:textAlignment w:val="baseline"/>
              <w:rPr>
                <w:rFonts w:hint="default" w:eastAsia="宋体"/>
                <w:kern w:val="0"/>
                <w:szCs w:val="21"/>
                <w:u w:val="single"/>
                <w:lang w:val="en-US" w:eastAsia="zh-CN"/>
              </w:rPr>
            </w:pPr>
            <w:r>
              <w:rPr>
                <w:rFonts w:hint="eastAsia"/>
                <w:kern w:val="0"/>
                <w:szCs w:val="21"/>
                <w:u w:val="single"/>
              </w:rPr>
              <w:t>0.</w:t>
            </w:r>
            <w:r>
              <w:rPr>
                <w:rFonts w:hint="eastAsia"/>
                <w:kern w:val="0"/>
                <w:szCs w:val="21"/>
                <w:u w:val="single"/>
                <w:lang w:val="en-US" w:eastAsia="zh-CN"/>
              </w:rPr>
              <w:t>059</w:t>
            </w:r>
          </w:p>
        </w:tc>
        <w:tc>
          <w:tcPr>
            <w:tcW w:w="1566" w:type="dxa"/>
            <w:shd w:val="clear" w:color="auto" w:fill="auto"/>
            <w:vAlign w:val="center"/>
          </w:tcPr>
          <w:p w14:paraId="41030349">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2BA1E050">
            <w:pPr>
              <w:autoSpaceDE w:val="0"/>
              <w:autoSpaceDN w:val="0"/>
              <w:adjustRightInd w:val="0"/>
              <w:jc w:val="center"/>
              <w:textAlignment w:val="baseline"/>
              <w:rPr>
                <w:rFonts w:hint="default" w:eastAsia="宋体"/>
                <w:kern w:val="0"/>
                <w:szCs w:val="21"/>
                <w:u w:val="single"/>
                <w:lang w:val="en-US" w:eastAsia="zh-CN"/>
              </w:rPr>
            </w:pPr>
            <w:r>
              <w:rPr>
                <w:rFonts w:hint="eastAsia"/>
                <w:kern w:val="0"/>
                <w:szCs w:val="21"/>
                <w:u w:val="single"/>
              </w:rPr>
              <w:t>0.</w:t>
            </w:r>
            <w:r>
              <w:rPr>
                <w:rFonts w:hint="eastAsia"/>
                <w:kern w:val="0"/>
                <w:szCs w:val="21"/>
                <w:u w:val="single"/>
                <w:lang w:val="en-US" w:eastAsia="zh-CN"/>
              </w:rPr>
              <w:t>059</w:t>
            </w:r>
          </w:p>
        </w:tc>
        <w:tc>
          <w:tcPr>
            <w:tcW w:w="1270" w:type="dxa"/>
            <w:vAlign w:val="center"/>
          </w:tcPr>
          <w:p w14:paraId="7C2719E7">
            <w:pPr>
              <w:autoSpaceDE w:val="0"/>
              <w:autoSpaceDN w:val="0"/>
              <w:adjustRightInd w:val="0"/>
              <w:jc w:val="center"/>
              <w:textAlignment w:val="baseline"/>
              <w:rPr>
                <w:rFonts w:hint="default" w:eastAsia="宋体"/>
                <w:kern w:val="0"/>
                <w:szCs w:val="21"/>
                <w:u w:val="single"/>
                <w:lang w:val="en-US" w:eastAsia="zh-CN"/>
              </w:rPr>
            </w:pPr>
            <w:r>
              <w:rPr>
                <w:rFonts w:hint="eastAsia"/>
                <w:kern w:val="0"/>
                <w:szCs w:val="21"/>
                <w:u w:val="single"/>
              </w:rPr>
              <w:t>+0.</w:t>
            </w:r>
            <w:r>
              <w:rPr>
                <w:rFonts w:hint="eastAsia"/>
                <w:kern w:val="0"/>
                <w:szCs w:val="21"/>
                <w:u w:val="single"/>
                <w:lang w:val="en-US" w:eastAsia="zh-CN"/>
              </w:rPr>
              <w:t>059</w:t>
            </w:r>
          </w:p>
        </w:tc>
      </w:tr>
      <w:tr w14:paraId="70C098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090E1FA3">
            <w:pPr>
              <w:pStyle w:val="37"/>
              <w:spacing w:beforeLines="0" w:afterLines="0" w:line="240" w:lineRule="auto"/>
              <w:rPr>
                <w:rFonts w:hAnsi="宋体" w:cs="宋体"/>
                <w:snapToGrid w:val="0"/>
                <w:kern w:val="21"/>
                <w:szCs w:val="21"/>
                <w:u w:val="single"/>
              </w:rPr>
            </w:pPr>
          </w:p>
        </w:tc>
        <w:tc>
          <w:tcPr>
            <w:tcW w:w="1708" w:type="dxa"/>
            <w:vAlign w:val="center"/>
          </w:tcPr>
          <w:p w14:paraId="7DE06783">
            <w:pPr>
              <w:pStyle w:val="37"/>
              <w:spacing w:beforeLines="0" w:afterLines="0" w:line="240" w:lineRule="auto"/>
              <w:rPr>
                <w:rFonts w:ascii="Times New Roman"/>
                <w:kern w:val="2"/>
                <w:szCs w:val="21"/>
                <w:u w:val="single"/>
              </w:rPr>
            </w:pPr>
            <w:r>
              <w:rPr>
                <w:rFonts w:hint="eastAsia" w:ascii="Times New Roman"/>
                <w:kern w:val="2"/>
                <w:szCs w:val="21"/>
                <w:u w:val="single"/>
              </w:rPr>
              <w:t>苯乙烯</w:t>
            </w:r>
          </w:p>
        </w:tc>
        <w:tc>
          <w:tcPr>
            <w:tcW w:w="1697" w:type="dxa"/>
            <w:shd w:val="clear" w:color="auto" w:fill="auto"/>
            <w:vAlign w:val="center"/>
          </w:tcPr>
          <w:p w14:paraId="24EFFF5F">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shd w:val="clear" w:color="auto" w:fill="auto"/>
            <w:vAlign w:val="center"/>
          </w:tcPr>
          <w:p w14:paraId="2624B4B5">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shd w:val="clear" w:color="auto" w:fill="auto"/>
            <w:vAlign w:val="center"/>
          </w:tcPr>
          <w:p w14:paraId="69354B62">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3C99E151">
            <w:pPr>
              <w:autoSpaceDE w:val="0"/>
              <w:autoSpaceDN w:val="0"/>
              <w:adjustRightInd w:val="0"/>
              <w:jc w:val="center"/>
              <w:textAlignment w:val="baseline"/>
              <w:rPr>
                <w:rFonts w:hint="default" w:eastAsia="宋体"/>
                <w:kern w:val="0"/>
                <w:szCs w:val="21"/>
                <w:u w:val="single"/>
                <w:lang w:val="en-US" w:eastAsia="zh-CN"/>
              </w:rPr>
            </w:pPr>
            <w:r>
              <w:rPr>
                <w:rFonts w:hint="eastAsia"/>
                <w:kern w:val="0"/>
                <w:szCs w:val="21"/>
                <w:u w:val="single"/>
              </w:rPr>
              <w:t>0.0</w:t>
            </w:r>
            <w:r>
              <w:rPr>
                <w:rFonts w:hint="eastAsia"/>
                <w:kern w:val="0"/>
                <w:szCs w:val="21"/>
                <w:u w:val="single"/>
                <w:lang w:val="en-US" w:eastAsia="zh-CN"/>
              </w:rPr>
              <w:t>55</w:t>
            </w:r>
          </w:p>
        </w:tc>
        <w:tc>
          <w:tcPr>
            <w:tcW w:w="1566" w:type="dxa"/>
            <w:shd w:val="clear" w:color="auto" w:fill="auto"/>
            <w:vAlign w:val="center"/>
          </w:tcPr>
          <w:p w14:paraId="7665BDC9">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382EAE4C">
            <w:pPr>
              <w:autoSpaceDE w:val="0"/>
              <w:autoSpaceDN w:val="0"/>
              <w:adjustRightInd w:val="0"/>
              <w:jc w:val="center"/>
              <w:textAlignment w:val="baseline"/>
              <w:rPr>
                <w:rFonts w:hint="default" w:eastAsia="宋体"/>
                <w:kern w:val="0"/>
                <w:szCs w:val="21"/>
                <w:u w:val="single"/>
                <w:lang w:val="en-US" w:eastAsia="zh-CN"/>
              </w:rPr>
            </w:pPr>
            <w:r>
              <w:rPr>
                <w:rFonts w:hint="eastAsia"/>
                <w:kern w:val="0"/>
                <w:szCs w:val="21"/>
                <w:u w:val="single"/>
              </w:rPr>
              <w:t>0.0</w:t>
            </w:r>
            <w:r>
              <w:rPr>
                <w:rFonts w:hint="eastAsia"/>
                <w:kern w:val="0"/>
                <w:szCs w:val="21"/>
                <w:u w:val="single"/>
                <w:lang w:val="en-US" w:eastAsia="zh-CN"/>
              </w:rPr>
              <w:t>55</w:t>
            </w:r>
          </w:p>
        </w:tc>
        <w:tc>
          <w:tcPr>
            <w:tcW w:w="1270" w:type="dxa"/>
            <w:vAlign w:val="center"/>
          </w:tcPr>
          <w:p w14:paraId="71E17133">
            <w:pPr>
              <w:autoSpaceDE w:val="0"/>
              <w:autoSpaceDN w:val="0"/>
              <w:adjustRightInd w:val="0"/>
              <w:jc w:val="center"/>
              <w:textAlignment w:val="baseline"/>
              <w:rPr>
                <w:rFonts w:hint="default" w:eastAsia="宋体"/>
                <w:kern w:val="0"/>
                <w:szCs w:val="21"/>
                <w:u w:val="single"/>
                <w:lang w:val="en-US" w:eastAsia="zh-CN"/>
              </w:rPr>
            </w:pPr>
            <w:r>
              <w:rPr>
                <w:rFonts w:hint="eastAsia"/>
                <w:kern w:val="0"/>
                <w:szCs w:val="21"/>
                <w:u w:val="single"/>
              </w:rPr>
              <w:t>+0.0</w:t>
            </w:r>
            <w:r>
              <w:rPr>
                <w:rFonts w:hint="eastAsia"/>
                <w:kern w:val="0"/>
                <w:szCs w:val="21"/>
                <w:u w:val="single"/>
                <w:lang w:val="en-US" w:eastAsia="zh-CN"/>
              </w:rPr>
              <w:t>55</w:t>
            </w:r>
          </w:p>
        </w:tc>
      </w:tr>
      <w:tr w14:paraId="36CDD4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restart"/>
            <w:vAlign w:val="center"/>
          </w:tcPr>
          <w:p w14:paraId="27A0B073">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废水</w:t>
            </w:r>
          </w:p>
        </w:tc>
        <w:tc>
          <w:tcPr>
            <w:tcW w:w="1708" w:type="dxa"/>
            <w:vAlign w:val="center"/>
          </w:tcPr>
          <w:p w14:paraId="5A9DEED6">
            <w:pPr>
              <w:jc w:val="center"/>
              <w:rPr>
                <w:szCs w:val="21"/>
                <w:u w:val="single"/>
              </w:rPr>
            </w:pPr>
            <w:r>
              <w:rPr>
                <w:szCs w:val="21"/>
                <w:u w:val="single"/>
              </w:rPr>
              <w:t>COD</w:t>
            </w:r>
          </w:p>
        </w:tc>
        <w:tc>
          <w:tcPr>
            <w:tcW w:w="1697" w:type="dxa"/>
            <w:vAlign w:val="center"/>
          </w:tcPr>
          <w:p w14:paraId="77E07762">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7950DD2A">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2E418A1F">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235C9677">
            <w:pPr>
              <w:widowControl/>
              <w:jc w:val="center"/>
              <w:textAlignment w:val="center"/>
              <w:rPr>
                <w:szCs w:val="21"/>
                <w:u w:val="single"/>
              </w:rPr>
            </w:pPr>
            <w:r>
              <w:rPr>
                <w:szCs w:val="21"/>
                <w:u w:val="single"/>
              </w:rPr>
              <w:t>0.07</w:t>
            </w:r>
            <w:r>
              <w:rPr>
                <w:rFonts w:hint="eastAsia"/>
                <w:szCs w:val="21"/>
                <w:u w:val="single"/>
              </w:rPr>
              <w:t>5</w:t>
            </w:r>
          </w:p>
        </w:tc>
        <w:tc>
          <w:tcPr>
            <w:tcW w:w="1566" w:type="dxa"/>
            <w:vAlign w:val="center"/>
          </w:tcPr>
          <w:p w14:paraId="3205067C">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05D67FD1">
            <w:pPr>
              <w:widowControl/>
              <w:jc w:val="center"/>
              <w:textAlignment w:val="center"/>
              <w:rPr>
                <w:szCs w:val="21"/>
                <w:u w:val="single"/>
              </w:rPr>
            </w:pPr>
            <w:r>
              <w:rPr>
                <w:szCs w:val="21"/>
                <w:u w:val="single"/>
              </w:rPr>
              <w:t>0.07</w:t>
            </w:r>
            <w:r>
              <w:rPr>
                <w:rFonts w:hint="eastAsia"/>
                <w:szCs w:val="21"/>
                <w:u w:val="single"/>
              </w:rPr>
              <w:t>5</w:t>
            </w:r>
          </w:p>
        </w:tc>
        <w:tc>
          <w:tcPr>
            <w:tcW w:w="1270" w:type="dxa"/>
            <w:vAlign w:val="center"/>
          </w:tcPr>
          <w:p w14:paraId="10F23451">
            <w:pPr>
              <w:widowControl/>
              <w:jc w:val="center"/>
              <w:textAlignment w:val="center"/>
              <w:rPr>
                <w:szCs w:val="21"/>
                <w:u w:val="single"/>
              </w:rPr>
            </w:pPr>
            <w:r>
              <w:rPr>
                <w:rFonts w:hint="eastAsia"/>
                <w:kern w:val="0"/>
                <w:szCs w:val="21"/>
                <w:u w:val="single"/>
              </w:rPr>
              <w:t>+</w:t>
            </w:r>
            <w:r>
              <w:rPr>
                <w:szCs w:val="21"/>
                <w:u w:val="single"/>
              </w:rPr>
              <w:t>0.07</w:t>
            </w:r>
            <w:r>
              <w:rPr>
                <w:rFonts w:hint="eastAsia"/>
                <w:szCs w:val="21"/>
                <w:u w:val="single"/>
              </w:rPr>
              <w:t>5</w:t>
            </w:r>
          </w:p>
        </w:tc>
      </w:tr>
      <w:tr w14:paraId="182F20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115F155D">
            <w:pPr>
              <w:pStyle w:val="37"/>
              <w:spacing w:beforeLines="0" w:afterLines="0" w:line="240" w:lineRule="auto"/>
              <w:rPr>
                <w:rFonts w:hAnsi="宋体" w:cs="宋体"/>
                <w:snapToGrid w:val="0"/>
                <w:kern w:val="21"/>
                <w:szCs w:val="21"/>
                <w:u w:val="single"/>
              </w:rPr>
            </w:pPr>
          </w:p>
        </w:tc>
        <w:tc>
          <w:tcPr>
            <w:tcW w:w="1708" w:type="dxa"/>
            <w:vAlign w:val="center"/>
          </w:tcPr>
          <w:p w14:paraId="07C34DDB">
            <w:pPr>
              <w:jc w:val="center"/>
              <w:rPr>
                <w:szCs w:val="21"/>
                <w:u w:val="single"/>
              </w:rPr>
            </w:pPr>
            <w:r>
              <w:rPr>
                <w:szCs w:val="21"/>
                <w:u w:val="single"/>
              </w:rPr>
              <w:t>BOD</w:t>
            </w:r>
            <w:r>
              <w:rPr>
                <w:szCs w:val="21"/>
                <w:u w:val="single"/>
                <w:vertAlign w:val="subscript"/>
              </w:rPr>
              <w:t>5</w:t>
            </w:r>
          </w:p>
        </w:tc>
        <w:tc>
          <w:tcPr>
            <w:tcW w:w="1697" w:type="dxa"/>
            <w:vAlign w:val="center"/>
          </w:tcPr>
          <w:p w14:paraId="6A8E7F75">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77BC8E7B">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17B302DE">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4981ADA1">
            <w:pPr>
              <w:widowControl/>
              <w:jc w:val="center"/>
              <w:textAlignment w:val="center"/>
              <w:rPr>
                <w:szCs w:val="21"/>
                <w:u w:val="single"/>
              </w:rPr>
            </w:pPr>
            <w:r>
              <w:rPr>
                <w:szCs w:val="21"/>
                <w:u w:val="single"/>
              </w:rPr>
              <w:t>0.03</w:t>
            </w:r>
            <w:r>
              <w:rPr>
                <w:rFonts w:hint="eastAsia"/>
                <w:szCs w:val="21"/>
                <w:u w:val="single"/>
              </w:rPr>
              <w:t>6</w:t>
            </w:r>
            <w:r>
              <w:rPr>
                <w:szCs w:val="21"/>
                <w:u w:val="single"/>
              </w:rPr>
              <w:t xml:space="preserve"> </w:t>
            </w:r>
          </w:p>
        </w:tc>
        <w:tc>
          <w:tcPr>
            <w:tcW w:w="1566" w:type="dxa"/>
            <w:vAlign w:val="center"/>
          </w:tcPr>
          <w:p w14:paraId="0EEECF0F">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7A8A368E">
            <w:pPr>
              <w:widowControl/>
              <w:jc w:val="center"/>
              <w:textAlignment w:val="center"/>
              <w:rPr>
                <w:szCs w:val="21"/>
                <w:u w:val="single"/>
              </w:rPr>
            </w:pPr>
            <w:r>
              <w:rPr>
                <w:szCs w:val="21"/>
                <w:u w:val="single"/>
              </w:rPr>
              <w:t>0.03</w:t>
            </w:r>
            <w:r>
              <w:rPr>
                <w:rFonts w:hint="eastAsia"/>
                <w:szCs w:val="21"/>
                <w:u w:val="single"/>
              </w:rPr>
              <w:t>6</w:t>
            </w:r>
            <w:r>
              <w:rPr>
                <w:szCs w:val="21"/>
                <w:u w:val="single"/>
              </w:rPr>
              <w:t xml:space="preserve"> </w:t>
            </w:r>
          </w:p>
        </w:tc>
        <w:tc>
          <w:tcPr>
            <w:tcW w:w="1270" w:type="dxa"/>
            <w:vAlign w:val="center"/>
          </w:tcPr>
          <w:p w14:paraId="235BEA10">
            <w:pPr>
              <w:widowControl/>
              <w:jc w:val="center"/>
              <w:textAlignment w:val="center"/>
              <w:rPr>
                <w:szCs w:val="21"/>
                <w:u w:val="single"/>
              </w:rPr>
            </w:pPr>
            <w:r>
              <w:rPr>
                <w:rFonts w:hint="eastAsia"/>
                <w:kern w:val="0"/>
                <w:szCs w:val="21"/>
                <w:u w:val="single"/>
              </w:rPr>
              <w:t>+</w:t>
            </w:r>
            <w:r>
              <w:rPr>
                <w:szCs w:val="21"/>
                <w:u w:val="single"/>
              </w:rPr>
              <w:t>0.03</w:t>
            </w:r>
            <w:r>
              <w:rPr>
                <w:rFonts w:hint="eastAsia"/>
                <w:szCs w:val="21"/>
                <w:u w:val="single"/>
              </w:rPr>
              <w:t>6</w:t>
            </w:r>
            <w:r>
              <w:rPr>
                <w:szCs w:val="21"/>
                <w:u w:val="single"/>
              </w:rPr>
              <w:t xml:space="preserve"> </w:t>
            </w:r>
          </w:p>
        </w:tc>
      </w:tr>
      <w:tr w14:paraId="67A405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6305AE3E">
            <w:pPr>
              <w:pStyle w:val="37"/>
              <w:spacing w:beforeLines="0" w:afterLines="0" w:line="240" w:lineRule="auto"/>
              <w:rPr>
                <w:rFonts w:hAnsi="宋体" w:cs="宋体"/>
                <w:snapToGrid w:val="0"/>
                <w:kern w:val="21"/>
                <w:szCs w:val="21"/>
                <w:u w:val="single"/>
              </w:rPr>
            </w:pPr>
          </w:p>
        </w:tc>
        <w:tc>
          <w:tcPr>
            <w:tcW w:w="1708" w:type="dxa"/>
            <w:vAlign w:val="center"/>
          </w:tcPr>
          <w:p w14:paraId="6BFA641A">
            <w:pPr>
              <w:jc w:val="center"/>
              <w:rPr>
                <w:szCs w:val="21"/>
                <w:u w:val="single"/>
              </w:rPr>
            </w:pPr>
            <w:r>
              <w:rPr>
                <w:szCs w:val="21"/>
                <w:u w:val="single"/>
              </w:rPr>
              <w:t>SS</w:t>
            </w:r>
          </w:p>
        </w:tc>
        <w:tc>
          <w:tcPr>
            <w:tcW w:w="1697" w:type="dxa"/>
            <w:vAlign w:val="center"/>
          </w:tcPr>
          <w:p w14:paraId="7FDF22A4">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2E40EEAE">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0C1161DB">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11E3BD78">
            <w:pPr>
              <w:widowControl/>
              <w:jc w:val="center"/>
              <w:textAlignment w:val="center"/>
              <w:rPr>
                <w:szCs w:val="21"/>
                <w:u w:val="single"/>
              </w:rPr>
            </w:pPr>
            <w:r>
              <w:rPr>
                <w:szCs w:val="21"/>
                <w:u w:val="single"/>
              </w:rPr>
              <w:t>0.0</w:t>
            </w:r>
            <w:r>
              <w:rPr>
                <w:rFonts w:hint="eastAsia"/>
                <w:szCs w:val="21"/>
                <w:u w:val="single"/>
              </w:rPr>
              <w:t>30</w:t>
            </w:r>
            <w:r>
              <w:rPr>
                <w:szCs w:val="21"/>
                <w:u w:val="single"/>
              </w:rPr>
              <w:t xml:space="preserve"> </w:t>
            </w:r>
          </w:p>
        </w:tc>
        <w:tc>
          <w:tcPr>
            <w:tcW w:w="1566" w:type="dxa"/>
            <w:vAlign w:val="center"/>
          </w:tcPr>
          <w:p w14:paraId="68E84CD4">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32D84F9C">
            <w:pPr>
              <w:widowControl/>
              <w:jc w:val="center"/>
              <w:textAlignment w:val="center"/>
              <w:rPr>
                <w:szCs w:val="21"/>
                <w:u w:val="single"/>
              </w:rPr>
            </w:pPr>
            <w:r>
              <w:rPr>
                <w:szCs w:val="21"/>
                <w:u w:val="single"/>
              </w:rPr>
              <w:t>0.0</w:t>
            </w:r>
            <w:r>
              <w:rPr>
                <w:rFonts w:hint="eastAsia"/>
                <w:szCs w:val="21"/>
                <w:u w:val="single"/>
              </w:rPr>
              <w:t>30</w:t>
            </w:r>
            <w:r>
              <w:rPr>
                <w:szCs w:val="21"/>
                <w:u w:val="single"/>
              </w:rPr>
              <w:t xml:space="preserve"> </w:t>
            </w:r>
          </w:p>
        </w:tc>
        <w:tc>
          <w:tcPr>
            <w:tcW w:w="1270" w:type="dxa"/>
            <w:vAlign w:val="center"/>
          </w:tcPr>
          <w:p w14:paraId="2F72F169">
            <w:pPr>
              <w:widowControl/>
              <w:jc w:val="center"/>
              <w:textAlignment w:val="center"/>
              <w:rPr>
                <w:szCs w:val="21"/>
                <w:u w:val="single"/>
              </w:rPr>
            </w:pPr>
            <w:r>
              <w:rPr>
                <w:rFonts w:hint="eastAsia"/>
                <w:kern w:val="0"/>
                <w:szCs w:val="21"/>
                <w:u w:val="single"/>
              </w:rPr>
              <w:t>+</w:t>
            </w:r>
            <w:r>
              <w:rPr>
                <w:szCs w:val="21"/>
                <w:u w:val="single"/>
              </w:rPr>
              <w:t>0.0</w:t>
            </w:r>
            <w:r>
              <w:rPr>
                <w:rFonts w:hint="eastAsia"/>
                <w:szCs w:val="21"/>
                <w:u w:val="single"/>
              </w:rPr>
              <w:t>30</w:t>
            </w:r>
            <w:r>
              <w:rPr>
                <w:szCs w:val="21"/>
                <w:u w:val="single"/>
              </w:rPr>
              <w:t xml:space="preserve"> </w:t>
            </w:r>
          </w:p>
        </w:tc>
      </w:tr>
      <w:tr w14:paraId="67F734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1A75420C">
            <w:pPr>
              <w:pStyle w:val="37"/>
              <w:spacing w:beforeLines="0" w:afterLines="0" w:line="240" w:lineRule="auto"/>
              <w:rPr>
                <w:rFonts w:hAnsi="宋体" w:cs="宋体"/>
                <w:snapToGrid w:val="0"/>
                <w:kern w:val="21"/>
                <w:szCs w:val="21"/>
                <w:u w:val="single"/>
              </w:rPr>
            </w:pPr>
          </w:p>
        </w:tc>
        <w:tc>
          <w:tcPr>
            <w:tcW w:w="1708" w:type="dxa"/>
            <w:vAlign w:val="center"/>
          </w:tcPr>
          <w:p w14:paraId="1F7381B4">
            <w:pPr>
              <w:jc w:val="center"/>
              <w:rPr>
                <w:szCs w:val="21"/>
                <w:u w:val="single"/>
              </w:rPr>
            </w:pPr>
            <w:r>
              <w:rPr>
                <w:bCs/>
                <w:szCs w:val="21"/>
                <w:u w:val="single"/>
              </w:rPr>
              <w:t>NH</w:t>
            </w:r>
            <w:r>
              <w:rPr>
                <w:bCs/>
                <w:szCs w:val="21"/>
                <w:u w:val="single"/>
                <w:vertAlign w:val="subscript"/>
              </w:rPr>
              <w:t>3</w:t>
            </w:r>
            <w:r>
              <w:rPr>
                <w:bCs/>
                <w:szCs w:val="21"/>
                <w:u w:val="single"/>
              </w:rPr>
              <w:t>-N</w:t>
            </w:r>
          </w:p>
        </w:tc>
        <w:tc>
          <w:tcPr>
            <w:tcW w:w="1697" w:type="dxa"/>
            <w:vAlign w:val="center"/>
          </w:tcPr>
          <w:p w14:paraId="2D43AAD6">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17FDA26B">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784CB211">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31583628">
            <w:pPr>
              <w:widowControl/>
              <w:jc w:val="center"/>
              <w:textAlignment w:val="center"/>
              <w:rPr>
                <w:szCs w:val="21"/>
                <w:u w:val="single"/>
              </w:rPr>
            </w:pPr>
            <w:r>
              <w:rPr>
                <w:szCs w:val="21"/>
                <w:u w:val="single"/>
              </w:rPr>
              <w:t>0.0</w:t>
            </w:r>
            <w:r>
              <w:rPr>
                <w:rFonts w:hint="eastAsia"/>
                <w:szCs w:val="21"/>
                <w:u w:val="single"/>
              </w:rPr>
              <w:t>08</w:t>
            </w:r>
          </w:p>
        </w:tc>
        <w:tc>
          <w:tcPr>
            <w:tcW w:w="1566" w:type="dxa"/>
            <w:vAlign w:val="center"/>
          </w:tcPr>
          <w:p w14:paraId="2022594D">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60C89E5C">
            <w:pPr>
              <w:widowControl/>
              <w:jc w:val="center"/>
              <w:textAlignment w:val="center"/>
              <w:rPr>
                <w:szCs w:val="21"/>
                <w:u w:val="single"/>
              </w:rPr>
            </w:pPr>
            <w:r>
              <w:rPr>
                <w:szCs w:val="21"/>
                <w:u w:val="single"/>
              </w:rPr>
              <w:t>0.0</w:t>
            </w:r>
            <w:r>
              <w:rPr>
                <w:rFonts w:hint="eastAsia"/>
                <w:szCs w:val="21"/>
                <w:u w:val="single"/>
              </w:rPr>
              <w:t>08</w:t>
            </w:r>
          </w:p>
        </w:tc>
        <w:tc>
          <w:tcPr>
            <w:tcW w:w="1270" w:type="dxa"/>
            <w:vAlign w:val="center"/>
          </w:tcPr>
          <w:p w14:paraId="0B7022E4">
            <w:pPr>
              <w:widowControl/>
              <w:jc w:val="center"/>
              <w:textAlignment w:val="center"/>
              <w:rPr>
                <w:szCs w:val="21"/>
                <w:u w:val="single"/>
              </w:rPr>
            </w:pPr>
            <w:r>
              <w:rPr>
                <w:rFonts w:hint="eastAsia"/>
                <w:kern w:val="0"/>
                <w:szCs w:val="21"/>
                <w:u w:val="single"/>
              </w:rPr>
              <w:t>+</w:t>
            </w:r>
            <w:r>
              <w:rPr>
                <w:szCs w:val="21"/>
                <w:u w:val="single"/>
              </w:rPr>
              <w:t>0.0</w:t>
            </w:r>
            <w:r>
              <w:rPr>
                <w:rFonts w:hint="eastAsia"/>
                <w:szCs w:val="21"/>
                <w:u w:val="single"/>
              </w:rPr>
              <w:t>08</w:t>
            </w:r>
          </w:p>
        </w:tc>
      </w:tr>
      <w:tr w14:paraId="45EBAF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restart"/>
            <w:vAlign w:val="center"/>
          </w:tcPr>
          <w:p w14:paraId="11B0C017">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一般工业</w:t>
            </w:r>
          </w:p>
          <w:p w14:paraId="44C5E741">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固体废物</w:t>
            </w:r>
          </w:p>
        </w:tc>
        <w:tc>
          <w:tcPr>
            <w:tcW w:w="1708" w:type="dxa"/>
            <w:vAlign w:val="center"/>
          </w:tcPr>
          <w:p w14:paraId="77458B97">
            <w:pPr>
              <w:widowControl/>
              <w:jc w:val="center"/>
              <w:rPr>
                <w:rFonts w:cs="宋体"/>
                <w:szCs w:val="21"/>
                <w:u w:val="single"/>
              </w:rPr>
            </w:pPr>
            <w:r>
              <w:rPr>
                <w:rFonts w:hint="eastAsia"/>
                <w:bCs/>
                <w:szCs w:val="21"/>
                <w:u w:val="single"/>
              </w:rPr>
              <w:t>生活垃圾</w:t>
            </w:r>
          </w:p>
        </w:tc>
        <w:tc>
          <w:tcPr>
            <w:tcW w:w="1697" w:type="dxa"/>
            <w:vAlign w:val="center"/>
          </w:tcPr>
          <w:p w14:paraId="42091E09">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72D2149C">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006DA09C">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08B71E92">
            <w:pPr>
              <w:jc w:val="center"/>
              <w:rPr>
                <w:u w:val="single"/>
              </w:rPr>
            </w:pPr>
            <w:r>
              <w:rPr>
                <w:rFonts w:hint="eastAsia"/>
                <w:u w:val="single"/>
              </w:rPr>
              <w:t>3.75</w:t>
            </w:r>
          </w:p>
        </w:tc>
        <w:tc>
          <w:tcPr>
            <w:tcW w:w="1566" w:type="dxa"/>
            <w:vAlign w:val="center"/>
          </w:tcPr>
          <w:p w14:paraId="741C8CB8">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064F77B4">
            <w:pPr>
              <w:jc w:val="center"/>
              <w:rPr>
                <w:u w:val="single"/>
              </w:rPr>
            </w:pPr>
            <w:r>
              <w:rPr>
                <w:rFonts w:hint="eastAsia"/>
                <w:u w:val="single"/>
              </w:rPr>
              <w:t>3.75</w:t>
            </w:r>
          </w:p>
        </w:tc>
        <w:tc>
          <w:tcPr>
            <w:tcW w:w="1270" w:type="dxa"/>
            <w:vAlign w:val="center"/>
          </w:tcPr>
          <w:p w14:paraId="31AFF235">
            <w:pPr>
              <w:jc w:val="center"/>
              <w:rPr>
                <w:u w:val="single"/>
              </w:rPr>
            </w:pPr>
            <w:r>
              <w:rPr>
                <w:rFonts w:hint="eastAsia"/>
                <w:kern w:val="0"/>
                <w:szCs w:val="21"/>
                <w:u w:val="single"/>
              </w:rPr>
              <w:t>+</w:t>
            </w:r>
            <w:r>
              <w:rPr>
                <w:rFonts w:hint="eastAsia"/>
                <w:u w:val="single"/>
              </w:rPr>
              <w:t>3.75</w:t>
            </w:r>
          </w:p>
        </w:tc>
      </w:tr>
      <w:tr w14:paraId="0F8AA0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7DB79516">
            <w:pPr>
              <w:pStyle w:val="37"/>
              <w:spacing w:beforeLines="0" w:afterLines="0" w:line="240" w:lineRule="auto"/>
              <w:rPr>
                <w:rFonts w:hAnsi="宋体" w:cs="宋体"/>
                <w:snapToGrid w:val="0"/>
                <w:kern w:val="21"/>
                <w:szCs w:val="21"/>
                <w:u w:val="single"/>
              </w:rPr>
            </w:pPr>
          </w:p>
        </w:tc>
        <w:tc>
          <w:tcPr>
            <w:tcW w:w="1708" w:type="dxa"/>
            <w:vAlign w:val="center"/>
          </w:tcPr>
          <w:p w14:paraId="06DF6EEC">
            <w:pPr>
              <w:widowControl/>
              <w:jc w:val="center"/>
              <w:rPr>
                <w:bCs/>
                <w:szCs w:val="21"/>
                <w:u w:val="single"/>
              </w:rPr>
            </w:pPr>
            <w:r>
              <w:rPr>
                <w:rFonts w:hint="eastAsia"/>
                <w:bCs/>
                <w:szCs w:val="21"/>
                <w:u w:val="single"/>
              </w:rPr>
              <w:t>废泡沫模具</w:t>
            </w:r>
          </w:p>
        </w:tc>
        <w:tc>
          <w:tcPr>
            <w:tcW w:w="1697" w:type="dxa"/>
            <w:vAlign w:val="center"/>
          </w:tcPr>
          <w:p w14:paraId="44AF0603">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0986765D">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06777607">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2FF78C69">
            <w:pPr>
              <w:widowControl/>
              <w:jc w:val="center"/>
              <w:rPr>
                <w:rFonts w:cs="宋体"/>
                <w:szCs w:val="21"/>
                <w:u w:val="single"/>
              </w:rPr>
            </w:pPr>
            <w:r>
              <w:rPr>
                <w:rFonts w:hint="eastAsia" w:cs="宋体"/>
                <w:szCs w:val="21"/>
                <w:u w:val="single"/>
              </w:rPr>
              <w:t>0.15</w:t>
            </w:r>
          </w:p>
        </w:tc>
        <w:tc>
          <w:tcPr>
            <w:tcW w:w="1566" w:type="dxa"/>
            <w:vAlign w:val="center"/>
          </w:tcPr>
          <w:p w14:paraId="46D275E1">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13011B7F">
            <w:pPr>
              <w:widowControl/>
              <w:jc w:val="center"/>
              <w:rPr>
                <w:u w:val="single"/>
              </w:rPr>
            </w:pPr>
            <w:r>
              <w:rPr>
                <w:rFonts w:hint="eastAsia" w:cs="宋体"/>
                <w:szCs w:val="21"/>
                <w:u w:val="single"/>
              </w:rPr>
              <w:t>0.15</w:t>
            </w:r>
          </w:p>
        </w:tc>
        <w:tc>
          <w:tcPr>
            <w:tcW w:w="1270" w:type="dxa"/>
            <w:vAlign w:val="center"/>
          </w:tcPr>
          <w:p w14:paraId="2C889A0D">
            <w:pPr>
              <w:widowControl/>
              <w:jc w:val="center"/>
              <w:rPr>
                <w:u w:val="single"/>
              </w:rPr>
            </w:pPr>
            <w:r>
              <w:rPr>
                <w:rFonts w:hint="eastAsia"/>
                <w:kern w:val="0"/>
                <w:szCs w:val="21"/>
                <w:u w:val="single"/>
              </w:rPr>
              <w:t>+</w:t>
            </w:r>
            <w:r>
              <w:rPr>
                <w:rFonts w:hint="eastAsia" w:cs="宋体"/>
                <w:szCs w:val="21"/>
                <w:u w:val="single"/>
              </w:rPr>
              <w:t>0.15</w:t>
            </w:r>
          </w:p>
        </w:tc>
      </w:tr>
      <w:tr w14:paraId="2094EC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542B809E">
            <w:pPr>
              <w:pStyle w:val="37"/>
              <w:spacing w:beforeLines="0" w:afterLines="0" w:line="240" w:lineRule="auto"/>
              <w:rPr>
                <w:rFonts w:hAnsi="宋体" w:cs="宋体"/>
                <w:snapToGrid w:val="0"/>
                <w:kern w:val="21"/>
                <w:szCs w:val="21"/>
                <w:u w:val="single"/>
              </w:rPr>
            </w:pPr>
          </w:p>
        </w:tc>
        <w:tc>
          <w:tcPr>
            <w:tcW w:w="1708" w:type="dxa"/>
            <w:vAlign w:val="center"/>
          </w:tcPr>
          <w:p w14:paraId="23F22270">
            <w:pPr>
              <w:widowControl/>
              <w:jc w:val="center"/>
              <w:rPr>
                <w:bCs/>
                <w:szCs w:val="21"/>
                <w:u w:val="single"/>
              </w:rPr>
            </w:pPr>
            <w:r>
              <w:rPr>
                <w:rFonts w:hint="eastAsia" w:cs="宋体"/>
                <w:szCs w:val="21"/>
                <w:u w:val="single"/>
              </w:rPr>
              <w:t>废包装材料</w:t>
            </w:r>
          </w:p>
        </w:tc>
        <w:tc>
          <w:tcPr>
            <w:tcW w:w="1697" w:type="dxa"/>
            <w:vAlign w:val="center"/>
          </w:tcPr>
          <w:p w14:paraId="1B1FF1E4">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338F6B15">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200BC166">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7E072571">
            <w:pPr>
              <w:widowControl/>
              <w:jc w:val="center"/>
              <w:rPr>
                <w:rFonts w:cs="宋体"/>
                <w:szCs w:val="21"/>
                <w:u w:val="single"/>
              </w:rPr>
            </w:pPr>
            <w:r>
              <w:rPr>
                <w:rFonts w:hint="eastAsia" w:cs="宋体"/>
                <w:szCs w:val="21"/>
                <w:u w:val="single"/>
              </w:rPr>
              <w:t>0.2</w:t>
            </w:r>
          </w:p>
        </w:tc>
        <w:tc>
          <w:tcPr>
            <w:tcW w:w="1566" w:type="dxa"/>
            <w:vAlign w:val="center"/>
          </w:tcPr>
          <w:p w14:paraId="73345383">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3974C559">
            <w:pPr>
              <w:widowControl/>
              <w:jc w:val="center"/>
              <w:rPr>
                <w:u w:val="single"/>
              </w:rPr>
            </w:pPr>
            <w:r>
              <w:rPr>
                <w:rFonts w:hint="eastAsia" w:cs="宋体"/>
                <w:szCs w:val="21"/>
                <w:u w:val="single"/>
              </w:rPr>
              <w:t>0.2</w:t>
            </w:r>
          </w:p>
        </w:tc>
        <w:tc>
          <w:tcPr>
            <w:tcW w:w="1270" w:type="dxa"/>
            <w:vAlign w:val="center"/>
          </w:tcPr>
          <w:p w14:paraId="4FC3AB71">
            <w:pPr>
              <w:widowControl/>
              <w:jc w:val="center"/>
              <w:rPr>
                <w:u w:val="single"/>
              </w:rPr>
            </w:pPr>
            <w:r>
              <w:rPr>
                <w:rFonts w:hint="eastAsia"/>
                <w:kern w:val="0"/>
                <w:szCs w:val="21"/>
                <w:u w:val="single"/>
              </w:rPr>
              <w:t>+</w:t>
            </w:r>
            <w:r>
              <w:rPr>
                <w:rFonts w:hint="eastAsia" w:cs="宋体"/>
                <w:szCs w:val="21"/>
                <w:u w:val="single"/>
              </w:rPr>
              <w:t>0.2</w:t>
            </w:r>
          </w:p>
        </w:tc>
      </w:tr>
      <w:tr w14:paraId="6658C5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0C34C022">
            <w:pPr>
              <w:pStyle w:val="37"/>
              <w:spacing w:beforeLines="0" w:afterLines="0" w:line="240" w:lineRule="auto"/>
              <w:rPr>
                <w:rFonts w:hAnsi="宋体" w:cs="宋体"/>
                <w:snapToGrid w:val="0"/>
                <w:kern w:val="21"/>
                <w:szCs w:val="21"/>
                <w:u w:val="single"/>
              </w:rPr>
            </w:pPr>
          </w:p>
        </w:tc>
        <w:tc>
          <w:tcPr>
            <w:tcW w:w="1708" w:type="dxa"/>
            <w:vAlign w:val="center"/>
          </w:tcPr>
          <w:p w14:paraId="5EBB86A8">
            <w:pPr>
              <w:widowControl/>
              <w:jc w:val="center"/>
              <w:rPr>
                <w:rFonts w:cs="宋体"/>
                <w:szCs w:val="21"/>
                <w:u w:val="single"/>
              </w:rPr>
            </w:pPr>
            <w:r>
              <w:rPr>
                <w:rFonts w:hint="eastAsia" w:cs="宋体"/>
                <w:szCs w:val="21"/>
                <w:u w:val="single"/>
              </w:rPr>
              <w:t>熔炉炉渣</w:t>
            </w:r>
          </w:p>
        </w:tc>
        <w:tc>
          <w:tcPr>
            <w:tcW w:w="1697" w:type="dxa"/>
            <w:vAlign w:val="center"/>
          </w:tcPr>
          <w:p w14:paraId="5B29BE9C">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6B824FDE">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013EF8C1">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67D9B663">
            <w:pPr>
              <w:widowControl/>
              <w:jc w:val="center"/>
              <w:rPr>
                <w:rFonts w:cs="宋体"/>
                <w:szCs w:val="21"/>
                <w:u w:val="single"/>
              </w:rPr>
            </w:pPr>
            <w:r>
              <w:rPr>
                <w:rFonts w:hint="eastAsia" w:cs="宋体"/>
                <w:szCs w:val="21"/>
                <w:u w:val="single"/>
              </w:rPr>
              <w:t>55</w:t>
            </w:r>
          </w:p>
        </w:tc>
        <w:tc>
          <w:tcPr>
            <w:tcW w:w="1566" w:type="dxa"/>
            <w:vAlign w:val="center"/>
          </w:tcPr>
          <w:p w14:paraId="2636EF99">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24929AA6">
            <w:pPr>
              <w:widowControl/>
              <w:jc w:val="center"/>
              <w:rPr>
                <w:u w:val="single"/>
              </w:rPr>
            </w:pPr>
            <w:r>
              <w:rPr>
                <w:rFonts w:hint="eastAsia" w:cs="宋体"/>
                <w:szCs w:val="21"/>
                <w:u w:val="single"/>
              </w:rPr>
              <w:t>55</w:t>
            </w:r>
          </w:p>
        </w:tc>
        <w:tc>
          <w:tcPr>
            <w:tcW w:w="1270" w:type="dxa"/>
            <w:vAlign w:val="center"/>
          </w:tcPr>
          <w:p w14:paraId="27439285">
            <w:pPr>
              <w:widowControl/>
              <w:jc w:val="center"/>
              <w:rPr>
                <w:u w:val="single"/>
              </w:rPr>
            </w:pPr>
            <w:r>
              <w:rPr>
                <w:rFonts w:hint="eastAsia"/>
                <w:kern w:val="0"/>
                <w:szCs w:val="21"/>
                <w:u w:val="single"/>
              </w:rPr>
              <w:t>+</w:t>
            </w:r>
            <w:r>
              <w:rPr>
                <w:rFonts w:hint="eastAsia" w:cs="宋体"/>
                <w:szCs w:val="21"/>
                <w:u w:val="single"/>
              </w:rPr>
              <w:t>55</w:t>
            </w:r>
          </w:p>
        </w:tc>
      </w:tr>
      <w:tr w14:paraId="6D205B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76979051">
            <w:pPr>
              <w:pStyle w:val="37"/>
              <w:spacing w:beforeLines="0" w:afterLines="0" w:line="240" w:lineRule="auto"/>
              <w:rPr>
                <w:rFonts w:hAnsi="宋体" w:cs="宋体"/>
                <w:snapToGrid w:val="0"/>
                <w:kern w:val="21"/>
                <w:szCs w:val="21"/>
                <w:u w:val="single"/>
              </w:rPr>
            </w:pPr>
          </w:p>
        </w:tc>
        <w:tc>
          <w:tcPr>
            <w:tcW w:w="1708" w:type="dxa"/>
            <w:vAlign w:val="center"/>
          </w:tcPr>
          <w:p w14:paraId="2F885AFA">
            <w:pPr>
              <w:widowControl/>
              <w:jc w:val="center"/>
              <w:rPr>
                <w:rFonts w:cs="宋体"/>
                <w:szCs w:val="21"/>
                <w:u w:val="single"/>
              </w:rPr>
            </w:pPr>
            <w:r>
              <w:rPr>
                <w:rFonts w:hint="eastAsia" w:cs="宋体"/>
                <w:szCs w:val="21"/>
                <w:u w:val="single"/>
              </w:rPr>
              <w:t>废砂</w:t>
            </w:r>
          </w:p>
        </w:tc>
        <w:tc>
          <w:tcPr>
            <w:tcW w:w="1697" w:type="dxa"/>
            <w:vAlign w:val="center"/>
          </w:tcPr>
          <w:p w14:paraId="1D1703DC">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16FBDD00">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575A06D1">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33C45425">
            <w:pPr>
              <w:widowControl/>
              <w:jc w:val="center"/>
              <w:rPr>
                <w:rFonts w:cs="宋体"/>
                <w:szCs w:val="21"/>
                <w:u w:val="single"/>
              </w:rPr>
            </w:pPr>
            <w:r>
              <w:rPr>
                <w:rFonts w:hint="eastAsia" w:cs="宋体"/>
                <w:szCs w:val="21"/>
                <w:u w:val="single"/>
              </w:rPr>
              <w:t>315</w:t>
            </w:r>
          </w:p>
        </w:tc>
        <w:tc>
          <w:tcPr>
            <w:tcW w:w="1566" w:type="dxa"/>
            <w:vAlign w:val="center"/>
          </w:tcPr>
          <w:p w14:paraId="0DDCEF94">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6FDFB5F6">
            <w:pPr>
              <w:widowControl/>
              <w:jc w:val="center"/>
              <w:rPr>
                <w:u w:val="single"/>
              </w:rPr>
            </w:pPr>
            <w:r>
              <w:rPr>
                <w:rFonts w:hint="eastAsia" w:cs="宋体"/>
                <w:szCs w:val="21"/>
                <w:u w:val="single"/>
              </w:rPr>
              <w:t>315</w:t>
            </w:r>
          </w:p>
        </w:tc>
        <w:tc>
          <w:tcPr>
            <w:tcW w:w="1270" w:type="dxa"/>
            <w:vAlign w:val="center"/>
          </w:tcPr>
          <w:p w14:paraId="74549D38">
            <w:pPr>
              <w:widowControl/>
              <w:jc w:val="center"/>
              <w:rPr>
                <w:u w:val="single"/>
              </w:rPr>
            </w:pPr>
            <w:r>
              <w:rPr>
                <w:rFonts w:hint="eastAsia"/>
                <w:kern w:val="0"/>
                <w:szCs w:val="21"/>
                <w:u w:val="single"/>
              </w:rPr>
              <w:t>+</w:t>
            </w:r>
            <w:r>
              <w:rPr>
                <w:rFonts w:hint="eastAsia" w:cs="宋体"/>
                <w:szCs w:val="21"/>
                <w:u w:val="single"/>
              </w:rPr>
              <w:t>315</w:t>
            </w:r>
          </w:p>
        </w:tc>
      </w:tr>
      <w:tr w14:paraId="242EF6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0D54456C">
            <w:pPr>
              <w:pStyle w:val="37"/>
              <w:spacing w:beforeLines="0" w:afterLines="0" w:line="240" w:lineRule="auto"/>
              <w:rPr>
                <w:rFonts w:hAnsi="宋体" w:cs="宋体"/>
                <w:snapToGrid w:val="0"/>
                <w:kern w:val="21"/>
                <w:szCs w:val="21"/>
                <w:u w:val="single"/>
              </w:rPr>
            </w:pPr>
          </w:p>
        </w:tc>
        <w:tc>
          <w:tcPr>
            <w:tcW w:w="1708" w:type="dxa"/>
            <w:vAlign w:val="center"/>
          </w:tcPr>
          <w:p w14:paraId="74F80AA3">
            <w:pPr>
              <w:widowControl/>
              <w:jc w:val="center"/>
              <w:rPr>
                <w:bCs/>
                <w:szCs w:val="21"/>
                <w:u w:val="single"/>
              </w:rPr>
            </w:pPr>
            <w:r>
              <w:rPr>
                <w:rFonts w:hint="eastAsia"/>
                <w:bCs/>
                <w:szCs w:val="21"/>
                <w:u w:val="single"/>
              </w:rPr>
              <w:t>除尘器收集粉尘</w:t>
            </w:r>
          </w:p>
        </w:tc>
        <w:tc>
          <w:tcPr>
            <w:tcW w:w="1697" w:type="dxa"/>
            <w:vAlign w:val="center"/>
          </w:tcPr>
          <w:p w14:paraId="6ABCF737">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6E64D750">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2DA50C34">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2FD1EF59">
            <w:pPr>
              <w:widowControl/>
              <w:jc w:val="center"/>
              <w:rPr>
                <w:rFonts w:cs="宋体"/>
                <w:szCs w:val="21"/>
                <w:u w:val="single"/>
              </w:rPr>
            </w:pPr>
            <w:r>
              <w:rPr>
                <w:rFonts w:hint="eastAsia" w:cs="宋体"/>
                <w:szCs w:val="21"/>
                <w:u w:val="single"/>
              </w:rPr>
              <w:t>40.184</w:t>
            </w:r>
          </w:p>
        </w:tc>
        <w:tc>
          <w:tcPr>
            <w:tcW w:w="1566" w:type="dxa"/>
            <w:vAlign w:val="center"/>
          </w:tcPr>
          <w:p w14:paraId="23D7F59C">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2EF63811">
            <w:pPr>
              <w:widowControl/>
              <w:jc w:val="center"/>
              <w:rPr>
                <w:u w:val="single"/>
              </w:rPr>
            </w:pPr>
            <w:r>
              <w:rPr>
                <w:rFonts w:hint="eastAsia" w:cs="宋体"/>
                <w:szCs w:val="21"/>
                <w:u w:val="single"/>
              </w:rPr>
              <w:t>40.184</w:t>
            </w:r>
          </w:p>
        </w:tc>
        <w:tc>
          <w:tcPr>
            <w:tcW w:w="1270" w:type="dxa"/>
            <w:vAlign w:val="center"/>
          </w:tcPr>
          <w:p w14:paraId="36D1A836">
            <w:pPr>
              <w:widowControl/>
              <w:jc w:val="center"/>
              <w:rPr>
                <w:u w:val="single"/>
              </w:rPr>
            </w:pPr>
            <w:r>
              <w:rPr>
                <w:rFonts w:hint="eastAsia"/>
                <w:kern w:val="0"/>
                <w:szCs w:val="21"/>
                <w:u w:val="single"/>
              </w:rPr>
              <w:t>+</w:t>
            </w:r>
            <w:r>
              <w:rPr>
                <w:rFonts w:hint="eastAsia" w:cs="宋体"/>
                <w:szCs w:val="21"/>
                <w:u w:val="single"/>
              </w:rPr>
              <w:t>40.184</w:t>
            </w:r>
          </w:p>
        </w:tc>
      </w:tr>
      <w:tr w14:paraId="0B3D76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38BD53D5">
            <w:pPr>
              <w:pStyle w:val="37"/>
              <w:spacing w:beforeLines="0" w:afterLines="0" w:line="240" w:lineRule="auto"/>
              <w:rPr>
                <w:rFonts w:hAnsi="宋体" w:cs="宋体"/>
                <w:snapToGrid w:val="0"/>
                <w:kern w:val="21"/>
                <w:szCs w:val="21"/>
                <w:u w:val="single"/>
              </w:rPr>
            </w:pPr>
          </w:p>
        </w:tc>
        <w:tc>
          <w:tcPr>
            <w:tcW w:w="1708" w:type="dxa"/>
            <w:vAlign w:val="center"/>
          </w:tcPr>
          <w:p w14:paraId="5245E6AC">
            <w:pPr>
              <w:widowControl/>
              <w:jc w:val="center"/>
              <w:rPr>
                <w:rFonts w:cs="宋体"/>
                <w:szCs w:val="21"/>
                <w:u w:val="single"/>
              </w:rPr>
            </w:pPr>
            <w:r>
              <w:rPr>
                <w:rFonts w:hint="eastAsia" w:cs="宋体"/>
                <w:szCs w:val="21"/>
                <w:u w:val="single"/>
              </w:rPr>
              <w:t>废金属碎屑</w:t>
            </w:r>
          </w:p>
        </w:tc>
        <w:tc>
          <w:tcPr>
            <w:tcW w:w="1697" w:type="dxa"/>
            <w:vAlign w:val="center"/>
          </w:tcPr>
          <w:p w14:paraId="5EAF3B96">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038DC0F0">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702F69B0">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65F66F1C">
            <w:pPr>
              <w:widowControl/>
              <w:jc w:val="center"/>
              <w:rPr>
                <w:rFonts w:cs="宋体"/>
                <w:szCs w:val="21"/>
                <w:u w:val="single"/>
              </w:rPr>
            </w:pPr>
            <w:r>
              <w:rPr>
                <w:rFonts w:hint="eastAsia" w:cs="宋体"/>
                <w:szCs w:val="21"/>
                <w:u w:val="single"/>
              </w:rPr>
              <w:t>30</w:t>
            </w:r>
          </w:p>
        </w:tc>
        <w:tc>
          <w:tcPr>
            <w:tcW w:w="1566" w:type="dxa"/>
            <w:vAlign w:val="center"/>
          </w:tcPr>
          <w:p w14:paraId="3A116DD9">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49AFEE28">
            <w:pPr>
              <w:widowControl/>
              <w:jc w:val="center"/>
              <w:rPr>
                <w:u w:val="single"/>
              </w:rPr>
            </w:pPr>
            <w:r>
              <w:rPr>
                <w:rFonts w:hint="eastAsia" w:cs="宋体"/>
                <w:szCs w:val="21"/>
                <w:u w:val="single"/>
              </w:rPr>
              <w:t>30</w:t>
            </w:r>
          </w:p>
        </w:tc>
        <w:tc>
          <w:tcPr>
            <w:tcW w:w="1270" w:type="dxa"/>
            <w:vAlign w:val="center"/>
          </w:tcPr>
          <w:p w14:paraId="7D504394">
            <w:pPr>
              <w:widowControl/>
              <w:jc w:val="center"/>
              <w:rPr>
                <w:u w:val="single"/>
              </w:rPr>
            </w:pPr>
            <w:r>
              <w:rPr>
                <w:rFonts w:hint="eastAsia"/>
                <w:kern w:val="0"/>
                <w:szCs w:val="21"/>
                <w:u w:val="single"/>
              </w:rPr>
              <w:t>+</w:t>
            </w:r>
            <w:r>
              <w:rPr>
                <w:rFonts w:hint="eastAsia" w:cs="宋体"/>
                <w:szCs w:val="21"/>
                <w:u w:val="single"/>
              </w:rPr>
              <w:t>30</w:t>
            </w:r>
          </w:p>
        </w:tc>
      </w:tr>
      <w:tr w14:paraId="70252A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5003A85B">
            <w:pPr>
              <w:pStyle w:val="37"/>
              <w:spacing w:beforeLines="0" w:afterLines="0" w:line="240" w:lineRule="auto"/>
              <w:rPr>
                <w:rFonts w:hAnsi="宋体" w:cs="宋体"/>
                <w:snapToGrid w:val="0"/>
                <w:kern w:val="21"/>
                <w:szCs w:val="21"/>
                <w:u w:val="single"/>
              </w:rPr>
            </w:pPr>
          </w:p>
        </w:tc>
        <w:tc>
          <w:tcPr>
            <w:tcW w:w="1708" w:type="dxa"/>
            <w:vAlign w:val="center"/>
          </w:tcPr>
          <w:p w14:paraId="375E9E00">
            <w:pPr>
              <w:widowControl/>
              <w:jc w:val="center"/>
              <w:rPr>
                <w:rFonts w:cs="宋体"/>
                <w:szCs w:val="21"/>
                <w:u w:val="single"/>
              </w:rPr>
            </w:pPr>
            <w:r>
              <w:rPr>
                <w:rFonts w:hint="eastAsia" w:cs="宋体"/>
                <w:szCs w:val="21"/>
                <w:u w:val="single"/>
              </w:rPr>
              <w:t>不合格品</w:t>
            </w:r>
          </w:p>
        </w:tc>
        <w:tc>
          <w:tcPr>
            <w:tcW w:w="1697" w:type="dxa"/>
            <w:vAlign w:val="center"/>
          </w:tcPr>
          <w:p w14:paraId="43E031E7">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0AE744D6">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65487804">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28312D16">
            <w:pPr>
              <w:widowControl/>
              <w:jc w:val="center"/>
              <w:rPr>
                <w:rFonts w:cs="宋体"/>
                <w:szCs w:val="21"/>
                <w:u w:val="single"/>
              </w:rPr>
            </w:pPr>
            <w:r>
              <w:rPr>
                <w:rFonts w:hint="eastAsia" w:cs="宋体"/>
                <w:szCs w:val="21"/>
                <w:u w:val="single"/>
              </w:rPr>
              <w:t>100</w:t>
            </w:r>
          </w:p>
        </w:tc>
        <w:tc>
          <w:tcPr>
            <w:tcW w:w="1566" w:type="dxa"/>
            <w:vAlign w:val="center"/>
          </w:tcPr>
          <w:p w14:paraId="019B7399">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43AE5673">
            <w:pPr>
              <w:widowControl/>
              <w:jc w:val="center"/>
              <w:rPr>
                <w:rFonts w:cs="宋体"/>
                <w:szCs w:val="21"/>
                <w:u w:val="single"/>
              </w:rPr>
            </w:pPr>
            <w:r>
              <w:rPr>
                <w:rFonts w:hint="eastAsia" w:cs="宋体"/>
                <w:szCs w:val="21"/>
                <w:u w:val="single"/>
              </w:rPr>
              <w:t>100</w:t>
            </w:r>
          </w:p>
        </w:tc>
        <w:tc>
          <w:tcPr>
            <w:tcW w:w="1270" w:type="dxa"/>
            <w:vAlign w:val="center"/>
          </w:tcPr>
          <w:p w14:paraId="12375784">
            <w:pPr>
              <w:widowControl/>
              <w:jc w:val="center"/>
              <w:rPr>
                <w:rFonts w:cs="宋体"/>
                <w:szCs w:val="21"/>
                <w:u w:val="single"/>
              </w:rPr>
            </w:pPr>
            <w:r>
              <w:rPr>
                <w:rFonts w:hint="eastAsia"/>
                <w:kern w:val="0"/>
                <w:szCs w:val="21"/>
                <w:u w:val="single"/>
              </w:rPr>
              <w:t>+</w:t>
            </w:r>
            <w:r>
              <w:rPr>
                <w:rFonts w:hint="eastAsia" w:cs="宋体"/>
                <w:szCs w:val="21"/>
                <w:u w:val="single"/>
              </w:rPr>
              <w:t>100</w:t>
            </w:r>
          </w:p>
        </w:tc>
      </w:tr>
      <w:tr w14:paraId="5ABC45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restart"/>
            <w:vAlign w:val="center"/>
          </w:tcPr>
          <w:p w14:paraId="5CE82874">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危险废物</w:t>
            </w:r>
          </w:p>
        </w:tc>
        <w:tc>
          <w:tcPr>
            <w:tcW w:w="1708" w:type="dxa"/>
            <w:vAlign w:val="center"/>
          </w:tcPr>
          <w:p w14:paraId="5164E1A7">
            <w:pPr>
              <w:widowControl/>
              <w:jc w:val="center"/>
              <w:rPr>
                <w:rFonts w:cs="宋体"/>
                <w:szCs w:val="21"/>
                <w:u w:val="single"/>
              </w:rPr>
            </w:pPr>
            <w:r>
              <w:rPr>
                <w:rFonts w:hint="eastAsia" w:cs="宋体"/>
                <w:szCs w:val="21"/>
                <w:u w:val="single"/>
              </w:rPr>
              <w:t>含油废抹布和手套</w:t>
            </w:r>
          </w:p>
        </w:tc>
        <w:tc>
          <w:tcPr>
            <w:tcW w:w="1697" w:type="dxa"/>
            <w:vAlign w:val="center"/>
          </w:tcPr>
          <w:p w14:paraId="263192A5">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56D388A6">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0C2E37CD">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641F71BC">
            <w:pPr>
              <w:widowControl/>
              <w:jc w:val="center"/>
              <w:rPr>
                <w:rFonts w:cs="宋体"/>
                <w:szCs w:val="21"/>
                <w:u w:val="single"/>
              </w:rPr>
            </w:pPr>
            <w:r>
              <w:rPr>
                <w:rFonts w:hint="eastAsia" w:cs="宋体"/>
                <w:szCs w:val="21"/>
                <w:u w:val="single"/>
              </w:rPr>
              <w:t>0.05</w:t>
            </w:r>
          </w:p>
        </w:tc>
        <w:tc>
          <w:tcPr>
            <w:tcW w:w="1566" w:type="dxa"/>
            <w:vAlign w:val="center"/>
          </w:tcPr>
          <w:p w14:paraId="255B3754">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376658EC">
            <w:pPr>
              <w:widowControl/>
              <w:jc w:val="center"/>
              <w:rPr>
                <w:u w:val="single"/>
              </w:rPr>
            </w:pPr>
            <w:r>
              <w:rPr>
                <w:rFonts w:hint="eastAsia" w:cs="宋体"/>
                <w:szCs w:val="21"/>
                <w:u w:val="single"/>
              </w:rPr>
              <w:t>0.05</w:t>
            </w:r>
          </w:p>
        </w:tc>
        <w:tc>
          <w:tcPr>
            <w:tcW w:w="1270" w:type="dxa"/>
            <w:vAlign w:val="center"/>
          </w:tcPr>
          <w:p w14:paraId="6C6E338B">
            <w:pPr>
              <w:widowControl/>
              <w:jc w:val="center"/>
              <w:rPr>
                <w:u w:val="single"/>
              </w:rPr>
            </w:pPr>
            <w:r>
              <w:rPr>
                <w:rFonts w:hint="eastAsia"/>
                <w:kern w:val="0"/>
                <w:szCs w:val="21"/>
                <w:u w:val="single"/>
              </w:rPr>
              <w:t>+</w:t>
            </w:r>
            <w:r>
              <w:rPr>
                <w:rFonts w:hint="eastAsia" w:cs="宋体"/>
                <w:szCs w:val="21"/>
                <w:u w:val="single"/>
              </w:rPr>
              <w:t>0.05</w:t>
            </w:r>
          </w:p>
        </w:tc>
      </w:tr>
      <w:tr w14:paraId="79E74E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03B85A93">
            <w:pPr>
              <w:pStyle w:val="37"/>
              <w:spacing w:beforeLines="0" w:afterLines="0" w:line="240" w:lineRule="auto"/>
              <w:rPr>
                <w:rFonts w:hAnsi="宋体" w:cs="宋体"/>
                <w:snapToGrid w:val="0"/>
                <w:kern w:val="21"/>
                <w:szCs w:val="21"/>
                <w:u w:val="single"/>
              </w:rPr>
            </w:pPr>
          </w:p>
        </w:tc>
        <w:tc>
          <w:tcPr>
            <w:tcW w:w="1708" w:type="dxa"/>
            <w:vAlign w:val="center"/>
          </w:tcPr>
          <w:p w14:paraId="52777C16">
            <w:pPr>
              <w:widowControl/>
              <w:jc w:val="center"/>
              <w:rPr>
                <w:rFonts w:cs="宋体"/>
                <w:szCs w:val="21"/>
                <w:u w:val="single"/>
              </w:rPr>
            </w:pPr>
            <w:r>
              <w:rPr>
                <w:rFonts w:hint="eastAsia" w:cs="宋体"/>
                <w:szCs w:val="21"/>
                <w:u w:val="single"/>
              </w:rPr>
              <w:t>废机油</w:t>
            </w:r>
          </w:p>
        </w:tc>
        <w:tc>
          <w:tcPr>
            <w:tcW w:w="1697" w:type="dxa"/>
            <w:vAlign w:val="center"/>
          </w:tcPr>
          <w:p w14:paraId="4CE04B28">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53B01E56">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2688BD28">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66CD814B">
            <w:pPr>
              <w:widowControl/>
              <w:jc w:val="center"/>
              <w:rPr>
                <w:rFonts w:cs="宋体"/>
                <w:szCs w:val="21"/>
                <w:u w:val="single"/>
              </w:rPr>
            </w:pPr>
            <w:r>
              <w:rPr>
                <w:rFonts w:hint="eastAsia" w:cs="宋体"/>
                <w:szCs w:val="21"/>
                <w:u w:val="single"/>
              </w:rPr>
              <w:t>0.1</w:t>
            </w:r>
          </w:p>
        </w:tc>
        <w:tc>
          <w:tcPr>
            <w:tcW w:w="1566" w:type="dxa"/>
            <w:vAlign w:val="center"/>
          </w:tcPr>
          <w:p w14:paraId="74E60B4F">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384CD993">
            <w:pPr>
              <w:widowControl/>
              <w:jc w:val="center"/>
              <w:rPr>
                <w:rFonts w:hAnsi="宋体" w:cs="宋体"/>
                <w:snapToGrid w:val="0"/>
                <w:kern w:val="21"/>
                <w:szCs w:val="21"/>
                <w:u w:val="single"/>
              </w:rPr>
            </w:pPr>
            <w:r>
              <w:rPr>
                <w:rFonts w:hint="eastAsia" w:cs="宋体"/>
                <w:szCs w:val="21"/>
                <w:u w:val="single"/>
              </w:rPr>
              <w:t>0.1</w:t>
            </w:r>
          </w:p>
        </w:tc>
        <w:tc>
          <w:tcPr>
            <w:tcW w:w="1270" w:type="dxa"/>
            <w:vAlign w:val="center"/>
          </w:tcPr>
          <w:p w14:paraId="7743AA40">
            <w:pPr>
              <w:widowControl/>
              <w:jc w:val="center"/>
              <w:rPr>
                <w:rFonts w:hAnsi="宋体" w:cs="宋体"/>
                <w:snapToGrid w:val="0"/>
                <w:kern w:val="21"/>
                <w:szCs w:val="21"/>
                <w:u w:val="single"/>
              </w:rPr>
            </w:pPr>
            <w:r>
              <w:rPr>
                <w:rFonts w:hint="eastAsia"/>
                <w:kern w:val="0"/>
                <w:szCs w:val="21"/>
                <w:u w:val="single"/>
              </w:rPr>
              <w:t>+</w:t>
            </w:r>
            <w:r>
              <w:rPr>
                <w:rFonts w:hint="eastAsia" w:cs="宋体"/>
                <w:szCs w:val="21"/>
                <w:u w:val="single"/>
              </w:rPr>
              <w:t>0.1</w:t>
            </w:r>
          </w:p>
        </w:tc>
      </w:tr>
      <w:tr w14:paraId="481F70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290" w:type="dxa"/>
            <w:vMerge w:val="continue"/>
            <w:vAlign w:val="center"/>
          </w:tcPr>
          <w:p w14:paraId="39CA3B33">
            <w:pPr>
              <w:pStyle w:val="37"/>
              <w:spacing w:beforeLines="0" w:afterLines="0" w:line="240" w:lineRule="auto"/>
              <w:rPr>
                <w:rFonts w:hAnsi="宋体" w:cs="宋体"/>
                <w:snapToGrid w:val="0"/>
                <w:kern w:val="21"/>
                <w:szCs w:val="21"/>
                <w:u w:val="single"/>
              </w:rPr>
            </w:pPr>
          </w:p>
        </w:tc>
        <w:tc>
          <w:tcPr>
            <w:tcW w:w="1708" w:type="dxa"/>
            <w:vAlign w:val="center"/>
          </w:tcPr>
          <w:p w14:paraId="1E4DDA30">
            <w:pPr>
              <w:widowControl/>
              <w:jc w:val="center"/>
              <w:rPr>
                <w:bCs/>
                <w:szCs w:val="21"/>
                <w:u w:val="single"/>
              </w:rPr>
            </w:pPr>
            <w:r>
              <w:rPr>
                <w:rFonts w:hint="eastAsia"/>
                <w:bCs/>
                <w:szCs w:val="21"/>
                <w:u w:val="single"/>
              </w:rPr>
              <w:t>废油漆桶</w:t>
            </w:r>
          </w:p>
        </w:tc>
        <w:tc>
          <w:tcPr>
            <w:tcW w:w="1697" w:type="dxa"/>
            <w:vAlign w:val="center"/>
          </w:tcPr>
          <w:p w14:paraId="2BB821EE">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51FA6DAB">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0F4E1A88">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425C8BFA">
            <w:pPr>
              <w:widowControl/>
              <w:jc w:val="center"/>
              <w:rPr>
                <w:rFonts w:cs="宋体"/>
                <w:szCs w:val="21"/>
                <w:u w:val="single"/>
              </w:rPr>
            </w:pPr>
            <w:r>
              <w:rPr>
                <w:rFonts w:hint="eastAsia" w:cs="宋体"/>
                <w:szCs w:val="21"/>
                <w:u w:val="single"/>
              </w:rPr>
              <w:t>0.1</w:t>
            </w:r>
          </w:p>
        </w:tc>
        <w:tc>
          <w:tcPr>
            <w:tcW w:w="1566" w:type="dxa"/>
            <w:vAlign w:val="center"/>
          </w:tcPr>
          <w:p w14:paraId="7372D4FA">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17616EE3">
            <w:pPr>
              <w:widowControl/>
              <w:jc w:val="center"/>
              <w:rPr>
                <w:rFonts w:hAnsi="宋体" w:cs="宋体"/>
                <w:snapToGrid w:val="0"/>
                <w:kern w:val="21"/>
                <w:szCs w:val="21"/>
                <w:u w:val="single"/>
              </w:rPr>
            </w:pPr>
            <w:r>
              <w:rPr>
                <w:rFonts w:hint="eastAsia" w:cs="宋体"/>
                <w:szCs w:val="21"/>
                <w:u w:val="single"/>
              </w:rPr>
              <w:t>0.1</w:t>
            </w:r>
          </w:p>
        </w:tc>
        <w:tc>
          <w:tcPr>
            <w:tcW w:w="1270" w:type="dxa"/>
            <w:vAlign w:val="center"/>
          </w:tcPr>
          <w:p w14:paraId="0FE7BBE1">
            <w:pPr>
              <w:widowControl/>
              <w:jc w:val="center"/>
              <w:rPr>
                <w:rFonts w:hAnsi="宋体" w:cs="宋体"/>
                <w:snapToGrid w:val="0"/>
                <w:kern w:val="21"/>
                <w:szCs w:val="21"/>
                <w:u w:val="single"/>
              </w:rPr>
            </w:pPr>
            <w:r>
              <w:rPr>
                <w:rFonts w:hint="eastAsia"/>
                <w:kern w:val="0"/>
                <w:szCs w:val="21"/>
                <w:u w:val="single"/>
              </w:rPr>
              <w:t>+</w:t>
            </w:r>
            <w:r>
              <w:rPr>
                <w:rFonts w:hint="eastAsia" w:cs="宋体"/>
                <w:szCs w:val="21"/>
                <w:u w:val="single"/>
              </w:rPr>
              <w:t>0.1</w:t>
            </w:r>
          </w:p>
        </w:tc>
      </w:tr>
      <w:tr w14:paraId="1A7A3E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791EFBC2">
            <w:pPr>
              <w:pStyle w:val="37"/>
              <w:spacing w:beforeLines="0" w:afterLines="0" w:line="240" w:lineRule="auto"/>
              <w:rPr>
                <w:rFonts w:hAnsi="宋体" w:cs="宋体"/>
                <w:snapToGrid w:val="0"/>
                <w:kern w:val="21"/>
                <w:szCs w:val="21"/>
                <w:u w:val="single"/>
              </w:rPr>
            </w:pPr>
          </w:p>
        </w:tc>
        <w:tc>
          <w:tcPr>
            <w:tcW w:w="1708" w:type="dxa"/>
            <w:vAlign w:val="center"/>
          </w:tcPr>
          <w:p w14:paraId="34AD2F06">
            <w:pPr>
              <w:widowControl/>
              <w:jc w:val="center"/>
              <w:rPr>
                <w:bCs/>
                <w:szCs w:val="21"/>
                <w:u w:val="single"/>
              </w:rPr>
            </w:pPr>
            <w:r>
              <w:rPr>
                <w:rFonts w:hint="eastAsia"/>
                <w:bCs/>
                <w:szCs w:val="21"/>
                <w:u w:val="single"/>
              </w:rPr>
              <w:t>漆渣</w:t>
            </w:r>
          </w:p>
        </w:tc>
        <w:tc>
          <w:tcPr>
            <w:tcW w:w="1697" w:type="dxa"/>
            <w:vAlign w:val="center"/>
          </w:tcPr>
          <w:p w14:paraId="72F1C23B">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3FB55575">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2A9C4571">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4820D505">
            <w:pPr>
              <w:widowControl/>
              <w:jc w:val="center"/>
              <w:rPr>
                <w:rFonts w:cs="宋体"/>
                <w:szCs w:val="21"/>
                <w:u w:val="single"/>
              </w:rPr>
            </w:pPr>
            <w:r>
              <w:rPr>
                <w:rFonts w:hint="eastAsia" w:cs="宋体"/>
                <w:szCs w:val="21"/>
                <w:u w:val="single"/>
              </w:rPr>
              <w:t>0.2</w:t>
            </w:r>
          </w:p>
        </w:tc>
        <w:tc>
          <w:tcPr>
            <w:tcW w:w="1566" w:type="dxa"/>
            <w:vAlign w:val="center"/>
          </w:tcPr>
          <w:p w14:paraId="2E98F9E8">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3DB811FF">
            <w:pPr>
              <w:widowControl/>
              <w:jc w:val="center"/>
              <w:rPr>
                <w:rFonts w:cs="宋体"/>
                <w:szCs w:val="21"/>
                <w:u w:val="single"/>
              </w:rPr>
            </w:pPr>
            <w:r>
              <w:rPr>
                <w:rFonts w:hint="eastAsia" w:cs="宋体"/>
                <w:szCs w:val="21"/>
                <w:u w:val="single"/>
              </w:rPr>
              <w:t>0.2</w:t>
            </w:r>
          </w:p>
        </w:tc>
        <w:tc>
          <w:tcPr>
            <w:tcW w:w="1270" w:type="dxa"/>
            <w:vAlign w:val="center"/>
          </w:tcPr>
          <w:p w14:paraId="59973FDF">
            <w:pPr>
              <w:widowControl/>
              <w:jc w:val="center"/>
              <w:rPr>
                <w:rFonts w:cs="宋体"/>
                <w:szCs w:val="21"/>
                <w:u w:val="single"/>
              </w:rPr>
            </w:pPr>
            <w:r>
              <w:rPr>
                <w:rFonts w:hint="eastAsia"/>
                <w:kern w:val="0"/>
                <w:szCs w:val="21"/>
                <w:u w:val="single"/>
              </w:rPr>
              <w:t>+</w:t>
            </w:r>
            <w:r>
              <w:rPr>
                <w:rFonts w:hint="eastAsia" w:cs="宋体"/>
                <w:szCs w:val="21"/>
                <w:u w:val="single"/>
              </w:rPr>
              <w:t>0.2</w:t>
            </w:r>
          </w:p>
        </w:tc>
      </w:tr>
      <w:tr w14:paraId="2E954E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0" w:type="dxa"/>
            <w:vMerge w:val="continue"/>
            <w:vAlign w:val="center"/>
          </w:tcPr>
          <w:p w14:paraId="5ECA202A">
            <w:pPr>
              <w:pStyle w:val="37"/>
              <w:spacing w:beforeLines="0" w:afterLines="0" w:line="240" w:lineRule="auto"/>
              <w:rPr>
                <w:rFonts w:hAnsi="宋体" w:cs="宋体"/>
                <w:snapToGrid w:val="0"/>
                <w:kern w:val="21"/>
                <w:szCs w:val="21"/>
                <w:u w:val="single"/>
              </w:rPr>
            </w:pPr>
          </w:p>
        </w:tc>
        <w:tc>
          <w:tcPr>
            <w:tcW w:w="1708" w:type="dxa"/>
            <w:vAlign w:val="center"/>
          </w:tcPr>
          <w:p w14:paraId="0B40C57A">
            <w:pPr>
              <w:widowControl/>
              <w:jc w:val="center"/>
              <w:rPr>
                <w:rFonts w:cs="宋体"/>
                <w:szCs w:val="21"/>
                <w:u w:val="single"/>
              </w:rPr>
            </w:pPr>
            <w:r>
              <w:rPr>
                <w:rFonts w:hint="eastAsia" w:cs="宋体"/>
                <w:szCs w:val="21"/>
                <w:u w:val="single"/>
              </w:rPr>
              <w:t>漆雾过滤棉</w:t>
            </w:r>
          </w:p>
        </w:tc>
        <w:tc>
          <w:tcPr>
            <w:tcW w:w="1697" w:type="dxa"/>
            <w:vAlign w:val="center"/>
          </w:tcPr>
          <w:p w14:paraId="4EE4811B">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2F39D3F5">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58852E1A">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08467BF5">
            <w:pPr>
              <w:widowControl/>
              <w:jc w:val="center"/>
              <w:rPr>
                <w:rFonts w:cs="宋体"/>
                <w:szCs w:val="21"/>
                <w:u w:val="single"/>
              </w:rPr>
            </w:pPr>
            <w:r>
              <w:rPr>
                <w:rFonts w:hint="eastAsia" w:cs="宋体"/>
                <w:szCs w:val="21"/>
                <w:u w:val="single"/>
              </w:rPr>
              <w:t>1</w:t>
            </w:r>
          </w:p>
        </w:tc>
        <w:tc>
          <w:tcPr>
            <w:tcW w:w="1566" w:type="dxa"/>
            <w:vAlign w:val="center"/>
          </w:tcPr>
          <w:p w14:paraId="130E17AF">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1EAF5876">
            <w:pPr>
              <w:widowControl/>
              <w:jc w:val="center"/>
              <w:rPr>
                <w:rFonts w:hAnsi="宋体" w:cs="宋体"/>
                <w:snapToGrid w:val="0"/>
                <w:kern w:val="21"/>
                <w:szCs w:val="21"/>
                <w:u w:val="single"/>
              </w:rPr>
            </w:pPr>
            <w:r>
              <w:rPr>
                <w:rFonts w:hint="eastAsia" w:cs="宋体"/>
                <w:szCs w:val="21"/>
                <w:u w:val="single"/>
              </w:rPr>
              <w:t>1</w:t>
            </w:r>
          </w:p>
        </w:tc>
        <w:tc>
          <w:tcPr>
            <w:tcW w:w="1270" w:type="dxa"/>
            <w:vAlign w:val="center"/>
          </w:tcPr>
          <w:p w14:paraId="47E17012">
            <w:pPr>
              <w:widowControl/>
              <w:jc w:val="center"/>
              <w:rPr>
                <w:rFonts w:hAnsi="宋体" w:cs="宋体"/>
                <w:snapToGrid w:val="0"/>
                <w:kern w:val="21"/>
                <w:szCs w:val="21"/>
                <w:u w:val="single"/>
              </w:rPr>
            </w:pPr>
            <w:r>
              <w:rPr>
                <w:rFonts w:hint="eastAsia"/>
                <w:kern w:val="0"/>
                <w:szCs w:val="21"/>
                <w:u w:val="single"/>
              </w:rPr>
              <w:t>+</w:t>
            </w:r>
            <w:r>
              <w:rPr>
                <w:rFonts w:hint="eastAsia" w:cs="宋体"/>
                <w:szCs w:val="21"/>
                <w:u w:val="single"/>
              </w:rPr>
              <w:t>1</w:t>
            </w:r>
          </w:p>
        </w:tc>
      </w:tr>
      <w:tr w14:paraId="1B4A88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290" w:type="dxa"/>
            <w:vMerge w:val="continue"/>
            <w:vAlign w:val="center"/>
          </w:tcPr>
          <w:p w14:paraId="30E36843">
            <w:pPr>
              <w:pStyle w:val="37"/>
              <w:spacing w:beforeLines="0" w:afterLines="0" w:line="240" w:lineRule="auto"/>
              <w:rPr>
                <w:rFonts w:hAnsi="宋体" w:cs="宋体"/>
                <w:snapToGrid w:val="0"/>
                <w:kern w:val="21"/>
                <w:szCs w:val="21"/>
                <w:u w:val="single"/>
              </w:rPr>
            </w:pPr>
          </w:p>
        </w:tc>
        <w:tc>
          <w:tcPr>
            <w:tcW w:w="1708" w:type="dxa"/>
            <w:vAlign w:val="center"/>
          </w:tcPr>
          <w:p w14:paraId="1F239A20">
            <w:pPr>
              <w:widowControl/>
              <w:jc w:val="center"/>
              <w:rPr>
                <w:rFonts w:cs="宋体"/>
                <w:szCs w:val="21"/>
                <w:u w:val="single"/>
              </w:rPr>
            </w:pPr>
            <w:r>
              <w:rPr>
                <w:rFonts w:hint="eastAsia" w:cs="宋体"/>
                <w:szCs w:val="21"/>
                <w:u w:val="single"/>
              </w:rPr>
              <w:t>废活性炭</w:t>
            </w:r>
          </w:p>
        </w:tc>
        <w:tc>
          <w:tcPr>
            <w:tcW w:w="1697" w:type="dxa"/>
            <w:vAlign w:val="center"/>
          </w:tcPr>
          <w:p w14:paraId="33DC718D">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273" w:type="dxa"/>
            <w:vAlign w:val="center"/>
          </w:tcPr>
          <w:p w14:paraId="2AFD0358">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697" w:type="dxa"/>
            <w:vAlign w:val="center"/>
          </w:tcPr>
          <w:p w14:paraId="477607A2">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555" w:type="dxa"/>
            <w:vAlign w:val="center"/>
          </w:tcPr>
          <w:p w14:paraId="160FA254">
            <w:pPr>
              <w:widowControl/>
              <w:jc w:val="center"/>
              <w:rPr>
                <w:rFonts w:hint="default" w:eastAsia="宋体" w:cs="宋体"/>
                <w:szCs w:val="21"/>
                <w:u w:val="single"/>
                <w:lang w:val="en-US" w:eastAsia="zh-CN"/>
              </w:rPr>
            </w:pPr>
            <w:r>
              <w:rPr>
                <w:rFonts w:hint="eastAsia" w:cs="宋体"/>
                <w:szCs w:val="21"/>
                <w:u w:val="single"/>
                <w:lang w:val="en-US" w:eastAsia="zh-CN"/>
              </w:rPr>
              <w:t>21.17</w:t>
            </w:r>
          </w:p>
        </w:tc>
        <w:tc>
          <w:tcPr>
            <w:tcW w:w="1566" w:type="dxa"/>
            <w:vAlign w:val="center"/>
          </w:tcPr>
          <w:p w14:paraId="70D32723">
            <w:pPr>
              <w:pStyle w:val="37"/>
              <w:spacing w:beforeLines="0" w:afterLines="0" w:line="240" w:lineRule="auto"/>
              <w:rPr>
                <w:rFonts w:hAnsi="宋体" w:cs="宋体"/>
                <w:snapToGrid w:val="0"/>
                <w:kern w:val="21"/>
                <w:szCs w:val="21"/>
                <w:u w:val="single"/>
              </w:rPr>
            </w:pPr>
            <w:r>
              <w:rPr>
                <w:rFonts w:hint="eastAsia" w:hAnsi="宋体" w:cs="宋体"/>
                <w:snapToGrid w:val="0"/>
                <w:kern w:val="21"/>
                <w:szCs w:val="21"/>
                <w:u w:val="single"/>
              </w:rPr>
              <w:t>/</w:t>
            </w:r>
          </w:p>
        </w:tc>
        <w:tc>
          <w:tcPr>
            <w:tcW w:w="1762" w:type="dxa"/>
            <w:vAlign w:val="center"/>
          </w:tcPr>
          <w:p w14:paraId="6F915383">
            <w:pPr>
              <w:widowControl/>
              <w:jc w:val="center"/>
              <w:rPr>
                <w:rFonts w:hint="default" w:cs="宋体"/>
                <w:szCs w:val="21"/>
                <w:u w:val="single"/>
                <w:lang w:val="en-US"/>
              </w:rPr>
            </w:pPr>
            <w:r>
              <w:rPr>
                <w:rFonts w:hint="eastAsia" w:cs="宋体"/>
                <w:szCs w:val="21"/>
                <w:u w:val="single"/>
                <w:lang w:val="en-US" w:eastAsia="zh-CN"/>
              </w:rPr>
              <w:t>21.17</w:t>
            </w:r>
          </w:p>
        </w:tc>
        <w:tc>
          <w:tcPr>
            <w:tcW w:w="1270" w:type="dxa"/>
            <w:vAlign w:val="center"/>
          </w:tcPr>
          <w:p w14:paraId="353DB4B6">
            <w:pPr>
              <w:widowControl/>
              <w:jc w:val="center"/>
              <w:rPr>
                <w:rFonts w:hint="default" w:cs="宋体"/>
                <w:szCs w:val="21"/>
                <w:u w:val="single"/>
                <w:lang w:val="en-US"/>
              </w:rPr>
            </w:pPr>
            <w:r>
              <w:rPr>
                <w:rFonts w:hint="eastAsia"/>
                <w:kern w:val="0"/>
                <w:szCs w:val="21"/>
                <w:u w:val="single"/>
              </w:rPr>
              <w:t>+</w:t>
            </w:r>
            <w:r>
              <w:rPr>
                <w:rFonts w:hint="eastAsia" w:cs="宋体"/>
                <w:szCs w:val="21"/>
                <w:u w:val="single"/>
                <w:lang w:val="en-US" w:eastAsia="zh-CN"/>
              </w:rPr>
              <w:t>21.17</w:t>
            </w:r>
          </w:p>
        </w:tc>
      </w:tr>
    </w:tbl>
    <w:p w14:paraId="15561870">
      <w:pPr>
        <w:pStyle w:val="37"/>
        <w:spacing w:before="192" w:beforeLines="80" w:after="24"/>
        <w:jc w:val="left"/>
        <w:rPr>
          <w:rFonts w:hAnsi="宋体"/>
          <w:snapToGrid w:val="0"/>
          <w:spacing w:val="-6"/>
          <w:kern w:val="21"/>
          <w:szCs w:val="21"/>
        </w:rPr>
      </w:pPr>
      <w:r>
        <w:rPr>
          <w:rFonts w:hAnsi="宋体"/>
          <w:snapToGrid w:val="0"/>
          <w:kern w:val="21"/>
          <w:szCs w:val="21"/>
        </w:rPr>
        <w:t>注：</w:t>
      </w:r>
      <w:r>
        <w:rPr>
          <w:rFonts w:hAnsi="宋体"/>
          <w:snapToGrid w:val="0"/>
          <w:spacing w:val="-16"/>
          <w:kern w:val="21"/>
          <w:szCs w:val="21"/>
        </w:rPr>
        <w:fldChar w:fldCharType="begin"/>
      </w:r>
      <w:r>
        <w:rPr>
          <w:rFonts w:hAnsi="宋体"/>
          <w:snapToGrid w:val="0"/>
          <w:spacing w:val="-16"/>
          <w:kern w:val="21"/>
          <w:szCs w:val="21"/>
        </w:rPr>
        <w:instrText xml:space="preserve"> = 6 \* GB3 \* MERGEFORMAT </w:instrText>
      </w:r>
      <w:r>
        <w:rPr>
          <w:rFonts w:hAnsi="宋体"/>
          <w:snapToGrid w:val="0"/>
          <w:spacing w:val="-16"/>
          <w:kern w:val="21"/>
          <w:szCs w:val="21"/>
        </w:rPr>
        <w:fldChar w:fldCharType="separate"/>
      </w:r>
      <w:r>
        <w:rPr>
          <w:rFonts w:hint="eastAsia" w:hAnsi="宋体"/>
          <w:szCs w:val="21"/>
        </w:rPr>
        <w:t>⑥</w:t>
      </w:r>
      <w:r>
        <w:rPr>
          <w:rFonts w:hAnsi="宋体"/>
          <w:snapToGrid w:val="0"/>
          <w:spacing w:val="-16"/>
          <w:kern w:val="21"/>
          <w:szCs w:val="21"/>
        </w:rPr>
        <w:fldChar w:fldCharType="end"/>
      </w:r>
      <w:r>
        <w:rPr>
          <w:rFonts w:hAnsi="宋体"/>
          <w:snapToGrid w:val="0"/>
          <w:spacing w:val="-1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1 \* GB3 \* MERGEFORMAT </w:instrText>
      </w:r>
      <w:r>
        <w:rPr>
          <w:rFonts w:hAnsi="宋体"/>
          <w:snapToGrid w:val="0"/>
          <w:spacing w:val="-6"/>
          <w:kern w:val="21"/>
          <w:szCs w:val="21"/>
        </w:rPr>
        <w:fldChar w:fldCharType="separate"/>
      </w:r>
      <w:r>
        <w:rPr>
          <w:rFonts w:hint="eastAsia" w:hAnsi="宋体"/>
          <w:szCs w:val="21"/>
        </w:rPr>
        <w:t>①</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3 \* GB3 \* MERGEFORMAT </w:instrText>
      </w:r>
      <w:r>
        <w:rPr>
          <w:rFonts w:hAnsi="宋体"/>
          <w:snapToGrid w:val="0"/>
          <w:spacing w:val="-6"/>
          <w:kern w:val="21"/>
          <w:szCs w:val="21"/>
        </w:rPr>
        <w:fldChar w:fldCharType="separate"/>
      </w:r>
      <w:r>
        <w:rPr>
          <w:rFonts w:hint="eastAsia" w:hAnsi="宋体"/>
          <w:szCs w:val="21"/>
        </w:rPr>
        <w:t>③</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4 \* GB3 \* MERGEFORMAT </w:instrText>
      </w:r>
      <w:r>
        <w:rPr>
          <w:rFonts w:hAnsi="宋体"/>
          <w:snapToGrid w:val="0"/>
          <w:spacing w:val="-6"/>
          <w:kern w:val="21"/>
          <w:szCs w:val="21"/>
        </w:rPr>
        <w:fldChar w:fldCharType="separate"/>
      </w:r>
      <w:r>
        <w:rPr>
          <w:rFonts w:hint="eastAsia" w:hAnsi="宋体"/>
          <w:szCs w:val="21"/>
        </w:rPr>
        <w:t>④</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16"/>
          <w:kern w:val="21"/>
          <w:szCs w:val="21"/>
        </w:rPr>
        <w:fldChar w:fldCharType="begin"/>
      </w:r>
      <w:r>
        <w:rPr>
          <w:rFonts w:hAnsi="宋体"/>
          <w:snapToGrid w:val="0"/>
          <w:spacing w:val="-16"/>
          <w:kern w:val="21"/>
          <w:szCs w:val="21"/>
        </w:rPr>
        <w:instrText xml:space="preserve"> = 5 \* GB3 \* MERGEFORMAT </w:instrText>
      </w:r>
      <w:r>
        <w:rPr>
          <w:rFonts w:hAnsi="宋体"/>
          <w:snapToGrid w:val="0"/>
          <w:spacing w:val="-16"/>
          <w:kern w:val="21"/>
          <w:szCs w:val="21"/>
        </w:rPr>
        <w:fldChar w:fldCharType="separate"/>
      </w:r>
      <w:r>
        <w:rPr>
          <w:rFonts w:hint="eastAsia" w:hAnsi="宋体"/>
          <w:szCs w:val="21"/>
        </w:rPr>
        <w:t>⑤</w:t>
      </w:r>
      <w:r>
        <w:rPr>
          <w:rFonts w:hAnsi="宋体"/>
          <w:snapToGrid w:val="0"/>
          <w:spacing w:val="-16"/>
          <w:kern w:val="21"/>
          <w:szCs w:val="21"/>
        </w:rPr>
        <w:fldChar w:fldCharType="end"/>
      </w:r>
      <w:r>
        <w:rPr>
          <w:rFonts w:hAnsi="宋体"/>
          <w:snapToGrid w:val="0"/>
          <w:spacing w:val="-1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7 \* GB3 \* MERGEFORMAT </w:instrText>
      </w:r>
      <w:r>
        <w:rPr>
          <w:rFonts w:hAnsi="宋体"/>
          <w:snapToGrid w:val="0"/>
          <w:spacing w:val="-6"/>
          <w:kern w:val="21"/>
          <w:szCs w:val="21"/>
        </w:rPr>
        <w:fldChar w:fldCharType="separate"/>
      </w:r>
      <w:r>
        <w:rPr>
          <w:rFonts w:hint="eastAsia" w:hAnsi="宋体"/>
          <w:szCs w:val="21"/>
        </w:rPr>
        <w:t>⑦</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16"/>
          <w:kern w:val="21"/>
          <w:szCs w:val="21"/>
        </w:rPr>
        <w:fldChar w:fldCharType="begin"/>
      </w:r>
      <w:r>
        <w:rPr>
          <w:rFonts w:hAnsi="宋体"/>
          <w:snapToGrid w:val="0"/>
          <w:spacing w:val="-16"/>
          <w:kern w:val="21"/>
          <w:szCs w:val="21"/>
        </w:rPr>
        <w:instrText xml:space="preserve"> = 6 \* GB3 \* MERGEFORMAT </w:instrText>
      </w:r>
      <w:r>
        <w:rPr>
          <w:rFonts w:hAnsi="宋体"/>
          <w:snapToGrid w:val="0"/>
          <w:spacing w:val="-16"/>
          <w:kern w:val="21"/>
          <w:szCs w:val="21"/>
        </w:rPr>
        <w:fldChar w:fldCharType="separate"/>
      </w:r>
      <w:r>
        <w:rPr>
          <w:rFonts w:hint="eastAsia" w:hAnsi="宋体"/>
          <w:szCs w:val="21"/>
        </w:rPr>
        <w:t>⑥</w:t>
      </w:r>
      <w:r>
        <w:rPr>
          <w:rFonts w:hAnsi="宋体"/>
          <w:snapToGrid w:val="0"/>
          <w:spacing w:val="-16"/>
          <w:kern w:val="21"/>
          <w:szCs w:val="21"/>
        </w:rPr>
        <w:fldChar w:fldCharType="end"/>
      </w:r>
      <w:r>
        <w:rPr>
          <w:rFonts w:hAnsi="宋体"/>
          <w:snapToGrid w:val="0"/>
          <w:spacing w:val="-1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1 \* GB3 \* MERGEFORMAT </w:instrText>
      </w:r>
      <w:r>
        <w:rPr>
          <w:rFonts w:hAnsi="宋体"/>
          <w:snapToGrid w:val="0"/>
          <w:spacing w:val="-6"/>
          <w:kern w:val="21"/>
          <w:szCs w:val="21"/>
        </w:rPr>
        <w:fldChar w:fldCharType="separate"/>
      </w:r>
      <w:r>
        <w:rPr>
          <w:rFonts w:hint="eastAsia" w:hAnsi="宋体"/>
          <w:szCs w:val="21"/>
        </w:rPr>
        <w:t>①</w:t>
      </w:r>
      <w:r>
        <w:rPr>
          <w:rFonts w:hAnsi="宋体"/>
          <w:snapToGrid w:val="0"/>
          <w:spacing w:val="-6"/>
          <w:kern w:val="21"/>
          <w:szCs w:val="21"/>
        </w:rPr>
        <w:fldChar w:fldCharType="end"/>
      </w:r>
    </w:p>
    <w:p w14:paraId="5494E535">
      <w:pPr>
        <w:pageBreakBefore w:val="0"/>
        <w:numPr>
          <w:ilvl w:val="0"/>
          <w:numId w:val="0"/>
        </w:numPr>
        <w:tabs>
          <w:tab w:val="left" w:pos="0"/>
        </w:tabs>
        <w:kinsoku/>
        <w:wordWrap/>
        <w:overflowPunct/>
        <w:topLinePunct w:val="0"/>
        <w:autoSpaceDE/>
        <w:autoSpaceDN/>
        <w:bidi w:val="0"/>
        <w:adjustRightInd w:val="0"/>
        <w:snapToGrid w:val="0"/>
        <w:ind w:leftChars="0"/>
        <w:jc w:val="center"/>
        <w:textAlignment w:val="auto"/>
        <w:outlineLvl w:val="0"/>
      </w:pPr>
    </w:p>
    <w:sectPr>
      <w:footerReference r:id="rId4" w:type="default"/>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新宋体-18030">
    <w:altName w:val="宋体"/>
    <w:panose1 w:val="00000000000000000000"/>
    <w:charset w:val="86"/>
    <w:family w:val="modern"/>
    <w:pitch w:val="default"/>
    <w:sig w:usb0="00000000" w:usb1="00000000" w:usb2="000A005E"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Impact">
    <w:panose1 w:val="020B0806030902050204"/>
    <w:charset w:val="00"/>
    <w:family w:val="swiss"/>
    <w:pitch w:val="default"/>
    <w:sig w:usb0="00000287" w:usb1="00000000" w:usb2="00000000" w:usb3="00000000" w:csb0="2000009F" w:csb1="DFD70000"/>
  </w:font>
  <w:font w:name="TimesNewRomanPSMT">
    <w:altName w:val="Times New Roman"/>
    <w:panose1 w:val="00000000000000000000"/>
    <w:charset w:val="00"/>
    <w:family w:val="auto"/>
    <w:pitch w:val="default"/>
    <w:sig w:usb0="00000000" w:usb1="00000000" w:usb2="00000000" w:usb3="00000000" w:csb0="00000000" w:csb1="00000000"/>
  </w:font>
  <w:font w:name="ˎ̥">
    <w:altName w:val="Times New Roman"/>
    <w:panose1 w:val="00000000000000000000"/>
    <w:charset w:val="00"/>
    <w:family w:val="roman"/>
    <w:pitch w:val="default"/>
    <w:sig w:usb0="00000000" w:usb1="00000000" w:usb2="00000000" w:usb3="00000000" w:csb0="00040001" w:csb1="00000000"/>
  </w:font>
  <w:font w:name="TimesNewRomanPS-BoldM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CF6E0">
    <w:pPr>
      <w:pStyle w:val="20"/>
      <w:ind w:right="360"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BF1D98F">
                          <w:pPr>
                            <w:pStyle w:val="20"/>
                          </w:pPr>
                          <w:r>
                            <w:fldChar w:fldCharType="begin"/>
                          </w:r>
                          <w:r>
                            <w:instrText xml:space="preserve"> PAGE  \* MERGEFORMAT </w:instrText>
                          </w:r>
                          <w:r>
                            <w:fldChar w:fldCharType="separate"/>
                          </w:r>
                          <w:r>
                            <w:t>1</w:t>
                          </w:r>
                          <w:r>
                            <w:fldChar w:fldCharType="end"/>
                          </w:r>
                        </w:p>
                      </w:txbxContent>
                    </wps:txbx>
                    <wps:bodyPr vert="horz" wrap="none" lIns="0" tIns="0" rIns="0" bIns="0" anchor="t" anchorCtr="0">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6pebnPAAAABQEAAA8AAAAAAAAAAQAgAAAA&#10;IgAAAGRycy9kb3ducmV2LnhtbFBLAQIUABQAAAAIAIdO4kA1SGj22wEAALcDAAAOAAAAAAAAAAEA&#10;IAAAAB4BAABkcnMvZTJvRG9jLnhtbFBLBQYAAAAABgAGAFkBAABrBQAAAAA=&#10;">
              <v:fill on="f" focussize="0,0"/>
              <v:stroke on="f"/>
              <v:imagedata o:title=""/>
              <o:lock v:ext="edit" aspectratio="f"/>
              <v:textbox inset="0mm,0mm,0mm,0mm" style="mso-fit-shape-to-text:t;">
                <w:txbxContent>
                  <w:p w14:paraId="5BF1D98F">
                    <w:pPr>
                      <w:pStyle w:val="2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F87D42">
    <w:pPr>
      <w:pStyle w:val="20"/>
      <w:ind w:right="360"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52CA16E">
                          <w:pPr>
                            <w:pStyle w:val="20"/>
                          </w:pPr>
                          <w:r>
                            <w:fldChar w:fldCharType="begin"/>
                          </w:r>
                          <w:r>
                            <w:instrText xml:space="preserve"> PAGE  \* MERGEFORMAT </w:instrText>
                          </w:r>
                          <w:r>
                            <w:fldChar w:fldCharType="separate"/>
                          </w:r>
                          <w:r>
                            <w:t>1</w:t>
                          </w:r>
                          <w:r>
                            <w:fldChar w:fldCharType="end"/>
                          </w:r>
                        </w:p>
                      </w:txbxContent>
                    </wps:txbx>
                    <wps:bodyPr vert="horz" wrap="none" lIns="0" tIns="0" rIns="0" bIns="0" anchor="t" anchorCtr="0">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ql5uc8AAAAFAQAADwAAAAAAAAABACAAAAAi&#10;AAAAZHJzL2Rvd25yZXYueG1sUEsBAhQAFAAAAAgAh07iQMrt5ZXaAQAAtwMAAA4AAAAAAAAAAQAg&#10;AAAAHgEAAGRycy9lMm9Eb2MueG1sUEsFBgAAAAAGAAYAWQEAAGoFAAAAAA==&#10;">
              <v:fill on="f" focussize="0,0"/>
              <v:stroke on="f"/>
              <v:imagedata o:title=""/>
              <o:lock v:ext="edit" aspectratio="f"/>
              <v:textbox inset="0mm,0mm,0mm,0mm" style="mso-fit-shape-to-text:t;">
                <w:txbxContent>
                  <w:p w14:paraId="352CA16E">
                    <w:pPr>
                      <w:pStyle w:val="20"/>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50F2FF"/>
    <w:multiLevelType w:val="singleLevel"/>
    <w:tmpl w:val="C750F2FF"/>
    <w:lvl w:ilvl="0" w:tentative="0">
      <w:start w:val="1"/>
      <w:numFmt w:val="decimal"/>
      <w:pStyle w:val="97"/>
      <w:suff w:val="nothing"/>
      <w:lvlText w:val="表%1 "/>
      <w:lvlJc w:val="left"/>
      <w:pPr>
        <w:tabs>
          <w:tab w:val="left" w:pos="0"/>
        </w:tabs>
      </w:pPr>
      <w:rPr>
        <w:rFonts w:hint="default" w:ascii="宋体" w:hAnsi="宋体" w:eastAsia="宋体" w:cs="宋体"/>
      </w:rPr>
    </w:lvl>
  </w:abstractNum>
  <w:abstractNum w:abstractNumId="1">
    <w:nsid w:val="C8BC76A2"/>
    <w:multiLevelType w:val="multilevel"/>
    <w:tmpl w:val="C8BC76A2"/>
    <w:lvl w:ilvl="0" w:tentative="0">
      <w:start w:val="1"/>
      <w:numFmt w:val="decimal"/>
      <w:lvlText w:val="%1."/>
      <w:lvlJc w:val="left"/>
      <w:pPr>
        <w:ind w:left="432" w:hanging="432"/>
      </w:pPr>
      <w:rPr>
        <w:rFonts w:hint="default"/>
      </w:rPr>
    </w:lvl>
    <w:lvl w:ilvl="1" w:tentative="0">
      <w:start w:val="1"/>
      <w:numFmt w:val="decimal"/>
      <w:lvlText w:val="%1.%2. "/>
      <w:lvlJc w:val="left"/>
      <w:pPr>
        <w:ind w:left="575" w:hanging="575"/>
      </w:pPr>
      <w:rPr>
        <w:rFonts w:hint="default" w:ascii="宋体" w:hAnsi="宋体" w:eastAsia="宋体" w:cs="宋体"/>
      </w:rPr>
    </w:lvl>
    <w:lvl w:ilvl="2" w:tentative="0">
      <w:start w:val="1"/>
      <w:numFmt w:val="decimal"/>
      <w:lvlText w:val="%1.%2.%3. "/>
      <w:lvlJc w:val="left"/>
      <w:pPr>
        <w:ind w:left="720" w:hanging="720"/>
      </w:pPr>
      <w:rPr>
        <w:rFonts w:hint="default" w:ascii="宋体" w:hAnsi="宋体" w:eastAsia="宋体" w:cs="宋体"/>
      </w:rPr>
    </w:lvl>
    <w:lvl w:ilvl="3" w:tentative="0">
      <w:start w:val="1"/>
      <w:numFmt w:val="decimal"/>
      <w:lvlText w:val="%1.%2.%3.%4."/>
      <w:lvlJc w:val="left"/>
      <w:pPr>
        <w:ind w:left="864" w:hanging="864"/>
      </w:pPr>
      <w:rPr>
        <w:rFonts w:hint="default"/>
      </w:rPr>
    </w:lvl>
    <w:lvl w:ilvl="4" w:tentative="0">
      <w:start w:val="1"/>
      <w:numFmt w:val="decimal"/>
      <w:lvlRestart w:val="2"/>
      <w:pStyle w:val="6"/>
      <w:lvlText w:val="表%1.%2-%5  "/>
      <w:lvlJc w:val="left"/>
      <w:pPr>
        <w:ind w:left="1008" w:hanging="1008"/>
      </w:pPr>
      <w:rPr>
        <w:rFonts w:hint="default" w:ascii="宋体" w:hAnsi="宋体" w:eastAsia="宋体" w:cs="宋体"/>
      </w:rPr>
    </w:lvl>
    <w:lvl w:ilvl="5" w:tentative="0">
      <w:start w:val="1"/>
      <w:numFmt w:val="decimal"/>
      <w:lvlRestart w:val="2"/>
      <w:lvlText w:val="图%1.%2-%6  "/>
      <w:lvlJc w:val="left"/>
      <w:pPr>
        <w:ind w:left="1151" w:hanging="1151"/>
      </w:pPr>
      <w:rPr>
        <w:rFonts w:hint="default" w:ascii="宋体" w:hAnsi="宋体" w:eastAsia="宋体" w:cs="宋体"/>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
    <w:nsid w:val="CEE4CB9D"/>
    <w:multiLevelType w:val="singleLevel"/>
    <w:tmpl w:val="CEE4CB9D"/>
    <w:lvl w:ilvl="0" w:tentative="0">
      <w:start w:val="1"/>
      <w:numFmt w:val="decimal"/>
      <w:suff w:val="nothing"/>
      <w:lvlText w:val="（%1）"/>
      <w:lvlJc w:val="left"/>
    </w:lvl>
  </w:abstractNum>
  <w:abstractNum w:abstractNumId="3">
    <w:nsid w:val="E958764E"/>
    <w:multiLevelType w:val="singleLevel"/>
    <w:tmpl w:val="E958764E"/>
    <w:lvl w:ilvl="0" w:tentative="0">
      <w:start w:val="1"/>
      <w:numFmt w:val="decimal"/>
      <w:lvlText w:val="%1"/>
      <w:lvlJc w:val="left"/>
      <w:pPr>
        <w:tabs>
          <w:tab w:val="left" w:pos="420"/>
        </w:tabs>
        <w:ind w:left="635" w:hanging="425"/>
      </w:pPr>
      <w:rPr>
        <w:rFonts w:hint="default"/>
      </w:rPr>
    </w:lvl>
  </w:abstractNum>
  <w:abstractNum w:abstractNumId="4">
    <w:nsid w:val="0ECCFCF7"/>
    <w:multiLevelType w:val="singleLevel"/>
    <w:tmpl w:val="0ECCFCF7"/>
    <w:lvl w:ilvl="0" w:tentative="0">
      <w:start w:val="1"/>
      <w:numFmt w:val="decimal"/>
      <w:suff w:val="nothing"/>
      <w:lvlText w:val="%1、"/>
      <w:lvlJc w:val="left"/>
    </w:lvl>
  </w:abstractNum>
  <w:abstractNum w:abstractNumId="5">
    <w:nsid w:val="45C64B39"/>
    <w:multiLevelType w:val="singleLevel"/>
    <w:tmpl w:val="45C64B39"/>
    <w:lvl w:ilvl="0" w:tentative="0">
      <w:start w:val="5"/>
      <w:numFmt w:val="decimal"/>
      <w:suff w:val="nothing"/>
      <w:lvlText w:val="%1、"/>
      <w:lvlJc w:val="left"/>
    </w:lvl>
  </w:abstractNum>
  <w:abstractNum w:abstractNumId="6">
    <w:nsid w:val="5CCE0375"/>
    <w:multiLevelType w:val="multilevel"/>
    <w:tmpl w:val="5CCE0375"/>
    <w:lvl w:ilvl="0" w:tentative="0">
      <w:start w:val="1"/>
      <w:numFmt w:val="decimal"/>
      <w:lvlText w:val="%1"/>
      <w:lvlJc w:val="left"/>
      <w:pPr>
        <w:tabs>
          <w:tab w:val="left" w:pos="3054"/>
        </w:tabs>
        <w:ind w:left="2694" w:firstLine="0"/>
      </w:pPr>
      <w:rPr>
        <w:rFonts w:hint="eastAsia"/>
        <w:lang w:val="en-US"/>
      </w:rPr>
    </w:lvl>
    <w:lvl w:ilvl="1" w:tentative="0">
      <w:start w:val="1"/>
      <w:numFmt w:val="decimal"/>
      <w:lvlText w:val="%1.%2"/>
      <w:lvlJc w:val="left"/>
      <w:pPr>
        <w:tabs>
          <w:tab w:val="left" w:pos="567"/>
        </w:tabs>
        <w:ind w:left="0" w:firstLine="0"/>
      </w:pPr>
      <w:rPr>
        <w:rFonts w:hint="eastAsia"/>
      </w:rPr>
    </w:lvl>
    <w:lvl w:ilvl="2" w:tentative="0">
      <w:start w:val="1"/>
      <w:numFmt w:val="decimal"/>
      <w:pStyle w:val="4"/>
      <w:lvlText w:val="%1.%2.%3"/>
      <w:lvlJc w:val="left"/>
      <w:pPr>
        <w:tabs>
          <w:tab w:val="left" w:pos="720"/>
        </w:tabs>
        <w:ind w:left="720" w:hanging="720"/>
      </w:pPr>
      <w:rPr>
        <w:rFonts w:hint="eastAsia" w:ascii="Times New Roman" w:hAnsi="Times New Roman" w:cs="Times New Roman"/>
        <w:b/>
        <w:bCs w:val="0"/>
        <w:i w:val="0"/>
        <w:iCs w:val="0"/>
        <w:caps w:val="0"/>
        <w:smallCaps w:val="0"/>
        <w:strike w:val="0"/>
        <w:dstrike w:val="0"/>
        <w:outline w:val="0"/>
        <w:shadow w:val="0"/>
        <w:emboss w:val="0"/>
        <w:imprint w:val="0"/>
        <w:vanish w:val="0"/>
        <w:spacing w:val="0"/>
        <w:position w:val="0"/>
        <w:sz w:val="24"/>
        <w:szCs w:val="24"/>
        <w:u w:val="none"/>
        <w:vertAlign w:val="baseline"/>
        <w:lang w:val="en-US"/>
      </w:rPr>
    </w:lvl>
    <w:lvl w:ilvl="3" w:tentative="0">
      <w:start w:val="1"/>
      <w:numFmt w:val="decimal"/>
      <w:lvlText w:val="%1.%2.%3.%4"/>
      <w:lvlJc w:val="left"/>
      <w:pPr>
        <w:tabs>
          <w:tab w:val="left" w:pos="864"/>
        </w:tabs>
        <w:ind w:left="864" w:hanging="439"/>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6"/>
  </w:num>
  <w:num w:numId="2">
    <w:abstractNumId w:val="1"/>
  </w:num>
  <w:num w:numId="3">
    <w:abstractNumId w:val="0"/>
  </w:num>
  <w:num w:numId="4">
    <w:abstractNumId w:val="2"/>
  </w:num>
  <w:num w:numId="5">
    <w:abstractNumId w:val="4"/>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yYTA1OGIxMGFiYThjZTM2Y2MxYTc5NDc0ZmI3MDkifQ=="/>
  </w:docVars>
  <w:rsids>
    <w:rsidRoot w:val="00172A27"/>
    <w:rsid w:val="000060B3"/>
    <w:rsid w:val="0004364B"/>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31F42"/>
    <w:rsid w:val="001357F1"/>
    <w:rsid w:val="00140FA8"/>
    <w:rsid w:val="00142FEB"/>
    <w:rsid w:val="00143A2D"/>
    <w:rsid w:val="00145A41"/>
    <w:rsid w:val="00151675"/>
    <w:rsid w:val="00157435"/>
    <w:rsid w:val="00172A27"/>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0DAC"/>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2D9"/>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00D57"/>
    <w:rsid w:val="0060537B"/>
    <w:rsid w:val="00617CC3"/>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18AB"/>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0993"/>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9242D"/>
    <w:rsid w:val="00EA3D44"/>
    <w:rsid w:val="00EB5255"/>
    <w:rsid w:val="00EB5C47"/>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290F7E"/>
    <w:rsid w:val="015500AF"/>
    <w:rsid w:val="015D1E09"/>
    <w:rsid w:val="017E7CF2"/>
    <w:rsid w:val="017F6EF1"/>
    <w:rsid w:val="01802695"/>
    <w:rsid w:val="018C0EF3"/>
    <w:rsid w:val="019A1AAB"/>
    <w:rsid w:val="01A90C48"/>
    <w:rsid w:val="01C211D3"/>
    <w:rsid w:val="020C452C"/>
    <w:rsid w:val="022E5068"/>
    <w:rsid w:val="02336837"/>
    <w:rsid w:val="02697903"/>
    <w:rsid w:val="026E4A7C"/>
    <w:rsid w:val="026F5385"/>
    <w:rsid w:val="02E577C1"/>
    <w:rsid w:val="02F96569"/>
    <w:rsid w:val="033323ED"/>
    <w:rsid w:val="03585E15"/>
    <w:rsid w:val="03710342"/>
    <w:rsid w:val="03D15A68"/>
    <w:rsid w:val="03EA7B21"/>
    <w:rsid w:val="03EF01BB"/>
    <w:rsid w:val="040533D0"/>
    <w:rsid w:val="04370481"/>
    <w:rsid w:val="048B08DE"/>
    <w:rsid w:val="04F039E8"/>
    <w:rsid w:val="057B1DA5"/>
    <w:rsid w:val="05853698"/>
    <w:rsid w:val="058F525E"/>
    <w:rsid w:val="05943D22"/>
    <w:rsid w:val="05BE3906"/>
    <w:rsid w:val="05BF5EBC"/>
    <w:rsid w:val="05F83EAE"/>
    <w:rsid w:val="063E7D85"/>
    <w:rsid w:val="066B0B49"/>
    <w:rsid w:val="06C2619D"/>
    <w:rsid w:val="06CE109A"/>
    <w:rsid w:val="06E4250E"/>
    <w:rsid w:val="06F03E53"/>
    <w:rsid w:val="06F223D7"/>
    <w:rsid w:val="07033A39"/>
    <w:rsid w:val="07293586"/>
    <w:rsid w:val="07295285"/>
    <w:rsid w:val="074F016B"/>
    <w:rsid w:val="07636392"/>
    <w:rsid w:val="076C42FC"/>
    <w:rsid w:val="07770C56"/>
    <w:rsid w:val="07825A82"/>
    <w:rsid w:val="07A1658C"/>
    <w:rsid w:val="07D72EEC"/>
    <w:rsid w:val="080A6EF3"/>
    <w:rsid w:val="080D4B60"/>
    <w:rsid w:val="08481AF0"/>
    <w:rsid w:val="086707D7"/>
    <w:rsid w:val="086D5E46"/>
    <w:rsid w:val="08923C7B"/>
    <w:rsid w:val="08B554CD"/>
    <w:rsid w:val="092217DD"/>
    <w:rsid w:val="0930321F"/>
    <w:rsid w:val="093969F6"/>
    <w:rsid w:val="093A7294"/>
    <w:rsid w:val="098801B5"/>
    <w:rsid w:val="0A020287"/>
    <w:rsid w:val="0A2317BB"/>
    <w:rsid w:val="0A263993"/>
    <w:rsid w:val="0A2D3AC2"/>
    <w:rsid w:val="0A37304F"/>
    <w:rsid w:val="0A523033"/>
    <w:rsid w:val="0A524D3F"/>
    <w:rsid w:val="0A551E25"/>
    <w:rsid w:val="0A602C79"/>
    <w:rsid w:val="0A60302E"/>
    <w:rsid w:val="0A8372B3"/>
    <w:rsid w:val="0AA55D02"/>
    <w:rsid w:val="0AA755DF"/>
    <w:rsid w:val="0AA819C8"/>
    <w:rsid w:val="0B120D44"/>
    <w:rsid w:val="0BD27BF6"/>
    <w:rsid w:val="0C3B3C7D"/>
    <w:rsid w:val="0C454060"/>
    <w:rsid w:val="0CAB2EAE"/>
    <w:rsid w:val="0CD829A9"/>
    <w:rsid w:val="0CEE66E1"/>
    <w:rsid w:val="0CF30105"/>
    <w:rsid w:val="0D621C7D"/>
    <w:rsid w:val="0D8C3815"/>
    <w:rsid w:val="0E177E90"/>
    <w:rsid w:val="0E534528"/>
    <w:rsid w:val="0E702EF2"/>
    <w:rsid w:val="0E73034D"/>
    <w:rsid w:val="0E7C33E6"/>
    <w:rsid w:val="0E9A3C6A"/>
    <w:rsid w:val="0ED532A9"/>
    <w:rsid w:val="0F13775A"/>
    <w:rsid w:val="0F4355D2"/>
    <w:rsid w:val="0F5F45FE"/>
    <w:rsid w:val="0F871039"/>
    <w:rsid w:val="0F9A112B"/>
    <w:rsid w:val="0F9F6105"/>
    <w:rsid w:val="0FC57A8B"/>
    <w:rsid w:val="0FC66FC2"/>
    <w:rsid w:val="0FD920E6"/>
    <w:rsid w:val="0FE93235"/>
    <w:rsid w:val="0FF6198F"/>
    <w:rsid w:val="10204D18"/>
    <w:rsid w:val="106D2F64"/>
    <w:rsid w:val="109F7B7A"/>
    <w:rsid w:val="10B63710"/>
    <w:rsid w:val="10F10820"/>
    <w:rsid w:val="10FF08F6"/>
    <w:rsid w:val="110D11BE"/>
    <w:rsid w:val="111C2F7A"/>
    <w:rsid w:val="114520F3"/>
    <w:rsid w:val="11665CA1"/>
    <w:rsid w:val="118E18E9"/>
    <w:rsid w:val="11DF1B32"/>
    <w:rsid w:val="120B6A42"/>
    <w:rsid w:val="1236241E"/>
    <w:rsid w:val="12A0666B"/>
    <w:rsid w:val="12BC6104"/>
    <w:rsid w:val="12C65BDC"/>
    <w:rsid w:val="12D97C98"/>
    <w:rsid w:val="130960C4"/>
    <w:rsid w:val="134873C1"/>
    <w:rsid w:val="139115CA"/>
    <w:rsid w:val="13951726"/>
    <w:rsid w:val="14396509"/>
    <w:rsid w:val="143B4A25"/>
    <w:rsid w:val="14755331"/>
    <w:rsid w:val="148B32E8"/>
    <w:rsid w:val="14DD2C3C"/>
    <w:rsid w:val="14EC4AFD"/>
    <w:rsid w:val="150E48D0"/>
    <w:rsid w:val="153C50C0"/>
    <w:rsid w:val="15441A70"/>
    <w:rsid w:val="1560429D"/>
    <w:rsid w:val="156E5303"/>
    <w:rsid w:val="158245FF"/>
    <w:rsid w:val="158726C3"/>
    <w:rsid w:val="15E54CE2"/>
    <w:rsid w:val="16087E1D"/>
    <w:rsid w:val="16694FBA"/>
    <w:rsid w:val="170E0BE3"/>
    <w:rsid w:val="17701D14"/>
    <w:rsid w:val="17735226"/>
    <w:rsid w:val="17B15510"/>
    <w:rsid w:val="17BB59C1"/>
    <w:rsid w:val="17E00A64"/>
    <w:rsid w:val="17E30E75"/>
    <w:rsid w:val="18125CAC"/>
    <w:rsid w:val="182D2111"/>
    <w:rsid w:val="183E234F"/>
    <w:rsid w:val="18756465"/>
    <w:rsid w:val="189A7982"/>
    <w:rsid w:val="189F624C"/>
    <w:rsid w:val="18EA0A11"/>
    <w:rsid w:val="190E3846"/>
    <w:rsid w:val="191E1617"/>
    <w:rsid w:val="19522343"/>
    <w:rsid w:val="196A2138"/>
    <w:rsid w:val="197D7176"/>
    <w:rsid w:val="19C911AE"/>
    <w:rsid w:val="19DD6BF6"/>
    <w:rsid w:val="1A1C66C0"/>
    <w:rsid w:val="1A42393B"/>
    <w:rsid w:val="1A4478A0"/>
    <w:rsid w:val="1A844EF2"/>
    <w:rsid w:val="1AAD45DE"/>
    <w:rsid w:val="1B046F80"/>
    <w:rsid w:val="1B3267B5"/>
    <w:rsid w:val="1B40161D"/>
    <w:rsid w:val="1B41385B"/>
    <w:rsid w:val="1B441859"/>
    <w:rsid w:val="1B615EF7"/>
    <w:rsid w:val="1B6606B1"/>
    <w:rsid w:val="1B900D81"/>
    <w:rsid w:val="1BAF1E75"/>
    <w:rsid w:val="1BB65D3C"/>
    <w:rsid w:val="1BCD3A2D"/>
    <w:rsid w:val="1BE35266"/>
    <w:rsid w:val="1C3152CA"/>
    <w:rsid w:val="1C5E7925"/>
    <w:rsid w:val="1C636967"/>
    <w:rsid w:val="1CBC62B7"/>
    <w:rsid w:val="1CFD070F"/>
    <w:rsid w:val="1CFE39B5"/>
    <w:rsid w:val="1D1D34F8"/>
    <w:rsid w:val="1D3A7985"/>
    <w:rsid w:val="1D5F6196"/>
    <w:rsid w:val="1D6132A5"/>
    <w:rsid w:val="1D8E56D5"/>
    <w:rsid w:val="1D8F48E1"/>
    <w:rsid w:val="1DA20F8C"/>
    <w:rsid w:val="1DE659C4"/>
    <w:rsid w:val="1E7A43DA"/>
    <w:rsid w:val="1F16647D"/>
    <w:rsid w:val="1F212C0B"/>
    <w:rsid w:val="1F3D40FF"/>
    <w:rsid w:val="1FC279EA"/>
    <w:rsid w:val="1FD22B0A"/>
    <w:rsid w:val="1FE7539E"/>
    <w:rsid w:val="20671BE0"/>
    <w:rsid w:val="207577EE"/>
    <w:rsid w:val="208925F4"/>
    <w:rsid w:val="20963CB8"/>
    <w:rsid w:val="20A81A1B"/>
    <w:rsid w:val="20B07FB6"/>
    <w:rsid w:val="20B646FB"/>
    <w:rsid w:val="20D04ED9"/>
    <w:rsid w:val="213B74B1"/>
    <w:rsid w:val="215A2310"/>
    <w:rsid w:val="2179758D"/>
    <w:rsid w:val="21A30AE8"/>
    <w:rsid w:val="21DE318A"/>
    <w:rsid w:val="21EF5B80"/>
    <w:rsid w:val="22576990"/>
    <w:rsid w:val="225B7BFE"/>
    <w:rsid w:val="22D450D5"/>
    <w:rsid w:val="22F47480"/>
    <w:rsid w:val="236478D2"/>
    <w:rsid w:val="23782559"/>
    <w:rsid w:val="23DE1C48"/>
    <w:rsid w:val="23E45749"/>
    <w:rsid w:val="240210CD"/>
    <w:rsid w:val="2447339A"/>
    <w:rsid w:val="24961979"/>
    <w:rsid w:val="24BF09F7"/>
    <w:rsid w:val="24C42F79"/>
    <w:rsid w:val="24E611AA"/>
    <w:rsid w:val="252D53FE"/>
    <w:rsid w:val="25322457"/>
    <w:rsid w:val="254A0A35"/>
    <w:rsid w:val="2557046F"/>
    <w:rsid w:val="255A571A"/>
    <w:rsid w:val="25740D47"/>
    <w:rsid w:val="258907AE"/>
    <w:rsid w:val="258D50E4"/>
    <w:rsid w:val="25B007D5"/>
    <w:rsid w:val="25EC2D81"/>
    <w:rsid w:val="25FB77AD"/>
    <w:rsid w:val="26286521"/>
    <w:rsid w:val="266E7373"/>
    <w:rsid w:val="2687392F"/>
    <w:rsid w:val="26C549C8"/>
    <w:rsid w:val="272429C3"/>
    <w:rsid w:val="27474597"/>
    <w:rsid w:val="275560BA"/>
    <w:rsid w:val="277057A2"/>
    <w:rsid w:val="27AE0A76"/>
    <w:rsid w:val="27C26FEB"/>
    <w:rsid w:val="28096D69"/>
    <w:rsid w:val="28873A2D"/>
    <w:rsid w:val="288B2446"/>
    <w:rsid w:val="289562F0"/>
    <w:rsid w:val="28A00070"/>
    <w:rsid w:val="28E90E2E"/>
    <w:rsid w:val="29206EB8"/>
    <w:rsid w:val="293A3747"/>
    <w:rsid w:val="29595666"/>
    <w:rsid w:val="29687D4C"/>
    <w:rsid w:val="29716254"/>
    <w:rsid w:val="29874881"/>
    <w:rsid w:val="298C5019"/>
    <w:rsid w:val="29C71D0B"/>
    <w:rsid w:val="29E325E0"/>
    <w:rsid w:val="29E91EDA"/>
    <w:rsid w:val="2A0240FC"/>
    <w:rsid w:val="2A312F52"/>
    <w:rsid w:val="2A452503"/>
    <w:rsid w:val="2A872EED"/>
    <w:rsid w:val="2AAF342D"/>
    <w:rsid w:val="2B6579B3"/>
    <w:rsid w:val="2BA936A8"/>
    <w:rsid w:val="2BB60392"/>
    <w:rsid w:val="2BBE7343"/>
    <w:rsid w:val="2BD2658C"/>
    <w:rsid w:val="2C315A5A"/>
    <w:rsid w:val="2C4B1C25"/>
    <w:rsid w:val="2C58699B"/>
    <w:rsid w:val="2C5F16E8"/>
    <w:rsid w:val="2CCB4E15"/>
    <w:rsid w:val="2CF02DF3"/>
    <w:rsid w:val="2D54330B"/>
    <w:rsid w:val="2D64223F"/>
    <w:rsid w:val="2D9E56F5"/>
    <w:rsid w:val="2E1407EF"/>
    <w:rsid w:val="2E62597F"/>
    <w:rsid w:val="2E667F96"/>
    <w:rsid w:val="2E8226AB"/>
    <w:rsid w:val="2EAB735A"/>
    <w:rsid w:val="2F3A7C1E"/>
    <w:rsid w:val="2FD065E6"/>
    <w:rsid w:val="2FD96870"/>
    <w:rsid w:val="30071F43"/>
    <w:rsid w:val="30491407"/>
    <w:rsid w:val="304F7033"/>
    <w:rsid w:val="30580BC9"/>
    <w:rsid w:val="307445F2"/>
    <w:rsid w:val="309633F0"/>
    <w:rsid w:val="30AD0FC8"/>
    <w:rsid w:val="30E76447"/>
    <w:rsid w:val="311E2ED7"/>
    <w:rsid w:val="313745A2"/>
    <w:rsid w:val="31492B7E"/>
    <w:rsid w:val="315073CC"/>
    <w:rsid w:val="315619EE"/>
    <w:rsid w:val="315C449C"/>
    <w:rsid w:val="317F0E37"/>
    <w:rsid w:val="31A0591C"/>
    <w:rsid w:val="31B82709"/>
    <w:rsid w:val="31C75AAA"/>
    <w:rsid w:val="31D05482"/>
    <w:rsid w:val="31E91F02"/>
    <w:rsid w:val="31F6203D"/>
    <w:rsid w:val="32400B34"/>
    <w:rsid w:val="325F6181"/>
    <w:rsid w:val="329E6876"/>
    <w:rsid w:val="32DD7C90"/>
    <w:rsid w:val="32DF2F80"/>
    <w:rsid w:val="32E42362"/>
    <w:rsid w:val="32EE48DA"/>
    <w:rsid w:val="333015F2"/>
    <w:rsid w:val="333B76FD"/>
    <w:rsid w:val="33463EAB"/>
    <w:rsid w:val="334B6320"/>
    <w:rsid w:val="335D072D"/>
    <w:rsid w:val="33773A7D"/>
    <w:rsid w:val="33BF0DE3"/>
    <w:rsid w:val="33C062AD"/>
    <w:rsid w:val="33C2224E"/>
    <w:rsid w:val="33CC3678"/>
    <w:rsid w:val="33D934D4"/>
    <w:rsid w:val="33FE2F6A"/>
    <w:rsid w:val="340572CA"/>
    <w:rsid w:val="340E07E5"/>
    <w:rsid w:val="34235BF7"/>
    <w:rsid w:val="34262836"/>
    <w:rsid w:val="342C0F65"/>
    <w:rsid w:val="34B377DB"/>
    <w:rsid w:val="350E03A7"/>
    <w:rsid w:val="351F4993"/>
    <w:rsid w:val="352C2112"/>
    <w:rsid w:val="354E1A9F"/>
    <w:rsid w:val="35653EA9"/>
    <w:rsid w:val="358C5FA8"/>
    <w:rsid w:val="35B12528"/>
    <w:rsid w:val="35C15DF1"/>
    <w:rsid w:val="36074A7F"/>
    <w:rsid w:val="360D33BD"/>
    <w:rsid w:val="365050E8"/>
    <w:rsid w:val="366E2A1C"/>
    <w:rsid w:val="36923549"/>
    <w:rsid w:val="369C6CF7"/>
    <w:rsid w:val="369D48E2"/>
    <w:rsid w:val="36B53C66"/>
    <w:rsid w:val="36B75FBF"/>
    <w:rsid w:val="36BD0C45"/>
    <w:rsid w:val="36BD5B26"/>
    <w:rsid w:val="36E962CE"/>
    <w:rsid w:val="37463D70"/>
    <w:rsid w:val="379C598D"/>
    <w:rsid w:val="37BA143F"/>
    <w:rsid w:val="37E00298"/>
    <w:rsid w:val="37FD14C5"/>
    <w:rsid w:val="382861A8"/>
    <w:rsid w:val="38B302F9"/>
    <w:rsid w:val="38CB43C5"/>
    <w:rsid w:val="38DB6F44"/>
    <w:rsid w:val="38F12CD3"/>
    <w:rsid w:val="38F94775"/>
    <w:rsid w:val="3905334F"/>
    <w:rsid w:val="39202360"/>
    <w:rsid w:val="392971ED"/>
    <w:rsid w:val="39325651"/>
    <w:rsid w:val="39992F2D"/>
    <w:rsid w:val="39E837FE"/>
    <w:rsid w:val="39EE5E5A"/>
    <w:rsid w:val="3A872856"/>
    <w:rsid w:val="3B0C5CD5"/>
    <w:rsid w:val="3B3763D1"/>
    <w:rsid w:val="3B512F22"/>
    <w:rsid w:val="3B5D3C37"/>
    <w:rsid w:val="3BD92153"/>
    <w:rsid w:val="3C2F6E1E"/>
    <w:rsid w:val="3C4F64BA"/>
    <w:rsid w:val="3CA92180"/>
    <w:rsid w:val="3CDA245A"/>
    <w:rsid w:val="3CDD205E"/>
    <w:rsid w:val="3CFE4DE3"/>
    <w:rsid w:val="3D1E06B7"/>
    <w:rsid w:val="3D333E8B"/>
    <w:rsid w:val="3E3357D4"/>
    <w:rsid w:val="3EA15A6B"/>
    <w:rsid w:val="3EC60AEE"/>
    <w:rsid w:val="3EDA0523"/>
    <w:rsid w:val="3F322F41"/>
    <w:rsid w:val="3F963C44"/>
    <w:rsid w:val="3FA64164"/>
    <w:rsid w:val="3FBB45AB"/>
    <w:rsid w:val="3FC926C4"/>
    <w:rsid w:val="3FD00D84"/>
    <w:rsid w:val="404C2FB8"/>
    <w:rsid w:val="4050257E"/>
    <w:rsid w:val="4074719C"/>
    <w:rsid w:val="407959AE"/>
    <w:rsid w:val="407A6407"/>
    <w:rsid w:val="40AE0C18"/>
    <w:rsid w:val="40D07258"/>
    <w:rsid w:val="415E404A"/>
    <w:rsid w:val="416032E8"/>
    <w:rsid w:val="416D213C"/>
    <w:rsid w:val="41815244"/>
    <w:rsid w:val="41821874"/>
    <w:rsid w:val="41D03B22"/>
    <w:rsid w:val="41F549F6"/>
    <w:rsid w:val="4200449D"/>
    <w:rsid w:val="423A3BCC"/>
    <w:rsid w:val="424E57D2"/>
    <w:rsid w:val="426C0B70"/>
    <w:rsid w:val="426E50C6"/>
    <w:rsid w:val="427C2923"/>
    <w:rsid w:val="42B26C49"/>
    <w:rsid w:val="42E342A6"/>
    <w:rsid w:val="433A6FE6"/>
    <w:rsid w:val="43480868"/>
    <w:rsid w:val="4350713C"/>
    <w:rsid w:val="43660D2E"/>
    <w:rsid w:val="436653E0"/>
    <w:rsid w:val="43687641"/>
    <w:rsid w:val="43C4431A"/>
    <w:rsid w:val="447372CA"/>
    <w:rsid w:val="44B951CC"/>
    <w:rsid w:val="44CD14E0"/>
    <w:rsid w:val="44EE5735"/>
    <w:rsid w:val="44F20B0B"/>
    <w:rsid w:val="450D49FC"/>
    <w:rsid w:val="45263E17"/>
    <w:rsid w:val="452E5F4C"/>
    <w:rsid w:val="45337835"/>
    <w:rsid w:val="45612018"/>
    <w:rsid w:val="456B138C"/>
    <w:rsid w:val="45837C34"/>
    <w:rsid w:val="458946E9"/>
    <w:rsid w:val="45A47C0E"/>
    <w:rsid w:val="45E45144"/>
    <w:rsid w:val="45F403EC"/>
    <w:rsid w:val="46012374"/>
    <w:rsid w:val="462C5BD6"/>
    <w:rsid w:val="46547606"/>
    <w:rsid w:val="46577FD6"/>
    <w:rsid w:val="46900A4F"/>
    <w:rsid w:val="469362B1"/>
    <w:rsid w:val="46CA2530"/>
    <w:rsid w:val="46D955A7"/>
    <w:rsid w:val="47133957"/>
    <w:rsid w:val="473032E5"/>
    <w:rsid w:val="47783DFD"/>
    <w:rsid w:val="47A07E0C"/>
    <w:rsid w:val="47D81779"/>
    <w:rsid w:val="48026FAD"/>
    <w:rsid w:val="482D525C"/>
    <w:rsid w:val="4870272E"/>
    <w:rsid w:val="48AD3446"/>
    <w:rsid w:val="48C830F1"/>
    <w:rsid w:val="48F0075A"/>
    <w:rsid w:val="48F8544A"/>
    <w:rsid w:val="48FD646A"/>
    <w:rsid w:val="49B513FF"/>
    <w:rsid w:val="49CF5944"/>
    <w:rsid w:val="49DC7715"/>
    <w:rsid w:val="4A023139"/>
    <w:rsid w:val="4A5B5E47"/>
    <w:rsid w:val="4A7B576F"/>
    <w:rsid w:val="4A7F0F16"/>
    <w:rsid w:val="4AA336AE"/>
    <w:rsid w:val="4ADB48A1"/>
    <w:rsid w:val="4AF561A9"/>
    <w:rsid w:val="4B5E3886"/>
    <w:rsid w:val="4B62650F"/>
    <w:rsid w:val="4B870E6E"/>
    <w:rsid w:val="4B9F2540"/>
    <w:rsid w:val="4BB948F3"/>
    <w:rsid w:val="4BFE38D7"/>
    <w:rsid w:val="4C15708C"/>
    <w:rsid w:val="4C4A0649"/>
    <w:rsid w:val="4C4F4C7D"/>
    <w:rsid w:val="4C633D7E"/>
    <w:rsid w:val="4C654557"/>
    <w:rsid w:val="4C7E5ECA"/>
    <w:rsid w:val="4C812935"/>
    <w:rsid w:val="4C876AA5"/>
    <w:rsid w:val="4CAE5378"/>
    <w:rsid w:val="4CDE27FE"/>
    <w:rsid w:val="4D0E00FB"/>
    <w:rsid w:val="4D176606"/>
    <w:rsid w:val="4D5A2383"/>
    <w:rsid w:val="4D5C293D"/>
    <w:rsid w:val="4DAD135D"/>
    <w:rsid w:val="4DEC4FB0"/>
    <w:rsid w:val="4E075D8A"/>
    <w:rsid w:val="4E121124"/>
    <w:rsid w:val="4E3D4540"/>
    <w:rsid w:val="4E3D5B54"/>
    <w:rsid w:val="4E5260CB"/>
    <w:rsid w:val="4E8A0B0D"/>
    <w:rsid w:val="4EA17C58"/>
    <w:rsid w:val="4EC00FAD"/>
    <w:rsid w:val="4F2C4916"/>
    <w:rsid w:val="4F6A6571"/>
    <w:rsid w:val="4F9843DC"/>
    <w:rsid w:val="4FA70437"/>
    <w:rsid w:val="4FC62A8C"/>
    <w:rsid w:val="4FE20F0D"/>
    <w:rsid w:val="4FE51552"/>
    <w:rsid w:val="50504C4B"/>
    <w:rsid w:val="50731243"/>
    <w:rsid w:val="509C6E7C"/>
    <w:rsid w:val="50A13898"/>
    <w:rsid w:val="50AA3DEF"/>
    <w:rsid w:val="50AC0971"/>
    <w:rsid w:val="51420313"/>
    <w:rsid w:val="5162104E"/>
    <w:rsid w:val="51C00F2B"/>
    <w:rsid w:val="51DB6155"/>
    <w:rsid w:val="52115A62"/>
    <w:rsid w:val="52337591"/>
    <w:rsid w:val="529C6E22"/>
    <w:rsid w:val="52A07A05"/>
    <w:rsid w:val="52ED252F"/>
    <w:rsid w:val="52EE5A88"/>
    <w:rsid w:val="53506A6B"/>
    <w:rsid w:val="539807C3"/>
    <w:rsid w:val="53A039CC"/>
    <w:rsid w:val="53A1505A"/>
    <w:rsid w:val="53C002B3"/>
    <w:rsid w:val="53E0477E"/>
    <w:rsid w:val="53F72513"/>
    <w:rsid w:val="54015A74"/>
    <w:rsid w:val="54063E08"/>
    <w:rsid w:val="543437E8"/>
    <w:rsid w:val="543B0B86"/>
    <w:rsid w:val="54662E07"/>
    <w:rsid w:val="547D62FB"/>
    <w:rsid w:val="54A84F30"/>
    <w:rsid w:val="54EA1350"/>
    <w:rsid w:val="54F73313"/>
    <w:rsid w:val="54F80955"/>
    <w:rsid w:val="5528644F"/>
    <w:rsid w:val="554B33B7"/>
    <w:rsid w:val="555170A7"/>
    <w:rsid w:val="557327B6"/>
    <w:rsid w:val="5587536D"/>
    <w:rsid w:val="558F3EA9"/>
    <w:rsid w:val="5592396B"/>
    <w:rsid w:val="559B174B"/>
    <w:rsid w:val="55AF57F2"/>
    <w:rsid w:val="55CB2B48"/>
    <w:rsid w:val="55CE0CF4"/>
    <w:rsid w:val="55DF738D"/>
    <w:rsid w:val="56291CEA"/>
    <w:rsid w:val="563F0F8E"/>
    <w:rsid w:val="56564F95"/>
    <w:rsid w:val="56B22A9C"/>
    <w:rsid w:val="56CF69F0"/>
    <w:rsid w:val="56DF312A"/>
    <w:rsid w:val="56FE07ED"/>
    <w:rsid w:val="57430FD4"/>
    <w:rsid w:val="576320EC"/>
    <w:rsid w:val="57B72A76"/>
    <w:rsid w:val="57C3426C"/>
    <w:rsid w:val="57CE1F93"/>
    <w:rsid w:val="57D92BF1"/>
    <w:rsid w:val="57DD793D"/>
    <w:rsid w:val="57F967E9"/>
    <w:rsid w:val="587115F8"/>
    <w:rsid w:val="58802920"/>
    <w:rsid w:val="588727E4"/>
    <w:rsid w:val="588743D1"/>
    <w:rsid w:val="5887701A"/>
    <w:rsid w:val="58E13525"/>
    <w:rsid w:val="593E5F23"/>
    <w:rsid w:val="595214E9"/>
    <w:rsid w:val="59C0439F"/>
    <w:rsid w:val="5A03557E"/>
    <w:rsid w:val="5A161D02"/>
    <w:rsid w:val="5A2055FA"/>
    <w:rsid w:val="5A8C7371"/>
    <w:rsid w:val="5A922154"/>
    <w:rsid w:val="5ABE2233"/>
    <w:rsid w:val="5AE13926"/>
    <w:rsid w:val="5B0203FC"/>
    <w:rsid w:val="5B182CC0"/>
    <w:rsid w:val="5B6F69AA"/>
    <w:rsid w:val="5BBA2785"/>
    <w:rsid w:val="5BDF5D95"/>
    <w:rsid w:val="5BFE7528"/>
    <w:rsid w:val="5C4B6CC8"/>
    <w:rsid w:val="5C563555"/>
    <w:rsid w:val="5C614751"/>
    <w:rsid w:val="5CCB4A8E"/>
    <w:rsid w:val="5D232DB2"/>
    <w:rsid w:val="5D3216AE"/>
    <w:rsid w:val="5D883EFA"/>
    <w:rsid w:val="5DCA0650"/>
    <w:rsid w:val="5E2467F1"/>
    <w:rsid w:val="5E66066E"/>
    <w:rsid w:val="5EBF553A"/>
    <w:rsid w:val="5F0917D4"/>
    <w:rsid w:val="5F1A2B43"/>
    <w:rsid w:val="5FB837BB"/>
    <w:rsid w:val="5FD37B01"/>
    <w:rsid w:val="5FDF28C8"/>
    <w:rsid w:val="60944C13"/>
    <w:rsid w:val="609A7F07"/>
    <w:rsid w:val="60CC405A"/>
    <w:rsid w:val="60DA6744"/>
    <w:rsid w:val="60E33A73"/>
    <w:rsid w:val="60F434F1"/>
    <w:rsid w:val="612A2AC9"/>
    <w:rsid w:val="61821729"/>
    <w:rsid w:val="619120EE"/>
    <w:rsid w:val="61A14DBE"/>
    <w:rsid w:val="61E215D8"/>
    <w:rsid w:val="621B3775"/>
    <w:rsid w:val="62364782"/>
    <w:rsid w:val="625636D6"/>
    <w:rsid w:val="6320450A"/>
    <w:rsid w:val="6394356A"/>
    <w:rsid w:val="63C61B2C"/>
    <w:rsid w:val="63D40BE9"/>
    <w:rsid w:val="64102431"/>
    <w:rsid w:val="643979E4"/>
    <w:rsid w:val="64555175"/>
    <w:rsid w:val="64A5243A"/>
    <w:rsid w:val="64B360E9"/>
    <w:rsid w:val="64C918BB"/>
    <w:rsid w:val="64DB1406"/>
    <w:rsid w:val="64F531DE"/>
    <w:rsid w:val="65373578"/>
    <w:rsid w:val="654550A8"/>
    <w:rsid w:val="65554CF2"/>
    <w:rsid w:val="65981C72"/>
    <w:rsid w:val="65A4346D"/>
    <w:rsid w:val="65CE38E7"/>
    <w:rsid w:val="664E6F7F"/>
    <w:rsid w:val="6668308C"/>
    <w:rsid w:val="666F5AF8"/>
    <w:rsid w:val="66A61AEB"/>
    <w:rsid w:val="670377AA"/>
    <w:rsid w:val="671F124A"/>
    <w:rsid w:val="677A33C6"/>
    <w:rsid w:val="677E176F"/>
    <w:rsid w:val="67930456"/>
    <w:rsid w:val="6795023D"/>
    <w:rsid w:val="67B86F4F"/>
    <w:rsid w:val="67C77EE9"/>
    <w:rsid w:val="681E13B3"/>
    <w:rsid w:val="681F6961"/>
    <w:rsid w:val="6848113C"/>
    <w:rsid w:val="68610A2F"/>
    <w:rsid w:val="687F3E33"/>
    <w:rsid w:val="68805514"/>
    <w:rsid w:val="688E2A4E"/>
    <w:rsid w:val="690F76DA"/>
    <w:rsid w:val="691978CB"/>
    <w:rsid w:val="69316E2F"/>
    <w:rsid w:val="693921D2"/>
    <w:rsid w:val="694A2271"/>
    <w:rsid w:val="694E2071"/>
    <w:rsid w:val="6961410D"/>
    <w:rsid w:val="6974294B"/>
    <w:rsid w:val="69766163"/>
    <w:rsid w:val="697A3B33"/>
    <w:rsid w:val="69B913DB"/>
    <w:rsid w:val="69CA50B5"/>
    <w:rsid w:val="69D44760"/>
    <w:rsid w:val="6A520EC7"/>
    <w:rsid w:val="6AA35E8D"/>
    <w:rsid w:val="6AB44594"/>
    <w:rsid w:val="6AB61024"/>
    <w:rsid w:val="6ACD526C"/>
    <w:rsid w:val="6ADB400F"/>
    <w:rsid w:val="6ADE12A6"/>
    <w:rsid w:val="6AF87E20"/>
    <w:rsid w:val="6B135A85"/>
    <w:rsid w:val="6B1651ED"/>
    <w:rsid w:val="6B322639"/>
    <w:rsid w:val="6B340F05"/>
    <w:rsid w:val="6B7E788F"/>
    <w:rsid w:val="6B800633"/>
    <w:rsid w:val="6BDC4BBB"/>
    <w:rsid w:val="6C636C38"/>
    <w:rsid w:val="6C674F36"/>
    <w:rsid w:val="6C6F52C9"/>
    <w:rsid w:val="6C7341B1"/>
    <w:rsid w:val="6CA33D76"/>
    <w:rsid w:val="6CBC3DBA"/>
    <w:rsid w:val="6CCD584B"/>
    <w:rsid w:val="6CD36E61"/>
    <w:rsid w:val="6CFD78E9"/>
    <w:rsid w:val="6D107750"/>
    <w:rsid w:val="6D3F6054"/>
    <w:rsid w:val="6D845CA0"/>
    <w:rsid w:val="6DB34098"/>
    <w:rsid w:val="6DB545B6"/>
    <w:rsid w:val="6DCB4436"/>
    <w:rsid w:val="6DE02FB4"/>
    <w:rsid w:val="6E514CED"/>
    <w:rsid w:val="6E6D1957"/>
    <w:rsid w:val="6E726E78"/>
    <w:rsid w:val="6E8565D9"/>
    <w:rsid w:val="6EB563D5"/>
    <w:rsid w:val="6ED92677"/>
    <w:rsid w:val="6EFC465C"/>
    <w:rsid w:val="6F225983"/>
    <w:rsid w:val="6F4557CE"/>
    <w:rsid w:val="6F4E3288"/>
    <w:rsid w:val="6F685AA9"/>
    <w:rsid w:val="6FC71898"/>
    <w:rsid w:val="6FE6213E"/>
    <w:rsid w:val="6FFC5590"/>
    <w:rsid w:val="6FFC5D3D"/>
    <w:rsid w:val="701D68A8"/>
    <w:rsid w:val="70333E81"/>
    <w:rsid w:val="706D1DD0"/>
    <w:rsid w:val="70856B87"/>
    <w:rsid w:val="709F4716"/>
    <w:rsid w:val="70BC2941"/>
    <w:rsid w:val="70D527EE"/>
    <w:rsid w:val="70D540F2"/>
    <w:rsid w:val="70FD6959"/>
    <w:rsid w:val="715B0F06"/>
    <w:rsid w:val="715B5300"/>
    <w:rsid w:val="71D27F8A"/>
    <w:rsid w:val="723C3BA2"/>
    <w:rsid w:val="72553024"/>
    <w:rsid w:val="72845460"/>
    <w:rsid w:val="7289717B"/>
    <w:rsid w:val="72A9667D"/>
    <w:rsid w:val="72F13D88"/>
    <w:rsid w:val="72FA0C86"/>
    <w:rsid w:val="72FA3025"/>
    <w:rsid w:val="730A4898"/>
    <w:rsid w:val="73122968"/>
    <w:rsid w:val="731F5D5E"/>
    <w:rsid w:val="73924955"/>
    <w:rsid w:val="73C51AD5"/>
    <w:rsid w:val="741E793C"/>
    <w:rsid w:val="745E3944"/>
    <w:rsid w:val="74727A49"/>
    <w:rsid w:val="747707D3"/>
    <w:rsid w:val="74947E96"/>
    <w:rsid w:val="74B52BBD"/>
    <w:rsid w:val="74DC502C"/>
    <w:rsid w:val="75566B4E"/>
    <w:rsid w:val="75575362"/>
    <w:rsid w:val="759867B1"/>
    <w:rsid w:val="75B96BD7"/>
    <w:rsid w:val="75F61F4F"/>
    <w:rsid w:val="76021E9D"/>
    <w:rsid w:val="76106880"/>
    <w:rsid w:val="76312E4C"/>
    <w:rsid w:val="7635099D"/>
    <w:rsid w:val="769E5998"/>
    <w:rsid w:val="76B33D11"/>
    <w:rsid w:val="76C07EB6"/>
    <w:rsid w:val="76FF0C2A"/>
    <w:rsid w:val="77262402"/>
    <w:rsid w:val="774D0B42"/>
    <w:rsid w:val="77606989"/>
    <w:rsid w:val="77762421"/>
    <w:rsid w:val="77B449BB"/>
    <w:rsid w:val="77B56B1F"/>
    <w:rsid w:val="77CB6A2F"/>
    <w:rsid w:val="780F09F4"/>
    <w:rsid w:val="782E01BE"/>
    <w:rsid w:val="783A79DC"/>
    <w:rsid w:val="78A90480"/>
    <w:rsid w:val="78A94516"/>
    <w:rsid w:val="79211C20"/>
    <w:rsid w:val="793750D4"/>
    <w:rsid w:val="79574140"/>
    <w:rsid w:val="79925956"/>
    <w:rsid w:val="7A364017"/>
    <w:rsid w:val="7A73249A"/>
    <w:rsid w:val="7A8073D4"/>
    <w:rsid w:val="7A8265E1"/>
    <w:rsid w:val="7AE76212"/>
    <w:rsid w:val="7B0D2139"/>
    <w:rsid w:val="7B686D42"/>
    <w:rsid w:val="7B716A27"/>
    <w:rsid w:val="7B841746"/>
    <w:rsid w:val="7BAD5D48"/>
    <w:rsid w:val="7BDB739F"/>
    <w:rsid w:val="7C2A5904"/>
    <w:rsid w:val="7C2B0E2E"/>
    <w:rsid w:val="7C6C5AC7"/>
    <w:rsid w:val="7C6C5BFA"/>
    <w:rsid w:val="7CC6544B"/>
    <w:rsid w:val="7D0239FF"/>
    <w:rsid w:val="7D5E40CD"/>
    <w:rsid w:val="7DAF5528"/>
    <w:rsid w:val="7DCD56F2"/>
    <w:rsid w:val="7DD17450"/>
    <w:rsid w:val="7EF93289"/>
    <w:rsid w:val="7F001CE7"/>
    <w:rsid w:val="7F005593"/>
    <w:rsid w:val="7F140945"/>
    <w:rsid w:val="7FAC4B10"/>
    <w:rsid w:val="7FE305BF"/>
    <w:rsid w:val="7FE47E50"/>
    <w:rsid w:val="7FF944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semiHidden="0" w:name="heading 2" w:locked="1"/>
    <w:lsdException w:qFormat="1" w:unhideWhenUsed="0" w:uiPriority="99" w:semiHidden="0" w:name="heading 3" w:locked="1"/>
    <w:lsdException w:qFormat="1" w:uiPriority="0" w:semiHidden="0" w:name="heading 4" w:locked="1"/>
    <w:lsdException w:qFormat="1" w:uiPriority="0" w:semiHidden="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qFormat="1" w:unhideWhenUsed="0" w:uiPriority="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qFormat="1"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qFormat="1" w:uiPriority="0" w:semiHidden="0" w:name="Body Text Indent 3" w:locked="1"/>
    <w:lsdException w:qFormat="1" w:unhideWhenUsed="0" w:uiPriority="0" w:semiHidden="0" w:name="Block Text" w:locked="1"/>
    <w:lsdException w:qFormat="1" w:unhideWhenUsed="0" w:uiPriority="0" w:name="Hyperlink" w:locked="1"/>
    <w:lsdException w:unhideWhenUsed="0" w:uiPriority="0" w:semiHidden="0" w:name="FollowedHyperlink" w:locked="1"/>
    <w:lsdException w:qFormat="1" w:unhideWhenUsed="0" w:uiPriority="22"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autoRedefine/>
    <w:unhideWhenUsed/>
    <w:qFormat/>
    <w:locked/>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autoRedefine/>
    <w:qFormat/>
    <w:locked/>
    <w:uiPriority w:val="99"/>
    <w:pPr>
      <w:keepNext/>
      <w:keepLines/>
      <w:widowControl/>
      <w:numPr>
        <w:ilvl w:val="2"/>
        <w:numId w:val="1"/>
      </w:numPr>
      <w:tabs>
        <w:tab w:val="left" w:pos="1287"/>
      </w:tabs>
      <w:adjustRightInd w:val="0"/>
      <w:snapToGrid w:val="0"/>
      <w:spacing w:before="120" w:line="240" w:lineRule="atLeast"/>
      <w:outlineLvl w:val="2"/>
    </w:pPr>
    <w:rPr>
      <w:b/>
      <w:snapToGrid w:val="0"/>
      <w:kern w:val="0"/>
      <w:sz w:val="28"/>
    </w:rPr>
  </w:style>
  <w:style w:type="paragraph" w:styleId="5">
    <w:name w:val="heading 4"/>
    <w:basedOn w:val="1"/>
    <w:next w:val="1"/>
    <w:autoRedefine/>
    <w:unhideWhenUsed/>
    <w:qFormat/>
    <w:locked/>
    <w:uiPriority w:val="0"/>
    <w:pPr>
      <w:keepNext/>
      <w:keepLines/>
      <w:spacing w:before="280" w:after="290" w:line="372" w:lineRule="auto"/>
      <w:outlineLvl w:val="3"/>
    </w:pPr>
    <w:rPr>
      <w:rFonts w:ascii="Arial" w:hAnsi="Arial" w:eastAsia="黑体"/>
      <w:b/>
      <w:sz w:val="28"/>
    </w:rPr>
  </w:style>
  <w:style w:type="paragraph" w:styleId="6">
    <w:name w:val="heading 5"/>
    <w:basedOn w:val="1"/>
    <w:next w:val="1"/>
    <w:unhideWhenUsed/>
    <w:qFormat/>
    <w:locked/>
    <w:uiPriority w:val="0"/>
    <w:pPr>
      <w:numPr>
        <w:ilvl w:val="4"/>
        <w:numId w:val="2"/>
      </w:numPr>
      <w:snapToGrid w:val="0"/>
      <w:spacing w:before="30" w:beforeLines="30" w:after="20" w:afterLines="20" w:line="0" w:lineRule="atLeast"/>
      <w:jc w:val="center"/>
      <w:outlineLvl w:val="4"/>
    </w:pPr>
    <w:rPr>
      <w:rFonts w:ascii="宋体" w:hAnsi="宋体"/>
      <w:b/>
      <w:bCs/>
      <w:kern w:val="24"/>
      <w:sz w:val="24"/>
      <w:szCs w:val="20"/>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7">
    <w:name w:val="List 3"/>
    <w:basedOn w:val="1"/>
    <w:next w:val="1"/>
    <w:qFormat/>
    <w:locked/>
    <w:uiPriority w:val="0"/>
    <w:pPr>
      <w:ind w:left="100" w:leftChars="400" w:hanging="200" w:hangingChars="200"/>
    </w:pPr>
  </w:style>
  <w:style w:type="paragraph" w:styleId="8">
    <w:name w:val="Note Heading"/>
    <w:basedOn w:val="1"/>
    <w:next w:val="1"/>
    <w:autoRedefine/>
    <w:qFormat/>
    <w:locked/>
    <w:uiPriority w:val="0"/>
    <w:pPr>
      <w:jc w:val="center"/>
    </w:pPr>
    <w:rPr>
      <w:szCs w:val="20"/>
    </w:rPr>
  </w:style>
  <w:style w:type="paragraph" w:styleId="9">
    <w:name w:val="Normal Indent"/>
    <w:basedOn w:val="1"/>
    <w:next w:val="10"/>
    <w:autoRedefine/>
    <w:qFormat/>
    <w:locked/>
    <w:uiPriority w:val="0"/>
    <w:pPr>
      <w:spacing w:before="50" w:line="360" w:lineRule="auto"/>
      <w:ind w:firstLine="480" w:firstLineChars="200"/>
    </w:pPr>
    <w:rPr>
      <w:rFonts w:ascii="宋体" w:hAnsi="宋体"/>
      <w:sz w:val="24"/>
      <w:szCs w:val="20"/>
    </w:rPr>
  </w:style>
  <w:style w:type="paragraph" w:styleId="10">
    <w:name w:val="toc 1"/>
    <w:basedOn w:val="1"/>
    <w:next w:val="1"/>
    <w:autoRedefine/>
    <w:qFormat/>
    <w:locked/>
    <w:uiPriority w:val="0"/>
  </w:style>
  <w:style w:type="paragraph" w:styleId="11">
    <w:name w:val="annotation text"/>
    <w:basedOn w:val="1"/>
    <w:link w:val="43"/>
    <w:autoRedefine/>
    <w:semiHidden/>
    <w:qFormat/>
    <w:uiPriority w:val="0"/>
    <w:pPr>
      <w:jc w:val="left"/>
    </w:pPr>
    <w:rPr>
      <w:kern w:val="0"/>
      <w:sz w:val="24"/>
      <w:szCs w:val="20"/>
    </w:rPr>
  </w:style>
  <w:style w:type="paragraph" w:styleId="12">
    <w:name w:val="Body Text"/>
    <w:basedOn w:val="1"/>
    <w:next w:val="1"/>
    <w:link w:val="44"/>
    <w:autoRedefine/>
    <w:qFormat/>
    <w:uiPriority w:val="0"/>
    <w:pPr>
      <w:widowControl/>
      <w:snapToGrid w:val="0"/>
      <w:spacing w:before="60" w:after="160" w:line="259" w:lineRule="auto"/>
      <w:ind w:right="113"/>
    </w:pPr>
    <w:rPr>
      <w:kern w:val="0"/>
      <w:sz w:val="18"/>
      <w:szCs w:val="20"/>
    </w:rPr>
  </w:style>
  <w:style w:type="paragraph" w:styleId="13">
    <w:name w:val="Body Text Indent"/>
    <w:basedOn w:val="1"/>
    <w:next w:val="14"/>
    <w:link w:val="45"/>
    <w:autoRedefine/>
    <w:qFormat/>
    <w:uiPriority w:val="0"/>
    <w:pPr>
      <w:spacing w:after="120"/>
      <w:ind w:left="420" w:leftChars="200"/>
    </w:pPr>
    <w:rPr>
      <w:kern w:val="0"/>
      <w:sz w:val="24"/>
      <w:szCs w:val="20"/>
    </w:rPr>
  </w:style>
  <w:style w:type="paragraph" w:customStyle="1" w:styleId="14">
    <w:name w:val="样式 正文文本缩进 + 行距: 1.5 倍行距"/>
    <w:basedOn w:val="13"/>
    <w:qFormat/>
    <w:uiPriority w:val="0"/>
    <w:pPr>
      <w:ind w:left="90" w:leftChars="32" w:firstLine="560"/>
    </w:pPr>
    <w:rPr>
      <w:rFonts w:cs="宋体"/>
    </w:rPr>
  </w:style>
  <w:style w:type="paragraph" w:styleId="15">
    <w:name w:val="Block Text"/>
    <w:basedOn w:val="1"/>
    <w:autoRedefine/>
    <w:qFormat/>
    <w:locked/>
    <w:uiPriority w:val="0"/>
    <w:pPr>
      <w:adjustRightInd w:val="0"/>
      <w:snapToGrid w:val="0"/>
      <w:spacing w:line="500" w:lineRule="exact"/>
      <w:ind w:left="147" w:leftChars="70" w:right="160" w:rightChars="76" w:firstLine="480" w:firstLineChars="200"/>
    </w:pPr>
    <w:rPr>
      <w:rFonts w:ascii="宋体" w:hAnsi="宋体"/>
      <w:sz w:val="24"/>
    </w:rPr>
  </w:style>
  <w:style w:type="paragraph" w:styleId="16">
    <w:name w:val="Plain Text"/>
    <w:basedOn w:val="1"/>
    <w:next w:val="1"/>
    <w:autoRedefine/>
    <w:qFormat/>
    <w:locked/>
    <w:uiPriority w:val="0"/>
    <w:pPr>
      <w:widowControl/>
      <w:jc w:val="left"/>
    </w:pPr>
    <w:rPr>
      <w:rFonts w:ascii="宋体" w:hAnsi="Courier New"/>
      <w:kern w:val="0"/>
      <w:sz w:val="24"/>
      <w:szCs w:val="21"/>
    </w:rPr>
  </w:style>
  <w:style w:type="paragraph" w:styleId="17">
    <w:name w:val="Date"/>
    <w:basedOn w:val="1"/>
    <w:next w:val="1"/>
    <w:link w:val="46"/>
    <w:autoRedefine/>
    <w:qFormat/>
    <w:uiPriority w:val="0"/>
    <w:pPr>
      <w:ind w:left="100" w:leftChars="2500"/>
    </w:pPr>
    <w:rPr>
      <w:kern w:val="0"/>
      <w:sz w:val="24"/>
      <w:szCs w:val="20"/>
    </w:rPr>
  </w:style>
  <w:style w:type="paragraph" w:styleId="18">
    <w:name w:val="Body Text Indent 2"/>
    <w:basedOn w:val="1"/>
    <w:next w:val="1"/>
    <w:autoRedefine/>
    <w:qFormat/>
    <w:locked/>
    <w:uiPriority w:val="0"/>
    <w:pPr>
      <w:spacing w:after="120" w:line="480" w:lineRule="auto"/>
      <w:ind w:left="420" w:leftChars="200"/>
    </w:pPr>
    <w:rPr>
      <w:rFonts w:ascii="Calibri" w:hAnsi="Calibri"/>
      <w:szCs w:val="22"/>
    </w:rPr>
  </w:style>
  <w:style w:type="paragraph" w:styleId="19">
    <w:name w:val="Balloon Text"/>
    <w:basedOn w:val="1"/>
    <w:link w:val="47"/>
    <w:autoRedefine/>
    <w:semiHidden/>
    <w:qFormat/>
    <w:uiPriority w:val="0"/>
    <w:rPr>
      <w:kern w:val="0"/>
      <w:sz w:val="18"/>
      <w:szCs w:val="20"/>
    </w:rPr>
  </w:style>
  <w:style w:type="paragraph" w:styleId="20">
    <w:name w:val="footer"/>
    <w:basedOn w:val="1"/>
    <w:link w:val="48"/>
    <w:autoRedefine/>
    <w:qFormat/>
    <w:uiPriority w:val="99"/>
    <w:pPr>
      <w:tabs>
        <w:tab w:val="center" w:pos="4153"/>
        <w:tab w:val="right" w:pos="8306"/>
      </w:tabs>
      <w:snapToGrid w:val="0"/>
      <w:jc w:val="left"/>
    </w:pPr>
    <w:rPr>
      <w:kern w:val="0"/>
      <w:sz w:val="18"/>
      <w:szCs w:val="20"/>
    </w:rPr>
  </w:style>
  <w:style w:type="paragraph" w:styleId="21">
    <w:name w:val="header"/>
    <w:basedOn w:val="1"/>
    <w:link w:val="49"/>
    <w:autoRedefine/>
    <w:qFormat/>
    <w:uiPriority w:val="0"/>
    <w:pPr>
      <w:pBdr>
        <w:bottom w:val="single" w:color="auto" w:sz="6" w:space="1"/>
      </w:pBdr>
      <w:tabs>
        <w:tab w:val="center" w:pos="4153"/>
        <w:tab w:val="right" w:pos="8306"/>
      </w:tabs>
      <w:snapToGrid w:val="0"/>
      <w:jc w:val="center"/>
    </w:pPr>
    <w:rPr>
      <w:kern w:val="0"/>
      <w:sz w:val="18"/>
      <w:szCs w:val="20"/>
    </w:rPr>
  </w:style>
  <w:style w:type="paragraph" w:styleId="22">
    <w:name w:val="index heading"/>
    <w:basedOn w:val="1"/>
    <w:next w:val="23"/>
    <w:autoRedefine/>
    <w:semiHidden/>
    <w:qFormat/>
    <w:locked/>
    <w:uiPriority w:val="0"/>
    <w:rPr>
      <w:rFonts w:ascii="Arial" w:hAnsi="Arial" w:cs="Arial"/>
      <w:b/>
      <w:bCs/>
    </w:rPr>
  </w:style>
  <w:style w:type="paragraph" w:styleId="23">
    <w:name w:val="index 1"/>
    <w:basedOn w:val="1"/>
    <w:next w:val="1"/>
    <w:autoRedefine/>
    <w:qFormat/>
    <w:locked/>
    <w:uiPriority w:val="0"/>
    <w:pPr>
      <w:spacing w:line="240" w:lineRule="exact"/>
      <w:jc w:val="center"/>
    </w:pPr>
  </w:style>
  <w:style w:type="paragraph" w:styleId="24">
    <w:name w:val="Body Text Indent 3"/>
    <w:basedOn w:val="1"/>
    <w:autoRedefine/>
    <w:unhideWhenUsed/>
    <w:qFormat/>
    <w:locked/>
    <w:uiPriority w:val="0"/>
    <w:pPr>
      <w:spacing w:after="120"/>
      <w:ind w:left="420" w:leftChars="200"/>
    </w:pPr>
    <w:rPr>
      <w:sz w:val="16"/>
      <w:szCs w:val="16"/>
    </w:rPr>
  </w:style>
  <w:style w:type="paragraph" w:styleId="25">
    <w:name w:val="toc 2"/>
    <w:basedOn w:val="1"/>
    <w:next w:val="1"/>
    <w:autoRedefine/>
    <w:qFormat/>
    <w:locked/>
    <w:uiPriority w:val="39"/>
    <w:pPr>
      <w:tabs>
        <w:tab w:val="left" w:pos="1050"/>
        <w:tab w:val="right" w:leader="dot" w:pos="9060"/>
      </w:tabs>
      <w:ind w:left="420" w:leftChars="200"/>
    </w:pPr>
    <w:rPr>
      <w:sz w:val="28"/>
      <w:szCs w:val="28"/>
    </w:rPr>
  </w:style>
  <w:style w:type="paragraph" w:styleId="26">
    <w:name w:val="Normal (Web)"/>
    <w:basedOn w:val="1"/>
    <w:link w:val="50"/>
    <w:autoRedefine/>
    <w:qFormat/>
    <w:uiPriority w:val="0"/>
    <w:pPr>
      <w:widowControl/>
      <w:spacing w:before="100" w:beforeAutospacing="1" w:after="100" w:afterAutospacing="1"/>
      <w:jc w:val="left"/>
    </w:pPr>
    <w:rPr>
      <w:rFonts w:ascii="宋体" w:hAnsi="宋体"/>
      <w:kern w:val="0"/>
      <w:sz w:val="24"/>
      <w:szCs w:val="20"/>
    </w:rPr>
  </w:style>
  <w:style w:type="paragraph" w:styleId="27">
    <w:name w:val="annotation subject"/>
    <w:basedOn w:val="11"/>
    <w:next w:val="11"/>
    <w:link w:val="51"/>
    <w:autoRedefine/>
    <w:semiHidden/>
    <w:qFormat/>
    <w:uiPriority w:val="0"/>
    <w:rPr>
      <w:b/>
    </w:rPr>
  </w:style>
  <w:style w:type="paragraph" w:styleId="28">
    <w:name w:val="Body Text First Indent"/>
    <w:basedOn w:val="1"/>
    <w:autoRedefine/>
    <w:qFormat/>
    <w:locked/>
    <w:uiPriority w:val="0"/>
    <w:pPr>
      <w:adjustRightInd w:val="0"/>
      <w:snapToGrid w:val="0"/>
      <w:spacing w:line="360" w:lineRule="auto"/>
      <w:ind w:firstLine="200" w:firstLineChars="200"/>
    </w:pPr>
    <w:rPr>
      <w:sz w:val="24"/>
    </w:rPr>
  </w:style>
  <w:style w:type="paragraph" w:styleId="29">
    <w:name w:val="Body Text First Indent 2"/>
    <w:basedOn w:val="13"/>
    <w:next w:val="1"/>
    <w:autoRedefine/>
    <w:qFormat/>
    <w:locked/>
    <w:uiPriority w:val="0"/>
    <w:pPr>
      <w:tabs>
        <w:tab w:val="left" w:pos="-213"/>
      </w:tabs>
      <w:ind w:firstLine="420" w:firstLineChars="200"/>
    </w:pPr>
    <w:rPr>
      <w:szCs w:val="24"/>
    </w:rPr>
  </w:style>
  <w:style w:type="table" w:styleId="31">
    <w:name w:val="Table Grid"/>
    <w:basedOn w:val="30"/>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autoRedefine/>
    <w:qFormat/>
    <w:locked/>
    <w:uiPriority w:val="22"/>
    <w:rPr>
      <w:b/>
    </w:rPr>
  </w:style>
  <w:style w:type="character" w:styleId="34">
    <w:name w:val="page number"/>
    <w:basedOn w:val="32"/>
    <w:autoRedefine/>
    <w:qFormat/>
    <w:locked/>
    <w:uiPriority w:val="0"/>
  </w:style>
  <w:style w:type="character" w:styleId="35">
    <w:name w:val="Hyperlink"/>
    <w:basedOn w:val="32"/>
    <w:semiHidden/>
    <w:qFormat/>
    <w:locked/>
    <w:uiPriority w:val="0"/>
    <w:rPr>
      <w:color w:val="000000"/>
      <w:u w:val="none"/>
    </w:rPr>
  </w:style>
  <w:style w:type="character" w:styleId="36">
    <w:name w:val="annotation reference"/>
    <w:autoRedefine/>
    <w:semiHidden/>
    <w:qFormat/>
    <w:uiPriority w:val="0"/>
    <w:rPr>
      <w:sz w:val="21"/>
    </w:rPr>
  </w:style>
  <w:style w:type="paragraph" w:customStyle="1" w:styleId="37">
    <w:name w:val="表格"/>
    <w:basedOn w:val="1"/>
    <w:next w:val="1"/>
    <w:link w:val="55"/>
    <w:autoRedefine/>
    <w:qFormat/>
    <w:uiPriority w:val="0"/>
    <w:pPr>
      <w:adjustRightInd w:val="0"/>
      <w:snapToGrid w:val="0"/>
      <w:spacing w:beforeLines="10" w:afterLines="10" w:line="259" w:lineRule="auto"/>
      <w:jc w:val="center"/>
    </w:pPr>
    <w:rPr>
      <w:rFonts w:ascii="宋体"/>
      <w:kern w:val="0"/>
      <w:szCs w:val="20"/>
    </w:rPr>
  </w:style>
  <w:style w:type="paragraph" w:customStyle="1" w:styleId="38">
    <w:name w:val="Default"/>
    <w:basedOn w:val="39"/>
    <w:next w:val="1"/>
    <w:autoRedefine/>
    <w:qFormat/>
    <w:uiPriority w:val="0"/>
    <w:pPr>
      <w:autoSpaceDE w:val="0"/>
      <w:autoSpaceDN w:val="0"/>
      <w:adjustRightInd w:val="0"/>
    </w:pPr>
    <w:rPr>
      <w:rFonts w:cs="宋体"/>
      <w:color w:val="000000"/>
      <w:sz w:val="24"/>
      <w:szCs w:val="24"/>
    </w:rPr>
  </w:style>
  <w:style w:type="paragraph" w:customStyle="1" w:styleId="39">
    <w:name w:val="纯文本1"/>
    <w:basedOn w:val="1"/>
    <w:autoRedefine/>
    <w:qFormat/>
    <w:uiPriority w:val="0"/>
    <w:rPr>
      <w:rFonts w:ascii="宋体" w:hAnsi="Courier New"/>
      <w:kern w:val="18"/>
      <w:szCs w:val="22"/>
    </w:rPr>
  </w:style>
  <w:style w:type="paragraph" w:customStyle="1" w:styleId="40">
    <w:name w:val="标题 段落4级"/>
    <w:next w:val="11"/>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paragraph" w:customStyle="1" w:styleId="41">
    <w:name w:val="文本"/>
    <w:basedOn w:val="1"/>
    <w:next w:val="1"/>
    <w:autoRedefine/>
    <w:qFormat/>
    <w:uiPriority w:val="0"/>
    <w:pPr>
      <w:autoSpaceDE w:val="0"/>
      <w:autoSpaceDN w:val="0"/>
      <w:ind w:firstLine="480"/>
    </w:pPr>
    <w:rPr>
      <w:lang w:val="zh-CN"/>
    </w:rPr>
  </w:style>
  <w:style w:type="paragraph" w:customStyle="1" w:styleId="42">
    <w:name w:val="！正文 Alt+0"/>
    <w:basedOn w:val="1"/>
    <w:qFormat/>
    <w:uiPriority w:val="0"/>
    <w:pPr>
      <w:ind w:firstLine="200"/>
    </w:pPr>
    <w:rPr>
      <w:sz w:val="28"/>
      <w:szCs w:val="28"/>
    </w:rPr>
  </w:style>
  <w:style w:type="character" w:customStyle="1" w:styleId="43">
    <w:name w:val="批注文字 字符"/>
    <w:link w:val="11"/>
    <w:autoRedefine/>
    <w:qFormat/>
    <w:locked/>
    <w:uiPriority w:val="0"/>
    <w:rPr>
      <w:rFonts w:ascii="Times New Roman" w:hAnsi="Times New Roman" w:eastAsia="宋体"/>
      <w:sz w:val="24"/>
    </w:rPr>
  </w:style>
  <w:style w:type="character" w:customStyle="1" w:styleId="44">
    <w:name w:val="正文文本 字符"/>
    <w:basedOn w:val="32"/>
    <w:link w:val="12"/>
    <w:autoRedefine/>
    <w:qFormat/>
    <w:uiPriority w:val="0"/>
    <w:rPr>
      <w:sz w:val="18"/>
    </w:rPr>
  </w:style>
  <w:style w:type="character" w:customStyle="1" w:styleId="45">
    <w:name w:val="正文文本缩进 字符"/>
    <w:link w:val="13"/>
    <w:autoRedefine/>
    <w:semiHidden/>
    <w:qFormat/>
    <w:locked/>
    <w:uiPriority w:val="0"/>
    <w:rPr>
      <w:rFonts w:ascii="Times New Roman" w:hAnsi="Times New Roman" w:eastAsia="宋体"/>
      <w:sz w:val="24"/>
    </w:rPr>
  </w:style>
  <w:style w:type="character" w:customStyle="1" w:styleId="46">
    <w:name w:val="日期 字符1"/>
    <w:link w:val="17"/>
    <w:autoRedefine/>
    <w:qFormat/>
    <w:locked/>
    <w:uiPriority w:val="0"/>
    <w:rPr>
      <w:rFonts w:ascii="Times New Roman" w:hAnsi="Times New Roman" w:eastAsia="宋体"/>
      <w:sz w:val="24"/>
    </w:rPr>
  </w:style>
  <w:style w:type="character" w:customStyle="1" w:styleId="47">
    <w:name w:val="批注框文本 字符"/>
    <w:link w:val="19"/>
    <w:autoRedefine/>
    <w:semiHidden/>
    <w:qFormat/>
    <w:locked/>
    <w:uiPriority w:val="0"/>
    <w:rPr>
      <w:rFonts w:ascii="Times New Roman" w:hAnsi="Times New Roman" w:eastAsia="宋体"/>
      <w:sz w:val="18"/>
    </w:rPr>
  </w:style>
  <w:style w:type="character" w:customStyle="1" w:styleId="48">
    <w:name w:val="页脚 字符1"/>
    <w:link w:val="20"/>
    <w:autoRedefine/>
    <w:qFormat/>
    <w:locked/>
    <w:uiPriority w:val="99"/>
    <w:rPr>
      <w:sz w:val="18"/>
    </w:rPr>
  </w:style>
  <w:style w:type="character" w:customStyle="1" w:styleId="49">
    <w:name w:val="页眉 字符"/>
    <w:link w:val="21"/>
    <w:autoRedefine/>
    <w:qFormat/>
    <w:locked/>
    <w:uiPriority w:val="0"/>
    <w:rPr>
      <w:sz w:val="18"/>
    </w:rPr>
  </w:style>
  <w:style w:type="character" w:customStyle="1" w:styleId="50">
    <w:name w:val="普通(网站) 字符"/>
    <w:link w:val="26"/>
    <w:autoRedefine/>
    <w:qFormat/>
    <w:locked/>
    <w:uiPriority w:val="0"/>
    <w:rPr>
      <w:rFonts w:ascii="宋体" w:hAnsi="宋体" w:eastAsia="宋体"/>
      <w:sz w:val="24"/>
    </w:rPr>
  </w:style>
  <w:style w:type="character" w:customStyle="1" w:styleId="51">
    <w:name w:val="批注主题 字符"/>
    <w:link w:val="27"/>
    <w:autoRedefine/>
    <w:semiHidden/>
    <w:qFormat/>
    <w:locked/>
    <w:uiPriority w:val="0"/>
    <w:rPr>
      <w:rFonts w:ascii="Times New Roman" w:hAnsi="Times New Roman" w:eastAsia="宋体"/>
      <w:b/>
      <w:kern w:val="2"/>
      <w:sz w:val="24"/>
    </w:rPr>
  </w:style>
  <w:style w:type="paragraph" w:customStyle="1" w:styleId="52">
    <w:name w:val="xl27"/>
    <w:basedOn w:val="1"/>
    <w:autoRedefine/>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sz w:val="24"/>
    </w:rPr>
  </w:style>
  <w:style w:type="character" w:customStyle="1" w:styleId="53">
    <w:name w:val="批注文字 字符1"/>
    <w:autoRedefine/>
    <w:semiHidden/>
    <w:qFormat/>
    <w:uiPriority w:val="0"/>
    <w:rPr>
      <w:rFonts w:ascii="Times New Roman" w:hAnsi="Times New Roman" w:eastAsia="宋体"/>
      <w:sz w:val="24"/>
    </w:rPr>
  </w:style>
  <w:style w:type="character" w:customStyle="1" w:styleId="54">
    <w:name w:val="正文文本 字符1"/>
    <w:autoRedefine/>
    <w:semiHidden/>
    <w:qFormat/>
    <w:uiPriority w:val="0"/>
    <w:rPr>
      <w:rFonts w:ascii="Times New Roman" w:hAnsi="Times New Roman" w:eastAsia="宋体"/>
      <w:sz w:val="24"/>
    </w:rPr>
  </w:style>
  <w:style w:type="character" w:customStyle="1" w:styleId="55">
    <w:name w:val="表格 Char"/>
    <w:link w:val="37"/>
    <w:autoRedefine/>
    <w:qFormat/>
    <w:locked/>
    <w:uiPriority w:val="0"/>
    <w:rPr>
      <w:rFonts w:ascii="宋体"/>
      <w:sz w:val="21"/>
    </w:rPr>
  </w:style>
  <w:style w:type="character" w:customStyle="1" w:styleId="56">
    <w:name w:val="正文文本 Char"/>
    <w:autoRedefine/>
    <w:qFormat/>
    <w:locked/>
    <w:uiPriority w:val="0"/>
    <w:rPr>
      <w:sz w:val="18"/>
    </w:rPr>
  </w:style>
  <w:style w:type="character" w:customStyle="1" w:styleId="57">
    <w:name w:val="日期 字符"/>
    <w:autoRedefine/>
    <w:semiHidden/>
    <w:qFormat/>
    <w:uiPriority w:val="0"/>
    <w:rPr>
      <w:rFonts w:ascii="Times New Roman" w:hAnsi="Times New Roman" w:eastAsia="宋体"/>
      <w:sz w:val="24"/>
    </w:rPr>
  </w:style>
  <w:style w:type="character" w:customStyle="1" w:styleId="58">
    <w:name w:val="页脚 字符"/>
    <w:basedOn w:val="32"/>
    <w:autoRedefine/>
    <w:qFormat/>
    <w:uiPriority w:val="99"/>
  </w:style>
  <w:style w:type="paragraph" w:customStyle="1" w:styleId="59">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60">
    <w:name w:val="环评正文文字"/>
    <w:basedOn w:val="1"/>
    <w:autoRedefine/>
    <w:qFormat/>
    <w:uiPriority w:val="0"/>
    <w:pPr>
      <w:spacing w:line="360" w:lineRule="auto"/>
      <w:ind w:firstLine="480" w:firstLineChars="200"/>
    </w:pPr>
    <w:rPr>
      <w:kern w:val="0"/>
      <w:sz w:val="24"/>
      <w:szCs w:val="20"/>
    </w:rPr>
  </w:style>
  <w:style w:type="paragraph" w:customStyle="1" w:styleId="61">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62">
    <w:name w:val="简单回函地址"/>
    <w:basedOn w:val="1"/>
    <w:autoRedefine/>
    <w:qFormat/>
    <w:uiPriority w:val="0"/>
    <w:rPr>
      <w:szCs w:val="20"/>
    </w:rPr>
  </w:style>
  <w:style w:type="paragraph" w:customStyle="1" w:styleId="63">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4">
    <w:name w:val="样式 (符号) 宋体 小四 行距: 1.5 倍行距"/>
    <w:basedOn w:val="1"/>
    <w:autoRedefine/>
    <w:qFormat/>
    <w:uiPriority w:val="0"/>
    <w:pPr>
      <w:spacing w:line="360" w:lineRule="auto"/>
      <w:ind w:firstLine="480" w:firstLineChars="200"/>
    </w:pPr>
    <w:rPr>
      <w:rFonts w:hAnsi="宋体" w:cs="宋体"/>
      <w:sz w:val="24"/>
    </w:rPr>
  </w:style>
  <w:style w:type="paragraph" w:customStyle="1" w:styleId="65">
    <w:name w:val="环科院正文"/>
    <w:basedOn w:val="1"/>
    <w:autoRedefine/>
    <w:qFormat/>
    <w:uiPriority w:val="0"/>
    <w:pPr>
      <w:spacing w:line="300" w:lineRule="auto"/>
      <w:ind w:firstLine="574" w:firstLineChars="239"/>
    </w:pPr>
    <w:rPr>
      <w:rFonts w:ascii="宋体" w:hAnsi="宋体"/>
      <w:color w:val="000000"/>
      <w:kern w:val="0"/>
      <w:sz w:val="24"/>
      <w:szCs w:val="20"/>
    </w:rPr>
  </w:style>
  <w:style w:type="paragraph" w:customStyle="1" w:styleId="66">
    <w:name w:val="报告书正文"/>
    <w:basedOn w:val="1"/>
    <w:autoRedefine/>
    <w:qFormat/>
    <w:uiPriority w:val="0"/>
    <w:pPr>
      <w:adjustRightInd w:val="0"/>
      <w:spacing w:line="360" w:lineRule="auto"/>
      <w:ind w:firstLine="200" w:firstLineChars="200"/>
      <w:textAlignment w:val="baseline"/>
    </w:pPr>
    <w:rPr>
      <w:sz w:val="24"/>
      <w:szCs w:val="20"/>
    </w:rPr>
  </w:style>
  <w:style w:type="paragraph" w:customStyle="1" w:styleId="67">
    <w:name w:val="图表"/>
    <w:basedOn w:val="1"/>
    <w:autoRedefine/>
    <w:qFormat/>
    <w:uiPriority w:val="0"/>
    <w:pPr>
      <w:adjustRightInd w:val="0"/>
      <w:snapToGrid w:val="0"/>
      <w:jc w:val="center"/>
    </w:pPr>
    <w:rPr>
      <w:rFonts w:ascii="Calibri" w:hAnsi="Calibri"/>
      <w:color w:val="000000"/>
      <w:szCs w:val="21"/>
    </w:rPr>
  </w:style>
  <w:style w:type="paragraph" w:customStyle="1" w:styleId="68">
    <w:name w:val="报告表  段"/>
    <w:basedOn w:val="1"/>
    <w:autoRedefine/>
    <w:qFormat/>
    <w:uiPriority w:val="0"/>
    <w:pPr>
      <w:adjustRightInd w:val="0"/>
      <w:spacing w:line="360" w:lineRule="auto"/>
      <w:ind w:firstLine="505"/>
      <w:textAlignment w:val="baseline"/>
    </w:pPr>
    <w:rPr>
      <w:rFonts w:ascii="宋体" w:hAnsi="宋体"/>
      <w:kern w:val="0"/>
      <w:sz w:val="24"/>
    </w:rPr>
  </w:style>
  <w:style w:type="paragraph" w:customStyle="1" w:styleId="69">
    <w:name w:val="A0正文"/>
    <w:basedOn w:val="1"/>
    <w:autoRedefine/>
    <w:qFormat/>
    <w:uiPriority w:val="0"/>
    <w:pPr>
      <w:spacing w:line="360" w:lineRule="auto"/>
      <w:ind w:firstLine="200" w:firstLineChars="200"/>
    </w:pPr>
    <w:rPr>
      <w:rFonts w:cs="宋体"/>
      <w:sz w:val="24"/>
      <w:szCs w:val="20"/>
      <w:lang w:val="zh-CN"/>
    </w:rPr>
  </w:style>
  <w:style w:type="paragraph" w:customStyle="1" w:styleId="70">
    <w:name w:val="表格文字"/>
    <w:basedOn w:val="16"/>
    <w:next w:val="1"/>
    <w:autoRedefine/>
    <w:qFormat/>
    <w:uiPriority w:val="0"/>
    <w:pPr>
      <w:tabs>
        <w:tab w:val="left" w:pos="-2848"/>
      </w:tabs>
      <w:spacing w:before="40" w:after="40" w:line="240" w:lineRule="atLeast"/>
      <w:jc w:val="center"/>
    </w:pPr>
    <w:rPr>
      <w:position w:val="-10"/>
      <w:szCs w:val="20"/>
    </w:rPr>
  </w:style>
  <w:style w:type="paragraph" w:styleId="71">
    <w:name w:val="List Paragraph"/>
    <w:basedOn w:val="1"/>
    <w:autoRedefine/>
    <w:qFormat/>
    <w:uiPriority w:val="34"/>
    <w:pPr>
      <w:ind w:firstLine="420" w:firstLineChars="200"/>
    </w:pPr>
    <w:rPr>
      <w:rFonts w:ascii="Calibri" w:hAnsi="Calibri"/>
      <w:szCs w:val="22"/>
    </w:rPr>
  </w:style>
  <w:style w:type="paragraph" w:customStyle="1" w:styleId="72">
    <w:name w:val="表格格式"/>
    <w:basedOn w:val="1"/>
    <w:autoRedefine/>
    <w:qFormat/>
    <w:uiPriority w:val="0"/>
    <w:pPr>
      <w:spacing w:line="240" w:lineRule="atLeast"/>
      <w:jc w:val="center"/>
    </w:pPr>
    <w:rPr>
      <w:szCs w:val="21"/>
    </w:rPr>
  </w:style>
  <w:style w:type="paragraph" w:customStyle="1" w:styleId="73">
    <w:name w:val="样式 方正仿宋_GBK 三号 行距: 固定值 28 磅"/>
    <w:basedOn w:val="1"/>
    <w:autoRedefine/>
    <w:qFormat/>
    <w:uiPriority w:val="0"/>
    <w:pPr>
      <w:spacing w:line="360" w:lineRule="auto"/>
      <w:ind w:firstLine="200" w:firstLineChars="200"/>
      <w:jc w:val="left"/>
    </w:pPr>
    <w:rPr>
      <w:rFonts w:ascii="方正仿宋_GBK" w:hAnsi="方正仿宋_GBK" w:cs="宋体"/>
      <w:sz w:val="28"/>
      <w:szCs w:val="28"/>
    </w:rPr>
  </w:style>
  <w:style w:type="paragraph" w:customStyle="1" w:styleId="74">
    <w:name w:val="说明书正文"/>
    <w:basedOn w:val="1"/>
    <w:autoRedefine/>
    <w:qFormat/>
    <w:uiPriority w:val="0"/>
    <w:pPr>
      <w:spacing w:line="480" w:lineRule="exact"/>
      <w:ind w:firstLine="600" w:firstLineChars="200"/>
    </w:pPr>
    <w:rPr>
      <w:rFonts w:eastAsia="仿宋_GB2312"/>
      <w:color w:val="000000"/>
      <w:sz w:val="30"/>
    </w:rPr>
  </w:style>
  <w:style w:type="paragraph" w:customStyle="1" w:styleId="75">
    <w:name w:val="标题题目"/>
    <w:basedOn w:val="1"/>
    <w:autoRedefine/>
    <w:qFormat/>
    <w:uiPriority w:val="0"/>
    <w:pPr>
      <w:adjustRightInd w:val="0"/>
      <w:snapToGrid w:val="0"/>
      <w:spacing w:line="312" w:lineRule="auto"/>
      <w:jc w:val="center"/>
    </w:pPr>
    <w:rPr>
      <w:b/>
      <w:sz w:val="24"/>
      <w:szCs w:val="22"/>
    </w:rPr>
  </w:style>
  <w:style w:type="paragraph" w:customStyle="1" w:styleId="76">
    <w:name w:val="Table Paragraph"/>
    <w:basedOn w:val="1"/>
    <w:autoRedefine/>
    <w:qFormat/>
    <w:uiPriority w:val="1"/>
    <w:rPr>
      <w:rFonts w:ascii="Calibri" w:hAnsi="Calibri"/>
    </w:rPr>
  </w:style>
  <w:style w:type="paragraph" w:customStyle="1" w:styleId="77">
    <w:name w:val="表格内容自定"/>
    <w:basedOn w:val="1"/>
    <w:autoRedefine/>
    <w:qFormat/>
    <w:uiPriority w:val="0"/>
    <w:pPr>
      <w:spacing w:line="280" w:lineRule="exact"/>
      <w:jc w:val="center"/>
    </w:pPr>
    <w:rPr>
      <w:kern w:val="0"/>
      <w:sz w:val="18"/>
      <w:szCs w:val="21"/>
    </w:rPr>
  </w:style>
  <w:style w:type="paragraph" w:customStyle="1" w:styleId="78">
    <w:name w:val="mm表格内容"/>
    <w:basedOn w:val="79"/>
    <w:next w:val="80"/>
    <w:autoRedefine/>
    <w:qFormat/>
    <w:uiPriority w:val="0"/>
    <w:pPr>
      <w:spacing w:line="240" w:lineRule="auto"/>
    </w:pPr>
    <w:rPr>
      <w:rFonts w:eastAsia="宋体" w:cs="Times New Roman"/>
      <w:bCs w:val="0"/>
      <w:sz w:val="21"/>
    </w:rPr>
  </w:style>
  <w:style w:type="paragraph" w:customStyle="1" w:styleId="79">
    <w:name w:val="mm表头"/>
    <w:basedOn w:val="1"/>
    <w:autoRedefine/>
    <w:qFormat/>
    <w:uiPriority w:val="0"/>
    <w:pPr>
      <w:spacing w:line="480" w:lineRule="exact"/>
      <w:jc w:val="center"/>
    </w:pPr>
    <w:rPr>
      <w:rFonts w:eastAsia="黑体" w:cs="宋体"/>
      <w:bCs/>
      <w:color w:val="000000"/>
      <w:sz w:val="24"/>
    </w:rPr>
  </w:style>
  <w:style w:type="paragraph" w:customStyle="1" w:styleId="80">
    <w:name w:val="mm正文"/>
    <w:basedOn w:val="1"/>
    <w:autoRedefine/>
    <w:qFormat/>
    <w:uiPriority w:val="0"/>
    <w:pPr>
      <w:spacing w:line="480" w:lineRule="exact"/>
      <w:ind w:firstLine="200" w:firstLineChars="200"/>
    </w:pPr>
    <w:rPr>
      <w:rFonts w:cs="宋体"/>
      <w:color w:val="000000"/>
    </w:rPr>
  </w:style>
  <w:style w:type="paragraph" w:customStyle="1" w:styleId="81">
    <w:name w:val="7表格内容"/>
    <w:autoRedefine/>
    <w:qFormat/>
    <w:uiPriority w:val="0"/>
    <w:pPr>
      <w:widowControl w:val="0"/>
      <w:spacing w:line="400" w:lineRule="exact"/>
      <w:jc w:val="center"/>
    </w:pPr>
    <w:rPr>
      <w:rFonts w:ascii="Times New Roman" w:hAnsi="Times New Roman" w:eastAsia="宋体" w:cs="Times New Roman"/>
      <w:kern w:val="2"/>
      <w:sz w:val="21"/>
      <w:szCs w:val="24"/>
      <w:lang w:val="en-US" w:eastAsia="zh-CN" w:bidi="ar-SA"/>
    </w:rPr>
  </w:style>
  <w:style w:type="paragraph" w:customStyle="1" w:styleId="82">
    <w:name w:val="样式1"/>
    <w:basedOn w:val="22"/>
    <w:next w:val="15"/>
    <w:autoRedefine/>
    <w:qFormat/>
    <w:uiPriority w:val="0"/>
    <w:pPr>
      <w:spacing w:line="288" w:lineRule="auto"/>
      <w:ind w:firstLine="480" w:firstLineChars="200"/>
    </w:pPr>
    <w:rPr>
      <w:rFonts w:ascii="宋体" w:hAnsi="宋体"/>
      <w:sz w:val="24"/>
      <w:szCs w:val="20"/>
    </w:rPr>
  </w:style>
  <w:style w:type="paragraph" w:customStyle="1" w:styleId="83">
    <w:name w:val="表格1"/>
    <w:basedOn w:val="1"/>
    <w:next w:val="1"/>
    <w:autoRedefine/>
    <w:qFormat/>
    <w:uiPriority w:val="0"/>
    <w:pPr>
      <w:topLinePunct/>
      <w:autoSpaceDE w:val="0"/>
      <w:autoSpaceDN w:val="0"/>
      <w:adjustRightInd w:val="0"/>
      <w:jc w:val="center"/>
      <w:textAlignment w:val="baseline"/>
    </w:pPr>
    <w:rPr>
      <w:rFonts w:ascii="宋体" w:hAnsi="Impact"/>
      <w:kern w:val="24"/>
      <w:sz w:val="28"/>
      <w:szCs w:val="20"/>
    </w:rPr>
  </w:style>
  <w:style w:type="table" w:customStyle="1" w:styleId="84">
    <w:name w:val="表格样式2"/>
    <w:basedOn w:val="30"/>
    <w:autoRedefine/>
    <w:qFormat/>
    <w:uiPriority w:val="0"/>
    <w:pPr>
      <w:jc w:val="center"/>
    </w:pPr>
    <w:rPr>
      <w:sz w:val="21"/>
    </w:rPr>
    <w:tblPr>
      <w:tblBorders>
        <w:top w:val="single" w:color="auto" w:sz="12" w:space="0"/>
        <w:bottom w:val="single" w:color="auto" w:sz="12" w:space="0"/>
        <w:insideH w:val="single" w:color="auto" w:sz="2" w:space="0"/>
        <w:insideV w:val="single" w:color="auto" w:sz="2" w:space="0"/>
      </w:tblBorders>
    </w:tblPr>
    <w:tcPr>
      <w:vAlign w:val="center"/>
    </w:tcPr>
  </w:style>
  <w:style w:type="paragraph" w:customStyle="1" w:styleId="85">
    <w:name w:val="lh-表格文字-报告表"/>
    <w:autoRedefine/>
    <w:qFormat/>
    <w:uiPriority w:val="0"/>
    <w:pPr>
      <w:jc w:val="center"/>
    </w:pPr>
    <w:rPr>
      <w:rFonts w:ascii="Calibri" w:hAnsi="Calibri" w:eastAsia="宋体" w:cs="Times New Roman"/>
      <w:snapToGrid w:val="0"/>
      <w:sz w:val="21"/>
      <w:szCs w:val="24"/>
      <w:lang w:val="en-US" w:eastAsia="zh-CN" w:bidi="ar-SA"/>
    </w:rPr>
  </w:style>
  <w:style w:type="paragraph" w:customStyle="1" w:styleId="86">
    <w:name w:val="正文1"/>
    <w:basedOn w:val="1"/>
    <w:autoRedefine/>
    <w:qFormat/>
    <w:uiPriority w:val="0"/>
    <w:pPr>
      <w:spacing w:line="360" w:lineRule="auto"/>
      <w:ind w:firstLine="200" w:firstLineChars="200"/>
    </w:pPr>
    <w:rPr>
      <w:rFonts w:cs="宋体"/>
      <w:color w:val="000000"/>
      <w:sz w:val="24"/>
      <w:szCs w:val="20"/>
    </w:rPr>
  </w:style>
  <w:style w:type="paragraph" w:customStyle="1" w:styleId="87">
    <w:name w:val="表格内文字"/>
    <w:basedOn w:val="1"/>
    <w:next w:val="1"/>
    <w:autoRedefine/>
    <w:qFormat/>
    <w:uiPriority w:val="0"/>
    <w:pPr>
      <w:jc w:val="center"/>
    </w:pPr>
    <w:rPr>
      <w:spacing w:val="1"/>
      <w:kern w:val="0"/>
    </w:rPr>
  </w:style>
  <w:style w:type="paragraph" w:customStyle="1" w:styleId="88">
    <w:name w:val="表格111"/>
    <w:basedOn w:val="1"/>
    <w:autoRedefine/>
    <w:qFormat/>
    <w:uiPriority w:val="0"/>
    <w:pPr>
      <w:jc w:val="center"/>
    </w:pPr>
  </w:style>
  <w:style w:type="character" w:customStyle="1" w:styleId="89">
    <w:name w:val="fontstyle01"/>
    <w:basedOn w:val="32"/>
    <w:autoRedefine/>
    <w:qFormat/>
    <w:uiPriority w:val="0"/>
    <w:rPr>
      <w:rFonts w:ascii="宋体" w:hAnsi="宋体" w:eastAsia="宋体" w:cs="宋体"/>
      <w:color w:val="000000"/>
      <w:sz w:val="22"/>
      <w:szCs w:val="22"/>
    </w:rPr>
  </w:style>
  <w:style w:type="character" w:customStyle="1" w:styleId="90">
    <w:name w:val="fontstyle21"/>
    <w:basedOn w:val="32"/>
    <w:autoRedefine/>
    <w:qFormat/>
    <w:uiPriority w:val="0"/>
    <w:rPr>
      <w:rFonts w:ascii="TimesNewRomanPSMT" w:hAnsi="TimesNewRomanPSMT" w:eastAsia="TimesNewRomanPSMT" w:cs="TimesNewRomanPSMT"/>
      <w:color w:val="000000"/>
      <w:sz w:val="22"/>
      <w:szCs w:val="22"/>
    </w:rPr>
  </w:style>
  <w:style w:type="paragraph" w:customStyle="1" w:styleId="91">
    <w:name w:val="表内容"/>
    <w:basedOn w:val="1"/>
    <w:autoRedefine/>
    <w:qFormat/>
    <w:uiPriority w:val="0"/>
    <w:pPr>
      <w:adjustRightInd w:val="0"/>
      <w:snapToGrid w:val="0"/>
      <w:jc w:val="center"/>
    </w:pPr>
    <w:rPr>
      <w:snapToGrid w:val="0"/>
      <w:szCs w:val="21"/>
    </w:rPr>
  </w:style>
  <w:style w:type="paragraph" w:customStyle="1" w:styleId="92">
    <w:name w:val="04表头"/>
    <w:basedOn w:val="93"/>
    <w:next w:val="93"/>
    <w:autoRedefine/>
    <w:qFormat/>
    <w:uiPriority w:val="1"/>
    <w:pPr>
      <w:widowControl w:val="0"/>
      <w:ind w:firstLine="0" w:firstLineChars="0"/>
      <w:jc w:val="center"/>
    </w:pPr>
    <w:rPr>
      <w:b/>
      <w:bCs/>
    </w:rPr>
  </w:style>
  <w:style w:type="paragraph" w:customStyle="1" w:styleId="93">
    <w:name w:val="02表格正文小四"/>
    <w:autoRedefine/>
    <w:qFormat/>
    <w:uiPriority w:val="0"/>
    <w:pPr>
      <w:overflowPunct w:val="0"/>
      <w:spacing w:line="360" w:lineRule="auto"/>
      <w:ind w:firstLine="1124" w:firstLineChars="200"/>
      <w:jc w:val="both"/>
      <w:textAlignment w:val="baseline"/>
    </w:pPr>
    <w:rPr>
      <w:rFonts w:ascii="Times New Roman" w:hAnsi="Times New Roman" w:eastAsia="宋体" w:cstheme="minorBidi"/>
      <w:sz w:val="24"/>
      <w:szCs w:val="24"/>
      <w:lang w:val="en-US" w:eastAsia="zh-CN" w:bidi="ar-SA"/>
    </w:rPr>
  </w:style>
  <w:style w:type="paragraph" w:customStyle="1" w:styleId="94">
    <w:name w:val="03表内表"/>
    <w:autoRedefine/>
    <w:qFormat/>
    <w:uiPriority w:val="0"/>
    <w:pPr>
      <w:adjustRightInd w:val="0"/>
      <w:snapToGrid w:val="0"/>
      <w:spacing w:line="276" w:lineRule="auto"/>
      <w:jc w:val="center"/>
    </w:pPr>
    <w:rPr>
      <w:rFonts w:ascii="Times New Roman" w:hAnsi="Times New Roman" w:eastAsia="宋体" w:cs="Times New Roman"/>
      <w:sz w:val="21"/>
      <w:szCs w:val="21"/>
      <w:lang w:val="en-US" w:eastAsia="zh-CN" w:bidi="ar-SA"/>
    </w:rPr>
  </w:style>
  <w:style w:type="paragraph" w:customStyle="1" w:styleId="95">
    <w:name w:val="0-表/图名"/>
    <w:basedOn w:val="96"/>
    <w:autoRedefine/>
    <w:qFormat/>
    <w:uiPriority w:val="0"/>
    <w:pPr>
      <w:spacing w:before="50" w:beforeLines="50"/>
    </w:pPr>
    <w:rPr>
      <w:rFonts w:eastAsia="黑体"/>
      <w:sz w:val="24"/>
    </w:rPr>
  </w:style>
  <w:style w:type="paragraph" w:customStyle="1" w:styleId="96">
    <w:name w:val="0-表内/图"/>
    <w:basedOn w:val="1"/>
    <w:autoRedefine/>
    <w:qFormat/>
    <w:uiPriority w:val="0"/>
    <w:pPr>
      <w:jc w:val="center"/>
    </w:pPr>
  </w:style>
  <w:style w:type="paragraph" w:customStyle="1" w:styleId="97">
    <w:name w:val="表头d"/>
    <w:basedOn w:val="1"/>
    <w:autoRedefine/>
    <w:qFormat/>
    <w:uiPriority w:val="0"/>
    <w:pPr>
      <w:numPr>
        <w:ilvl w:val="0"/>
        <w:numId w:val="3"/>
      </w:numPr>
      <w:spacing w:before="50" w:beforeLines="50" w:after="50" w:afterLines="50"/>
      <w:jc w:val="center"/>
    </w:pPr>
    <w:rPr>
      <w:b/>
    </w:rPr>
  </w:style>
  <w:style w:type="table" w:customStyle="1" w:styleId="98">
    <w:name w:val="Table Normal"/>
    <w:unhideWhenUsed/>
    <w:qFormat/>
    <w:uiPriority w:val="0"/>
    <w:tblPr>
      <w:tblCellMar>
        <w:top w:w="0" w:type="dxa"/>
        <w:left w:w="0" w:type="dxa"/>
        <w:bottom w:w="0" w:type="dxa"/>
        <w:right w:w="0" w:type="dxa"/>
      </w:tblCellMar>
    </w:tblPr>
  </w:style>
  <w:style w:type="paragraph" w:customStyle="1" w:styleId="99">
    <w:name w:val="表格内容"/>
    <w:basedOn w:val="16"/>
    <w:next w:val="16"/>
    <w:qFormat/>
    <w:uiPriority w:val="0"/>
    <w:pPr>
      <w:jc w:val="center"/>
    </w:pPr>
    <w:rPr>
      <w:b/>
    </w:rPr>
  </w:style>
  <w:style w:type="paragraph" w:customStyle="1" w:styleId="100">
    <w:name w:val="表 图 内容"/>
    <w:basedOn w:val="101"/>
    <w:qFormat/>
    <w:uiPriority w:val="0"/>
    <w:pPr>
      <w:jc w:val="center"/>
    </w:pPr>
    <w:rPr>
      <w:color w:val="000000"/>
      <w:sz w:val="21"/>
    </w:rPr>
  </w:style>
  <w:style w:type="paragraph" w:customStyle="1" w:styleId="101">
    <w:name w:val="正  文"/>
    <w:basedOn w:val="1"/>
    <w:qFormat/>
    <w:uiPriority w:val="0"/>
    <w:pPr>
      <w:spacing w:line="360" w:lineRule="auto"/>
      <w:ind w:firstLine="560" w:firstLineChars="200"/>
    </w:pPr>
    <w:rPr>
      <w:rFonts w:eastAsia="仿宋_GB2312"/>
      <w:sz w:val="28"/>
      <w:szCs w:val="28"/>
    </w:rPr>
  </w:style>
  <w:style w:type="paragraph" w:customStyle="1" w:styleId="102">
    <w:name w:val="正文 首行缩进"/>
    <w:basedOn w:val="1"/>
    <w:qFormat/>
    <w:uiPriority w:val="0"/>
    <w:pPr>
      <w:spacing w:line="360" w:lineRule="auto"/>
      <w:ind w:firstLine="200" w:firstLineChars="200"/>
    </w:pPr>
    <w:rPr>
      <w:rFonts w:cs="宋体"/>
      <w:kern w:val="0"/>
      <w:szCs w:val="20"/>
    </w:rPr>
  </w:style>
  <w:style w:type="paragraph" w:customStyle="1" w:styleId="103">
    <w:name w:val="表中文字"/>
    <w:basedOn w:val="1"/>
    <w:qFormat/>
    <w:uiPriority w:val="0"/>
    <w:pPr>
      <w:adjustRightInd w:val="0"/>
      <w:snapToGrid w:val="0"/>
      <w:jc w:val="center"/>
    </w:pPr>
    <w:rPr>
      <w:bCs/>
    </w:rPr>
  </w:style>
  <w:style w:type="paragraph" w:customStyle="1" w:styleId="104">
    <w:name w:val="正文（缩进）"/>
    <w:basedOn w:val="1"/>
    <w:next w:val="1"/>
    <w:semiHidden/>
    <w:qFormat/>
    <w:uiPriority w:val="0"/>
    <w:pPr>
      <w:widowControl/>
      <w:adjustRightInd w:val="0"/>
      <w:snapToGrid w:val="0"/>
      <w:spacing w:line="360" w:lineRule="auto"/>
      <w:ind w:firstLine="200" w:firstLineChars="200"/>
      <w:jc w:val="left"/>
    </w:pPr>
    <w:rPr>
      <w:snapToGrid w:val="0"/>
      <w:kern w:val="0"/>
      <w:sz w:val="24"/>
    </w:rPr>
  </w:style>
  <w:style w:type="character" w:customStyle="1" w:styleId="105">
    <w:name w:val="yyy1"/>
    <w:basedOn w:val="32"/>
    <w:qFormat/>
    <w:uiPriority w:val="0"/>
    <w:rPr>
      <w:rFonts w:hint="default" w:ascii="ˎ̥" w:hAnsi="ˎ̥"/>
      <w:color w:val="FFFFFF"/>
      <w:sz w:val="21"/>
      <w:szCs w:val="21"/>
    </w:rPr>
  </w:style>
  <w:style w:type="character" w:customStyle="1" w:styleId="106">
    <w:name w:val="fontstyle11"/>
    <w:basedOn w:val="32"/>
    <w:qFormat/>
    <w:uiPriority w:val="0"/>
    <w:rPr>
      <w:rFonts w:ascii="TimesNewRomanPS-BoldMT" w:hAnsi="TimesNewRomanPS-BoldMT" w:eastAsia="TimesNewRomanPS-BoldMT" w:cs="TimesNewRomanPS-BoldMT"/>
      <w:b/>
      <w:bCs/>
      <w:color w:val="000000"/>
      <w:sz w:val="44"/>
      <w:szCs w:val="44"/>
    </w:rPr>
  </w:style>
  <w:style w:type="paragraph" w:customStyle="1" w:styleId="107">
    <w:name w:val="正文 32"/>
    <w:basedOn w:val="1"/>
    <w:autoRedefine/>
    <w:qFormat/>
    <w:uiPriority w:val="0"/>
    <w:pPr>
      <w:autoSpaceDE w:val="0"/>
      <w:autoSpaceDN w:val="0"/>
      <w:adjustRightInd w:val="0"/>
      <w:spacing w:line="300" w:lineRule="auto"/>
      <w:ind w:firstLine="567"/>
    </w:pPr>
    <w:rPr>
      <w:rFonts w:eastAsia="楷体_GB2312"/>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e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99</Pages>
  <Words>2650</Words>
  <Characters>2854</Characters>
  <Lines>609</Lines>
  <Paragraphs>171</Paragraphs>
  <TotalTime>9</TotalTime>
  <ScaleCrop>false</ScaleCrop>
  <LinksUpToDate>false</LinksUpToDate>
  <CharactersWithSpaces>2946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玦</cp:lastModifiedBy>
  <cp:lastPrinted>2022-06-20T06:42:00Z</cp:lastPrinted>
  <dcterms:modified xsi:type="dcterms:W3CDTF">2025-06-06T02:29:55Z</dcterms:modified>
  <dc:title>附件2</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8BBD3CE1205A44B0B71C6F722937E436_13</vt:lpwstr>
  </property>
  <property fmtid="{D5CDD505-2E9C-101B-9397-08002B2CF9AE}" pid="4" name="KSOTemplateDocerSaveRecord">
    <vt:lpwstr>eyJoZGlkIjoiYjEyYTA1OGIxMGFiYThjZTM2Y2MxYTc5NDc0ZmI3MDkiLCJ1c2VySWQiOiI2Mjg0MzQ0ODcifQ==</vt:lpwstr>
  </property>
</Properties>
</file>