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52F239">
      <w:pPr>
        <w:spacing w:line="560" w:lineRule="exact"/>
        <w:rPr>
          <w:rFonts w:ascii="黑体" w:hAnsi="黑体" w:eastAsia="黑体" w:cs="黑体"/>
          <w:color w:val="000000"/>
          <w:sz w:val="32"/>
          <w:szCs w:val="32"/>
        </w:rPr>
      </w:pPr>
      <w:r>
        <w:rPr>
          <w:rFonts w:hint="eastAsia" w:ascii="黑体" w:hAnsi="黑体" w:eastAsia="黑体" w:cs="黑体"/>
          <w:color w:val="000000"/>
          <w:sz w:val="32"/>
          <w:szCs w:val="32"/>
        </w:rPr>
        <w:t>附件</w:t>
      </w:r>
      <w:bookmarkStart w:id="0" w:name="_GoBack"/>
      <w:bookmarkEnd w:id="0"/>
    </w:p>
    <w:p w14:paraId="14C21FD8">
      <w:pPr>
        <w:spacing w:line="520" w:lineRule="exact"/>
        <w:jc w:val="center"/>
        <w:rPr>
          <w:rFonts w:hint="eastAsia" w:ascii="宋体" w:hAnsi="宋体" w:eastAsia="宋体" w:cs="仿宋"/>
          <w:b/>
          <w:bCs/>
          <w:color w:val="000000"/>
          <w:kern w:val="0"/>
          <w:sz w:val="36"/>
          <w:szCs w:val="36"/>
          <w:lang w:eastAsia="zh-CN"/>
        </w:rPr>
      </w:pPr>
      <w:r>
        <w:rPr>
          <w:rFonts w:hint="eastAsia" w:ascii="宋体" w:hAnsi="宋体" w:cs="仿宋"/>
          <w:b/>
          <w:bCs/>
          <w:color w:val="000000"/>
          <w:kern w:val="0"/>
          <w:sz w:val="36"/>
          <w:szCs w:val="36"/>
        </w:rPr>
        <w:t>部门整体支出绩效评价自评报告公开</w:t>
      </w:r>
      <w:r>
        <w:rPr>
          <w:rFonts w:hint="eastAsia" w:ascii="宋体" w:hAnsi="宋体" w:cs="仿宋"/>
          <w:b/>
          <w:bCs/>
          <w:color w:val="000000"/>
          <w:kern w:val="0"/>
          <w:sz w:val="36"/>
          <w:szCs w:val="36"/>
          <w:lang w:eastAsia="zh-CN"/>
        </w:rPr>
        <w:t>表</w:t>
      </w:r>
    </w:p>
    <w:tbl>
      <w:tblPr>
        <w:tblStyle w:val="5"/>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14:paraId="0C8CA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84" w:type="dxa"/>
            <w:vMerge w:val="restart"/>
            <w:vAlign w:val="center"/>
          </w:tcPr>
          <w:p w14:paraId="3500B2A9">
            <w:pPr>
              <w:spacing w:line="300"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1985" w:type="dxa"/>
            <w:vAlign w:val="center"/>
          </w:tcPr>
          <w:p w14:paraId="19CCDEA1">
            <w:pPr>
              <w:spacing w:line="300"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5670" w:type="dxa"/>
            <w:vAlign w:val="center"/>
          </w:tcPr>
          <w:p w14:paraId="2F1C09C3">
            <w:pPr>
              <w:spacing w:line="300" w:lineRule="exact"/>
              <w:ind w:right="880" w:rightChars="419"/>
              <w:jc w:val="center"/>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湘潭县农业农村局</w:t>
            </w:r>
          </w:p>
        </w:tc>
      </w:tr>
      <w:tr w14:paraId="06965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384" w:type="dxa"/>
            <w:vMerge w:val="continue"/>
          </w:tcPr>
          <w:p w14:paraId="13A3D8F4">
            <w:pPr>
              <w:spacing w:line="300" w:lineRule="exact"/>
              <w:jc w:val="center"/>
              <w:rPr>
                <w:rFonts w:ascii="仿宋_GB2312" w:hAnsi="宋体" w:eastAsia="仿宋_GB2312" w:cs="宋体"/>
                <w:szCs w:val="21"/>
              </w:rPr>
            </w:pPr>
          </w:p>
        </w:tc>
        <w:tc>
          <w:tcPr>
            <w:tcW w:w="1985" w:type="dxa"/>
            <w:vAlign w:val="center"/>
          </w:tcPr>
          <w:p w14:paraId="0F9E2580">
            <w:pPr>
              <w:spacing w:line="300"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5670" w:type="dxa"/>
            <w:vAlign w:val="center"/>
          </w:tcPr>
          <w:p w14:paraId="6E1347AE">
            <w:pPr>
              <w:spacing w:line="300" w:lineRule="exact"/>
              <w:ind w:right="880" w:rightChars="419"/>
              <w:jc w:val="center"/>
              <w:rPr>
                <w:rFonts w:hint="default" w:ascii="仿宋_GB2312" w:hAnsi="宋体" w:eastAsia="仿宋_GB2312" w:cs="宋体"/>
                <w:szCs w:val="21"/>
                <w:lang w:val="en-US" w:eastAsia="zh-CN"/>
              </w:rPr>
            </w:pPr>
            <w:r>
              <w:rPr>
                <w:rFonts w:hint="eastAsia" w:ascii="仿宋_GB2312" w:hAnsi="宋体" w:eastAsia="仿宋_GB2312" w:cs="宋体"/>
                <w:szCs w:val="21"/>
                <w:lang w:val="en-US" w:eastAsia="zh-CN"/>
              </w:rPr>
              <w:t>25786.264万元</w:t>
            </w:r>
          </w:p>
        </w:tc>
      </w:tr>
      <w:tr w14:paraId="225B5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84" w:type="dxa"/>
            <w:vMerge w:val="continue"/>
          </w:tcPr>
          <w:p w14:paraId="7C3E4A02">
            <w:pPr>
              <w:spacing w:line="300" w:lineRule="exact"/>
              <w:jc w:val="center"/>
              <w:rPr>
                <w:rFonts w:ascii="仿宋_GB2312" w:hAnsi="宋体" w:eastAsia="仿宋_GB2312" w:cs="宋体"/>
                <w:szCs w:val="21"/>
              </w:rPr>
            </w:pPr>
          </w:p>
        </w:tc>
        <w:tc>
          <w:tcPr>
            <w:tcW w:w="1985" w:type="dxa"/>
            <w:vAlign w:val="center"/>
          </w:tcPr>
          <w:p w14:paraId="6780CA79">
            <w:pPr>
              <w:spacing w:line="300"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5670" w:type="dxa"/>
            <w:vAlign w:val="center"/>
          </w:tcPr>
          <w:p w14:paraId="59E97F1C">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1、拟订全县农业农村工作的发展中长期规划并指导实施。负责全县农业综合执法，推进农业依法行政。提出有关农产品，农业财政补贴及农业产业保护的政策建议，参与制定相关政策。</w:t>
            </w:r>
          </w:p>
          <w:p w14:paraId="47EB837C">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2、统筹推动发展农村社会事业、农村公共服务、农村文化、农村基础设施和乡村治理。牵头组织改善农村人居环境。指导农村精神文明和优秀农耕文化建设。</w:t>
            </w:r>
          </w:p>
          <w:p w14:paraId="380A932F">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3、贯彻执行党和国家扶贫开发工作方针、政策，负责拟定全县扶贫开发工作的政策和发展规划；负责组织、协调、指导全县精准扶贫工作，协调安排扶贫资金，并检查、监督使用情况。</w:t>
            </w:r>
          </w:p>
          <w:p w14:paraId="01C055BC">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4、研究提出深化农村经济体制改革和巩固完善农村基本经营制度的建议。负责农村宅基地改革和管理有关工作。指导农民合作经济组织、农业社会化服务体系、新型农业经营主体建设与发展。</w:t>
            </w:r>
          </w:p>
          <w:p w14:paraId="2DCBB7F8">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5、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14:paraId="0EBC3C5D">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6、负责全县种植业、畜牧业、渔业、农业机械化等农业各产业的监督管理。指导粮食等农产品生产。组织构建现代农业产业体系、生产体系、经营体系，指导农业标准化生产。负责渔政渔港监督管理。</w:t>
            </w:r>
          </w:p>
          <w:p w14:paraId="5A15A799">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7、负责农产品质量安全监管工作。依法开展农产品质量安全监测、追溯、风险评估。参与制定农产品质量安全地方标准并会同有关部门组织实施。指导农业检验检测体系建设，依法实施符合安全标准的农产品认证和监督管理。对农产品产地安全实行分类管理。</w:t>
            </w:r>
          </w:p>
          <w:p w14:paraId="1211776A">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8、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14:paraId="535B2D46">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9、负责有关农业生产资料和农业投入品监督管理和农业行业安全生产工作。组织农业生产资料市场体系建设。贯彻执行农业生产资料、兽药质量、兽药残留限量和残留检测方法国家标准并监督实施。组织兽医医政、兽药药政药检工作，负责执业兽医和畜禽屠宰行业监督管理。负责农业机械培训机构的监督管理。</w:t>
            </w:r>
          </w:p>
          <w:p w14:paraId="10B1FB00">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10、负责农业防灾减灾、农作物重大病虫害防治工作。指导动植物防疫检疫体系建设，组织、监督县内动植物防疫检疫工作，并组织疫情扑灭。</w:t>
            </w:r>
          </w:p>
          <w:p w14:paraId="5E85120B">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11、负责农业投资管理。拟订农业开发规划，组织实施有关农业项目，提出农业固定资产投资规模、投资项目和县级财政资金安排的建议，负责协调安排及监督检查有关涉农、惠农项目资金，编报部门预算并组织执行。</w:t>
            </w:r>
          </w:p>
          <w:p w14:paraId="447FBE08">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12、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14:paraId="2932F682">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13、统一领导和管理所属的湘潭县贫困帮扶中心、湘潭县农业发展服务中心。</w:t>
            </w:r>
          </w:p>
          <w:p w14:paraId="36587196">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14、完成县委、县政府交办的其他任务。</w:t>
            </w:r>
          </w:p>
          <w:p w14:paraId="3914DF49">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15、职能转变。</w:t>
            </w:r>
          </w:p>
          <w:p w14:paraId="77855EB9">
            <w:pPr>
              <w:spacing w:line="300" w:lineRule="exact"/>
              <w:jc w:val="left"/>
              <w:rPr>
                <w:rFonts w:ascii="仿宋_GB2312" w:hAnsi="宋体" w:eastAsia="仿宋_GB2312" w:cs="宋体"/>
                <w:szCs w:val="21"/>
              </w:rPr>
            </w:pPr>
            <w:r>
              <w:rPr>
                <w:rFonts w:hint="eastAsia" w:ascii="仿宋_GB2312" w:hAnsi="宋体" w:eastAsia="仿宋_GB2312" w:cs="宋体"/>
                <w:szCs w:val="21"/>
                <w:lang w:eastAsia="zh-CN"/>
              </w:rPr>
              <w:t>（1）统筹实施乡村振兴战略，深化农业供给侧结构性改革，提升农业发展质量，扎实推进美丽乡村建设，推动农业全面升级、农村全面进步、农民全面发展，加快实现农业农村现代化。（2）加强农产品质量安全和相关农业生产资料、农业投入品的监督管理，严防、严管、严控质量安全风险，让人民群众吃得放心、安心。（3）加强对行业内交叉重复以及性质相同、用途相近的农业投资项目的统筹整合，加强事中事后监管，切实提升支农政策效果和资金使用效益。</w:t>
            </w:r>
          </w:p>
        </w:tc>
      </w:tr>
      <w:tr w14:paraId="645F0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84" w:type="dxa"/>
            <w:vMerge w:val="restart"/>
            <w:vAlign w:val="center"/>
          </w:tcPr>
          <w:p w14:paraId="6E07980D">
            <w:pPr>
              <w:spacing w:line="300"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1985" w:type="dxa"/>
            <w:vAlign w:val="center"/>
          </w:tcPr>
          <w:p w14:paraId="6CCD144C">
            <w:pPr>
              <w:spacing w:line="300"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670" w:type="dxa"/>
            <w:vAlign w:val="center"/>
          </w:tcPr>
          <w:p w14:paraId="4977AB4A">
            <w:pPr>
              <w:widowControl/>
              <w:ind w:firstLine="422" w:firstLineChars="200"/>
              <w:jc w:val="left"/>
              <w:rPr>
                <w:rFonts w:hint="eastAsia" w:ascii="仿宋" w:hAnsi="仿宋" w:eastAsia="仿宋" w:cs="仿宋"/>
                <w:b w:val="0"/>
                <w:bCs w:val="0"/>
                <w:color w:val="000000"/>
                <w:kern w:val="0"/>
                <w:sz w:val="21"/>
                <w:szCs w:val="21"/>
                <w:lang w:val="en-US" w:eastAsia="zh-CN"/>
              </w:rPr>
            </w:pPr>
            <w:r>
              <w:rPr>
                <w:rFonts w:hint="eastAsia" w:ascii="仿宋" w:hAnsi="仿宋" w:eastAsia="仿宋" w:cs="仿宋"/>
                <w:b/>
                <w:bCs/>
                <w:color w:val="000000"/>
                <w:kern w:val="0"/>
                <w:sz w:val="21"/>
                <w:szCs w:val="21"/>
              </w:rPr>
              <w:t>一、收入情况。</w:t>
            </w:r>
            <w:r>
              <w:rPr>
                <w:rFonts w:hint="eastAsia" w:ascii="仿宋" w:hAnsi="仿宋" w:eastAsia="仿宋" w:cs="仿宋"/>
                <w:b w:val="0"/>
                <w:bCs w:val="0"/>
                <w:color w:val="000000"/>
                <w:kern w:val="0"/>
                <w:sz w:val="21"/>
                <w:szCs w:val="21"/>
              </w:rPr>
              <w:t>202</w:t>
            </w:r>
            <w:r>
              <w:rPr>
                <w:rFonts w:hint="eastAsia" w:ascii="仿宋" w:hAnsi="仿宋" w:eastAsia="仿宋" w:cs="仿宋"/>
                <w:b w:val="0"/>
                <w:bCs w:val="0"/>
                <w:color w:val="000000"/>
                <w:kern w:val="0"/>
                <w:sz w:val="21"/>
                <w:szCs w:val="21"/>
                <w:lang w:val="en-US" w:eastAsia="zh-CN"/>
              </w:rPr>
              <w:t>4</w:t>
            </w:r>
            <w:r>
              <w:rPr>
                <w:rFonts w:hint="eastAsia" w:ascii="仿宋" w:hAnsi="仿宋" w:eastAsia="仿宋" w:cs="仿宋"/>
                <w:b w:val="0"/>
                <w:bCs w:val="0"/>
                <w:color w:val="000000"/>
                <w:kern w:val="0"/>
                <w:sz w:val="21"/>
                <w:szCs w:val="21"/>
              </w:rPr>
              <w:t>年我局县级年初部门预算资金</w:t>
            </w:r>
            <w:r>
              <w:rPr>
                <w:rFonts w:hint="eastAsia" w:ascii="仿宋" w:hAnsi="仿宋" w:eastAsia="仿宋" w:cs="仿宋"/>
                <w:b w:val="0"/>
                <w:bCs w:val="0"/>
                <w:color w:val="000000"/>
                <w:kern w:val="0"/>
                <w:sz w:val="21"/>
                <w:szCs w:val="21"/>
                <w:lang w:val="en-US" w:eastAsia="zh-CN"/>
              </w:rPr>
              <w:t>25786.26</w:t>
            </w:r>
            <w:r>
              <w:rPr>
                <w:rFonts w:hint="eastAsia" w:ascii="仿宋" w:hAnsi="仿宋" w:eastAsia="仿宋" w:cs="仿宋"/>
                <w:b w:val="0"/>
                <w:bCs w:val="0"/>
                <w:color w:val="000000"/>
                <w:kern w:val="0"/>
                <w:sz w:val="21"/>
                <w:szCs w:val="21"/>
              </w:rPr>
              <w:t>万元，其中基本</w:t>
            </w:r>
            <w:r>
              <w:rPr>
                <w:rFonts w:hint="eastAsia" w:ascii="仿宋" w:hAnsi="仿宋" w:eastAsia="仿宋" w:cs="仿宋"/>
                <w:b w:val="0"/>
                <w:bCs w:val="0"/>
                <w:color w:val="000000"/>
                <w:kern w:val="0"/>
                <w:sz w:val="21"/>
                <w:szCs w:val="21"/>
                <w:lang w:eastAsia="zh-CN"/>
              </w:rPr>
              <w:t>支出年初</w:t>
            </w:r>
            <w:r>
              <w:rPr>
                <w:rFonts w:hint="eastAsia" w:ascii="仿宋" w:hAnsi="仿宋" w:eastAsia="仿宋" w:cs="仿宋"/>
                <w:b w:val="0"/>
                <w:bCs w:val="0"/>
                <w:color w:val="000000"/>
                <w:kern w:val="0"/>
                <w:sz w:val="21"/>
                <w:szCs w:val="21"/>
              </w:rPr>
              <w:t>预算</w:t>
            </w:r>
            <w:r>
              <w:rPr>
                <w:rFonts w:hint="eastAsia" w:ascii="仿宋" w:hAnsi="仿宋" w:eastAsia="仿宋" w:cs="仿宋"/>
                <w:b w:val="0"/>
                <w:bCs w:val="0"/>
                <w:color w:val="000000"/>
                <w:kern w:val="0"/>
                <w:sz w:val="21"/>
                <w:szCs w:val="21"/>
                <w:lang w:val="en-US" w:eastAsia="zh-CN"/>
              </w:rPr>
              <w:t>2932.81</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较上年增加</w:t>
            </w:r>
            <w:r>
              <w:rPr>
                <w:rFonts w:hint="eastAsia" w:ascii="仿宋" w:hAnsi="仿宋" w:eastAsia="仿宋" w:cs="仿宋"/>
                <w:b w:val="0"/>
                <w:bCs w:val="0"/>
                <w:color w:val="000000"/>
                <w:kern w:val="0"/>
                <w:sz w:val="21"/>
                <w:szCs w:val="21"/>
                <w:lang w:val="en-US" w:eastAsia="zh-CN"/>
              </w:rPr>
              <w:t>437.742万元，主要是工资福利预算支出增加；</w:t>
            </w:r>
            <w:r>
              <w:rPr>
                <w:rFonts w:hint="eastAsia" w:ascii="仿宋" w:hAnsi="仿宋" w:eastAsia="仿宋" w:cs="仿宋"/>
                <w:b w:val="0"/>
                <w:bCs w:val="0"/>
                <w:color w:val="000000"/>
                <w:kern w:val="0"/>
                <w:sz w:val="21"/>
                <w:szCs w:val="21"/>
              </w:rPr>
              <w:t>项目</w:t>
            </w:r>
            <w:r>
              <w:rPr>
                <w:rFonts w:hint="eastAsia" w:ascii="仿宋" w:hAnsi="仿宋" w:eastAsia="仿宋" w:cs="仿宋"/>
                <w:b w:val="0"/>
                <w:bCs w:val="0"/>
                <w:color w:val="000000"/>
                <w:kern w:val="0"/>
                <w:sz w:val="21"/>
                <w:szCs w:val="21"/>
                <w:lang w:eastAsia="zh-CN"/>
              </w:rPr>
              <w:t>支出</w:t>
            </w:r>
            <w:r>
              <w:rPr>
                <w:rFonts w:hint="eastAsia" w:ascii="仿宋" w:hAnsi="仿宋" w:eastAsia="仿宋" w:cs="仿宋"/>
                <w:b w:val="0"/>
                <w:bCs w:val="0"/>
                <w:color w:val="000000"/>
                <w:kern w:val="0"/>
                <w:sz w:val="21"/>
                <w:szCs w:val="21"/>
              </w:rPr>
              <w:t>预算</w:t>
            </w:r>
            <w:r>
              <w:rPr>
                <w:rFonts w:hint="eastAsia" w:ascii="仿宋" w:hAnsi="仿宋" w:eastAsia="仿宋" w:cs="仿宋"/>
                <w:b w:val="0"/>
                <w:bCs w:val="0"/>
                <w:color w:val="000000"/>
                <w:kern w:val="0"/>
                <w:sz w:val="21"/>
                <w:szCs w:val="21"/>
                <w:lang w:val="en-US" w:eastAsia="zh-CN"/>
              </w:rPr>
              <w:t>26689.31</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（其中县级预算项目支出</w:t>
            </w:r>
            <w:r>
              <w:rPr>
                <w:rFonts w:hint="eastAsia" w:ascii="仿宋" w:hAnsi="仿宋" w:eastAsia="仿宋" w:cs="仿宋"/>
                <w:b w:val="0"/>
                <w:bCs w:val="0"/>
                <w:color w:val="000000"/>
                <w:kern w:val="0"/>
                <w:sz w:val="21"/>
                <w:szCs w:val="21"/>
                <w:lang w:val="en-US" w:eastAsia="zh-CN"/>
              </w:rPr>
              <w:t>263.33万元，较上年预算减少1281.5万元；上级补助项目支出26425.98万元，较上年预算减少6716.02万元）</w:t>
            </w:r>
            <w:r>
              <w:rPr>
                <w:rFonts w:hint="eastAsia" w:ascii="仿宋" w:hAnsi="仿宋" w:eastAsia="仿宋" w:cs="仿宋"/>
                <w:b w:val="0"/>
                <w:bCs w:val="0"/>
                <w:color w:val="000000"/>
                <w:kern w:val="0"/>
                <w:sz w:val="21"/>
                <w:szCs w:val="21"/>
              </w:rPr>
              <w:t>。年中追加</w:t>
            </w:r>
            <w:r>
              <w:rPr>
                <w:rFonts w:hint="eastAsia" w:ascii="仿宋" w:hAnsi="仿宋" w:eastAsia="仿宋" w:cs="仿宋"/>
                <w:b w:val="0"/>
                <w:bCs w:val="0"/>
                <w:color w:val="000000"/>
                <w:kern w:val="0"/>
                <w:sz w:val="21"/>
                <w:szCs w:val="21"/>
                <w:lang w:eastAsia="zh-CN"/>
              </w:rPr>
              <w:t>县级指标</w:t>
            </w:r>
            <w:r>
              <w:rPr>
                <w:rFonts w:hint="eastAsia" w:ascii="仿宋" w:hAnsi="仿宋" w:eastAsia="仿宋" w:cs="仿宋"/>
                <w:b w:val="0"/>
                <w:bCs w:val="0"/>
                <w:color w:val="000000"/>
                <w:kern w:val="0"/>
                <w:sz w:val="21"/>
                <w:szCs w:val="21"/>
                <w:lang w:val="en-US" w:eastAsia="zh-CN"/>
              </w:rPr>
              <w:t>1024.77</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上级指标</w:t>
            </w:r>
            <w:r>
              <w:rPr>
                <w:rFonts w:hint="eastAsia" w:ascii="仿宋" w:hAnsi="仿宋" w:eastAsia="仿宋" w:cs="仿宋"/>
                <w:b w:val="0"/>
                <w:bCs w:val="0"/>
                <w:color w:val="000000"/>
                <w:kern w:val="0"/>
                <w:sz w:val="21"/>
                <w:szCs w:val="21"/>
                <w:lang w:val="en-US" w:eastAsia="zh-CN"/>
              </w:rPr>
              <w:t>1839.64万元，本年预算可用指标共计32486.53万元</w:t>
            </w:r>
            <w:r>
              <w:rPr>
                <w:rFonts w:hint="eastAsia" w:ascii="仿宋" w:hAnsi="仿宋" w:eastAsia="仿宋" w:cs="仿宋"/>
                <w:b w:val="0"/>
                <w:bCs w:val="0"/>
                <w:color w:val="000000"/>
                <w:kern w:val="0"/>
                <w:sz w:val="21"/>
                <w:szCs w:val="21"/>
              </w:rPr>
              <w:t>。</w:t>
            </w:r>
          </w:p>
          <w:p w14:paraId="44448CD7">
            <w:pPr>
              <w:spacing w:line="300" w:lineRule="exact"/>
              <w:ind w:firstLine="422" w:firstLineChars="200"/>
              <w:outlineLvl w:val="0"/>
              <w:rPr>
                <w:rFonts w:ascii="仿宋_GB2312" w:eastAsia="仿宋_GB2312"/>
                <w:szCs w:val="21"/>
              </w:rPr>
            </w:pPr>
            <w:r>
              <w:rPr>
                <w:rFonts w:hint="eastAsia" w:ascii="仿宋" w:hAnsi="仿宋" w:eastAsia="仿宋" w:cs="仿宋"/>
                <w:b/>
                <w:bCs/>
                <w:color w:val="000000"/>
                <w:kern w:val="0"/>
                <w:sz w:val="21"/>
                <w:szCs w:val="21"/>
              </w:rPr>
              <w:t>二、支出情况。</w:t>
            </w:r>
            <w:r>
              <w:rPr>
                <w:rFonts w:hint="eastAsia" w:ascii="仿宋" w:hAnsi="仿宋" w:eastAsia="仿宋" w:cs="仿宋"/>
                <w:b w:val="0"/>
                <w:bCs w:val="0"/>
                <w:color w:val="000000"/>
                <w:kern w:val="0"/>
                <w:sz w:val="21"/>
                <w:szCs w:val="21"/>
              </w:rPr>
              <w:t>202</w:t>
            </w:r>
            <w:r>
              <w:rPr>
                <w:rFonts w:hint="eastAsia" w:ascii="仿宋" w:hAnsi="仿宋" w:eastAsia="仿宋" w:cs="仿宋"/>
                <w:b w:val="0"/>
                <w:bCs w:val="0"/>
                <w:color w:val="000000"/>
                <w:kern w:val="0"/>
                <w:sz w:val="21"/>
                <w:szCs w:val="21"/>
                <w:lang w:val="en-US" w:eastAsia="zh-CN"/>
              </w:rPr>
              <w:t>3</w:t>
            </w:r>
            <w:r>
              <w:rPr>
                <w:rFonts w:hint="eastAsia" w:ascii="仿宋" w:hAnsi="仿宋" w:eastAsia="仿宋" w:cs="仿宋"/>
                <w:b w:val="0"/>
                <w:bCs w:val="0"/>
                <w:color w:val="000000"/>
                <w:kern w:val="0"/>
                <w:sz w:val="21"/>
                <w:szCs w:val="21"/>
              </w:rPr>
              <w:t>年预算可用指标金额</w:t>
            </w:r>
            <w:r>
              <w:rPr>
                <w:rFonts w:hint="eastAsia" w:ascii="仿宋" w:hAnsi="仿宋" w:eastAsia="仿宋" w:cs="仿宋"/>
                <w:b w:val="0"/>
                <w:bCs w:val="0"/>
                <w:color w:val="000000"/>
                <w:kern w:val="0"/>
                <w:sz w:val="21"/>
                <w:szCs w:val="21"/>
                <w:lang w:eastAsia="zh-CN"/>
              </w:rPr>
              <w:t>合计</w:t>
            </w:r>
            <w:r>
              <w:rPr>
                <w:rFonts w:hint="eastAsia" w:ascii="仿宋" w:hAnsi="仿宋" w:eastAsia="仿宋" w:cs="仿宋"/>
                <w:b w:val="0"/>
                <w:bCs w:val="0"/>
                <w:color w:val="000000"/>
                <w:kern w:val="0"/>
                <w:sz w:val="21"/>
                <w:szCs w:val="21"/>
                <w:lang w:val="en-US" w:eastAsia="zh-CN"/>
              </w:rPr>
              <w:t>32486.53</w:t>
            </w:r>
            <w:r>
              <w:rPr>
                <w:rFonts w:hint="eastAsia" w:ascii="仿宋" w:hAnsi="仿宋" w:eastAsia="仿宋" w:cs="仿宋"/>
                <w:b w:val="0"/>
                <w:bCs w:val="0"/>
                <w:color w:val="000000"/>
                <w:kern w:val="0"/>
                <w:sz w:val="21"/>
                <w:szCs w:val="21"/>
              </w:rPr>
              <w:t>万元，本年</w:t>
            </w:r>
            <w:r>
              <w:rPr>
                <w:rFonts w:hint="eastAsia" w:ascii="仿宋" w:hAnsi="仿宋" w:eastAsia="仿宋" w:cs="仿宋"/>
                <w:b w:val="0"/>
                <w:bCs w:val="0"/>
                <w:color w:val="000000"/>
                <w:kern w:val="0"/>
                <w:sz w:val="21"/>
                <w:szCs w:val="21"/>
                <w:lang w:eastAsia="zh-CN"/>
              </w:rPr>
              <w:t>决算支出</w:t>
            </w:r>
            <w:r>
              <w:rPr>
                <w:rFonts w:hint="eastAsia" w:ascii="仿宋" w:hAnsi="仿宋" w:eastAsia="仿宋" w:cs="仿宋"/>
                <w:b w:val="0"/>
                <w:bCs w:val="0"/>
                <w:color w:val="000000"/>
                <w:kern w:val="0"/>
                <w:sz w:val="21"/>
                <w:szCs w:val="21"/>
              </w:rPr>
              <w:t>金额</w:t>
            </w:r>
            <w:r>
              <w:rPr>
                <w:rFonts w:hint="eastAsia" w:ascii="仿宋" w:hAnsi="仿宋" w:eastAsia="仿宋" w:cs="仿宋"/>
                <w:b w:val="0"/>
                <w:bCs w:val="0"/>
                <w:color w:val="000000"/>
                <w:kern w:val="0"/>
                <w:sz w:val="21"/>
                <w:szCs w:val="21"/>
                <w:lang w:eastAsia="zh-CN"/>
              </w:rPr>
              <w:t>合计</w:t>
            </w:r>
            <w:r>
              <w:rPr>
                <w:rFonts w:hint="eastAsia" w:ascii="仿宋" w:hAnsi="仿宋" w:eastAsia="仿宋" w:cs="仿宋"/>
                <w:b w:val="0"/>
                <w:bCs w:val="0"/>
                <w:color w:val="000000"/>
                <w:kern w:val="0"/>
                <w:sz w:val="21"/>
                <w:szCs w:val="21"/>
                <w:lang w:val="en-US" w:eastAsia="zh-CN"/>
              </w:rPr>
              <w:t>34728.62</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全年预算执行率</w:t>
            </w:r>
            <w:r>
              <w:rPr>
                <w:rFonts w:hint="eastAsia" w:ascii="仿宋" w:hAnsi="仿宋" w:eastAsia="仿宋" w:cs="仿宋"/>
                <w:b w:val="0"/>
                <w:bCs w:val="0"/>
                <w:color w:val="000000"/>
                <w:kern w:val="0"/>
                <w:sz w:val="21"/>
                <w:szCs w:val="21"/>
                <w:lang w:val="en-US" w:eastAsia="zh-CN"/>
              </w:rPr>
              <w:t>107%。</w:t>
            </w:r>
            <w:r>
              <w:rPr>
                <w:rFonts w:hint="eastAsia" w:ascii="仿宋" w:hAnsi="仿宋" w:eastAsia="仿宋" w:cs="仿宋"/>
                <w:b w:val="0"/>
                <w:bCs w:val="0"/>
                <w:color w:val="000000"/>
                <w:kern w:val="0"/>
                <w:sz w:val="21"/>
                <w:szCs w:val="21"/>
                <w:lang w:eastAsia="zh-CN"/>
              </w:rPr>
              <w:t>其中：</w:t>
            </w:r>
            <w:r>
              <w:rPr>
                <w:rFonts w:hint="eastAsia" w:ascii="仿宋" w:hAnsi="仿宋" w:eastAsia="仿宋" w:cs="仿宋"/>
                <w:b w:val="0"/>
                <w:bCs w:val="0"/>
                <w:color w:val="000000"/>
                <w:kern w:val="0"/>
                <w:sz w:val="21"/>
                <w:szCs w:val="21"/>
              </w:rPr>
              <w:t>基本支出</w:t>
            </w:r>
            <w:r>
              <w:rPr>
                <w:rFonts w:hint="eastAsia" w:ascii="仿宋" w:hAnsi="仿宋" w:eastAsia="仿宋" w:cs="仿宋"/>
                <w:b w:val="0"/>
                <w:bCs w:val="0"/>
                <w:color w:val="000000"/>
                <w:kern w:val="0"/>
                <w:sz w:val="21"/>
                <w:szCs w:val="21"/>
                <w:lang w:val="en-US" w:eastAsia="zh-CN"/>
              </w:rPr>
              <w:t>可用指标共3207万元，本年</w:t>
            </w:r>
            <w:r>
              <w:rPr>
                <w:rFonts w:hint="eastAsia" w:ascii="仿宋" w:hAnsi="仿宋" w:eastAsia="仿宋" w:cs="仿宋"/>
                <w:b w:val="0"/>
                <w:bCs w:val="0"/>
                <w:color w:val="000000"/>
                <w:kern w:val="0"/>
                <w:sz w:val="21"/>
                <w:szCs w:val="21"/>
                <w:lang w:eastAsia="zh-CN"/>
              </w:rPr>
              <w:t>基本</w:t>
            </w:r>
            <w:r>
              <w:rPr>
                <w:rFonts w:hint="eastAsia" w:ascii="仿宋" w:hAnsi="仿宋" w:eastAsia="仿宋" w:cs="仿宋"/>
                <w:b w:val="0"/>
                <w:bCs w:val="0"/>
                <w:color w:val="000000"/>
                <w:kern w:val="0"/>
                <w:sz w:val="21"/>
                <w:szCs w:val="21"/>
                <w:lang w:val="en-US" w:eastAsia="zh-CN"/>
              </w:rPr>
              <w:t>支出</w:t>
            </w:r>
            <w:r>
              <w:rPr>
                <w:rFonts w:hint="eastAsia" w:ascii="仿宋" w:hAnsi="仿宋" w:eastAsia="仿宋" w:cs="仿宋"/>
                <w:b w:val="0"/>
                <w:bCs w:val="0"/>
                <w:color w:val="000000"/>
                <w:kern w:val="0"/>
                <w:sz w:val="21"/>
                <w:szCs w:val="21"/>
                <w:lang w:eastAsia="zh-CN"/>
              </w:rPr>
              <w:t>金额共</w:t>
            </w:r>
            <w:r>
              <w:rPr>
                <w:rFonts w:hint="eastAsia" w:ascii="仿宋" w:hAnsi="仿宋" w:eastAsia="仿宋" w:cs="仿宋"/>
                <w:b w:val="0"/>
                <w:bCs w:val="0"/>
                <w:color w:val="000000"/>
                <w:kern w:val="0"/>
                <w:sz w:val="21"/>
                <w:szCs w:val="21"/>
                <w:lang w:val="en-US" w:eastAsia="zh-CN"/>
              </w:rPr>
              <w:t>3207万元，</w:t>
            </w:r>
            <w:r>
              <w:rPr>
                <w:rFonts w:hint="eastAsia" w:ascii="仿宋" w:hAnsi="仿宋" w:eastAsia="仿宋" w:cs="仿宋"/>
                <w:b w:val="0"/>
                <w:bCs w:val="0"/>
                <w:color w:val="000000"/>
                <w:kern w:val="0"/>
                <w:sz w:val="21"/>
                <w:szCs w:val="21"/>
                <w:lang w:eastAsia="zh-CN"/>
              </w:rPr>
              <w:t>基本支出</w:t>
            </w:r>
            <w:r>
              <w:rPr>
                <w:rFonts w:hint="eastAsia" w:ascii="仿宋" w:hAnsi="仿宋" w:eastAsia="仿宋" w:cs="仿宋"/>
                <w:b w:val="0"/>
                <w:bCs w:val="0"/>
                <w:color w:val="000000"/>
                <w:kern w:val="0"/>
                <w:sz w:val="21"/>
                <w:szCs w:val="21"/>
              </w:rPr>
              <w:t>预算执行率1</w:t>
            </w:r>
            <w:r>
              <w:rPr>
                <w:rFonts w:hint="eastAsia" w:ascii="仿宋" w:hAnsi="仿宋" w:eastAsia="仿宋" w:cs="仿宋"/>
                <w:b w:val="0"/>
                <w:bCs w:val="0"/>
                <w:color w:val="000000"/>
                <w:kern w:val="0"/>
                <w:sz w:val="21"/>
                <w:szCs w:val="21"/>
                <w:lang w:val="en-US" w:eastAsia="zh-CN"/>
              </w:rPr>
              <w:t>00</w:t>
            </w:r>
            <w:r>
              <w:rPr>
                <w:rFonts w:hint="eastAsia" w:ascii="仿宋" w:hAnsi="仿宋" w:eastAsia="仿宋" w:cs="仿宋"/>
                <w:b w:val="0"/>
                <w:bCs w:val="0"/>
                <w:color w:val="000000"/>
                <w:kern w:val="0"/>
                <w:sz w:val="21"/>
                <w:szCs w:val="21"/>
              </w:rPr>
              <w:t>%</w:t>
            </w:r>
            <w:r>
              <w:rPr>
                <w:rFonts w:hint="eastAsia" w:ascii="仿宋" w:hAnsi="仿宋" w:eastAsia="仿宋" w:cs="仿宋"/>
                <w:b w:val="0"/>
                <w:bCs w:val="0"/>
                <w:color w:val="000000"/>
                <w:kern w:val="0"/>
                <w:sz w:val="21"/>
                <w:szCs w:val="21"/>
                <w:lang w:eastAsia="zh-CN"/>
              </w:rPr>
              <w:t>；项目支出可用指标</w:t>
            </w:r>
            <w:r>
              <w:rPr>
                <w:rFonts w:hint="eastAsia" w:ascii="仿宋" w:hAnsi="仿宋" w:eastAsia="仿宋" w:cs="仿宋"/>
                <w:b w:val="0"/>
                <w:bCs w:val="0"/>
                <w:color w:val="000000"/>
                <w:kern w:val="0"/>
                <w:sz w:val="21"/>
                <w:szCs w:val="21"/>
                <w:lang w:val="en-US" w:eastAsia="zh-CN"/>
              </w:rPr>
              <w:t>29279.52万元</w:t>
            </w:r>
            <w:r>
              <w:rPr>
                <w:rFonts w:hint="eastAsia" w:ascii="仿宋" w:hAnsi="仿宋" w:eastAsia="仿宋" w:cs="仿宋"/>
                <w:b w:val="0"/>
                <w:bCs w:val="0"/>
                <w:color w:val="000000"/>
                <w:kern w:val="0"/>
                <w:sz w:val="21"/>
                <w:szCs w:val="21"/>
                <w:lang w:eastAsia="zh-CN"/>
              </w:rPr>
              <w:t>，项目</w:t>
            </w:r>
            <w:r>
              <w:rPr>
                <w:rFonts w:hint="eastAsia" w:ascii="仿宋" w:hAnsi="仿宋" w:eastAsia="仿宋" w:cs="仿宋"/>
                <w:b w:val="0"/>
                <w:bCs w:val="0"/>
                <w:color w:val="000000"/>
                <w:kern w:val="0"/>
                <w:sz w:val="21"/>
                <w:szCs w:val="21"/>
              </w:rPr>
              <w:t>支出</w:t>
            </w:r>
            <w:r>
              <w:rPr>
                <w:rFonts w:hint="eastAsia" w:ascii="仿宋" w:hAnsi="仿宋" w:eastAsia="仿宋" w:cs="仿宋"/>
                <w:b w:val="0"/>
                <w:bCs w:val="0"/>
                <w:color w:val="000000"/>
                <w:kern w:val="0"/>
                <w:sz w:val="21"/>
                <w:szCs w:val="21"/>
                <w:lang w:eastAsia="zh-CN"/>
              </w:rPr>
              <w:t>金额共</w:t>
            </w:r>
            <w:r>
              <w:rPr>
                <w:rFonts w:hint="eastAsia" w:ascii="仿宋" w:hAnsi="仿宋" w:eastAsia="仿宋" w:cs="仿宋"/>
                <w:b w:val="0"/>
                <w:bCs w:val="0"/>
                <w:color w:val="000000"/>
                <w:kern w:val="0"/>
                <w:sz w:val="21"/>
                <w:szCs w:val="21"/>
                <w:lang w:val="en-US" w:eastAsia="zh-CN"/>
              </w:rPr>
              <w:t>31521.66</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项目支出</w:t>
            </w:r>
            <w:r>
              <w:rPr>
                <w:rFonts w:hint="eastAsia" w:ascii="仿宋" w:hAnsi="仿宋" w:eastAsia="仿宋" w:cs="仿宋"/>
                <w:b w:val="0"/>
                <w:bCs w:val="0"/>
                <w:color w:val="000000"/>
                <w:kern w:val="0"/>
                <w:sz w:val="21"/>
                <w:szCs w:val="21"/>
              </w:rPr>
              <w:t>预算执行率</w:t>
            </w:r>
            <w:r>
              <w:rPr>
                <w:rFonts w:hint="eastAsia" w:ascii="仿宋" w:hAnsi="仿宋" w:eastAsia="仿宋" w:cs="仿宋"/>
                <w:b w:val="0"/>
                <w:bCs w:val="0"/>
                <w:color w:val="000000"/>
                <w:kern w:val="0"/>
                <w:sz w:val="21"/>
                <w:szCs w:val="21"/>
                <w:lang w:val="en-US" w:eastAsia="zh-CN"/>
              </w:rPr>
              <w:t>108</w:t>
            </w:r>
            <w:r>
              <w:rPr>
                <w:rFonts w:hint="eastAsia" w:ascii="仿宋" w:hAnsi="仿宋" w:eastAsia="仿宋" w:cs="仿宋"/>
                <w:b w:val="0"/>
                <w:bCs w:val="0"/>
                <w:color w:val="000000"/>
                <w:kern w:val="0"/>
                <w:sz w:val="21"/>
                <w:szCs w:val="21"/>
              </w:rPr>
              <w:t>%</w:t>
            </w:r>
            <w:r>
              <w:rPr>
                <w:rFonts w:hint="eastAsia" w:ascii="仿宋" w:hAnsi="仿宋" w:eastAsia="仿宋" w:cs="仿宋"/>
                <w:b w:val="0"/>
                <w:bCs w:val="0"/>
                <w:color w:val="000000"/>
                <w:kern w:val="0"/>
                <w:sz w:val="21"/>
                <w:szCs w:val="21"/>
                <w:lang w:eastAsia="zh-CN"/>
              </w:rPr>
              <w:t>，超支原因主要是以前年度结转上级项目资金支出增加导致（其中</w:t>
            </w:r>
            <w:r>
              <w:rPr>
                <w:rFonts w:hint="eastAsia" w:ascii="仿宋" w:hAnsi="仿宋" w:eastAsia="仿宋" w:cs="仿宋"/>
                <w:b w:val="0"/>
                <w:bCs w:val="0"/>
                <w:color w:val="000000"/>
                <w:kern w:val="0"/>
                <w:sz w:val="21"/>
                <w:szCs w:val="21"/>
              </w:rPr>
              <w:t>县级项目</w:t>
            </w:r>
            <w:r>
              <w:rPr>
                <w:rFonts w:hint="eastAsia" w:ascii="仿宋" w:hAnsi="仿宋" w:eastAsia="仿宋" w:cs="仿宋"/>
                <w:b w:val="0"/>
                <w:bCs w:val="0"/>
                <w:color w:val="000000"/>
                <w:kern w:val="0"/>
                <w:sz w:val="21"/>
                <w:szCs w:val="21"/>
                <w:lang w:eastAsia="zh-CN"/>
              </w:rPr>
              <w:t>支出可用指标</w:t>
            </w:r>
            <w:r>
              <w:rPr>
                <w:rFonts w:hint="eastAsia" w:ascii="仿宋" w:hAnsi="仿宋" w:eastAsia="仿宋" w:cs="仿宋"/>
                <w:b w:val="0"/>
                <w:bCs w:val="0"/>
                <w:color w:val="000000"/>
                <w:kern w:val="0"/>
                <w:sz w:val="21"/>
                <w:szCs w:val="21"/>
              </w:rPr>
              <w:t>共计</w:t>
            </w:r>
            <w:r>
              <w:rPr>
                <w:rFonts w:hint="eastAsia" w:ascii="仿宋" w:hAnsi="仿宋" w:eastAsia="仿宋" w:cs="仿宋"/>
                <w:b w:val="0"/>
                <w:bCs w:val="0"/>
                <w:color w:val="000000"/>
                <w:kern w:val="0"/>
                <w:sz w:val="21"/>
                <w:szCs w:val="21"/>
                <w:lang w:val="en-US" w:eastAsia="zh-CN"/>
              </w:rPr>
              <w:t>1013.89</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w:t>
            </w:r>
            <w:r>
              <w:rPr>
                <w:rFonts w:hint="eastAsia" w:ascii="仿宋" w:hAnsi="仿宋" w:eastAsia="仿宋" w:cs="仿宋"/>
                <w:b w:val="0"/>
                <w:bCs w:val="0"/>
                <w:color w:val="000000"/>
                <w:kern w:val="0"/>
                <w:sz w:val="21"/>
                <w:szCs w:val="21"/>
              </w:rPr>
              <w:t>30万元以上项目性专项</w:t>
            </w:r>
            <w:r>
              <w:rPr>
                <w:rFonts w:hint="eastAsia" w:ascii="仿宋" w:hAnsi="仿宋" w:eastAsia="仿宋" w:cs="仿宋"/>
                <w:b w:val="0"/>
                <w:bCs w:val="0"/>
                <w:color w:val="000000"/>
                <w:kern w:val="0"/>
                <w:sz w:val="21"/>
                <w:szCs w:val="21"/>
                <w:lang w:val="en-US" w:eastAsia="zh-CN"/>
              </w:rPr>
              <w:t>0</w:t>
            </w:r>
            <w:r>
              <w:rPr>
                <w:rFonts w:hint="eastAsia" w:ascii="仿宋" w:hAnsi="仿宋" w:eastAsia="仿宋" w:cs="仿宋"/>
                <w:b w:val="0"/>
                <w:bCs w:val="0"/>
                <w:color w:val="000000"/>
                <w:kern w:val="0"/>
                <w:sz w:val="21"/>
                <w:szCs w:val="21"/>
              </w:rPr>
              <w:t>个，</w:t>
            </w:r>
            <w:r>
              <w:rPr>
                <w:rFonts w:hint="eastAsia" w:ascii="仿宋" w:hAnsi="仿宋" w:eastAsia="仿宋" w:cs="仿宋"/>
                <w:b w:val="0"/>
                <w:bCs w:val="0"/>
                <w:color w:val="000000"/>
                <w:kern w:val="0"/>
                <w:sz w:val="21"/>
                <w:szCs w:val="21"/>
                <w:lang w:eastAsia="zh-CN"/>
              </w:rPr>
              <w:t>业务性专项</w:t>
            </w:r>
            <w:r>
              <w:rPr>
                <w:rFonts w:hint="eastAsia" w:ascii="仿宋" w:hAnsi="仿宋" w:eastAsia="仿宋" w:cs="仿宋"/>
                <w:b w:val="0"/>
                <w:bCs w:val="0"/>
                <w:color w:val="000000"/>
                <w:kern w:val="0"/>
                <w:sz w:val="21"/>
                <w:szCs w:val="21"/>
                <w:lang w:val="en-US" w:eastAsia="zh-CN"/>
              </w:rPr>
              <w:t>8个，</w:t>
            </w:r>
            <w:r>
              <w:rPr>
                <w:rFonts w:hint="eastAsia" w:ascii="仿宋" w:hAnsi="仿宋" w:eastAsia="仿宋" w:cs="仿宋"/>
                <w:b w:val="0"/>
                <w:bCs w:val="0"/>
                <w:color w:val="000000"/>
                <w:kern w:val="0"/>
                <w:sz w:val="21"/>
                <w:szCs w:val="21"/>
                <w:lang w:eastAsia="zh-CN"/>
              </w:rPr>
              <w:t>县级项目支出</w:t>
            </w:r>
            <w:r>
              <w:rPr>
                <w:rFonts w:hint="eastAsia" w:ascii="仿宋" w:hAnsi="仿宋" w:eastAsia="仿宋" w:cs="仿宋"/>
                <w:b w:val="0"/>
                <w:bCs w:val="0"/>
                <w:color w:val="000000"/>
                <w:kern w:val="0"/>
                <w:sz w:val="21"/>
                <w:szCs w:val="21"/>
                <w:lang w:val="en-US" w:eastAsia="zh-CN"/>
              </w:rPr>
              <w:t>689.54万元，预算执行率68%，上级新增项目（含以前年度结转项目）指标共28265.62万元，支出金额共30822.11万元，预算执行率109%）。</w:t>
            </w:r>
          </w:p>
        </w:tc>
      </w:tr>
      <w:tr w14:paraId="0E36D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6" w:hRule="atLeast"/>
          <w:jc w:val="center"/>
        </w:trPr>
        <w:tc>
          <w:tcPr>
            <w:tcW w:w="1384" w:type="dxa"/>
            <w:vMerge w:val="continue"/>
          </w:tcPr>
          <w:p w14:paraId="4CFC3EB6">
            <w:pPr>
              <w:spacing w:line="300" w:lineRule="exact"/>
              <w:jc w:val="center"/>
              <w:rPr>
                <w:rFonts w:ascii="仿宋_GB2312" w:hAnsi="宋体" w:eastAsia="仿宋_GB2312" w:cs="宋体"/>
                <w:szCs w:val="21"/>
              </w:rPr>
            </w:pPr>
          </w:p>
        </w:tc>
        <w:tc>
          <w:tcPr>
            <w:tcW w:w="1985" w:type="dxa"/>
            <w:vAlign w:val="center"/>
          </w:tcPr>
          <w:p w14:paraId="6D971223">
            <w:pPr>
              <w:spacing w:line="300" w:lineRule="exact"/>
              <w:jc w:val="center"/>
              <w:rPr>
                <w:rFonts w:ascii="仿宋_GB2312" w:hAnsi="宋体" w:eastAsia="仿宋_GB2312" w:cs="宋体"/>
                <w:szCs w:val="21"/>
              </w:rPr>
            </w:pPr>
            <w:r>
              <w:rPr>
                <w:rFonts w:hint="eastAsia" w:ascii="仿宋_GB2312" w:hAnsi="宋体" w:eastAsia="仿宋_GB2312" w:cs="宋体"/>
                <w:szCs w:val="21"/>
              </w:rPr>
              <w:t>绩效目标完成情况</w:t>
            </w:r>
          </w:p>
        </w:tc>
        <w:tc>
          <w:tcPr>
            <w:tcW w:w="5670" w:type="dxa"/>
            <w:vAlign w:val="center"/>
          </w:tcPr>
          <w:p w14:paraId="486B972C">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1．聚力高质量发展，农业经济稳中向优。一是一产业增加值指标情况。农业总产值</w:t>
            </w:r>
            <w:r>
              <w:rPr>
                <w:rFonts w:hint="default" w:ascii="仿宋" w:hAnsi="仿宋" w:eastAsia="仿宋" w:cs="仿宋"/>
                <w:b w:val="0"/>
                <w:bCs w:val="0"/>
                <w:color w:val="000000"/>
                <w:kern w:val="0"/>
                <w:sz w:val="21"/>
                <w:szCs w:val="21"/>
              </w:rPr>
              <w:t>达</w:t>
            </w:r>
            <w:r>
              <w:rPr>
                <w:rFonts w:hint="eastAsia" w:ascii="仿宋" w:hAnsi="仿宋" w:eastAsia="仿宋" w:cs="仿宋"/>
                <w:b w:val="0"/>
                <w:bCs w:val="0"/>
                <w:color w:val="000000"/>
                <w:kern w:val="0"/>
                <w:sz w:val="21"/>
                <w:szCs w:val="21"/>
              </w:rPr>
              <w:t>77.4亿元以上，同比增速3.5%。二是农民收入增长情况。2024年前三季度农村居民人均可支配收入21787元，增速为5.9%。预计全年农村居民人均可支配收入28950元。三是全产业链产值。我县粮食、畜禽、蔬菜、茶叶、油菜、水产、水果等产业链产值都出现提升。全产业链产值达150亿元以上。四是争资争项情况。已争取到位的项目资金有36001万元。</w:t>
            </w:r>
          </w:p>
          <w:p w14:paraId="7A3F5DE3">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2. 稳定粮油生产，重要农产品保障有力。一是抓好粮食生产。全县全年完成粮食种植面积126.78万亩，全年粮食产量实现61.6万吨。其中早稻播种面积42.2万亩（早稻集中育秧面积31.6万亩），中稻面积36.8万亩，晚稻面积44.5万亩,旱粮3.2万亩。8月份通过抢种抢插确保了面积稳定。9月份实施“一喷多促”带动秋粮增产增收。核心主体大幅增长，全县种植双季稻30亩以上的主体达到了2400多户，面积达到20多万亩。目前正抓住有利天气收获晚稻，做到颗粒归仓；通过耕地轮作、油菜扩种和产油大县等项目带动，完成冬种油菜26.35万亩。二是抓好镉低积累水稻品种推广。锚定省下达我县推广中稻低镉种9.5万亩、晚稻低镉种0.3万亩任务。2024年，全县推广镉低积累水稻品种11.6万亩，种子数量28.7万公斤。其中早稻中安2号1.17万亩、中安7号0.43万亩；中稻臻两优8612推广 9.51万亩；晚稻西子3号0.43万亩。实现区域内镉低积累早、中、晚稻品种全覆盖。三是抓实畜禽生产。预计年末生猪存栏74万头，全年生猪出栏130万头。前三季度存栏生猪73.78万头，同比下降1.42%，出栏生猪97.19万头，同比增长0.25%；存栏牛1.94万头，同比增长1%，出栏牛0.87万头，同比增长3.6%；存栏羊5.72万只，同比增长0.5%，出栏羊7.01万只，同比增长0.53%；存笼家禽850.5万羽，同比增长16.4%，出笼家禽1525万羽，同比增长91.8%。全县非瘟防控形势平稳，随着生猪价格回升及饲料价格同期下降等因素影响，生猪养殖场户补栏积极性增加，全县生猪存栏稳中有增。配合制定“三区划分”方案，并完成了禁养区退养工作。</w:t>
            </w:r>
          </w:p>
          <w:p w14:paraId="597381AD">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3．发展富民乡村产业，产业规模持续壮大。一是继续巩固湘莲优势产业引领地位。湘潭县湘莲国家现代农业产业园以综合得分全国第一的成绩通过中期评估，以全国第6的成绩通过了农业农村部组织的绩效评估，后续将获得4000万元中央财政奖补资金。在22家龙头企业带动下，全县湘莲生产加工企业近100家，花石湘莲加工产业园入园6家企业，5家企业已入园全部建设完毕，预计在年底投产；争取培育湘莲小升规企业2个，指导万荷堂莲业等企业争创省级龙头企业。进一步推进“湘九味”等项目，引导湘味连城开发湘潭湘莲药食同源产品。继续提高“湘潭湘莲”的知名度和美誉度，3月至今，已分别在中央1，7，13，17播放湘潭湘莲广告，同步在北京西客站北出口屏幕滚动播放视频广告28天及全国各网站超100篇湘潭湘莲报道。二是现代农业产业园建设持续推进。梅林桥、天马、碧泉潭三大现代农业示范园有重点建设项目18个，完成投资12120万元，入园主体达90家。三是预制菜产业顺势步发展。将湘潭佳海食品医药产业园打造为专业性食品产业“园中园”，产业园一期引进41家预制菜生产企业。抓预制菜龙头企业培育，推进顺餐等企业实现今年产值过亿，指导福熙争创省级龙头企业，预制菜产业年产值达15亿元以上，同比增长13%以上。四是休闲农业加快发展。新增较大规模农庄15家，乡泮拾光、天马山休闲运动基地、云盘寨露营基地入选第二批湖南文旅消费“新生代•新场景”名单。</w:t>
            </w:r>
          </w:p>
          <w:p w14:paraId="01FA530C">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4.推进农业绿色发展，农业生态日趋优良。一是持续推进美丽乡村建设。今年建设市级美丽乡村5个，县级美丽乡村9个，美丽屋场15个。二是加强农产品认证管理。今年完成5家企业13个产品绿色食品续展认证，3家企业7个产品绿色食品新认证的资料申报，1家企业1个产品绿色食品新认证。</w:t>
            </w:r>
            <w:r>
              <w:rPr>
                <w:rFonts w:hint="default" w:ascii="仿宋" w:hAnsi="仿宋" w:eastAsia="仿宋" w:cs="仿宋"/>
                <w:b w:val="0"/>
                <w:bCs w:val="0"/>
                <w:color w:val="000000"/>
                <w:kern w:val="0"/>
                <w:sz w:val="21"/>
                <w:szCs w:val="21"/>
              </w:rPr>
              <w:t>完成</w:t>
            </w:r>
            <w:r>
              <w:rPr>
                <w:rFonts w:hint="eastAsia" w:ascii="仿宋" w:hAnsi="仿宋" w:eastAsia="仿宋" w:cs="仿宋"/>
                <w:b w:val="0"/>
                <w:bCs w:val="0"/>
                <w:color w:val="000000"/>
                <w:kern w:val="0"/>
                <w:sz w:val="21"/>
                <w:szCs w:val="21"/>
              </w:rPr>
              <w:t>全县绿色食品认证企业共18家，绿色产品57个。完成国家追溯平台注册的用户有202家，完成国家追溯平台省应用系统注册的用户296家，完成省“身份证”管理平台用户的注册用户有120家。三是切实开展农产品生产环节监管。共检测蔬菜、水果等样品548批次，检测结果全部合格，农残速测合格率为100%。省、市对我县蔬菜、水果、湘莲、茶叶等例行监测216批次，合格率为100%，畜禽水产品例行监测抽取样品180批次，合格率均为100%。四是抓好农业面源污染防治。配合做好2024年中央生态环境保护督察工作，对交办的问题，照单全收，主动认领，严格落实交办工作。五是抓好秸秆综合利用。以中央财政资金支持秸秆综合利用重点县项目建设为契机，加强资金统筹，实施秸秆农机打捆装置配套能力提升行动，2024年计划新增秸秆打捆装置200台套，已完成推广206台套，提升综合利用率到90%以上。积极探索秸秆“五化”利用，收集打捆秸秆达7万吨，增加主体经济效益近2000万元。</w:t>
            </w:r>
          </w:p>
          <w:p w14:paraId="7D236623">
            <w:pPr>
              <w:widowControl/>
              <w:ind w:firstLine="420" w:firstLineChars="200"/>
              <w:jc w:val="left"/>
              <w:rPr>
                <w:rFonts w:ascii="仿宋_GB2312" w:hAnsi="宋体" w:eastAsia="仿宋_GB2312" w:cs="宋体"/>
                <w:szCs w:val="21"/>
              </w:rPr>
            </w:pPr>
            <w:r>
              <w:rPr>
                <w:rFonts w:hint="eastAsia" w:ascii="仿宋" w:hAnsi="仿宋" w:eastAsia="仿宋" w:cs="仿宋"/>
                <w:b w:val="0"/>
                <w:bCs w:val="0"/>
                <w:color w:val="000000"/>
                <w:kern w:val="0"/>
                <w:sz w:val="21"/>
                <w:szCs w:val="21"/>
              </w:rPr>
              <w:t>5.狠抓农村其他重点工作，农村发展活力增强。一是抓好新农民培训。全县共举办新农民培训班35期，培训新农民3620人次，完成比例为100.6%。二是抓好返乡创业。摸底外出务工人员73445人，精准对接返乡意愿人员，实现入库项目800余个，投资11.6亿元。谭智奇等4位同志获湘潭市2024年返乡创业先进典型。成功创建青山桥皮鞋皮具产业园等市级返乡创新园区和湘潭白石农夫市级返乡创业创新基地，新增培育佳海和湘之坊2个创业园，建成“电商产业聚集基地”“农产品供应链基地”等电商平台，培育电商经营主体1300余家，辐射带动万余人就业。三是抓好农机具推广工作。</w:t>
            </w:r>
            <w:r>
              <w:rPr>
                <w:rFonts w:hint="default" w:ascii="仿宋" w:hAnsi="仿宋" w:eastAsia="仿宋" w:cs="仿宋"/>
                <w:b w:val="0"/>
                <w:bCs w:val="0"/>
                <w:color w:val="000000"/>
                <w:kern w:val="0"/>
                <w:sz w:val="21"/>
                <w:szCs w:val="21"/>
              </w:rPr>
              <w:t>全年共</w:t>
            </w:r>
            <w:r>
              <w:rPr>
                <w:rFonts w:hint="eastAsia" w:ascii="仿宋" w:hAnsi="仿宋" w:eastAsia="仿宋" w:cs="仿宋"/>
                <w:b w:val="0"/>
                <w:bCs w:val="0"/>
                <w:color w:val="000000"/>
                <w:kern w:val="0"/>
                <w:sz w:val="21"/>
                <w:szCs w:val="21"/>
              </w:rPr>
              <w:t>举办农机技术培训5期，开展机插机抛秧作业演示3次，培训农机手近300人，3月28日，承办了全市落实“群众敢首创”要求，推广“春静模式”暨全市粮食安全工作会议，我县水稻全程全面机械化得到充分展示，得到了市领导充分肯定。积极推进机插机抛秧作业工作，截至目前全县完成水稻机插机抛秧作业15万余亩，新增插秧机抛秧机149台，湘潭县亿达农机有限公司评为省级区域农机维修中心。四是抓好农业综合行政执法。今年组织农业联合执法行动19次、例行巡查检查2935人次。开展农产品质量安全专项整治“利剑行动”“亮剑行动”、生猪违法违规调运、“白板肉”整治等专项行动，办结案件11起。五是抓好二轮土地延包工作。出台《湘潭县第二轮土地承包到期后再延长30年整乡试点工作实施方案》，在锦石乡有序开展试点工作。</w:t>
            </w:r>
          </w:p>
        </w:tc>
      </w:tr>
      <w:tr w14:paraId="11707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0" w:hRule="atLeast"/>
          <w:jc w:val="center"/>
        </w:trPr>
        <w:tc>
          <w:tcPr>
            <w:tcW w:w="1384" w:type="dxa"/>
            <w:vMerge w:val="restart"/>
            <w:vAlign w:val="center"/>
          </w:tcPr>
          <w:p w14:paraId="2D539866">
            <w:pPr>
              <w:spacing w:line="300" w:lineRule="exact"/>
              <w:jc w:val="center"/>
              <w:rPr>
                <w:rFonts w:ascii="仿宋_GB2312" w:hAnsi="宋体" w:eastAsia="仿宋_GB2312" w:cs="宋体"/>
                <w:szCs w:val="21"/>
              </w:rPr>
            </w:pPr>
            <w:r>
              <w:rPr>
                <w:rFonts w:hint="eastAsia" w:ascii="仿宋_GB2312" w:hAnsi="宋体" w:eastAsia="仿宋_GB2312" w:cs="宋体"/>
                <w:szCs w:val="21"/>
              </w:rPr>
              <w:t>存在的问题分析及改进措施</w:t>
            </w:r>
          </w:p>
        </w:tc>
        <w:tc>
          <w:tcPr>
            <w:tcW w:w="1985" w:type="dxa"/>
            <w:vAlign w:val="center"/>
          </w:tcPr>
          <w:p w14:paraId="2B31450F">
            <w:pPr>
              <w:spacing w:line="300" w:lineRule="exact"/>
              <w:jc w:val="center"/>
              <w:rPr>
                <w:rFonts w:ascii="仿宋_GB2312" w:hAnsi="宋体" w:eastAsia="仿宋_GB2312" w:cs="宋体"/>
                <w:szCs w:val="21"/>
              </w:rPr>
            </w:pPr>
            <w:r>
              <w:rPr>
                <w:rFonts w:hint="eastAsia" w:ascii="仿宋_GB2312" w:hAnsi="宋体" w:eastAsia="仿宋_GB2312" w:cs="宋体"/>
                <w:szCs w:val="21"/>
              </w:rPr>
              <w:t>存在的问题</w:t>
            </w:r>
          </w:p>
        </w:tc>
        <w:tc>
          <w:tcPr>
            <w:tcW w:w="5670" w:type="dxa"/>
            <w:vAlign w:val="center"/>
          </w:tcPr>
          <w:p w14:paraId="28C048F1">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1．粮食生产稳产保供压力大。由于水系破坏以及自然灾害的影响导致耕地损毁等原因，复耕复种难度大。惠农政策变化大、粮食生产项目资金拨付迟，影响种粮主体对粮食生产的投入，种植双季效益低甚至亏损。</w:t>
            </w:r>
          </w:p>
          <w:p w14:paraId="7C546ED5">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2．农民增收难度大。我县农民收入主要来自家庭经营和务工收入，而经营成本上升，制约农民收入增长。近年来，农资价格都有所上涨，其中化肥价格上涨明显。精饲料、玉米价格上涨使得畜禽养殖成本增加，农业净收益减少，农民增收空间越来越小，难度越来越大。</w:t>
            </w:r>
          </w:p>
          <w:p w14:paraId="279E62C5">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3．农村劳动力老龄化。农业风险大、效益不高，年轻一代从事农业的热情不高，农村青壮年劳动力大部分外出务工，“老龄化”耕作问题日益凸显。</w:t>
            </w:r>
          </w:p>
          <w:p w14:paraId="3C6EBD64">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4．招商引资项目用地指标存在瓶颈。随着土地宏观调控趋紧，农村项目用地调规很难，项目用地问题一定程度上影响了经营主体发展设施农业的积极性，阻碍了招商引资和村级发展集体经济的步伐。</w:t>
            </w:r>
          </w:p>
          <w:p w14:paraId="3C8AF7A6">
            <w:pPr>
              <w:widowControl/>
              <w:ind w:firstLine="420" w:firstLineChars="200"/>
              <w:jc w:val="left"/>
              <w:rPr>
                <w:rFonts w:hint="eastAsia" w:ascii="仿宋" w:hAnsi="仿宋" w:eastAsia="仿宋" w:cs="仿宋"/>
                <w:b w:val="0"/>
                <w:bCs w:val="0"/>
                <w:color w:val="000000"/>
                <w:kern w:val="0"/>
                <w:sz w:val="21"/>
                <w:szCs w:val="21"/>
              </w:rPr>
            </w:pPr>
            <w:r>
              <w:rPr>
                <w:rFonts w:hint="default" w:ascii="仿宋" w:hAnsi="仿宋" w:eastAsia="仿宋" w:cs="仿宋"/>
                <w:b w:val="0"/>
                <w:bCs w:val="0"/>
                <w:color w:val="000000"/>
                <w:kern w:val="0"/>
                <w:sz w:val="21"/>
                <w:szCs w:val="21"/>
                <w:lang w:eastAsia="zh-CN"/>
              </w:rPr>
              <w:t>5.</w:t>
            </w:r>
            <w:r>
              <w:rPr>
                <w:rFonts w:hint="eastAsia" w:ascii="仿宋" w:hAnsi="仿宋" w:eastAsia="仿宋" w:cs="仿宋"/>
                <w:b w:val="0"/>
                <w:bCs w:val="0"/>
                <w:color w:val="000000"/>
                <w:kern w:val="0"/>
                <w:sz w:val="21"/>
                <w:szCs w:val="21"/>
              </w:rPr>
              <w:t>预算执行存在偏差。</w:t>
            </w:r>
            <w:r>
              <w:rPr>
                <w:rFonts w:hint="eastAsia" w:ascii="仿宋" w:hAnsi="仿宋" w:eastAsia="仿宋" w:cs="仿宋"/>
                <w:b w:val="0"/>
                <w:bCs w:val="0"/>
                <w:color w:val="000000"/>
                <w:kern w:val="0"/>
                <w:sz w:val="21"/>
                <w:szCs w:val="21"/>
                <w:lang w:eastAsia="zh-CN"/>
              </w:rPr>
              <w:t>因上级项目的不确定性，导致</w:t>
            </w:r>
            <w:r>
              <w:rPr>
                <w:rFonts w:hint="eastAsia" w:ascii="仿宋" w:hAnsi="仿宋" w:eastAsia="仿宋" w:cs="仿宋"/>
                <w:b w:val="0"/>
                <w:bCs w:val="0"/>
                <w:color w:val="000000"/>
                <w:kern w:val="0"/>
                <w:sz w:val="21"/>
                <w:szCs w:val="21"/>
              </w:rPr>
              <w:t>本年度</w:t>
            </w:r>
            <w:r>
              <w:rPr>
                <w:rFonts w:hint="eastAsia" w:ascii="仿宋" w:hAnsi="仿宋" w:eastAsia="仿宋" w:cs="仿宋"/>
                <w:b w:val="0"/>
                <w:bCs w:val="0"/>
                <w:color w:val="000000"/>
                <w:kern w:val="0"/>
                <w:sz w:val="21"/>
                <w:szCs w:val="21"/>
                <w:lang w:eastAsia="zh-CN"/>
              </w:rPr>
              <w:t>项目资金</w:t>
            </w:r>
            <w:r>
              <w:rPr>
                <w:rFonts w:hint="eastAsia" w:ascii="仿宋" w:hAnsi="仿宋" w:eastAsia="仿宋" w:cs="仿宋"/>
                <w:b w:val="0"/>
                <w:bCs w:val="0"/>
                <w:color w:val="000000"/>
                <w:kern w:val="0"/>
                <w:sz w:val="21"/>
                <w:szCs w:val="21"/>
              </w:rPr>
              <w:t>高于预算</w:t>
            </w:r>
            <w:r>
              <w:rPr>
                <w:rFonts w:hint="eastAsia" w:ascii="仿宋" w:hAnsi="仿宋" w:eastAsia="仿宋" w:cs="仿宋"/>
                <w:b w:val="0"/>
                <w:bCs w:val="0"/>
                <w:color w:val="000000"/>
                <w:kern w:val="0"/>
                <w:sz w:val="21"/>
                <w:szCs w:val="21"/>
                <w:lang w:eastAsia="zh-CN"/>
              </w:rPr>
              <w:t>金额</w:t>
            </w:r>
            <w:r>
              <w:rPr>
                <w:rFonts w:hint="eastAsia" w:ascii="仿宋" w:hAnsi="仿宋" w:eastAsia="仿宋" w:cs="仿宋"/>
                <w:b w:val="0"/>
                <w:bCs w:val="0"/>
                <w:color w:val="000000"/>
                <w:kern w:val="0"/>
                <w:sz w:val="21"/>
                <w:szCs w:val="21"/>
              </w:rPr>
              <w:t>，</w:t>
            </w:r>
            <w:r>
              <w:rPr>
                <w:rFonts w:hint="eastAsia" w:ascii="仿宋" w:hAnsi="仿宋" w:eastAsia="仿宋" w:cs="仿宋"/>
                <w:b w:val="0"/>
                <w:bCs w:val="0"/>
                <w:color w:val="000000"/>
                <w:kern w:val="0"/>
                <w:sz w:val="21"/>
                <w:szCs w:val="21"/>
                <w:lang w:eastAsia="zh-CN"/>
              </w:rPr>
              <w:t>且项目内容与年初预算存在差异，</w:t>
            </w:r>
            <w:r>
              <w:rPr>
                <w:rFonts w:hint="eastAsia" w:ascii="仿宋" w:hAnsi="仿宋" w:eastAsia="仿宋" w:cs="仿宋"/>
                <w:b w:val="0"/>
                <w:bCs w:val="0"/>
                <w:color w:val="000000"/>
                <w:kern w:val="0"/>
                <w:sz w:val="21"/>
                <w:szCs w:val="21"/>
              </w:rPr>
              <w:t>说明预算编制与实际情</w:t>
            </w:r>
            <w:r>
              <w:rPr>
                <w:rFonts w:hint="eastAsia" w:ascii="仿宋" w:hAnsi="仿宋" w:eastAsia="仿宋" w:cs="仿宋"/>
                <w:b w:val="0"/>
                <w:bCs w:val="0"/>
                <w:color w:val="000000"/>
                <w:kern w:val="0"/>
                <w:sz w:val="21"/>
                <w:szCs w:val="21"/>
                <w:lang w:eastAsia="zh-CN"/>
              </w:rPr>
              <w:t>况还</w:t>
            </w:r>
            <w:r>
              <w:rPr>
                <w:rFonts w:hint="eastAsia" w:ascii="仿宋" w:hAnsi="仿宋" w:eastAsia="仿宋" w:cs="仿宋"/>
                <w:b w:val="0"/>
                <w:bCs w:val="0"/>
                <w:color w:val="000000"/>
                <w:kern w:val="0"/>
                <w:sz w:val="21"/>
                <w:szCs w:val="21"/>
              </w:rPr>
              <w:t>存在</w:t>
            </w:r>
            <w:r>
              <w:rPr>
                <w:rFonts w:hint="eastAsia" w:ascii="仿宋" w:hAnsi="仿宋" w:eastAsia="仿宋" w:cs="仿宋"/>
                <w:b w:val="0"/>
                <w:bCs w:val="0"/>
                <w:color w:val="000000"/>
                <w:kern w:val="0"/>
                <w:sz w:val="21"/>
                <w:szCs w:val="21"/>
                <w:lang w:eastAsia="zh-CN"/>
              </w:rPr>
              <w:t>一定的</w:t>
            </w:r>
            <w:r>
              <w:rPr>
                <w:rFonts w:hint="eastAsia" w:ascii="仿宋" w:hAnsi="仿宋" w:eastAsia="仿宋" w:cs="仿宋"/>
                <w:b w:val="0"/>
                <w:bCs w:val="0"/>
                <w:color w:val="000000"/>
                <w:kern w:val="0"/>
                <w:sz w:val="21"/>
                <w:szCs w:val="21"/>
              </w:rPr>
              <w:t>偏差，</w:t>
            </w:r>
            <w:r>
              <w:rPr>
                <w:rFonts w:hint="eastAsia" w:ascii="仿宋" w:hAnsi="仿宋" w:eastAsia="仿宋" w:cs="仿宋"/>
                <w:b w:val="0"/>
                <w:bCs w:val="0"/>
                <w:color w:val="000000"/>
                <w:kern w:val="0"/>
                <w:sz w:val="21"/>
                <w:szCs w:val="21"/>
                <w:lang w:eastAsia="zh-CN"/>
              </w:rPr>
              <w:t>资金预算</w:t>
            </w:r>
            <w:r>
              <w:rPr>
                <w:rFonts w:hint="eastAsia" w:ascii="仿宋" w:hAnsi="仿宋" w:eastAsia="仿宋" w:cs="仿宋"/>
                <w:b w:val="0"/>
                <w:bCs w:val="0"/>
                <w:color w:val="000000"/>
                <w:kern w:val="0"/>
                <w:sz w:val="21"/>
                <w:szCs w:val="21"/>
              </w:rPr>
              <w:t>还有待进一步加强。</w:t>
            </w:r>
            <w:r>
              <w:rPr>
                <w:rFonts w:hint="eastAsia" w:ascii="仿宋" w:hAnsi="仿宋" w:eastAsia="仿宋" w:cs="仿宋"/>
                <w:b w:val="0"/>
                <w:bCs w:val="0"/>
                <w:color w:val="000000"/>
                <w:kern w:val="0"/>
                <w:sz w:val="21"/>
                <w:szCs w:val="21"/>
                <w:lang w:eastAsia="zh-CN"/>
              </w:rPr>
              <w:t>且因财政资金调度紧张，导致部分项目资金支出率较低，</w:t>
            </w:r>
            <w:r>
              <w:rPr>
                <w:rFonts w:hint="eastAsia" w:ascii="仿宋" w:hAnsi="仿宋" w:eastAsia="仿宋" w:cs="仿宋"/>
                <w:b w:val="0"/>
                <w:bCs w:val="0"/>
                <w:color w:val="000000"/>
                <w:kern w:val="0"/>
                <w:sz w:val="21"/>
                <w:szCs w:val="21"/>
              </w:rPr>
              <w:t>结转资金金额较大，影响项目绩效目标的编制和绩效评价指标的分析。</w:t>
            </w:r>
          </w:p>
          <w:p w14:paraId="66804780">
            <w:pPr>
              <w:widowControl/>
              <w:ind w:firstLine="420" w:firstLineChars="200"/>
              <w:jc w:val="left"/>
              <w:rPr>
                <w:rFonts w:ascii="仿宋_GB2312" w:hAnsi="宋体" w:eastAsia="仿宋_GB2312" w:cs="宋体"/>
                <w:szCs w:val="21"/>
              </w:rPr>
            </w:pPr>
            <w:r>
              <w:rPr>
                <w:rFonts w:hint="default" w:ascii="仿宋" w:hAnsi="仿宋" w:eastAsia="仿宋" w:cs="仿宋"/>
                <w:b w:val="0"/>
                <w:bCs w:val="0"/>
                <w:color w:val="000000"/>
                <w:kern w:val="0"/>
                <w:sz w:val="21"/>
                <w:szCs w:val="21"/>
                <w:lang w:eastAsia="zh-CN"/>
              </w:rPr>
              <w:t>6</w:t>
            </w:r>
            <w:r>
              <w:rPr>
                <w:rFonts w:hint="eastAsia" w:ascii="仿宋" w:hAnsi="仿宋" w:eastAsia="仿宋" w:cs="仿宋"/>
                <w:b w:val="0"/>
                <w:bCs w:val="0"/>
                <w:color w:val="000000"/>
                <w:kern w:val="0"/>
                <w:sz w:val="21"/>
                <w:szCs w:val="21"/>
                <w:lang w:val="en-US" w:eastAsia="zh-CN"/>
              </w:rPr>
              <w:t>.</w:t>
            </w:r>
            <w:r>
              <w:rPr>
                <w:rFonts w:hint="eastAsia" w:ascii="仿宋" w:hAnsi="仿宋" w:eastAsia="仿宋" w:cs="仿宋"/>
                <w:b w:val="0"/>
                <w:bCs w:val="0"/>
                <w:color w:val="000000"/>
                <w:kern w:val="0"/>
                <w:sz w:val="21"/>
                <w:szCs w:val="21"/>
                <w:lang w:eastAsia="zh-CN"/>
              </w:rPr>
              <w:t>项目管理</w:t>
            </w:r>
            <w:r>
              <w:rPr>
                <w:rFonts w:hint="default" w:ascii="仿宋" w:hAnsi="仿宋" w:eastAsia="仿宋" w:cs="仿宋"/>
                <w:b w:val="0"/>
                <w:bCs w:val="0"/>
                <w:color w:val="000000"/>
                <w:kern w:val="0"/>
                <w:sz w:val="21"/>
                <w:szCs w:val="21"/>
                <w:lang w:eastAsia="zh-CN"/>
              </w:rPr>
              <w:t>还</w:t>
            </w:r>
            <w:r>
              <w:rPr>
                <w:rFonts w:hint="eastAsia" w:ascii="仿宋" w:hAnsi="仿宋" w:eastAsia="仿宋" w:cs="仿宋"/>
                <w:b w:val="0"/>
                <w:bCs w:val="0"/>
                <w:color w:val="000000"/>
                <w:kern w:val="0"/>
                <w:sz w:val="21"/>
                <w:szCs w:val="21"/>
                <w:lang w:eastAsia="zh-CN"/>
              </w:rPr>
              <w:t>有待</w:t>
            </w:r>
            <w:r>
              <w:rPr>
                <w:rFonts w:hint="default" w:ascii="仿宋" w:hAnsi="仿宋" w:eastAsia="仿宋" w:cs="仿宋"/>
                <w:b w:val="0"/>
                <w:bCs w:val="0"/>
                <w:color w:val="000000"/>
                <w:kern w:val="0"/>
                <w:sz w:val="21"/>
                <w:szCs w:val="21"/>
                <w:lang w:eastAsia="zh-CN"/>
              </w:rPr>
              <w:t>进一步</w:t>
            </w:r>
            <w:r>
              <w:rPr>
                <w:rFonts w:hint="eastAsia" w:ascii="仿宋" w:hAnsi="仿宋" w:eastAsia="仿宋" w:cs="仿宋"/>
                <w:b w:val="0"/>
                <w:bCs w:val="0"/>
                <w:color w:val="000000"/>
                <w:kern w:val="0"/>
                <w:sz w:val="21"/>
                <w:szCs w:val="21"/>
                <w:lang w:eastAsia="zh-CN"/>
              </w:rPr>
              <w:t>加强</w:t>
            </w:r>
            <w:r>
              <w:rPr>
                <w:rFonts w:hint="default" w:ascii="仿宋" w:hAnsi="仿宋" w:eastAsia="仿宋" w:cs="仿宋"/>
                <w:b w:val="0"/>
                <w:bCs w:val="0"/>
                <w:color w:val="000000"/>
                <w:kern w:val="0"/>
                <w:sz w:val="21"/>
                <w:szCs w:val="21"/>
                <w:lang w:eastAsia="zh-CN"/>
              </w:rPr>
              <w:t>。</w:t>
            </w:r>
            <w:r>
              <w:rPr>
                <w:rFonts w:hint="eastAsia" w:ascii="仿宋" w:hAnsi="仿宋" w:eastAsia="仿宋" w:cs="仿宋"/>
                <w:b w:val="0"/>
                <w:bCs w:val="0"/>
                <w:color w:val="000000"/>
                <w:kern w:val="0"/>
                <w:sz w:val="21"/>
                <w:szCs w:val="21"/>
                <w:lang w:eastAsia="zh-CN"/>
              </w:rPr>
              <w:t>部分项目还存在目标设定</w:t>
            </w:r>
            <w:r>
              <w:rPr>
                <w:rFonts w:hint="default" w:ascii="仿宋" w:hAnsi="仿宋" w:eastAsia="仿宋" w:cs="仿宋"/>
                <w:b w:val="0"/>
                <w:bCs w:val="0"/>
                <w:color w:val="000000"/>
                <w:kern w:val="0"/>
                <w:sz w:val="21"/>
                <w:szCs w:val="21"/>
                <w:lang w:eastAsia="zh-CN"/>
              </w:rPr>
              <w:t>未细化、量化</w:t>
            </w:r>
            <w:r>
              <w:rPr>
                <w:rFonts w:hint="eastAsia"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lang w:eastAsia="zh-CN"/>
              </w:rPr>
              <w:t>项目</w:t>
            </w:r>
            <w:r>
              <w:rPr>
                <w:rFonts w:hint="eastAsia" w:ascii="仿宋" w:hAnsi="仿宋" w:eastAsia="仿宋" w:cs="仿宋"/>
                <w:b w:val="0"/>
                <w:bCs w:val="0"/>
                <w:color w:val="000000"/>
                <w:kern w:val="0"/>
                <w:sz w:val="21"/>
                <w:szCs w:val="21"/>
              </w:rPr>
              <w:t>管理制度</w:t>
            </w:r>
            <w:r>
              <w:rPr>
                <w:rFonts w:hint="default" w:ascii="仿宋" w:hAnsi="仿宋" w:eastAsia="仿宋" w:cs="仿宋"/>
                <w:b w:val="0"/>
                <w:bCs w:val="0"/>
                <w:color w:val="000000"/>
                <w:kern w:val="0"/>
                <w:sz w:val="21"/>
                <w:szCs w:val="21"/>
              </w:rPr>
              <w:t>不健全</w:t>
            </w:r>
            <w:r>
              <w:rPr>
                <w:rFonts w:hint="eastAsia"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lang w:eastAsia="zh-CN"/>
              </w:rPr>
              <w:t>财务管理不规范的现象</w:t>
            </w:r>
            <w:r>
              <w:rPr>
                <w:rFonts w:hint="eastAsia" w:ascii="仿宋" w:hAnsi="仿宋" w:eastAsia="仿宋" w:cs="仿宋"/>
                <w:b w:val="0"/>
                <w:bCs w:val="0"/>
                <w:color w:val="000000"/>
                <w:kern w:val="0"/>
                <w:sz w:val="21"/>
                <w:szCs w:val="21"/>
              </w:rPr>
              <w:t>。</w:t>
            </w:r>
          </w:p>
        </w:tc>
      </w:tr>
      <w:tr w14:paraId="5A767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384" w:type="dxa"/>
            <w:vMerge w:val="continue"/>
          </w:tcPr>
          <w:p w14:paraId="0E82C42A">
            <w:pPr>
              <w:spacing w:line="300" w:lineRule="exact"/>
              <w:jc w:val="center"/>
              <w:rPr>
                <w:rFonts w:ascii="仿宋_GB2312" w:hAnsi="宋体" w:eastAsia="仿宋_GB2312" w:cs="宋体"/>
                <w:szCs w:val="21"/>
              </w:rPr>
            </w:pPr>
          </w:p>
        </w:tc>
        <w:tc>
          <w:tcPr>
            <w:tcW w:w="1985" w:type="dxa"/>
            <w:vAlign w:val="center"/>
          </w:tcPr>
          <w:p w14:paraId="7C1B3325">
            <w:pPr>
              <w:spacing w:line="300" w:lineRule="exact"/>
              <w:jc w:val="center"/>
              <w:rPr>
                <w:rFonts w:ascii="仿宋_GB2312" w:hAnsi="宋体" w:eastAsia="仿宋_GB2312" w:cs="宋体"/>
                <w:szCs w:val="21"/>
              </w:rPr>
            </w:pPr>
            <w:r>
              <w:rPr>
                <w:rFonts w:hint="eastAsia" w:ascii="仿宋_GB2312" w:hAnsi="宋体" w:eastAsia="仿宋_GB2312" w:cs="宋体"/>
                <w:szCs w:val="21"/>
              </w:rPr>
              <w:t>改进措施</w:t>
            </w:r>
          </w:p>
        </w:tc>
        <w:tc>
          <w:tcPr>
            <w:tcW w:w="5670" w:type="dxa"/>
            <w:vAlign w:val="center"/>
          </w:tcPr>
          <w:p w14:paraId="306E1E8B">
            <w:pPr>
              <w:widowControl/>
              <w:ind w:firstLine="420" w:firstLineChars="200"/>
              <w:jc w:val="left"/>
              <w:rPr>
                <w:rFonts w:ascii="仿宋_GB2312" w:hAnsi="宋体" w:eastAsia="仿宋_GB2312" w:cs="宋体"/>
                <w:szCs w:val="21"/>
              </w:rPr>
            </w:pPr>
            <w:r>
              <w:rPr>
                <w:rFonts w:hint="eastAsia" w:ascii="仿宋" w:hAnsi="仿宋" w:eastAsia="仿宋" w:cs="仿宋"/>
                <w:color w:val="000000"/>
                <w:kern w:val="0"/>
                <w:sz w:val="21"/>
                <w:szCs w:val="21"/>
                <w:lang w:eastAsia="zh-CN"/>
              </w:rPr>
              <w:t>加强对项目的预算编制和管理，提高预算准确率，确保项目资金专款专用，专项核算</w:t>
            </w:r>
            <w:r>
              <w:rPr>
                <w:rFonts w:hint="eastAsia" w:ascii="仿宋" w:hAnsi="仿宋" w:eastAsia="仿宋" w:cs="仿宋"/>
                <w:color w:val="000000"/>
                <w:kern w:val="0"/>
                <w:sz w:val="21"/>
                <w:szCs w:val="21"/>
              </w:rPr>
              <w:t>。</w:t>
            </w:r>
          </w:p>
        </w:tc>
      </w:tr>
      <w:tr w14:paraId="05AE6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384" w:type="dxa"/>
            <w:vMerge w:val="continue"/>
          </w:tcPr>
          <w:p w14:paraId="0BD62978">
            <w:pPr>
              <w:spacing w:line="300" w:lineRule="exact"/>
              <w:jc w:val="center"/>
              <w:rPr>
                <w:rFonts w:ascii="仿宋_GB2312" w:hAnsi="宋体" w:eastAsia="仿宋_GB2312" w:cs="宋体"/>
                <w:szCs w:val="21"/>
              </w:rPr>
            </w:pPr>
          </w:p>
        </w:tc>
        <w:tc>
          <w:tcPr>
            <w:tcW w:w="1985" w:type="dxa"/>
            <w:vAlign w:val="center"/>
          </w:tcPr>
          <w:p w14:paraId="5DF7728F">
            <w:pPr>
              <w:spacing w:line="300" w:lineRule="exact"/>
              <w:jc w:val="center"/>
              <w:rPr>
                <w:rFonts w:ascii="仿宋_GB2312" w:hAnsi="宋体" w:eastAsia="仿宋_GB2312" w:cs="宋体"/>
                <w:szCs w:val="21"/>
              </w:rPr>
            </w:pPr>
            <w:r>
              <w:rPr>
                <w:rFonts w:hint="eastAsia" w:ascii="仿宋_GB2312" w:hAnsi="宋体" w:eastAsia="仿宋_GB2312" w:cs="宋体"/>
                <w:szCs w:val="21"/>
              </w:rPr>
              <w:t>其他需要说明问题</w:t>
            </w:r>
          </w:p>
        </w:tc>
        <w:tc>
          <w:tcPr>
            <w:tcW w:w="5670" w:type="dxa"/>
            <w:vAlign w:val="center"/>
          </w:tcPr>
          <w:p w14:paraId="38F930A2">
            <w:pPr>
              <w:widowControl/>
              <w:jc w:val="center"/>
              <w:rPr>
                <w:rFonts w:ascii="仿宋_GB2312" w:hAnsi="宋体" w:eastAsia="仿宋_GB2312" w:cs="宋体"/>
                <w:szCs w:val="21"/>
              </w:rPr>
            </w:pPr>
            <w:r>
              <w:rPr>
                <w:rFonts w:hint="eastAsia" w:ascii="仿宋_GB2312" w:hAnsi="宋体" w:eastAsia="仿宋_GB2312" w:cs="宋体"/>
                <w:color w:val="000000"/>
                <w:kern w:val="0"/>
                <w:sz w:val="21"/>
                <w:szCs w:val="21"/>
              </w:rPr>
              <w:t>无</w:t>
            </w:r>
          </w:p>
        </w:tc>
      </w:tr>
    </w:tbl>
    <w:p w14:paraId="52AC8AB5">
      <w:pPr>
        <w:spacing w:line="360" w:lineRule="exact"/>
        <w:jc w:val="left"/>
        <w:rPr>
          <w:rFonts w:ascii="仿宋_GB2312" w:hAnsi="仿宋" w:eastAsia="仿宋_GB2312"/>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lMTQzOGVkNTE4YjQ0OTkzODVkM2Y1YmQyM2Y5MjUifQ=="/>
  </w:docVars>
  <w:rsids>
    <w:rsidRoot w:val="00A475BD"/>
    <w:rsid w:val="0002540F"/>
    <w:rsid w:val="000353DE"/>
    <w:rsid w:val="000C2DBF"/>
    <w:rsid w:val="000E66F4"/>
    <w:rsid w:val="001004FA"/>
    <w:rsid w:val="0013438E"/>
    <w:rsid w:val="001500E8"/>
    <w:rsid w:val="001B7BDA"/>
    <w:rsid w:val="00236DD1"/>
    <w:rsid w:val="00242E12"/>
    <w:rsid w:val="00296D8F"/>
    <w:rsid w:val="002F4291"/>
    <w:rsid w:val="00320A9A"/>
    <w:rsid w:val="00357EF6"/>
    <w:rsid w:val="003856F7"/>
    <w:rsid w:val="003B008C"/>
    <w:rsid w:val="003E4AE1"/>
    <w:rsid w:val="004A7D07"/>
    <w:rsid w:val="004C58C8"/>
    <w:rsid w:val="004E4B92"/>
    <w:rsid w:val="0057187B"/>
    <w:rsid w:val="005B19B1"/>
    <w:rsid w:val="005B4ECE"/>
    <w:rsid w:val="00603C78"/>
    <w:rsid w:val="007B3ED6"/>
    <w:rsid w:val="007E0D82"/>
    <w:rsid w:val="007E5C6E"/>
    <w:rsid w:val="007F32B6"/>
    <w:rsid w:val="008218DB"/>
    <w:rsid w:val="00846C15"/>
    <w:rsid w:val="008733F8"/>
    <w:rsid w:val="008C2819"/>
    <w:rsid w:val="008D7ED7"/>
    <w:rsid w:val="00906F43"/>
    <w:rsid w:val="00953779"/>
    <w:rsid w:val="00997D22"/>
    <w:rsid w:val="009C34C3"/>
    <w:rsid w:val="009F21A8"/>
    <w:rsid w:val="00A475BD"/>
    <w:rsid w:val="00A75D37"/>
    <w:rsid w:val="00AB2508"/>
    <w:rsid w:val="00B16EF2"/>
    <w:rsid w:val="00B269E9"/>
    <w:rsid w:val="00B27412"/>
    <w:rsid w:val="00BB4084"/>
    <w:rsid w:val="00BC0452"/>
    <w:rsid w:val="00BF3DDB"/>
    <w:rsid w:val="00C43E6F"/>
    <w:rsid w:val="00CB3C29"/>
    <w:rsid w:val="00CC2CCE"/>
    <w:rsid w:val="00D36999"/>
    <w:rsid w:val="00D43044"/>
    <w:rsid w:val="00D4314B"/>
    <w:rsid w:val="00D72B76"/>
    <w:rsid w:val="00DB4326"/>
    <w:rsid w:val="00E411BB"/>
    <w:rsid w:val="00E6535C"/>
    <w:rsid w:val="00EC4B7B"/>
    <w:rsid w:val="00EE4C37"/>
    <w:rsid w:val="00F76D0E"/>
    <w:rsid w:val="0A9A2EBA"/>
    <w:rsid w:val="1075091F"/>
    <w:rsid w:val="29937ECA"/>
    <w:rsid w:val="43B10992"/>
    <w:rsid w:val="56FB7F2D"/>
    <w:rsid w:val="66B069DE"/>
    <w:rsid w:val="770E5AE1"/>
    <w:rsid w:val="7E2546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jc w:val="left"/>
    </w:pPr>
    <w:rPr>
      <w:rFonts w:ascii="宋体" w:hAnsi="宋体" w:cs="宋体"/>
      <w:kern w:val="0"/>
      <w:sz w:val="24"/>
    </w:rPr>
  </w:style>
  <w:style w:type="character" w:styleId="7">
    <w:name w:val="Strong"/>
    <w:basedOn w:val="6"/>
    <w:qFormat/>
    <w:uiPriority w:val="22"/>
    <w:rPr>
      <w:b/>
      <w:bCs/>
    </w:rPr>
  </w:style>
  <w:style w:type="character" w:customStyle="1" w:styleId="8">
    <w:name w:val="页眉 Char"/>
    <w:basedOn w:val="6"/>
    <w:link w:val="3"/>
    <w:semiHidden/>
    <w:qFormat/>
    <w:uiPriority w:val="99"/>
    <w:rPr>
      <w:rFonts w:ascii="Times New Roman" w:hAnsi="Times New Roman" w:eastAsia="宋体" w:cs="Times New Roman"/>
      <w:sz w:val="18"/>
      <w:szCs w:val="18"/>
    </w:rPr>
  </w:style>
  <w:style w:type="character" w:customStyle="1" w:styleId="9">
    <w:name w:val="页脚 Char"/>
    <w:basedOn w:val="6"/>
    <w:link w:val="2"/>
    <w:semiHidden/>
    <w:qFormat/>
    <w:uiPriority w:val="99"/>
    <w:rPr>
      <w:rFonts w:ascii="Times New Roman" w:hAnsi="Times New Roman" w:eastAsia="宋体" w:cs="Times New Roman"/>
      <w:sz w:val="18"/>
      <w:szCs w:val="18"/>
    </w:rPr>
  </w:style>
  <w:style w:type="paragraph" w:styleId="10">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1">
    <w:name w:val="列出段落1"/>
    <w:basedOn w:val="1"/>
    <w:qFormat/>
    <w:uiPriority w:val="0"/>
    <w:pPr>
      <w:tabs>
        <w:tab w:val="left" w:pos="0"/>
      </w:tabs>
      <w:spacing w:line="360" w:lineRule="auto"/>
      <w:ind w:firstLine="420" w:firstLineChars="200"/>
    </w:pPr>
    <w:rPr>
      <w:rFonts w:ascii="Calibri" w:hAnsi="Calibri" w:eastAsia="仿宋_GB2312"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99A78B5-739D-4030-98E8-A2B49E84FAFE}">
  <ds:schemaRefs/>
</ds:datastoreItem>
</file>

<file path=docProps/app.xml><?xml version="1.0" encoding="utf-8"?>
<Properties xmlns="http://schemas.openxmlformats.org/officeDocument/2006/extended-properties" xmlns:vt="http://schemas.openxmlformats.org/officeDocument/2006/docPropsVTypes">
  <Template>Normal</Template>
  <Company>湘潭县农业局</Company>
  <Pages>6</Pages>
  <Words>219</Words>
  <Characters>225</Characters>
  <Lines>78</Lines>
  <Paragraphs>22</Paragraphs>
  <TotalTime>3</TotalTime>
  <ScaleCrop>false</ScaleCrop>
  <LinksUpToDate>false</LinksUpToDate>
  <CharactersWithSpaces>226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2020-07-22T10:00:00Z</dcterms:created>
  <dc:creator>1D507-2</dc:creator>
  <cp:lastModifiedBy>棒棒糖</cp:lastModifiedBy>
  <cp:lastPrinted>2020-07-29T09:13:00Z</cp:lastPrinted>
  <dcterms:modified xsi:type="dcterms:W3CDTF">2025-05-30T07:27:11Z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94B6F1447A5B4842812C5BF264052784_13</vt:lpwstr>
  </property>
  <property fmtid="{D5CDD505-2E9C-101B-9397-08002B2CF9AE}" pid="4" name="KSOTemplateDocerSaveRecord">
    <vt:lpwstr>eyJoZGlkIjoiNzllMTQzOGVkNTE4YjQ0OTkzODVkM2Y1YmQyM2Y5MjUiLCJ1c2VySWQiOiI0NDU0MTIzMzgifQ==</vt:lpwstr>
  </property>
</Properties>
</file>