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4B164D">
      <w:pPr>
        <w:tabs>
          <w:tab w:val="left" w:pos="6480"/>
        </w:tabs>
        <w:spacing w:line="600" w:lineRule="exact"/>
        <w:jc w:val="center"/>
        <w:rPr>
          <w:rFonts w:ascii="宋体" w:hAnsi="宋体" w:cs="方正小标宋_GBK"/>
          <w:b/>
          <w:sz w:val="36"/>
          <w:szCs w:val="36"/>
          <w:highlight w:val="none"/>
        </w:rPr>
      </w:pPr>
      <w:r>
        <w:rPr>
          <w:rFonts w:hint="eastAsia" w:ascii="宋体" w:hAnsi="宋体" w:cs="方正小标宋_GBK"/>
          <w:b/>
          <w:sz w:val="36"/>
          <w:szCs w:val="36"/>
          <w:highlight w:val="none"/>
        </w:rPr>
        <w:t>湖南湘潭天易经济开发区管理委员会</w:t>
      </w:r>
    </w:p>
    <w:p w14:paraId="7670A8DC">
      <w:pPr>
        <w:tabs>
          <w:tab w:val="left" w:pos="6480"/>
        </w:tabs>
        <w:spacing w:line="600" w:lineRule="exact"/>
        <w:jc w:val="center"/>
        <w:rPr>
          <w:rFonts w:ascii="宋体" w:hAnsi="宋体" w:cs="方正小标宋_GBK"/>
          <w:b/>
          <w:sz w:val="36"/>
          <w:szCs w:val="36"/>
          <w:highlight w:val="none"/>
        </w:rPr>
      </w:pPr>
      <w:r>
        <w:rPr>
          <w:rFonts w:hint="eastAsia" w:ascii="宋体" w:hAnsi="宋体" w:cs="方正小标宋_GBK"/>
          <w:b/>
          <w:bCs/>
          <w:sz w:val="36"/>
          <w:szCs w:val="36"/>
          <w:highlight w:val="none"/>
          <w:lang w:val="en-US" w:eastAsia="zh-CN"/>
        </w:rPr>
        <w:t>2024年度</w:t>
      </w:r>
      <w:r>
        <w:rPr>
          <w:rFonts w:hint="eastAsia" w:ascii="宋体" w:hAnsi="宋体" w:cs="方正小标宋_GBK"/>
          <w:b/>
          <w:bCs/>
          <w:sz w:val="36"/>
          <w:szCs w:val="36"/>
          <w:highlight w:val="none"/>
        </w:rPr>
        <w:t>部门整体支出绩效评价报告</w:t>
      </w:r>
    </w:p>
    <w:tbl>
      <w:tblPr>
        <w:tblStyle w:val="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702"/>
      </w:tblGrid>
      <w:tr w14:paraId="4967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503FDCCA">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部门概况</w:t>
            </w:r>
          </w:p>
        </w:tc>
        <w:tc>
          <w:tcPr>
            <w:tcW w:w="1985" w:type="dxa"/>
            <w:vAlign w:val="center"/>
          </w:tcPr>
          <w:p w14:paraId="1140C10D">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单位名称</w:t>
            </w:r>
          </w:p>
        </w:tc>
        <w:tc>
          <w:tcPr>
            <w:tcW w:w="5702" w:type="dxa"/>
            <w:vAlign w:val="center"/>
          </w:tcPr>
          <w:p w14:paraId="429A3540">
            <w:pPr>
              <w:spacing w:line="576" w:lineRule="exact"/>
              <w:ind w:right="880" w:rightChars="419"/>
              <w:jc w:val="center"/>
              <w:rPr>
                <w:rFonts w:hint="eastAsia" w:ascii="仿宋" w:hAnsi="仿宋" w:eastAsia="仿宋" w:cs="仿宋"/>
                <w:szCs w:val="21"/>
                <w:highlight w:val="none"/>
              </w:rPr>
            </w:pPr>
            <w:r>
              <w:rPr>
                <w:rFonts w:hint="eastAsia" w:ascii="仿宋" w:hAnsi="仿宋" w:eastAsia="仿宋" w:cs="仿宋"/>
                <w:szCs w:val="21"/>
                <w:highlight w:val="none"/>
              </w:rPr>
              <w:t>湖南湘潭天易经济开发区管理委员会</w:t>
            </w:r>
          </w:p>
        </w:tc>
      </w:tr>
      <w:tr w14:paraId="0A2D3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3B98258">
            <w:pPr>
              <w:spacing w:line="576" w:lineRule="exact"/>
              <w:jc w:val="center"/>
              <w:rPr>
                <w:rFonts w:hint="eastAsia" w:ascii="仿宋" w:hAnsi="仿宋" w:eastAsia="仿宋" w:cs="仿宋"/>
                <w:szCs w:val="21"/>
                <w:highlight w:val="none"/>
              </w:rPr>
            </w:pPr>
          </w:p>
        </w:tc>
        <w:tc>
          <w:tcPr>
            <w:tcW w:w="1985" w:type="dxa"/>
            <w:vAlign w:val="center"/>
          </w:tcPr>
          <w:p w14:paraId="15CEDD86">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年度预算金额</w:t>
            </w:r>
          </w:p>
        </w:tc>
        <w:tc>
          <w:tcPr>
            <w:tcW w:w="5702" w:type="dxa"/>
            <w:vAlign w:val="center"/>
          </w:tcPr>
          <w:p w14:paraId="126C5995">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2024年，天易经开区年初批复预算收入为73811万元，其中财政预算内拨款13811万元，政府性基金收入60000万元。2024年，天易经开区年初批复预算支出73811万元，其中一般公共预算拨款支出13811万元（包含基本支出1253万元，项目支出12558万元），政府性基金预算支出60000万元(均为项目支出)。</w:t>
            </w:r>
          </w:p>
        </w:tc>
      </w:tr>
      <w:tr w14:paraId="3EA16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67D2FD7">
            <w:pPr>
              <w:spacing w:line="576" w:lineRule="exact"/>
              <w:jc w:val="center"/>
              <w:rPr>
                <w:rFonts w:hint="eastAsia" w:ascii="仿宋" w:hAnsi="仿宋" w:eastAsia="仿宋" w:cs="仿宋"/>
                <w:szCs w:val="21"/>
                <w:highlight w:val="none"/>
              </w:rPr>
            </w:pPr>
          </w:p>
        </w:tc>
        <w:tc>
          <w:tcPr>
            <w:tcW w:w="1985" w:type="dxa"/>
            <w:vAlign w:val="center"/>
          </w:tcPr>
          <w:p w14:paraId="7884261A">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主管部门</w:t>
            </w:r>
          </w:p>
        </w:tc>
        <w:tc>
          <w:tcPr>
            <w:tcW w:w="5702" w:type="dxa"/>
            <w:vAlign w:val="center"/>
          </w:tcPr>
          <w:p w14:paraId="2C929EB7">
            <w:pPr>
              <w:spacing w:line="576" w:lineRule="exact"/>
              <w:ind w:right="880" w:rightChars="419"/>
              <w:jc w:val="center"/>
              <w:rPr>
                <w:rFonts w:hint="eastAsia" w:ascii="仿宋" w:hAnsi="仿宋" w:eastAsia="仿宋" w:cs="仿宋"/>
                <w:szCs w:val="21"/>
                <w:highlight w:val="none"/>
              </w:rPr>
            </w:pPr>
            <w:r>
              <w:rPr>
                <w:rFonts w:hint="eastAsia" w:ascii="仿宋" w:hAnsi="仿宋" w:eastAsia="仿宋" w:cs="仿宋"/>
                <w:szCs w:val="21"/>
                <w:highlight w:val="none"/>
              </w:rPr>
              <w:t>湖南湘潭天易经济开发区管理委员会</w:t>
            </w:r>
          </w:p>
        </w:tc>
      </w:tr>
      <w:tr w14:paraId="0F41C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FAA3C8D">
            <w:pPr>
              <w:spacing w:line="576" w:lineRule="exact"/>
              <w:jc w:val="center"/>
              <w:rPr>
                <w:rFonts w:hint="eastAsia" w:ascii="仿宋" w:hAnsi="仿宋" w:eastAsia="仿宋" w:cs="仿宋"/>
                <w:szCs w:val="21"/>
                <w:highlight w:val="none"/>
              </w:rPr>
            </w:pPr>
          </w:p>
        </w:tc>
        <w:tc>
          <w:tcPr>
            <w:tcW w:w="1985" w:type="dxa"/>
            <w:vAlign w:val="center"/>
          </w:tcPr>
          <w:p w14:paraId="55B6E45A">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单位基本职能</w:t>
            </w:r>
          </w:p>
        </w:tc>
        <w:tc>
          <w:tcPr>
            <w:tcW w:w="5702" w:type="dxa"/>
            <w:vAlign w:val="center"/>
          </w:tcPr>
          <w:p w14:paraId="4AF5C832">
            <w:pPr>
              <w:spacing w:line="300" w:lineRule="exact"/>
              <w:rPr>
                <w:rFonts w:hint="eastAsia" w:ascii="仿宋" w:hAnsi="仿宋" w:eastAsia="仿宋" w:cs="仿宋"/>
                <w:highlight w:val="none"/>
              </w:rPr>
            </w:pPr>
            <w:r>
              <w:rPr>
                <w:rFonts w:hint="eastAsia" w:ascii="仿宋" w:hAnsi="仿宋" w:eastAsia="仿宋" w:cs="仿宋"/>
                <w:highlight w:val="none"/>
              </w:rPr>
              <w:t>1.负责贯彻执行党和国家关于发展开发区的方针政策、法律法规和决策部署。</w:t>
            </w:r>
          </w:p>
          <w:p w14:paraId="44D2F194">
            <w:pPr>
              <w:spacing w:line="300" w:lineRule="exact"/>
              <w:rPr>
                <w:rFonts w:hint="eastAsia" w:ascii="仿宋" w:hAnsi="仿宋" w:eastAsia="仿宋" w:cs="仿宋"/>
                <w:highlight w:val="none"/>
              </w:rPr>
            </w:pPr>
            <w:r>
              <w:rPr>
                <w:rFonts w:hint="eastAsia" w:ascii="仿宋" w:hAnsi="仿宋" w:eastAsia="仿宋" w:cs="仿宋"/>
                <w:highlight w:val="none"/>
              </w:rPr>
              <w:t>2.负责研究拟订和组织实施天易经开区重大发展战略、发展规划和工作计划。</w:t>
            </w:r>
          </w:p>
          <w:p w14:paraId="51EDDCD1">
            <w:pPr>
              <w:spacing w:line="300" w:lineRule="exact"/>
              <w:rPr>
                <w:rFonts w:hint="eastAsia" w:ascii="仿宋" w:hAnsi="仿宋" w:eastAsia="仿宋" w:cs="仿宋"/>
                <w:highlight w:val="none"/>
              </w:rPr>
            </w:pPr>
            <w:r>
              <w:rPr>
                <w:rFonts w:hint="eastAsia" w:ascii="仿宋" w:hAnsi="仿宋" w:eastAsia="仿宋" w:cs="仿宋"/>
                <w:highlight w:val="none"/>
              </w:rPr>
              <w:t>3.根据湘潭市、湘潭县国土空间总体规划、土地利用总体规划以及国民经济产业总体规划的要求和相关权限，负责统筹建设发展空间布局。负责拟订天易经开区经济发展总体规划、产业发展规划、产业政策、项目准入标准等并组织实施，统一规划产业布局。</w:t>
            </w:r>
          </w:p>
          <w:p w14:paraId="55DEB466">
            <w:pPr>
              <w:spacing w:line="300" w:lineRule="exact"/>
              <w:rPr>
                <w:rFonts w:hint="eastAsia" w:ascii="仿宋" w:hAnsi="仿宋" w:eastAsia="仿宋" w:cs="仿宋"/>
                <w:highlight w:val="none"/>
              </w:rPr>
            </w:pPr>
            <w:r>
              <w:rPr>
                <w:rFonts w:hint="eastAsia" w:ascii="仿宋" w:hAnsi="仿宋" w:eastAsia="仿宋" w:cs="仿宋"/>
                <w:highlight w:val="none"/>
              </w:rPr>
              <w:t>4.负责天易经开区招商引资工作，组织对外经济技术合作与交流。负责统筹推进基础设施、公用事业、重大项目的建设等相关工作。</w:t>
            </w:r>
          </w:p>
          <w:p w14:paraId="608613F8">
            <w:pPr>
              <w:spacing w:line="300" w:lineRule="exact"/>
              <w:rPr>
                <w:rFonts w:hint="eastAsia" w:ascii="仿宋" w:hAnsi="仿宋" w:eastAsia="仿宋" w:cs="仿宋"/>
                <w:highlight w:val="none"/>
              </w:rPr>
            </w:pPr>
            <w:r>
              <w:rPr>
                <w:rFonts w:hint="eastAsia" w:ascii="仿宋" w:hAnsi="仿宋" w:eastAsia="仿宋" w:cs="仿宋"/>
                <w:highlight w:val="none"/>
              </w:rPr>
              <w:t>5.负责天易经开区优化营商环境工作，根据权限依法承担有关行政审批工作，履行行政审批服务职责。</w:t>
            </w:r>
          </w:p>
          <w:p w14:paraId="3F0E50F6">
            <w:pPr>
              <w:spacing w:line="300" w:lineRule="exact"/>
              <w:rPr>
                <w:rFonts w:hint="eastAsia" w:ascii="仿宋" w:hAnsi="仿宋" w:eastAsia="仿宋" w:cs="仿宋"/>
                <w:highlight w:val="none"/>
              </w:rPr>
            </w:pPr>
            <w:r>
              <w:rPr>
                <w:rFonts w:hint="eastAsia" w:ascii="仿宋" w:hAnsi="仿宋" w:eastAsia="仿宋" w:cs="仿宋"/>
                <w:highlight w:val="none"/>
              </w:rPr>
              <w:t>6.负责天易经开区内企业的管理和服务，协助企业开展科技创新以及申报高新技术项目、高新技术企业和项目扶持资金。指导区内企业建立现代企业制度，推进高新技术产业化、国际化。</w:t>
            </w:r>
          </w:p>
          <w:p w14:paraId="1A199AB0">
            <w:pPr>
              <w:spacing w:line="300" w:lineRule="exact"/>
              <w:rPr>
                <w:rFonts w:hint="eastAsia" w:ascii="仿宋" w:hAnsi="仿宋" w:eastAsia="仿宋" w:cs="仿宋"/>
                <w:highlight w:val="none"/>
              </w:rPr>
            </w:pPr>
            <w:r>
              <w:rPr>
                <w:rFonts w:hint="eastAsia" w:ascii="仿宋" w:hAnsi="仿宋" w:eastAsia="仿宋" w:cs="仿宋"/>
                <w:highlight w:val="none"/>
              </w:rPr>
              <w:t>7.根据有关要求和职责分工，承担天易经开区综合管理、统计、内部审计、信息、财政收支管理、国有资产管理、安全生产监督管理、生态环境保护等工作。</w:t>
            </w:r>
          </w:p>
          <w:p w14:paraId="1DFF1CD4">
            <w:pPr>
              <w:spacing w:line="300" w:lineRule="exact"/>
              <w:rPr>
                <w:rFonts w:hint="eastAsia" w:ascii="仿宋" w:hAnsi="仿宋" w:eastAsia="仿宋" w:cs="仿宋"/>
                <w:highlight w:val="none"/>
              </w:rPr>
            </w:pPr>
            <w:r>
              <w:rPr>
                <w:rFonts w:hint="eastAsia" w:ascii="仿宋" w:hAnsi="仿宋" w:eastAsia="仿宋" w:cs="仿宋"/>
                <w:highlight w:val="none"/>
              </w:rPr>
              <w:t>8.负责天易经开区党的建设和“两新”组织党建等工作。</w:t>
            </w:r>
          </w:p>
          <w:p w14:paraId="55E4B5C3">
            <w:pPr>
              <w:spacing w:line="300" w:lineRule="exact"/>
              <w:rPr>
                <w:rFonts w:hint="eastAsia" w:ascii="仿宋" w:hAnsi="仿宋" w:eastAsia="仿宋" w:cs="仿宋"/>
                <w:highlight w:val="none"/>
              </w:rPr>
            </w:pPr>
            <w:r>
              <w:rPr>
                <w:rFonts w:hint="eastAsia" w:ascii="仿宋" w:hAnsi="仿宋" w:eastAsia="仿宋" w:cs="仿宋"/>
                <w:highlight w:val="none"/>
              </w:rPr>
              <w:t>9.负责天易经开区人才队伍建设，协助企业做好人才引进和服务工作。</w:t>
            </w:r>
          </w:p>
          <w:p w14:paraId="7DF45AB8">
            <w:pPr>
              <w:spacing w:line="300" w:lineRule="exact"/>
              <w:rPr>
                <w:rFonts w:hint="eastAsia" w:ascii="仿宋" w:hAnsi="仿宋" w:eastAsia="仿宋" w:cs="仿宋"/>
                <w:szCs w:val="21"/>
                <w:highlight w:val="none"/>
                <w:lang w:eastAsia="zh-CN"/>
              </w:rPr>
            </w:pPr>
            <w:r>
              <w:rPr>
                <w:rFonts w:hint="eastAsia" w:ascii="仿宋" w:hAnsi="仿宋" w:eastAsia="仿宋" w:cs="仿宋"/>
                <w:highlight w:val="none"/>
              </w:rPr>
              <w:t>10.承办湘潭市委、湘潭市人民政府和湘潭县委、湘潭县人民政府交办的其他事项。</w:t>
            </w:r>
          </w:p>
        </w:tc>
      </w:tr>
      <w:tr w14:paraId="76401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5CC1903F">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绩效完成情况</w:t>
            </w:r>
          </w:p>
        </w:tc>
        <w:tc>
          <w:tcPr>
            <w:tcW w:w="1985" w:type="dxa"/>
            <w:vAlign w:val="center"/>
          </w:tcPr>
          <w:p w14:paraId="41935E80">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部门整体支出管理和使用基本情况</w:t>
            </w:r>
          </w:p>
        </w:tc>
        <w:tc>
          <w:tcPr>
            <w:tcW w:w="5702" w:type="dxa"/>
          </w:tcPr>
          <w:p w14:paraId="62E4A954">
            <w:pPr>
              <w:spacing w:line="300" w:lineRule="exact"/>
              <w:ind w:firstLine="420" w:firstLineChars="200"/>
              <w:rPr>
                <w:rFonts w:hint="eastAsia" w:ascii="仿宋" w:hAnsi="仿宋" w:eastAsia="仿宋" w:cs="仿宋"/>
                <w:highlight w:val="none"/>
                <w:lang w:eastAsia="zh-CN"/>
              </w:rPr>
            </w:pPr>
            <w:r>
              <w:rPr>
                <w:rFonts w:hint="eastAsia" w:ascii="仿宋" w:hAnsi="仿宋" w:eastAsia="仿宋" w:cs="仿宋"/>
                <w:highlight w:val="none"/>
                <w:lang w:eastAsia="zh-CN"/>
              </w:rPr>
              <w:t>2024年</w:t>
            </w:r>
            <w:r>
              <w:rPr>
                <w:rFonts w:hint="eastAsia" w:ascii="仿宋" w:hAnsi="仿宋" w:eastAsia="仿宋" w:cs="仿宋"/>
                <w:highlight w:val="none"/>
              </w:rPr>
              <w:t>，天易经开区坚持以习近平新时代中国特色社会主义思想为指导</w:t>
            </w:r>
            <w:r>
              <w:rPr>
                <w:rFonts w:hint="eastAsia" w:ascii="仿宋" w:hAnsi="仿宋" w:eastAsia="仿宋" w:cs="仿宋"/>
                <w:highlight w:val="none"/>
                <w:lang w:eastAsia="zh-CN"/>
              </w:rPr>
              <w:t>，在县委县政府的坚强领导下，</w:t>
            </w:r>
            <w:r>
              <w:rPr>
                <w:rFonts w:hint="eastAsia" w:ascii="仿宋" w:hAnsi="仿宋" w:eastAsia="仿宋" w:cs="仿宋"/>
                <w:highlight w:val="none"/>
              </w:rPr>
              <w:t>落实“四敢”要求，树立</w:t>
            </w:r>
            <w:r>
              <w:rPr>
                <w:rFonts w:hint="eastAsia" w:ascii="仿宋" w:hAnsi="仿宋" w:eastAsia="仿宋" w:cs="仿宋"/>
                <w:highlight w:val="none"/>
                <w:lang w:eastAsia="zh-CN"/>
              </w:rPr>
              <w:t>和践行</w:t>
            </w:r>
            <w:r>
              <w:rPr>
                <w:rFonts w:hint="eastAsia" w:ascii="仿宋" w:hAnsi="仿宋" w:eastAsia="仿宋" w:cs="仿宋"/>
                <w:highlight w:val="none"/>
              </w:rPr>
              <w:t>正确政绩观，以敢闯敢拼、不怕风雨的干劲，开创</w:t>
            </w:r>
            <w:r>
              <w:rPr>
                <w:rFonts w:hint="eastAsia" w:ascii="仿宋" w:hAnsi="仿宋" w:eastAsia="仿宋" w:cs="仿宋"/>
                <w:highlight w:val="none"/>
                <w:lang w:eastAsia="zh-CN"/>
              </w:rPr>
              <w:t>了</w:t>
            </w:r>
            <w:r>
              <w:rPr>
                <w:rFonts w:hint="eastAsia" w:ascii="仿宋" w:hAnsi="仿宋" w:eastAsia="仿宋" w:cs="仿宋"/>
                <w:highlight w:val="none"/>
              </w:rPr>
              <w:t>高质量发展新局面</w:t>
            </w:r>
            <w:r>
              <w:rPr>
                <w:rFonts w:hint="eastAsia" w:ascii="仿宋" w:hAnsi="仿宋" w:eastAsia="仿宋" w:cs="仿宋"/>
                <w:highlight w:val="none"/>
                <w:lang w:eastAsia="zh-CN"/>
              </w:rPr>
              <w:t>。</w:t>
            </w:r>
          </w:p>
          <w:p w14:paraId="380950DC">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szCs w:val="21"/>
                <w:highlight w:val="none"/>
                <w:lang w:val="en-US" w:eastAsia="zh-CN"/>
              </w:rPr>
              <w:t>一、预算执行情况</w:t>
            </w:r>
          </w:p>
          <w:p w14:paraId="14988972">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eastAsia="zh-CN"/>
              </w:rPr>
              <w:t>1、</w:t>
            </w:r>
            <w:r>
              <w:rPr>
                <w:rFonts w:hint="eastAsia" w:ascii="仿宋" w:hAnsi="仿宋" w:eastAsia="仿宋" w:cs="仿宋"/>
                <w:highlight w:val="none"/>
                <w:lang w:val="zh-CN" w:eastAsia="zh-CN"/>
              </w:rPr>
              <w:t>2024年</w:t>
            </w:r>
            <w:r>
              <w:rPr>
                <w:rFonts w:hint="eastAsia" w:ascii="仿宋" w:hAnsi="仿宋" w:eastAsia="仿宋" w:cs="仿宋"/>
                <w:highlight w:val="none"/>
                <w:lang w:val="en-US" w:eastAsia="zh-CN"/>
              </w:rPr>
              <w:t>收入</w:t>
            </w:r>
            <w:r>
              <w:rPr>
                <w:rFonts w:hint="eastAsia" w:ascii="仿宋" w:hAnsi="仿宋" w:eastAsia="仿宋" w:cs="仿宋"/>
                <w:highlight w:val="none"/>
                <w:lang w:val="zh-CN" w:eastAsia="zh-CN"/>
              </w:rPr>
              <w:t>决算数为</w:t>
            </w:r>
            <w:r>
              <w:rPr>
                <w:rFonts w:hint="eastAsia" w:ascii="仿宋" w:hAnsi="仿宋" w:eastAsia="仿宋" w:cs="仿宋"/>
                <w:highlight w:val="none"/>
                <w:lang w:val="en-US" w:eastAsia="zh-CN"/>
              </w:rPr>
              <w:t>27749.49</w:t>
            </w:r>
            <w:r>
              <w:rPr>
                <w:rFonts w:hint="eastAsia" w:ascii="仿宋" w:hAnsi="仿宋" w:eastAsia="仿宋" w:cs="仿宋"/>
                <w:highlight w:val="none"/>
                <w:lang w:val="zh-CN" w:eastAsia="zh-CN"/>
              </w:rPr>
              <w:t>万元，其中：</w:t>
            </w:r>
            <w:r>
              <w:rPr>
                <w:rFonts w:hint="eastAsia" w:ascii="仿宋" w:hAnsi="仿宋" w:eastAsia="仿宋" w:cs="仿宋"/>
                <w:highlight w:val="none"/>
                <w:lang w:val="en-US" w:eastAsia="zh-CN"/>
              </w:rPr>
              <w:t>一般公共预算财政拨款收入11067.84万元，占总收入的39.88%；纳入预算管理的非税收入16565.35万元，占总收入的59.7%;</w:t>
            </w:r>
          </w:p>
          <w:p w14:paraId="67753BD8">
            <w:pPr>
              <w:spacing w:line="300" w:lineRule="exact"/>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其他收入116.3万元，占总收入的0.42%。</w:t>
            </w:r>
          </w:p>
          <w:p w14:paraId="67892052">
            <w:pPr>
              <w:spacing w:line="300" w:lineRule="exact"/>
              <w:ind w:firstLine="420" w:firstLineChars="200"/>
              <w:rPr>
                <w:rFonts w:hint="eastAsia" w:ascii="仿宋" w:hAnsi="仿宋" w:eastAsia="仿宋" w:cs="仿宋"/>
                <w:highlight w:val="none"/>
                <w:lang w:val="zh-CN" w:eastAsia="zh-CN"/>
              </w:rPr>
            </w:pPr>
            <w:r>
              <w:rPr>
                <w:rFonts w:hint="eastAsia" w:ascii="仿宋" w:hAnsi="仿宋" w:eastAsia="仿宋" w:cs="仿宋"/>
                <w:highlight w:val="none"/>
                <w:lang w:eastAsia="zh-CN"/>
              </w:rPr>
              <w:t>2、</w:t>
            </w:r>
            <w:r>
              <w:rPr>
                <w:rFonts w:hint="eastAsia" w:ascii="仿宋" w:hAnsi="仿宋" w:eastAsia="仿宋" w:cs="仿宋"/>
                <w:highlight w:val="none"/>
                <w:lang w:val="zh-CN" w:eastAsia="zh-CN"/>
              </w:rPr>
              <w:t>2024年支出决算</w:t>
            </w:r>
            <w:r>
              <w:rPr>
                <w:rFonts w:hint="eastAsia" w:ascii="仿宋" w:hAnsi="仿宋" w:eastAsia="仿宋" w:cs="仿宋"/>
                <w:highlight w:val="none"/>
                <w:lang w:val="en-US" w:eastAsia="zh-CN"/>
              </w:rPr>
              <w:t>数</w:t>
            </w:r>
            <w:r>
              <w:rPr>
                <w:rFonts w:hint="eastAsia" w:ascii="仿宋" w:hAnsi="仿宋" w:eastAsia="仿宋" w:cs="仿宋"/>
                <w:highlight w:val="none"/>
                <w:lang w:val="zh-CN" w:eastAsia="zh-CN"/>
              </w:rPr>
              <w:t>为</w:t>
            </w:r>
            <w:r>
              <w:rPr>
                <w:rFonts w:hint="eastAsia" w:ascii="仿宋" w:hAnsi="仿宋" w:eastAsia="仿宋" w:cs="仿宋"/>
                <w:highlight w:val="none"/>
                <w:lang w:val="en-US" w:eastAsia="zh-CN"/>
              </w:rPr>
              <w:t>27749.49</w:t>
            </w:r>
            <w:r>
              <w:rPr>
                <w:rFonts w:hint="eastAsia" w:ascii="仿宋" w:hAnsi="仿宋" w:eastAsia="仿宋" w:cs="仿宋"/>
                <w:highlight w:val="none"/>
                <w:lang w:val="zh-CN" w:eastAsia="zh-CN"/>
              </w:rPr>
              <w:t>万元，其中基本支出</w:t>
            </w:r>
            <w:r>
              <w:rPr>
                <w:rFonts w:hint="eastAsia" w:ascii="仿宋" w:hAnsi="仿宋" w:eastAsia="仿宋" w:cs="仿宋"/>
                <w:highlight w:val="none"/>
                <w:lang w:val="en-US" w:eastAsia="zh-CN"/>
              </w:rPr>
              <w:t>1139.3</w:t>
            </w:r>
            <w:r>
              <w:rPr>
                <w:rFonts w:hint="eastAsia" w:ascii="仿宋" w:hAnsi="仿宋" w:eastAsia="仿宋" w:cs="仿宋"/>
                <w:highlight w:val="none"/>
                <w:lang w:val="zh-CN" w:eastAsia="zh-CN"/>
              </w:rPr>
              <w:t>万元，占总支出的</w:t>
            </w:r>
            <w:r>
              <w:rPr>
                <w:rFonts w:hint="eastAsia" w:ascii="仿宋" w:hAnsi="仿宋" w:eastAsia="仿宋" w:cs="仿宋"/>
                <w:highlight w:val="none"/>
                <w:lang w:val="en-US" w:eastAsia="zh-CN"/>
              </w:rPr>
              <w:t>4.11</w:t>
            </w:r>
            <w:r>
              <w:rPr>
                <w:rFonts w:hint="eastAsia" w:ascii="仿宋" w:hAnsi="仿宋" w:eastAsia="仿宋" w:cs="仿宋"/>
                <w:highlight w:val="none"/>
                <w:lang w:val="zh-CN" w:eastAsia="zh-CN"/>
              </w:rPr>
              <w:t>%；项目支出</w:t>
            </w:r>
            <w:r>
              <w:rPr>
                <w:rFonts w:hint="eastAsia" w:ascii="仿宋" w:hAnsi="仿宋" w:eastAsia="仿宋" w:cs="仿宋"/>
                <w:highlight w:val="none"/>
                <w:lang w:val="en-US" w:eastAsia="zh-CN"/>
              </w:rPr>
              <w:t>26610.19</w:t>
            </w:r>
            <w:r>
              <w:rPr>
                <w:rFonts w:hint="eastAsia" w:ascii="仿宋" w:hAnsi="仿宋" w:eastAsia="仿宋" w:cs="仿宋"/>
                <w:highlight w:val="none"/>
                <w:lang w:val="zh-CN" w:eastAsia="zh-CN"/>
              </w:rPr>
              <w:t>万元，占总支出的</w:t>
            </w:r>
            <w:r>
              <w:rPr>
                <w:rFonts w:hint="eastAsia" w:ascii="仿宋" w:hAnsi="仿宋" w:eastAsia="仿宋" w:cs="仿宋"/>
                <w:highlight w:val="none"/>
                <w:lang w:val="en-US" w:eastAsia="zh-CN"/>
              </w:rPr>
              <w:t>95.89</w:t>
            </w:r>
            <w:r>
              <w:rPr>
                <w:rFonts w:hint="eastAsia" w:ascii="仿宋" w:hAnsi="仿宋" w:eastAsia="仿宋" w:cs="仿宋"/>
                <w:highlight w:val="none"/>
                <w:lang w:val="zh-CN" w:eastAsia="zh-CN"/>
              </w:rPr>
              <w:t>%。</w:t>
            </w:r>
          </w:p>
          <w:p w14:paraId="74CBF2E4">
            <w:pPr>
              <w:spacing w:line="300" w:lineRule="exact"/>
              <w:ind w:firstLine="420" w:firstLineChars="200"/>
              <w:rPr>
                <w:rFonts w:hint="eastAsia" w:ascii="仿宋" w:hAnsi="仿宋" w:eastAsia="仿宋" w:cs="仿宋"/>
                <w:highlight w:val="none"/>
                <w:lang w:val="zh-CN" w:eastAsia="zh-CN"/>
              </w:rPr>
            </w:pPr>
            <w:r>
              <w:rPr>
                <w:rFonts w:hint="eastAsia" w:ascii="仿宋" w:hAnsi="仿宋" w:eastAsia="仿宋" w:cs="仿宋"/>
                <w:highlight w:val="none"/>
                <w:lang w:val="en-US" w:eastAsia="zh-CN"/>
              </w:rPr>
              <w:t>3、</w:t>
            </w:r>
            <w:r>
              <w:rPr>
                <w:rFonts w:hint="eastAsia" w:ascii="仿宋" w:hAnsi="仿宋" w:eastAsia="仿宋" w:cs="仿宋"/>
                <w:highlight w:val="none"/>
                <w:lang w:val="zh-CN" w:eastAsia="zh-CN"/>
              </w:rPr>
              <w:t>“三公”经费情况</w:t>
            </w:r>
          </w:p>
          <w:p w14:paraId="6152B6EF">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zh-CN" w:eastAsia="zh-CN"/>
              </w:rPr>
              <w:t>2024年度“三公经费”预算数</w:t>
            </w:r>
            <w:r>
              <w:rPr>
                <w:rFonts w:hint="eastAsia" w:ascii="仿宋" w:hAnsi="仿宋" w:eastAsia="仿宋" w:cs="仿宋"/>
                <w:highlight w:val="none"/>
                <w:lang w:val="en-US" w:eastAsia="zh-CN"/>
              </w:rPr>
              <w:t>24.6</w:t>
            </w:r>
            <w:r>
              <w:rPr>
                <w:rFonts w:hint="eastAsia" w:ascii="仿宋" w:hAnsi="仿宋" w:eastAsia="仿宋" w:cs="仿宋"/>
                <w:highlight w:val="none"/>
                <w:lang w:val="zh-CN" w:eastAsia="zh-CN"/>
              </w:rPr>
              <w:t>万元，实际支出数</w:t>
            </w:r>
            <w:r>
              <w:rPr>
                <w:rFonts w:hint="eastAsia" w:ascii="仿宋" w:hAnsi="仿宋" w:eastAsia="仿宋" w:cs="仿宋"/>
                <w:highlight w:val="none"/>
                <w:lang w:val="en-US" w:eastAsia="zh-CN"/>
              </w:rPr>
              <w:t>14.21</w:t>
            </w:r>
            <w:r>
              <w:rPr>
                <w:rFonts w:hint="eastAsia" w:ascii="仿宋" w:hAnsi="仿宋" w:eastAsia="仿宋" w:cs="仿宋"/>
                <w:highlight w:val="none"/>
                <w:lang w:val="zh-CN" w:eastAsia="zh-CN"/>
              </w:rPr>
              <w:t>万元，</w:t>
            </w:r>
            <w:r>
              <w:rPr>
                <w:rFonts w:hint="eastAsia" w:ascii="仿宋" w:hAnsi="仿宋" w:eastAsia="仿宋" w:cs="仿宋"/>
                <w:highlight w:val="none"/>
                <w:lang w:val="en-US" w:eastAsia="zh-CN"/>
              </w:rPr>
              <w:t>费用控制率57.76</w:t>
            </w:r>
            <w:r>
              <w:rPr>
                <w:rFonts w:hint="eastAsia" w:ascii="仿宋" w:hAnsi="仿宋" w:eastAsia="仿宋" w:cs="仿宋"/>
                <w:highlight w:val="none"/>
                <w:lang w:val="zh-CN" w:eastAsia="zh-CN"/>
              </w:rPr>
              <w:t>%。</w:t>
            </w:r>
          </w:p>
          <w:p w14:paraId="7DB206D3">
            <w:pPr>
              <w:spacing w:line="30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二</w:t>
            </w:r>
            <w:r>
              <w:rPr>
                <w:rFonts w:hint="eastAsia" w:ascii="仿宋" w:hAnsi="仿宋" w:eastAsia="仿宋" w:cs="仿宋"/>
                <w:highlight w:val="none"/>
              </w:rPr>
              <w:t>、</w:t>
            </w:r>
            <w:r>
              <w:rPr>
                <w:rFonts w:hint="eastAsia" w:ascii="仿宋" w:hAnsi="仿宋" w:eastAsia="仿宋" w:cs="仿宋"/>
                <w:highlight w:val="none"/>
                <w:lang w:val="en-US" w:eastAsia="zh-CN"/>
              </w:rPr>
              <w:t>专项</w:t>
            </w:r>
            <w:r>
              <w:rPr>
                <w:rFonts w:hint="eastAsia" w:ascii="仿宋" w:hAnsi="仿宋" w:eastAsia="仿宋" w:cs="仿宋"/>
                <w:highlight w:val="none"/>
              </w:rPr>
              <w:t>项目情况</w:t>
            </w:r>
          </w:p>
          <w:p w14:paraId="0957E866">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(1)水电气物业绿化支出</w:t>
            </w:r>
          </w:p>
          <w:p w14:paraId="74282041">
            <w:pPr>
              <w:numPr>
                <w:ilvl w:val="0"/>
                <w:numId w:val="0"/>
              </w:numPr>
              <w:spacing w:line="300" w:lineRule="exact"/>
              <w:ind w:firstLine="420" w:firstLineChars="200"/>
              <w:rPr>
                <w:rFonts w:hint="default" w:ascii="仿宋" w:hAnsi="仿宋" w:eastAsia="仿宋" w:cs="仿宋"/>
                <w:highlight w:val="none"/>
                <w:lang w:val="en-US" w:eastAsia="zh-CN"/>
              </w:rPr>
            </w:pPr>
            <w:r>
              <w:rPr>
                <w:rFonts w:hint="eastAsia" w:ascii="仿宋" w:hAnsi="仿宋" w:eastAsia="仿宋" w:cs="仿宋"/>
                <w:highlight w:val="none"/>
                <w:lang w:val="en-US" w:eastAsia="zh-CN"/>
              </w:rPr>
              <w:t>为保证公共服务的正常运行以及服务管理工作的正常运转，保证办公、办事环境，提高行政中心的物业管理水平，加强行政服务中心事务管理，确保行政服务中心平稳运行，对管委会大楼的设施设备日常保养维护、环境卫生日常清理优化，维护良好的工作秩序、排除安全隐患，特设立本项目。年初预算资金380万元，本年实际支出数372.65万元，预算执行率98%。全年提供会务服务1684场，消防设备巡查1443次，日常保洁覆盖率100%，做到日产日清，环境整洁，实行24小时值班巡逻工作制，定人定岗，对重点区域、重点部位进行昼夜巡查，有效保障县行政服务中心财产安全。通过汇总调查问卷结果，抽查的单位职工对项目实施的满意度为100%。</w:t>
            </w:r>
          </w:p>
          <w:p w14:paraId="38845E3D">
            <w:pPr>
              <w:numPr>
                <w:ilvl w:val="0"/>
                <w:numId w:val="0"/>
              </w:num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(2)投资评审项目</w:t>
            </w:r>
          </w:p>
          <w:p w14:paraId="6F3ABF80">
            <w:pPr>
              <w:numPr>
                <w:ilvl w:val="0"/>
                <w:numId w:val="0"/>
              </w:num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投资评审项目是天易经开区为加强评审工作履职所需的辅助性服务，为提高天易经开区政府投资项目评审质量和效率，将部分工程项目的评审通过政府采购程序，委托给具有相关资质的第三方中介机构进行评审,确保年度评审工作任务应审尽审。年初预算资金200万元，本年实际支出数195.78万元，预算执行率97.89%。2024年共完成政府性投资预算评审项目9个，完成政府性投资项目结算评审30个。根据上级政策，结合部门职责，综合历年审计经验，修编了经开区新的《湘潭天易经开区项目投资评审管理办法》和《湘潭天易经开区投资评审工作联席会议制度》。实行“内外两审、三审一批”等评审流程，为有序推进工作提供了制度遵循。针对经开区历年来累积的审计遗留问题，投资评审中心积极担当、主动作为，推动了遗留问题的解决。积极推动审计局退还项目天马路、滨江路等交通设施优化工程10个项目结算评审工作，较好地完成了各项工作任务。</w:t>
            </w:r>
          </w:p>
          <w:p w14:paraId="42214E94">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(3)被征地农民社保经费</w:t>
            </w:r>
          </w:p>
          <w:p w14:paraId="156F1FA5">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为妥善处理被征地农民社会保障问题，及时将被征地农民社会保障对象纳入基本养老保险范围,全面落实被征地农民社会保障对象养老保险缴费补贴,全力维护被征地农民社会保障对象权益,确保被征地农民社会保障对象当前生活有改善、长远生计有保障，特设立被征地农民社保经费项目。年初预算资金数1000万元，实际支出数952.81万元，预算执行率95.28%。2024年天易经开区应为1115名被征地农民全额缴纳养老保险，实际完成缴费624名。第一批206名，第二批418名（其中31人为部分缴费），剩余人数为就业人员已经由参保单位或个人进行缴费，无法缴费，拟采用缴费补贴的方式将该部分资金补贴给个人。</w:t>
            </w:r>
          </w:p>
          <w:p w14:paraId="0713C67F">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2025年4月天易经开区为522名（其中31人为部分缴费）已自行缴费的被征地农民办理政府补贴退费。截至2025年4月，2024年天易经开区逐年缴费的1115名被征地农民政府补贴已全部缴纳到位。</w:t>
            </w:r>
          </w:p>
          <w:p w14:paraId="73B87AA1">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(4)PPP项目</w:t>
            </w:r>
          </w:p>
          <w:p w14:paraId="734E73FB">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市政物流园PPP项目是根据《市政工程PPP项目合同》的约定，履行政府付费义务而设立的项目。年初预算资金4,600.00万元，实际支出4599.37万元，项目通车后，大幅缓解了原有道路的交通压力，缩短了区域间的出行时间，提高了运输效率，对促进沿线产业集聚发展和城乡一体化进程具有重要意义。项目的实施带动了沿线物流运输等相关产业的发展，增强了区域经济活力。同时，通过优化交通条件，吸引了更多企业投资落户，为地方经济发展注入了新动能。</w:t>
            </w:r>
          </w:p>
        </w:tc>
      </w:tr>
      <w:tr w14:paraId="7A8F5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55C2A90E">
            <w:pPr>
              <w:spacing w:line="576" w:lineRule="exact"/>
              <w:jc w:val="center"/>
              <w:rPr>
                <w:rFonts w:hint="eastAsia" w:ascii="仿宋" w:hAnsi="仿宋" w:eastAsia="仿宋" w:cs="仿宋"/>
                <w:szCs w:val="21"/>
                <w:highlight w:val="none"/>
              </w:rPr>
            </w:pPr>
          </w:p>
        </w:tc>
        <w:tc>
          <w:tcPr>
            <w:tcW w:w="1985" w:type="dxa"/>
            <w:vAlign w:val="center"/>
          </w:tcPr>
          <w:p w14:paraId="1CB6E444">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绩效目标完成情况</w:t>
            </w:r>
          </w:p>
        </w:tc>
        <w:tc>
          <w:tcPr>
            <w:tcW w:w="5702" w:type="dxa"/>
          </w:tcPr>
          <w:p w14:paraId="2906D314">
            <w:pPr>
              <w:spacing w:line="30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一</w:t>
            </w:r>
            <w:r>
              <w:rPr>
                <w:rFonts w:hint="eastAsia" w:ascii="仿宋" w:hAnsi="仿宋" w:eastAsia="仿宋" w:cs="仿宋"/>
                <w:szCs w:val="21"/>
                <w:highlight w:val="none"/>
              </w:rPr>
              <w:t>）预算管理绩效</w:t>
            </w:r>
            <w:r>
              <w:rPr>
                <w:rFonts w:hint="eastAsia" w:ascii="仿宋" w:hAnsi="仿宋" w:eastAsia="仿宋" w:cs="仿宋"/>
                <w:szCs w:val="21"/>
                <w:highlight w:val="none"/>
                <w:lang w:val="en-US" w:eastAsia="zh-CN"/>
              </w:rPr>
              <w:t>情况</w:t>
            </w:r>
          </w:p>
          <w:p w14:paraId="1B1D75DE">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eastAsia="zh-CN"/>
              </w:rPr>
              <w:t>2024年</w:t>
            </w:r>
            <w:r>
              <w:rPr>
                <w:rFonts w:hint="eastAsia" w:ascii="仿宋" w:hAnsi="仿宋" w:eastAsia="仿宋" w:cs="仿宋"/>
                <w:szCs w:val="21"/>
                <w:highlight w:val="none"/>
              </w:rPr>
              <w:t>天易经开区为贯彻落实好党中央国务院关于全面实施预算绩效管理的意见的决策部署，根据湘潭县财政局预算绩效管理工作安排，</w:t>
            </w:r>
            <w:r>
              <w:rPr>
                <w:rFonts w:hint="eastAsia" w:ascii="仿宋" w:hAnsi="仿宋" w:eastAsia="仿宋" w:cs="仿宋"/>
                <w:szCs w:val="21"/>
                <w:highlight w:val="none"/>
                <w:lang w:val="en-US" w:eastAsia="zh-CN"/>
              </w:rPr>
              <w:t>制定了年度</w:t>
            </w:r>
            <w:r>
              <w:rPr>
                <w:rFonts w:hint="eastAsia" w:ascii="仿宋" w:hAnsi="仿宋" w:eastAsia="仿宋" w:cs="仿宋"/>
                <w:szCs w:val="21"/>
                <w:highlight w:val="none"/>
              </w:rPr>
              <w:t>绩效自评方案</w:t>
            </w:r>
            <w:r>
              <w:rPr>
                <w:rFonts w:hint="eastAsia" w:ascii="仿宋" w:hAnsi="仿宋" w:eastAsia="仿宋" w:cs="仿宋"/>
                <w:szCs w:val="21"/>
                <w:highlight w:val="none"/>
                <w:lang w:eastAsia="zh-CN"/>
              </w:rPr>
              <w:t>，</w:t>
            </w:r>
            <w:r>
              <w:rPr>
                <w:rFonts w:hint="eastAsia" w:ascii="仿宋" w:hAnsi="仿宋" w:eastAsia="仿宋" w:cs="仿宋"/>
                <w:szCs w:val="21"/>
                <w:highlight w:val="none"/>
              </w:rPr>
              <w:t>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14:paraId="77C7DCC8">
            <w:pPr>
              <w:spacing w:line="300" w:lineRule="exact"/>
              <w:ind w:firstLine="420" w:firstLineChars="200"/>
              <w:rPr>
                <w:rFonts w:hint="default" w:ascii="仿宋" w:hAnsi="仿宋" w:eastAsia="仿宋" w:cs="仿宋"/>
                <w:szCs w:val="21"/>
                <w:highlight w:val="none"/>
                <w:lang w:val="en-US" w:eastAsia="zh-CN"/>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二</w:t>
            </w:r>
            <w:r>
              <w:rPr>
                <w:rFonts w:hint="eastAsia" w:ascii="仿宋" w:hAnsi="仿宋" w:eastAsia="仿宋" w:cs="仿宋"/>
                <w:szCs w:val="21"/>
                <w:highlight w:val="none"/>
              </w:rPr>
              <w:t>）预算</w:t>
            </w:r>
            <w:r>
              <w:rPr>
                <w:rFonts w:hint="eastAsia" w:ascii="仿宋" w:hAnsi="仿宋" w:eastAsia="仿宋" w:cs="仿宋"/>
                <w:szCs w:val="21"/>
                <w:highlight w:val="none"/>
                <w:lang w:val="en-US" w:eastAsia="zh-CN"/>
              </w:rPr>
              <w:t>绩效目标完成情况</w:t>
            </w:r>
          </w:p>
          <w:p w14:paraId="366D7225">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1.产业发展再提质。聚焦食品医药、新材料和先进装备制造“一主一特一先”产业定位，深入开展“千百十”工程，认真实施“八大行动”，扎实推进“两重两新”“三改一扩”工作，全年新增规模工业企业14家，总数达199家；组织申报高新技术企业43家，总数达105家；新增省级专精特新企业7家，国、省级专精特新企业总数达45家；信诺、新大等6家企业入选省上市后备企业名单。韶力电机车、金铠电池匣钵、信诺搪瓷材料获评省制造业单项冠军。狠抓主导产业集聚发展，三大产业主营收入年均增长保持在10%以上。全年完成规模工业产值431.5亿元，增长7%以上；规模工业增加值增长11%以上；完成固定资产投资151.95亿元，占全县比重60%；完成税收13.59亿元，增长18.29%。特别是皇爷纳税2.83亿元，伍子醉纳税1.36亿元，创历史新高。规模工业增加值增速、税收增速等经济指标居全市二类园区第一。湘莲精深加工产业入选全省特色产业集群。</w:t>
            </w:r>
          </w:p>
          <w:p w14:paraId="0652C729">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招商引资再提标。把招商引资作为头等大事，细化、量化招商引资考核目标，规范优化招商引资合同。坚持领导带头招商，主要领导赴北京、上海、深圳等地招商40余次。落实“我是招商员”机制，全力推进全员招商，深入开展驻点招商、以商招商、校友招商，积极探索专业化、市场化招商，招商引资取得新成效。全年共引进产业项目49个，其中亿元以上项目20个，“三类500强”项目2个，湘商回归项目16个，湘商到位资金36.3亿元，直接利用外资191万美元，外商间接投资1.1亿元，引进外资企业2家，积极引进马来西亚闵和国际与皇爷强强联合。全年湘商到位资金、直接利用外资均为全市二类园区最多。</w:t>
            </w:r>
          </w:p>
          <w:p w14:paraId="421238A0">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3.项目建设再提效。大抓重点项目，全年铺排重点工程项目46个，累计完成投资64.58亿元，柏屹2.2期、新大粉末等项目完成主体建设，五年半食品、中润科技等15个项目建成投产。飞羊西路竣工通车，玉龙路“半拉子”工程拉通并销号。大抓争资争项，累计争取中央、省预内资金、超长期特别国债1.1亿元，争取发改、工信等政策性资金3000万元。大抓降本增效，为解决财政投资不足难题，在推进天易创新城二期项目建设中，通过变“废”为宝，将场平废弃石方资源化利用，大幅降低成本，338亩土地场平费用从7000万元压减到400万元；通过评定分离，确保项目公平公正。贺波书记批示“这个案例体现了创造性、系统性、主动性、科学性，有利于大家在攻坚克难中开阔视野、创新方法，具有推广价值，值得学习”。</w:t>
            </w:r>
          </w:p>
          <w:p w14:paraId="1FC0CBA5">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4.科技创新再提档。大力搭建创新平台，累计建成省、市工程技术研究中心（企业技术中心）42家，天易众创空间连续2年获评省级优秀众创空间。鼓励企业加大研发投入，截至11月完成规工企业研发投入12.58亿元，增长3.4%，高新技术产业营收增长8.2%，有效发明专利达231件。与岳麓山工业创新中心签订合作协议，加强企业与湖南大学、中南大学、湘潭大学、湖南科技大学等高校产学研合作，完成技术合同登记数400余项，技术合同交易额23亿元，增长25%；其中承接湘潭本土高校科技成果转化18项，金额达692万元。</w:t>
            </w:r>
          </w:p>
          <w:p w14:paraId="4EB141A2">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5.有效防控债务风险。制定一债一策，主要领导一周一碰头、一月一调度，高位推进融资化债。</w:t>
            </w:r>
          </w:p>
          <w:p w14:paraId="01C08ED0">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6.守牢安全环保底线。强化安全生产监督检查，召开区安委会5次，党工委主要领导带队开展安全生产督查21次。邀请专家开展安全生产宣传培训4次，进一步压实安全生产主体责任，提升管理水平。全年完成“三同时”40家，设计诊断66家，进一步夯实安全基础。聘请安全管家，驻点园区开展安全隐患排查服务，共排查整改隐患793条，园区安全生产大局稳定。聘请环保管家，建立园区环境监管信息平台，开展企业环保帮扶指导156次，有效提升园区环保管理水平。扎实抓好中央环保督察交办的7个问题整改，园区生态环境持续好转。</w:t>
            </w:r>
          </w:p>
          <w:p w14:paraId="690AE7C3">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7.深化公司改革。顺利将湘潭天易发展集团、湘潭莲乡发展集团优化整合为1家公司，公司人员由100人精简至55人，内设部门整合至7个，子公司减少至5家。启动清产核资，推进资源配置合理化、主营业务板块化，聚焦产业发展、资产盘活、股权投资等主营业务，加快向“投资端”转型。同时，逐步拓展特许经营权、光伏发电等新业务，加快市场化运营转型。</w:t>
            </w:r>
          </w:p>
          <w:p w14:paraId="676C37E5">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8.深化柏屹模式。着力建设天易轨道交通配套产业园和天易食品医药产业园两个市级专业示范园区，实施“五统一”市场化运营模式，得到省、市肯定推广。组建专业团队开展市场化招商、运营，通过“联合预审”加强对项目的准入把关，并提供一站式高效服务，2024年新引进投产项目27个，新开发面积300亩。轨道交通配套产业园累计开发1200亩，引进企业200余家；食品医药产业园累计开发400亩，引进企业126家。推进调区扩区，拓展发展空间。</w:t>
            </w:r>
          </w:p>
          <w:p w14:paraId="60084894">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9.开通“天易直通车”，提升服务质效。完善“三员三式”网格化管理服务，对园区559家工贸企业开展“一企一册”建档，全体干部职工下沉至8个网格，实现企业服务全覆盖。创新开设“天易直通车”，搭建“便、专、快、好”政企联心桥，企业只需一通电话、一条短信、一次扫码、一番交流即可解决难心事。2024年共受理200多家企业反映的建设管理、融资需求等11类问题共计258个，已办结250个，园区企业的获得感、归属感全面提升。</w:t>
            </w:r>
          </w:p>
          <w:p w14:paraId="1CA9066E">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10.强化要素保障，降低企业成本。大力开展低效闲置用地清理，以成本价收回胖哥二期110亩用地，保障中成科技、华远总部等项目落地。积极协调聚森热能、中石油昆仑燃气、县电力公司加大投资力度，提升供热、供气、供电保障能力。与市担保公司、县莲乡担保公司合作，制定担保白名单制度，园区财政设立200万元信贷风险补偿金，为企业提供“潭担E贷”等快捷担保贷款服务。高位推进政银企合作，新增中小企业授信额度20亿元，发放中小企业贷款16亿元，助力企业发展。</w:t>
            </w:r>
          </w:p>
        </w:tc>
      </w:tr>
      <w:tr w14:paraId="6473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5DC7953F">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存在的问题分析及改进措施</w:t>
            </w:r>
          </w:p>
        </w:tc>
        <w:tc>
          <w:tcPr>
            <w:tcW w:w="1985" w:type="dxa"/>
            <w:vAlign w:val="center"/>
          </w:tcPr>
          <w:p w14:paraId="5CE20760">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存在的问题</w:t>
            </w:r>
          </w:p>
        </w:tc>
        <w:tc>
          <w:tcPr>
            <w:tcW w:w="5702" w:type="dxa"/>
            <w:vAlign w:val="center"/>
          </w:tcPr>
          <w:p w14:paraId="33672CFC">
            <w:pPr>
              <w:numPr>
                <w:ilvl w:val="0"/>
                <w:numId w:val="1"/>
              </w:numPr>
              <w:spacing w:line="300" w:lineRule="exact"/>
              <w:ind w:left="0" w:leftChars="0"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绩效目标申报表和监控表的指标设置有待进一步完善，需结合本年度部门整体资金规模进行优化调整，以更加全面客观地反映部门整体支出的实施效果。</w:t>
            </w:r>
          </w:p>
          <w:p w14:paraId="62B33EA4">
            <w:pPr>
              <w:numPr>
                <w:ilvl w:val="0"/>
                <w:numId w:val="1"/>
              </w:numPr>
              <w:spacing w:line="300" w:lineRule="exact"/>
              <w:ind w:left="0" w:leftChars="0"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园区产业结构有待提升。目前除食品产业外，新材料产业、装备制造产业中具有较强带动作用的支柱型企业和龙头企业相对不足，主特产业比重有待提高，产业链建设需要持续加强。</w:t>
            </w:r>
            <w:bookmarkStart w:id="0" w:name="_GoBack"/>
            <w:bookmarkEnd w:id="0"/>
          </w:p>
          <w:p w14:paraId="23C0C881">
            <w:pPr>
              <w:numPr>
                <w:ilvl w:val="0"/>
                <w:numId w:val="1"/>
              </w:numPr>
              <w:spacing w:line="300" w:lineRule="exact"/>
              <w:ind w:left="0" w:leftChars="0"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在人才队伍建设方面，作为落户县域的省级园区，在吸引和留住优秀人才方面面临一定挑战，特别是在招商引资、园区市场化专业化运营等领域的专业人才储备需要进一步加强。</w:t>
            </w:r>
          </w:p>
        </w:tc>
      </w:tr>
      <w:tr w14:paraId="7D48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54D3F194">
            <w:pPr>
              <w:spacing w:line="576" w:lineRule="exact"/>
              <w:jc w:val="center"/>
              <w:rPr>
                <w:rFonts w:hint="eastAsia" w:ascii="仿宋" w:hAnsi="仿宋" w:eastAsia="仿宋" w:cs="仿宋"/>
                <w:szCs w:val="21"/>
                <w:highlight w:val="none"/>
              </w:rPr>
            </w:pPr>
          </w:p>
        </w:tc>
        <w:tc>
          <w:tcPr>
            <w:tcW w:w="1985" w:type="dxa"/>
            <w:vAlign w:val="center"/>
          </w:tcPr>
          <w:p w14:paraId="6FD0F0C2">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改进措施</w:t>
            </w:r>
          </w:p>
        </w:tc>
        <w:tc>
          <w:tcPr>
            <w:tcW w:w="5702" w:type="dxa"/>
          </w:tcPr>
          <w:p w14:paraId="5A1230E6">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1.不断提高预算管理水平，督促基层部门开展预算绩效管理工作，从具体业务方面入手，制定适合部门支出特点的绩效指标。根据园区发展战略，制定涵盖经济效益、社会效益、环境效益等多维度的（关键绩效指标），并定期更新以适应变化的需求</w:t>
            </w:r>
            <w:r>
              <w:rPr>
                <w:rFonts w:hint="eastAsia" w:ascii="仿宋" w:hAnsi="仿宋" w:eastAsia="仿宋" w:cs="仿宋"/>
                <w:szCs w:val="21"/>
                <w:highlight w:val="none"/>
                <w:lang w:eastAsia="zh-CN"/>
              </w:rPr>
              <w:t>，</w:t>
            </w:r>
            <w:r>
              <w:rPr>
                <w:rFonts w:hint="eastAsia" w:ascii="仿宋" w:hAnsi="仿宋" w:eastAsia="仿宋" w:cs="仿宋"/>
                <w:szCs w:val="21"/>
                <w:highlight w:val="none"/>
              </w:rPr>
              <w:t>提供更全面的数据支持决策，促进园区均衡发展。</w:t>
            </w:r>
          </w:p>
          <w:p w14:paraId="4F38EE17">
            <w:pPr>
              <w:spacing w:line="30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2．明确产业发展方向，突出主特产业定位</w:t>
            </w:r>
            <w:r>
              <w:rPr>
                <w:rFonts w:hint="eastAsia" w:ascii="仿宋" w:hAnsi="仿宋" w:eastAsia="仿宋" w:cs="仿宋"/>
                <w:szCs w:val="21"/>
                <w:highlight w:val="none"/>
                <w:lang w:eastAsia="zh-CN"/>
              </w:rPr>
              <w:t>。</w:t>
            </w:r>
            <w:r>
              <w:rPr>
                <w:rFonts w:hint="eastAsia" w:ascii="仿宋" w:hAnsi="仿宋" w:eastAsia="仿宋" w:cs="仿宋"/>
                <w:szCs w:val="21"/>
                <w:highlight w:val="none"/>
              </w:rPr>
              <w:t>结合区域资源禀赋和发展基础，聚焦食品、新材料、装备制造等重点产业，打造“一主一特”或“一主多特”格局</w:t>
            </w:r>
            <w:r>
              <w:rPr>
                <w:rFonts w:hint="eastAsia" w:ascii="仿宋" w:hAnsi="仿宋" w:eastAsia="仿宋" w:cs="仿宋"/>
                <w:szCs w:val="21"/>
                <w:highlight w:val="none"/>
                <w:lang w:eastAsia="zh-CN"/>
              </w:rPr>
              <w:t>，</w:t>
            </w:r>
            <w:r>
              <w:rPr>
                <w:rFonts w:hint="eastAsia" w:ascii="仿宋" w:hAnsi="仿宋" w:eastAsia="仿宋" w:cs="仿宋"/>
                <w:szCs w:val="21"/>
                <w:highlight w:val="none"/>
              </w:rPr>
              <w:t>制定产业发展路线图，明确各阶段发展目标和支持政策。加大招商引资力度，引进龙头企业带动集群发展</w:t>
            </w:r>
            <w:r>
              <w:rPr>
                <w:rFonts w:hint="eastAsia" w:ascii="仿宋" w:hAnsi="仿宋" w:eastAsia="仿宋" w:cs="仿宋"/>
                <w:szCs w:val="21"/>
                <w:highlight w:val="none"/>
                <w:lang w:eastAsia="zh-CN"/>
              </w:rPr>
              <w:t>。</w:t>
            </w:r>
            <w:r>
              <w:rPr>
                <w:rFonts w:hint="eastAsia" w:ascii="仿宋" w:hAnsi="仿宋" w:eastAsia="仿宋" w:cs="仿宋"/>
                <w:szCs w:val="21"/>
                <w:highlight w:val="none"/>
              </w:rPr>
              <w:t>推动本地企业转型升级，促进上下游协同发展</w:t>
            </w:r>
            <w:r>
              <w:rPr>
                <w:rFonts w:hint="eastAsia" w:ascii="仿宋" w:hAnsi="仿宋" w:eastAsia="仿宋" w:cs="仿宋"/>
                <w:szCs w:val="21"/>
                <w:highlight w:val="none"/>
                <w:lang w:eastAsia="zh-CN"/>
              </w:rPr>
              <w:t>。</w:t>
            </w:r>
          </w:p>
          <w:p w14:paraId="7C1E6BB2">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val="en-US" w:eastAsia="zh-CN"/>
              </w:rPr>
              <w:t>3.加强人才培养和梯队建设。开展定期培训、外出考察学习等活动，提升现有队伍业务能力和综合素质，与高等院校、职业院校合作共建实训基地，定向培养适用型人才。</w:t>
            </w:r>
          </w:p>
        </w:tc>
      </w:tr>
      <w:tr w14:paraId="18FC7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384" w:type="dxa"/>
            <w:vMerge w:val="continue"/>
          </w:tcPr>
          <w:p w14:paraId="703E93C8">
            <w:pPr>
              <w:spacing w:line="576" w:lineRule="exact"/>
              <w:jc w:val="center"/>
              <w:rPr>
                <w:rFonts w:hint="eastAsia" w:ascii="仿宋" w:hAnsi="仿宋" w:eastAsia="仿宋" w:cs="仿宋"/>
                <w:szCs w:val="21"/>
                <w:highlight w:val="none"/>
              </w:rPr>
            </w:pPr>
          </w:p>
        </w:tc>
        <w:tc>
          <w:tcPr>
            <w:tcW w:w="1985" w:type="dxa"/>
            <w:vAlign w:val="center"/>
          </w:tcPr>
          <w:p w14:paraId="46C7B622">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其他需要说明问题</w:t>
            </w:r>
          </w:p>
        </w:tc>
        <w:tc>
          <w:tcPr>
            <w:tcW w:w="5702" w:type="dxa"/>
            <w:vAlign w:val="center"/>
          </w:tcPr>
          <w:p w14:paraId="035BF76C">
            <w:pPr>
              <w:spacing w:line="576" w:lineRule="exact"/>
              <w:ind w:right="880" w:rightChars="419"/>
              <w:jc w:val="center"/>
              <w:rPr>
                <w:rFonts w:hint="eastAsia" w:ascii="仿宋" w:hAnsi="仿宋" w:eastAsia="仿宋" w:cs="仿宋"/>
                <w:szCs w:val="21"/>
                <w:highlight w:val="none"/>
              </w:rPr>
            </w:pPr>
            <w:r>
              <w:rPr>
                <w:rFonts w:hint="eastAsia" w:ascii="仿宋" w:hAnsi="仿宋" w:eastAsia="仿宋" w:cs="仿宋"/>
                <w:szCs w:val="21"/>
                <w:highlight w:val="none"/>
              </w:rPr>
              <w:t>无</w:t>
            </w:r>
          </w:p>
        </w:tc>
      </w:tr>
    </w:tbl>
    <w:p w14:paraId="505A6C4D">
      <w:pPr>
        <w:widowControl/>
        <w:jc w:val="left"/>
        <w:rPr>
          <w:rFonts w:ascii="仿宋_GB2312" w:hAnsi="黑体" w:eastAsia="仿宋_GB2312" w:cs="黑体"/>
          <w:color w:val="000000"/>
          <w:sz w:val="32"/>
          <w:szCs w:val="32"/>
          <w:highlight w:val="none"/>
        </w:rPr>
      </w:pPr>
    </w:p>
    <w:p w14:paraId="5240E994">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AA23DB-AC09-4822-B6CD-8BE5845209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03C8B2E4-F5B7-437C-AF0B-76F9B4F2D7F2}"/>
  </w:font>
  <w:font w:name="Arial Narrow">
    <w:panose1 w:val="020B0606020202030204"/>
    <w:charset w:val="00"/>
    <w:family w:val="auto"/>
    <w:pitch w:val="default"/>
    <w:sig w:usb0="00000287" w:usb1="00000800" w:usb2="00000000" w:usb3="00000000" w:csb0="2000009F" w:csb1="DFD70000"/>
  </w:font>
  <w:font w:name="仿宋_GB2312">
    <w:panose1 w:val="02010609030101010101"/>
    <w:charset w:val="86"/>
    <w:family w:val="modern"/>
    <w:pitch w:val="default"/>
    <w:sig w:usb0="00000001" w:usb1="080E0000" w:usb2="00000000" w:usb3="00000000" w:csb0="00040000" w:csb1="00000000"/>
    <w:embedRegular r:id="rId3" w:fontKey="{5D37E3C6-97FE-4CE8-A7B8-EDB1A6F57794}"/>
  </w:font>
  <w:font w:name="方正小标宋_GBK">
    <w:panose1 w:val="02000000000000000000"/>
    <w:charset w:val="86"/>
    <w:family w:val="auto"/>
    <w:pitch w:val="default"/>
    <w:sig w:usb0="A00002BF" w:usb1="38CF7CFA" w:usb2="00082016" w:usb3="00000000" w:csb0="00040001" w:csb1="00000000"/>
    <w:embedRegular r:id="rId4" w:fontKey="{A904221C-A768-4523-A6AB-3661214F1CA6}"/>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4CED20"/>
    <w:multiLevelType w:val="singleLevel"/>
    <w:tmpl w:val="654CED2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YWQ4ZWIxYzhmODMxNTBiZmI3ZmVkNmRjMWQ3YzkifQ=="/>
  </w:docVars>
  <w:rsids>
    <w:rsidRoot w:val="0058167A"/>
    <w:rsid w:val="00037730"/>
    <w:rsid w:val="000C2846"/>
    <w:rsid w:val="00104A5A"/>
    <w:rsid w:val="00124D3C"/>
    <w:rsid w:val="001A0611"/>
    <w:rsid w:val="001B6365"/>
    <w:rsid w:val="001F7C66"/>
    <w:rsid w:val="00214C27"/>
    <w:rsid w:val="00232C1B"/>
    <w:rsid w:val="0029114D"/>
    <w:rsid w:val="003A5243"/>
    <w:rsid w:val="003F3966"/>
    <w:rsid w:val="0044384F"/>
    <w:rsid w:val="0058167A"/>
    <w:rsid w:val="005B0226"/>
    <w:rsid w:val="006C581B"/>
    <w:rsid w:val="00760A6C"/>
    <w:rsid w:val="007C13D4"/>
    <w:rsid w:val="008032A6"/>
    <w:rsid w:val="00885FCE"/>
    <w:rsid w:val="00922F1A"/>
    <w:rsid w:val="009668B9"/>
    <w:rsid w:val="00967FED"/>
    <w:rsid w:val="00A12399"/>
    <w:rsid w:val="00B26AF0"/>
    <w:rsid w:val="00B623E0"/>
    <w:rsid w:val="00B81E9A"/>
    <w:rsid w:val="00CE1CB5"/>
    <w:rsid w:val="00CE4F2A"/>
    <w:rsid w:val="00D36EEF"/>
    <w:rsid w:val="00D521B4"/>
    <w:rsid w:val="00DD531E"/>
    <w:rsid w:val="00F37526"/>
    <w:rsid w:val="00F43BB7"/>
    <w:rsid w:val="00F65BCC"/>
    <w:rsid w:val="00FF0491"/>
    <w:rsid w:val="025F4CBE"/>
    <w:rsid w:val="0E72571D"/>
    <w:rsid w:val="1186164E"/>
    <w:rsid w:val="1212113B"/>
    <w:rsid w:val="1C766F08"/>
    <w:rsid w:val="224B41FE"/>
    <w:rsid w:val="252723FA"/>
    <w:rsid w:val="2CB97BDE"/>
    <w:rsid w:val="3078676B"/>
    <w:rsid w:val="31186544"/>
    <w:rsid w:val="358D2C79"/>
    <w:rsid w:val="35A87AF3"/>
    <w:rsid w:val="367032FD"/>
    <w:rsid w:val="368C77BA"/>
    <w:rsid w:val="3C932C24"/>
    <w:rsid w:val="3F5B587E"/>
    <w:rsid w:val="3F5D2FD0"/>
    <w:rsid w:val="3FB40BDD"/>
    <w:rsid w:val="40113F45"/>
    <w:rsid w:val="40C1037F"/>
    <w:rsid w:val="42DA0B1B"/>
    <w:rsid w:val="46DD0FE4"/>
    <w:rsid w:val="49B54F9D"/>
    <w:rsid w:val="4A9E2E1A"/>
    <w:rsid w:val="4B654F99"/>
    <w:rsid w:val="4E914427"/>
    <w:rsid w:val="4F6B5EE9"/>
    <w:rsid w:val="50517BA2"/>
    <w:rsid w:val="51D07DDA"/>
    <w:rsid w:val="56C141B6"/>
    <w:rsid w:val="59934492"/>
    <w:rsid w:val="5DD37799"/>
    <w:rsid w:val="5E0C0615"/>
    <w:rsid w:val="5EB91FAC"/>
    <w:rsid w:val="5F1D5CDC"/>
    <w:rsid w:val="5F6804D7"/>
    <w:rsid w:val="68391610"/>
    <w:rsid w:val="701A36B4"/>
    <w:rsid w:val="768F321F"/>
    <w:rsid w:val="7C4E632C"/>
    <w:rsid w:val="7D0270B5"/>
    <w:rsid w:val="7D4873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19"/>
    </w:pPr>
    <w:rPr>
      <w:sz w:val="32"/>
      <w:szCs w:val="32"/>
    </w:rPr>
  </w:style>
  <w:style w:type="paragraph" w:customStyle="1" w:styleId="3">
    <w:name w:val="正文首行缩进1"/>
    <w:basedOn w:val="1"/>
    <w:qFormat/>
    <w:uiPriority w:val="0"/>
    <w:pPr>
      <w:spacing w:after="120"/>
      <w:ind w:firstLine="420" w:firstLineChars="100"/>
    </w:pPr>
    <w:rPr>
      <w:rFonts w:ascii="Times New Roman" w:hAnsi="Times New Roman"/>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w:basedOn w:val="2"/>
    <w:unhideWhenUsed/>
    <w:qFormat/>
    <w:uiPriority w:val="99"/>
    <w:pPr>
      <w:spacing w:line="600" w:lineRule="exact"/>
      <w:ind w:firstLine="200" w:firstLineChars="200"/>
    </w:pPr>
    <w:rPr>
      <w:rFonts w:eastAsia="仿宋_GB2312"/>
      <w:sz w:val="24"/>
    </w:rPr>
  </w:style>
  <w:style w:type="character" w:customStyle="1" w:styleId="9">
    <w:name w:val="页眉 Char"/>
    <w:basedOn w:val="8"/>
    <w:link w:val="5"/>
    <w:semiHidden/>
    <w:qFormat/>
    <w:uiPriority w:val="99"/>
    <w:rPr>
      <w:rFonts w:ascii="Times New Roman" w:hAnsi="Times New Roman" w:eastAsia="宋体" w:cs="Times New Roman"/>
      <w:sz w:val="18"/>
      <w:szCs w:val="18"/>
    </w:rPr>
  </w:style>
  <w:style w:type="character" w:customStyle="1" w:styleId="10">
    <w:name w:val="页脚 Char"/>
    <w:basedOn w:val="8"/>
    <w:link w:val="4"/>
    <w:semiHidden/>
    <w:qFormat/>
    <w:uiPriority w:val="99"/>
    <w:rPr>
      <w:rFonts w:ascii="Times New Roman" w:hAnsi="Times New Roman" w:eastAsia="宋体" w:cs="Times New Roman"/>
      <w:sz w:val="18"/>
      <w:szCs w:val="18"/>
    </w:rPr>
  </w:style>
  <w:style w:type="character" w:customStyle="1" w:styleId="11">
    <w:name w:val="NormalCharacter"/>
    <w:semiHidden/>
    <w:qFormat/>
    <w:uiPriority w:val="0"/>
  </w:style>
  <w:style w:type="character" w:customStyle="1" w:styleId="12">
    <w:name w:val="s10"/>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CA973-B0DB-4818-BC6A-68D67649C678}">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5219</Words>
  <Characters>5621</Characters>
  <Lines>35</Lines>
  <Paragraphs>9</Paragraphs>
  <TotalTime>13</TotalTime>
  <ScaleCrop>false</ScaleCrop>
  <LinksUpToDate>false</LinksUpToDate>
  <CharactersWithSpaces>5621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2021-05-20T03:24:00Z</dcterms:created>
  <dc:creator>XYDN</dc:creator>
  <cp:lastModifiedBy>蜜丫Amy</cp:lastModifiedBy>
  <dcterms:modified xsi:type="dcterms:W3CDTF">2025-05-27T00:33:02Z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A84A40C8DA4240049957CC318D14E215_13</vt:lpwstr>
  </property>
  <property fmtid="{D5CDD505-2E9C-101B-9397-08002B2CF9AE}" pid="4" name="KSOTemplateDocerSaveRecord">
    <vt:lpwstr>eyJoZGlkIjoiMjJmYWQ4ZWIxYzhmODMxNTBiZmI3ZmVkNmRjMWQ3YzkiLCJ1c2VySWQiOiIyNDU4MTk3MjUifQ==</vt:lpwstr>
  </property>
</Properties>
</file>