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FE904D">
      <w:pPr>
        <w:widowControl/>
        <w:spacing w:line="576" w:lineRule="exact"/>
        <w:jc w:val="center"/>
        <w:rPr>
          <w:rFonts w:hint="eastAsia" w:ascii="宋体" w:hAnsi="宋体" w:cs="仿宋_GB2312"/>
          <w:b/>
          <w:bCs/>
          <w:color w:val="000000"/>
          <w:kern w:val="0"/>
          <w:sz w:val="36"/>
          <w:szCs w:val="36"/>
        </w:rPr>
      </w:pPr>
      <w:r>
        <w:rPr>
          <w:rFonts w:hint="eastAsia" w:ascii="宋体" w:hAnsi="宋体" w:cs="仿宋_GB2312"/>
          <w:b/>
          <w:bCs/>
          <w:color w:val="000000"/>
          <w:kern w:val="0"/>
          <w:sz w:val="36"/>
          <w:szCs w:val="36"/>
          <w:lang w:val="en-US" w:eastAsia="zh-CN"/>
        </w:rPr>
        <w:t>PPP项目政府付费</w:t>
      </w:r>
      <w:r>
        <w:rPr>
          <w:rFonts w:hint="eastAsia" w:ascii="宋体" w:hAnsi="宋体" w:cs="仿宋_GB2312"/>
          <w:b/>
          <w:bCs/>
          <w:color w:val="000000"/>
          <w:kern w:val="0"/>
          <w:sz w:val="36"/>
          <w:szCs w:val="36"/>
        </w:rPr>
        <w:t>支出绩效评价报告</w:t>
      </w:r>
    </w:p>
    <w:p w14:paraId="73860A73">
      <w:pPr>
        <w:pStyle w:val="8"/>
        <w:jc w:val="center"/>
        <w:rPr>
          <w:rFonts w:hint="eastAsia" w:eastAsia="宋体"/>
          <w:lang w:eastAsia="zh-CN"/>
        </w:rPr>
      </w:pPr>
      <w:r>
        <w:rPr>
          <w:rFonts w:hint="eastAsia" w:ascii="宋体" w:hAnsi="宋体" w:cs="仿宋_GB2312"/>
          <w:b/>
          <w:bCs/>
          <w:color w:val="000000"/>
          <w:kern w:val="0"/>
          <w:sz w:val="36"/>
          <w:szCs w:val="36"/>
          <w:lang w:eastAsia="zh-CN"/>
        </w:rPr>
        <w:t>（</w:t>
      </w:r>
      <w:r>
        <w:rPr>
          <w:rFonts w:hint="eastAsia" w:ascii="宋体" w:hAnsi="宋体" w:cs="仿宋_GB2312"/>
          <w:b/>
          <w:bCs/>
          <w:color w:val="000000"/>
          <w:kern w:val="0"/>
          <w:sz w:val="36"/>
          <w:szCs w:val="36"/>
          <w:lang w:val="en-US" w:eastAsia="zh-CN"/>
        </w:rPr>
        <w:t>2024年度</w:t>
      </w:r>
      <w:r>
        <w:rPr>
          <w:rFonts w:hint="eastAsia" w:ascii="宋体" w:hAnsi="宋体" w:cs="仿宋_GB2312"/>
          <w:b/>
          <w:bCs/>
          <w:color w:val="000000"/>
          <w:kern w:val="0"/>
          <w:sz w:val="36"/>
          <w:szCs w:val="36"/>
          <w:lang w:eastAsia="zh-CN"/>
        </w:rPr>
        <w:t>）</w:t>
      </w:r>
    </w:p>
    <w:tbl>
      <w:tblPr>
        <w:tblStyle w:val="5"/>
        <w:tblpPr w:leftFromText="180" w:rightFromText="180" w:vertAnchor="text" w:horzAnchor="margin" w:tblpXSpec="center" w:tblpY="189"/>
        <w:tblW w:w="93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8"/>
        <w:gridCol w:w="1992"/>
        <w:gridCol w:w="5967"/>
      </w:tblGrid>
      <w:tr w14:paraId="66A9C1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78" w:type="dxa"/>
            <w:vMerge w:val="restart"/>
            <w:vAlign w:val="center"/>
          </w:tcPr>
          <w:p w14:paraId="0BA769BC">
            <w:pPr>
              <w:spacing w:line="576" w:lineRule="exact"/>
              <w:jc w:val="center"/>
              <w:rPr>
                <w:rFonts w:hint="eastAsia" w:ascii="方正仿宋_GB2312" w:hAnsi="方正仿宋_GB2312" w:eastAsia="方正仿宋_GB2312" w:cs="方正仿宋_GB2312"/>
                <w:szCs w:val="32"/>
              </w:rPr>
            </w:pPr>
            <w:r>
              <w:rPr>
                <w:rFonts w:hint="eastAsia" w:ascii="方正仿宋_GB2312" w:hAnsi="方正仿宋_GB2312" w:eastAsia="方正仿宋_GB2312" w:cs="方正仿宋_GB2312"/>
                <w:szCs w:val="32"/>
              </w:rPr>
              <w:t>部门概况</w:t>
            </w:r>
          </w:p>
        </w:tc>
        <w:tc>
          <w:tcPr>
            <w:tcW w:w="1992" w:type="dxa"/>
            <w:vAlign w:val="center"/>
          </w:tcPr>
          <w:p w14:paraId="7AA36F32">
            <w:pPr>
              <w:spacing w:line="576" w:lineRule="exact"/>
              <w:jc w:val="center"/>
              <w:rPr>
                <w:rFonts w:hint="eastAsia" w:ascii="方正仿宋_GB2312" w:hAnsi="方正仿宋_GB2312" w:eastAsia="方正仿宋_GB2312" w:cs="方正仿宋_GB2312"/>
                <w:szCs w:val="32"/>
              </w:rPr>
            </w:pPr>
            <w:r>
              <w:rPr>
                <w:rFonts w:hint="eastAsia" w:ascii="方正仿宋_GB2312" w:hAnsi="方正仿宋_GB2312" w:eastAsia="方正仿宋_GB2312" w:cs="方正仿宋_GB2312"/>
                <w:szCs w:val="32"/>
              </w:rPr>
              <w:t>专项名称</w:t>
            </w:r>
          </w:p>
        </w:tc>
        <w:tc>
          <w:tcPr>
            <w:tcW w:w="5967" w:type="dxa"/>
            <w:vAlign w:val="center"/>
          </w:tcPr>
          <w:p w14:paraId="7E7262F0">
            <w:pPr>
              <w:spacing w:line="440" w:lineRule="exact"/>
              <w:jc w:val="center"/>
              <w:rPr>
                <w:rFonts w:hint="eastAsia" w:ascii="方正仿宋_GB2312" w:hAnsi="方正仿宋_GB2312" w:eastAsia="方正仿宋_GB2312" w:cs="方正仿宋_GB2312"/>
                <w:szCs w:val="32"/>
                <w:lang w:val="en-US"/>
              </w:rPr>
            </w:pPr>
            <w:r>
              <w:rPr>
                <w:rFonts w:hint="eastAsia" w:ascii="方正仿宋_GB2312" w:hAnsi="方正仿宋_GB2312" w:eastAsia="方正仿宋_GB2312" w:cs="方正仿宋_GB2312"/>
                <w:lang w:val="en-US" w:eastAsia="zh-CN"/>
              </w:rPr>
              <w:t>PPP项目政府付费支出</w:t>
            </w:r>
          </w:p>
        </w:tc>
      </w:tr>
      <w:tr w14:paraId="607479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378" w:type="dxa"/>
            <w:vMerge w:val="continue"/>
            <w:vAlign w:val="center"/>
          </w:tcPr>
          <w:p w14:paraId="35DBD609">
            <w:pPr>
              <w:spacing w:line="576" w:lineRule="exact"/>
              <w:jc w:val="center"/>
              <w:rPr>
                <w:rFonts w:hint="eastAsia" w:ascii="方正仿宋_GB2312" w:hAnsi="方正仿宋_GB2312" w:eastAsia="方正仿宋_GB2312" w:cs="方正仿宋_GB2312"/>
                <w:szCs w:val="32"/>
              </w:rPr>
            </w:pPr>
          </w:p>
        </w:tc>
        <w:tc>
          <w:tcPr>
            <w:tcW w:w="1992" w:type="dxa"/>
            <w:vAlign w:val="center"/>
          </w:tcPr>
          <w:p w14:paraId="6C964141">
            <w:pPr>
              <w:spacing w:line="576" w:lineRule="exact"/>
              <w:jc w:val="center"/>
              <w:rPr>
                <w:rFonts w:hint="eastAsia" w:ascii="方正仿宋_GB2312" w:hAnsi="方正仿宋_GB2312" w:eastAsia="方正仿宋_GB2312" w:cs="方正仿宋_GB2312"/>
                <w:szCs w:val="32"/>
              </w:rPr>
            </w:pPr>
            <w:r>
              <w:rPr>
                <w:rFonts w:hint="eastAsia" w:ascii="方正仿宋_GB2312" w:hAnsi="方正仿宋_GB2312" w:eastAsia="方正仿宋_GB2312" w:cs="方正仿宋_GB2312"/>
                <w:szCs w:val="32"/>
              </w:rPr>
              <w:t>年度预算金额</w:t>
            </w:r>
          </w:p>
        </w:tc>
        <w:tc>
          <w:tcPr>
            <w:tcW w:w="5967" w:type="dxa"/>
            <w:vAlign w:val="center"/>
          </w:tcPr>
          <w:p w14:paraId="40F1569C">
            <w:pPr>
              <w:spacing w:line="400" w:lineRule="exact"/>
              <w:jc w:val="center"/>
              <w:rPr>
                <w:rFonts w:hint="eastAsia" w:ascii="方正仿宋_GB2312" w:hAnsi="方正仿宋_GB2312" w:eastAsia="方正仿宋_GB2312" w:cs="方正仿宋_GB2312"/>
                <w:szCs w:val="32"/>
              </w:rPr>
            </w:pPr>
            <w:r>
              <w:rPr>
                <w:rFonts w:hint="eastAsia" w:ascii="方正仿宋_GB2312" w:hAnsi="方正仿宋_GB2312" w:eastAsia="方正仿宋_GB2312" w:cs="方正仿宋_GB2312"/>
                <w:szCs w:val="32"/>
                <w:lang w:val="en-US" w:eastAsia="zh-CN"/>
              </w:rPr>
              <w:t>460</w:t>
            </w:r>
            <w:r>
              <w:rPr>
                <w:rFonts w:hint="eastAsia" w:ascii="方正仿宋_GB2312" w:hAnsi="方正仿宋_GB2312" w:eastAsia="方正仿宋_GB2312" w:cs="方正仿宋_GB2312"/>
                <w:szCs w:val="32"/>
              </w:rPr>
              <w:t>0.00万元</w:t>
            </w:r>
          </w:p>
        </w:tc>
      </w:tr>
      <w:tr w14:paraId="65E243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78" w:type="dxa"/>
            <w:vMerge w:val="continue"/>
            <w:vAlign w:val="center"/>
          </w:tcPr>
          <w:p w14:paraId="663806C0">
            <w:pPr>
              <w:spacing w:line="576" w:lineRule="exact"/>
              <w:jc w:val="center"/>
              <w:rPr>
                <w:rFonts w:hint="eastAsia" w:ascii="方正仿宋_GB2312" w:hAnsi="方正仿宋_GB2312" w:eastAsia="方正仿宋_GB2312" w:cs="方正仿宋_GB2312"/>
                <w:szCs w:val="32"/>
              </w:rPr>
            </w:pPr>
          </w:p>
        </w:tc>
        <w:tc>
          <w:tcPr>
            <w:tcW w:w="1992" w:type="dxa"/>
            <w:vAlign w:val="center"/>
          </w:tcPr>
          <w:p w14:paraId="674164E1">
            <w:pPr>
              <w:spacing w:line="576" w:lineRule="exact"/>
              <w:jc w:val="center"/>
              <w:rPr>
                <w:rFonts w:hint="eastAsia" w:ascii="方正仿宋_GB2312" w:hAnsi="方正仿宋_GB2312" w:eastAsia="方正仿宋_GB2312" w:cs="方正仿宋_GB2312"/>
                <w:szCs w:val="32"/>
              </w:rPr>
            </w:pPr>
            <w:r>
              <w:rPr>
                <w:rFonts w:hint="eastAsia" w:ascii="方正仿宋_GB2312" w:hAnsi="方正仿宋_GB2312" w:eastAsia="方正仿宋_GB2312" w:cs="方正仿宋_GB2312"/>
                <w:szCs w:val="32"/>
              </w:rPr>
              <w:t>项目主管部门</w:t>
            </w:r>
          </w:p>
        </w:tc>
        <w:tc>
          <w:tcPr>
            <w:tcW w:w="5967" w:type="dxa"/>
            <w:vAlign w:val="center"/>
          </w:tcPr>
          <w:p w14:paraId="5B310F1F">
            <w:pPr>
              <w:spacing w:line="400" w:lineRule="exact"/>
              <w:jc w:val="center"/>
              <w:rPr>
                <w:rFonts w:hint="eastAsia" w:ascii="方正仿宋_GB2312" w:hAnsi="方正仿宋_GB2312" w:eastAsia="方正仿宋_GB2312" w:cs="方正仿宋_GB2312"/>
                <w:szCs w:val="32"/>
              </w:rPr>
            </w:pPr>
            <w:r>
              <w:rPr>
                <w:rFonts w:hint="eastAsia" w:ascii="方正仿宋_GB2312" w:hAnsi="方正仿宋_GB2312" w:eastAsia="方正仿宋_GB2312" w:cs="方正仿宋_GB2312"/>
                <w:szCs w:val="32"/>
              </w:rPr>
              <w:t>湘潭天易经济开发区管理委员会</w:t>
            </w:r>
          </w:p>
        </w:tc>
      </w:tr>
      <w:tr w14:paraId="4CC321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78" w:type="dxa"/>
            <w:vMerge w:val="continue"/>
            <w:vAlign w:val="center"/>
          </w:tcPr>
          <w:p w14:paraId="16436EDD">
            <w:pPr>
              <w:spacing w:line="576" w:lineRule="exact"/>
              <w:jc w:val="center"/>
              <w:rPr>
                <w:rFonts w:hint="eastAsia" w:ascii="方正仿宋_GB2312" w:hAnsi="方正仿宋_GB2312" w:eastAsia="方正仿宋_GB2312" w:cs="方正仿宋_GB2312"/>
                <w:szCs w:val="32"/>
              </w:rPr>
            </w:pPr>
          </w:p>
        </w:tc>
        <w:tc>
          <w:tcPr>
            <w:tcW w:w="1992" w:type="dxa"/>
            <w:vAlign w:val="center"/>
          </w:tcPr>
          <w:p w14:paraId="4D441138">
            <w:pPr>
              <w:spacing w:line="576" w:lineRule="exact"/>
              <w:jc w:val="center"/>
              <w:rPr>
                <w:rFonts w:hint="eastAsia" w:ascii="方正仿宋_GB2312" w:hAnsi="方正仿宋_GB2312" w:eastAsia="方正仿宋_GB2312" w:cs="方正仿宋_GB2312"/>
                <w:szCs w:val="32"/>
              </w:rPr>
            </w:pPr>
            <w:r>
              <w:rPr>
                <w:rFonts w:hint="eastAsia" w:ascii="方正仿宋_GB2312" w:hAnsi="方正仿宋_GB2312" w:eastAsia="方正仿宋_GB2312" w:cs="方正仿宋_GB2312"/>
                <w:szCs w:val="32"/>
              </w:rPr>
              <w:t>项目立项目的</w:t>
            </w:r>
          </w:p>
        </w:tc>
        <w:tc>
          <w:tcPr>
            <w:tcW w:w="5967" w:type="dxa"/>
            <w:vAlign w:val="center"/>
          </w:tcPr>
          <w:p w14:paraId="0E99CDBB">
            <w:pPr>
              <w:spacing w:line="300" w:lineRule="exact"/>
              <w:ind w:firstLine="420" w:firstLineChars="200"/>
              <w:rPr>
                <w:rFonts w:hint="eastAsia" w:ascii="方正仿宋_GB2312" w:hAnsi="方正仿宋_GB2312" w:eastAsia="方正仿宋_GB2312" w:cs="方正仿宋_GB2312"/>
                <w:szCs w:val="32"/>
              </w:rPr>
            </w:pPr>
            <w:r>
              <w:rPr>
                <w:rFonts w:hint="eastAsia" w:ascii="方正仿宋_GB2312" w:hAnsi="方正仿宋_GB2312" w:eastAsia="方正仿宋_GB2312" w:cs="方正仿宋_GB2312"/>
                <w:lang w:val="en-US" w:eastAsia="zh-CN"/>
              </w:rPr>
              <w:t>根据《天易示范区物流园市政工程PPP项目合同》约定，需向项目公司支付可用性服务费，根据资金预算及实际情况，特设立本项目。</w:t>
            </w:r>
          </w:p>
        </w:tc>
      </w:tr>
      <w:tr w14:paraId="3FF620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78" w:type="dxa"/>
            <w:vMerge w:val="restart"/>
            <w:vAlign w:val="center"/>
          </w:tcPr>
          <w:p w14:paraId="740C7069">
            <w:pPr>
              <w:spacing w:line="576" w:lineRule="exact"/>
              <w:jc w:val="center"/>
              <w:rPr>
                <w:rFonts w:hint="eastAsia" w:ascii="方正仿宋_GB2312" w:hAnsi="方正仿宋_GB2312" w:eastAsia="方正仿宋_GB2312" w:cs="方正仿宋_GB2312"/>
                <w:szCs w:val="32"/>
              </w:rPr>
            </w:pPr>
            <w:r>
              <w:rPr>
                <w:rFonts w:hint="eastAsia" w:ascii="方正仿宋_GB2312" w:hAnsi="方正仿宋_GB2312" w:eastAsia="方正仿宋_GB2312" w:cs="方正仿宋_GB2312"/>
                <w:szCs w:val="32"/>
              </w:rPr>
              <w:t>绩效情况</w:t>
            </w:r>
          </w:p>
        </w:tc>
        <w:tc>
          <w:tcPr>
            <w:tcW w:w="1992" w:type="dxa"/>
            <w:vAlign w:val="center"/>
          </w:tcPr>
          <w:p w14:paraId="281BD2B6">
            <w:pPr>
              <w:spacing w:line="576" w:lineRule="exact"/>
              <w:jc w:val="center"/>
              <w:rPr>
                <w:rFonts w:hint="eastAsia" w:ascii="方正仿宋_GB2312" w:hAnsi="方正仿宋_GB2312" w:eastAsia="方正仿宋_GB2312" w:cs="方正仿宋_GB2312"/>
                <w:szCs w:val="32"/>
              </w:rPr>
            </w:pPr>
            <w:r>
              <w:rPr>
                <w:rFonts w:hint="eastAsia" w:ascii="方正仿宋_GB2312" w:hAnsi="方正仿宋_GB2312" w:eastAsia="方正仿宋_GB2312" w:cs="方正仿宋_GB2312"/>
                <w:szCs w:val="32"/>
              </w:rPr>
              <w:t>项目支出管理和使用基本情况</w:t>
            </w:r>
          </w:p>
        </w:tc>
        <w:tc>
          <w:tcPr>
            <w:tcW w:w="5967" w:type="dxa"/>
            <w:vAlign w:val="center"/>
          </w:tcPr>
          <w:p w14:paraId="3E12D375">
            <w:pPr>
              <w:spacing w:line="300" w:lineRule="exact"/>
              <w:ind w:firstLine="420" w:firstLineChars="200"/>
              <w:rPr>
                <w:rFonts w:hint="eastAsia" w:ascii="方正仿宋_GB2312" w:hAnsi="方正仿宋_GB2312" w:eastAsia="方正仿宋_GB2312" w:cs="方正仿宋_GB2312"/>
                <w:szCs w:val="21"/>
                <w:lang w:eastAsia="zh-CN"/>
              </w:rPr>
            </w:pPr>
            <w:r>
              <w:rPr>
                <w:rFonts w:hint="eastAsia" w:ascii="方正仿宋_GB2312" w:hAnsi="方正仿宋_GB2312" w:eastAsia="方正仿宋_GB2312" w:cs="方正仿宋_GB2312"/>
                <w:szCs w:val="21"/>
              </w:rPr>
              <w:t>一、项目资金管理</w:t>
            </w:r>
            <w:r>
              <w:rPr>
                <w:rFonts w:hint="eastAsia" w:ascii="方正仿宋_GB2312" w:hAnsi="方正仿宋_GB2312" w:eastAsia="方正仿宋_GB2312" w:cs="方正仿宋_GB2312"/>
                <w:szCs w:val="21"/>
                <w:lang w:val="en-US" w:eastAsia="zh-CN"/>
              </w:rPr>
              <w:t>情况</w:t>
            </w:r>
          </w:p>
          <w:p w14:paraId="74B35FF4">
            <w:pPr>
              <w:spacing w:line="300" w:lineRule="exact"/>
              <w:ind w:firstLine="420" w:firstLineChars="200"/>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针对专项资金，我区制定了专项资金相关管理文件，并严格按照文件规定执行，做到了专款专用、专账核算、财务审批流程健全规范、资金拨付手续齐全。</w:t>
            </w:r>
          </w:p>
          <w:p w14:paraId="6618C251">
            <w:pPr>
              <w:spacing w:line="300" w:lineRule="exact"/>
              <w:ind w:firstLine="420" w:firstLineChars="200"/>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rPr>
              <w:t>二、项目支出使用情况</w:t>
            </w:r>
          </w:p>
          <w:p w14:paraId="4A46A4A9">
            <w:pPr>
              <w:spacing w:line="300" w:lineRule="exact"/>
              <w:ind w:firstLine="420" w:firstLineChars="200"/>
              <w:rPr>
                <w:rFonts w:hint="default" w:ascii="方正仿宋_GB2312" w:hAnsi="方正仿宋_GB2312" w:eastAsia="方正仿宋_GB2312" w:cs="方正仿宋_GB2312"/>
                <w:szCs w:val="21"/>
                <w:lang w:val="en-US" w:eastAsia="zh-CN"/>
              </w:rPr>
            </w:pPr>
            <w:r>
              <w:rPr>
                <w:rFonts w:hint="eastAsia" w:ascii="方正仿宋_GB2312" w:hAnsi="方正仿宋_GB2312" w:eastAsia="方正仿宋_GB2312" w:cs="方正仿宋_GB2312"/>
                <w:szCs w:val="21"/>
                <w:lang w:eastAsia="zh-CN"/>
              </w:rPr>
              <w:t>2024年</w:t>
            </w:r>
            <w:r>
              <w:rPr>
                <w:rFonts w:hint="eastAsia" w:ascii="方正仿宋_GB2312" w:hAnsi="方正仿宋_GB2312" w:eastAsia="方正仿宋_GB2312" w:cs="方正仿宋_GB2312"/>
                <w:szCs w:val="21"/>
              </w:rPr>
              <w:t>度</w:t>
            </w:r>
            <w:r>
              <w:rPr>
                <w:rFonts w:hint="eastAsia" w:ascii="方正仿宋_GB2312" w:hAnsi="方正仿宋_GB2312" w:eastAsia="方正仿宋_GB2312" w:cs="方正仿宋_GB2312"/>
                <w:szCs w:val="21"/>
                <w:lang w:val="en-US" w:eastAsia="zh-CN"/>
              </w:rPr>
              <w:t>PPP项目政府付费支出</w:t>
            </w:r>
            <w:r>
              <w:rPr>
                <w:rFonts w:hint="eastAsia" w:ascii="方正仿宋_GB2312" w:hAnsi="方正仿宋_GB2312" w:eastAsia="方正仿宋_GB2312" w:cs="方正仿宋_GB2312"/>
                <w:szCs w:val="21"/>
              </w:rPr>
              <w:t>专项资金预算</w:t>
            </w:r>
            <w:r>
              <w:rPr>
                <w:rFonts w:hint="eastAsia" w:ascii="方正仿宋_GB2312" w:hAnsi="方正仿宋_GB2312" w:eastAsia="方正仿宋_GB2312" w:cs="方正仿宋_GB2312"/>
                <w:szCs w:val="21"/>
                <w:lang w:val="en-US" w:eastAsia="zh-CN"/>
              </w:rPr>
              <w:t>460</w:t>
            </w:r>
            <w:r>
              <w:rPr>
                <w:rFonts w:hint="eastAsia" w:ascii="方正仿宋_GB2312" w:hAnsi="方正仿宋_GB2312" w:eastAsia="方正仿宋_GB2312" w:cs="方正仿宋_GB2312"/>
                <w:szCs w:val="21"/>
              </w:rPr>
              <w:t>0.00万元，本年度实际使用项目资金</w:t>
            </w:r>
            <w:r>
              <w:rPr>
                <w:rFonts w:hint="eastAsia" w:ascii="方正仿宋_GB2312" w:hAnsi="方正仿宋_GB2312" w:eastAsia="方正仿宋_GB2312" w:cs="方正仿宋_GB2312"/>
                <w:szCs w:val="21"/>
                <w:lang w:val="en-US" w:eastAsia="zh-CN"/>
              </w:rPr>
              <w:t>4599.37万元，预算执行率99.99%。</w:t>
            </w:r>
          </w:p>
          <w:p w14:paraId="3EE1625F">
            <w:pPr>
              <w:spacing w:line="300" w:lineRule="exact"/>
              <w:ind w:firstLine="420" w:firstLineChars="200"/>
              <w:rPr>
                <w:rFonts w:hint="eastAsia" w:ascii="方正仿宋_GB2312" w:hAnsi="方正仿宋_GB2312" w:eastAsia="方正仿宋_GB2312" w:cs="方正仿宋_GB2312"/>
                <w:szCs w:val="21"/>
              </w:rPr>
            </w:pPr>
            <w:r>
              <w:rPr>
                <w:rFonts w:hint="eastAsia" w:ascii="方正仿宋_GB2312" w:hAnsi="方正仿宋_GB2312" w:eastAsia="方正仿宋_GB2312" w:cs="方正仿宋_GB2312"/>
                <w:szCs w:val="21"/>
                <w:lang w:val="en-US" w:eastAsia="zh-CN"/>
              </w:rPr>
              <w:t>专项资金拨付及时，无多头申报、重复安排的情况。单位财务制度健全、会计核算规范、资金管理严格</w:t>
            </w:r>
            <w:r>
              <w:rPr>
                <w:rFonts w:hint="eastAsia" w:ascii="方正仿宋_GB2312" w:hAnsi="方正仿宋_GB2312" w:eastAsia="方正仿宋_GB2312" w:cs="方正仿宋_GB2312"/>
                <w:szCs w:val="21"/>
              </w:rPr>
              <w:t>，无违规现象的发生。</w:t>
            </w:r>
          </w:p>
        </w:tc>
      </w:tr>
      <w:tr w14:paraId="21C9BD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78" w:type="dxa"/>
            <w:vMerge w:val="continue"/>
            <w:vAlign w:val="center"/>
          </w:tcPr>
          <w:p w14:paraId="35EA7A7C">
            <w:pPr>
              <w:spacing w:line="576" w:lineRule="exact"/>
              <w:jc w:val="center"/>
              <w:rPr>
                <w:rFonts w:hint="eastAsia" w:ascii="方正仿宋_GB2312" w:hAnsi="方正仿宋_GB2312" w:eastAsia="方正仿宋_GB2312" w:cs="方正仿宋_GB2312"/>
                <w:szCs w:val="32"/>
              </w:rPr>
            </w:pPr>
          </w:p>
        </w:tc>
        <w:tc>
          <w:tcPr>
            <w:tcW w:w="1992" w:type="dxa"/>
            <w:vAlign w:val="center"/>
          </w:tcPr>
          <w:p w14:paraId="47306E2B">
            <w:pPr>
              <w:spacing w:line="576" w:lineRule="exact"/>
              <w:jc w:val="center"/>
              <w:rPr>
                <w:rFonts w:hint="eastAsia" w:ascii="方正仿宋_GB2312" w:hAnsi="方正仿宋_GB2312" w:eastAsia="方正仿宋_GB2312" w:cs="方正仿宋_GB2312"/>
                <w:szCs w:val="32"/>
              </w:rPr>
            </w:pPr>
            <w:r>
              <w:rPr>
                <w:rFonts w:hint="eastAsia" w:ascii="方正仿宋_GB2312" w:hAnsi="方正仿宋_GB2312" w:eastAsia="方正仿宋_GB2312" w:cs="方正仿宋_GB2312"/>
                <w:szCs w:val="32"/>
              </w:rPr>
              <w:t>项目绩效目标完成情况</w:t>
            </w:r>
          </w:p>
        </w:tc>
        <w:tc>
          <w:tcPr>
            <w:tcW w:w="5967" w:type="dxa"/>
            <w:vAlign w:val="center"/>
          </w:tcPr>
          <w:p w14:paraId="7B0A6CD9">
            <w:pPr>
              <w:spacing w:line="300" w:lineRule="exact"/>
              <w:ind w:firstLine="420" w:firstLineChars="200"/>
              <w:rPr>
                <w:rFonts w:hint="eastAsia" w:ascii="方正仿宋_GB2312" w:hAnsi="方正仿宋_GB2312" w:eastAsia="方正仿宋_GB2312" w:cs="方正仿宋_GB2312"/>
                <w:szCs w:val="21"/>
                <w:lang w:val="en-US" w:eastAsia="zh-CN"/>
              </w:rPr>
            </w:pPr>
            <w:r>
              <w:rPr>
                <w:rFonts w:hint="eastAsia" w:ascii="方正仿宋_GB2312" w:hAnsi="方正仿宋_GB2312" w:eastAsia="方正仿宋_GB2312" w:cs="方正仿宋_GB2312"/>
                <w:szCs w:val="32"/>
              </w:rPr>
              <w:t>一、</w:t>
            </w:r>
            <w:r>
              <w:rPr>
                <w:rFonts w:hint="eastAsia" w:ascii="方正仿宋_GB2312" w:hAnsi="方正仿宋_GB2312" w:eastAsia="方正仿宋_GB2312" w:cs="方正仿宋_GB2312"/>
                <w:szCs w:val="21"/>
                <w:lang w:val="zh-CN"/>
              </w:rPr>
              <w:t>项目</w:t>
            </w:r>
            <w:r>
              <w:rPr>
                <w:rFonts w:hint="eastAsia" w:ascii="方正仿宋_GB2312" w:hAnsi="方正仿宋_GB2312" w:eastAsia="方正仿宋_GB2312" w:cs="方正仿宋_GB2312"/>
                <w:szCs w:val="21"/>
                <w:lang w:val="en-US" w:eastAsia="zh-CN"/>
              </w:rPr>
              <w:t>组织实施情况</w:t>
            </w:r>
          </w:p>
          <w:p w14:paraId="41DE87F3">
            <w:pPr>
              <w:spacing w:line="300" w:lineRule="exact"/>
              <w:ind w:firstLine="420" w:firstLineChars="200"/>
              <w:rPr>
                <w:rFonts w:hint="eastAsia" w:ascii="方正仿宋_GB2312" w:hAnsi="方正仿宋_GB2312" w:eastAsia="方正仿宋_GB2312" w:cs="方正仿宋_GB2312"/>
                <w:szCs w:val="21"/>
                <w:lang w:val="zh-CN" w:eastAsia="zh-CN"/>
              </w:rPr>
            </w:pPr>
            <w:r>
              <w:rPr>
                <w:rFonts w:hint="eastAsia" w:ascii="方正仿宋_GB2312" w:hAnsi="方正仿宋_GB2312" w:eastAsia="方正仿宋_GB2312" w:cs="方正仿宋_GB2312"/>
                <w:szCs w:val="21"/>
                <w:lang w:val="zh-CN" w:eastAsia="zh-CN"/>
              </w:rPr>
              <w:t>现项目已经整体进入运营期，湘潭天易经开区管理委员会作为项目实施机构，履行监督管理职责</w:t>
            </w:r>
            <w:r>
              <w:rPr>
                <w:rFonts w:hint="eastAsia" w:ascii="方正仿宋_GB2312" w:hAnsi="方正仿宋_GB2312" w:eastAsia="方正仿宋_GB2312" w:cs="方正仿宋_GB2312"/>
                <w:szCs w:val="21"/>
                <w:lang w:val="en-US" w:eastAsia="zh-CN"/>
              </w:rPr>
              <w:t>，</w:t>
            </w:r>
            <w:r>
              <w:rPr>
                <w:rFonts w:hint="eastAsia" w:ascii="方正仿宋_GB2312" w:hAnsi="方正仿宋_GB2312" w:eastAsia="方正仿宋_GB2312" w:cs="方正仿宋_GB2312"/>
                <w:szCs w:val="21"/>
                <w:lang w:val="zh-CN" w:eastAsia="zh-CN"/>
              </w:rPr>
              <w:t>项目运营维护工作</w:t>
            </w:r>
            <w:r>
              <w:rPr>
                <w:rFonts w:hint="eastAsia" w:ascii="方正仿宋_GB2312" w:hAnsi="方正仿宋_GB2312" w:eastAsia="方正仿宋_GB2312" w:cs="方正仿宋_GB2312"/>
                <w:szCs w:val="21"/>
                <w:lang w:val="en-US" w:eastAsia="zh-CN"/>
              </w:rPr>
              <w:t>正常运行</w:t>
            </w:r>
            <w:r>
              <w:rPr>
                <w:rFonts w:hint="eastAsia" w:ascii="方正仿宋_GB2312" w:hAnsi="方正仿宋_GB2312" w:eastAsia="方正仿宋_GB2312" w:cs="方正仿宋_GB2312"/>
                <w:szCs w:val="21"/>
                <w:lang w:val="zh-CN" w:eastAsia="zh-CN"/>
              </w:rPr>
              <w:t>。</w:t>
            </w:r>
          </w:p>
          <w:p w14:paraId="79799D37">
            <w:pPr>
              <w:spacing w:line="300" w:lineRule="exact"/>
              <w:ind w:firstLine="420" w:firstLineChars="200"/>
              <w:rPr>
                <w:rFonts w:hint="eastAsia" w:ascii="方正仿宋_GB2312" w:hAnsi="方正仿宋_GB2312" w:eastAsia="方正仿宋_GB2312" w:cs="方正仿宋_GB2312"/>
                <w:szCs w:val="32"/>
              </w:rPr>
            </w:pPr>
            <w:r>
              <w:rPr>
                <w:rFonts w:hint="eastAsia" w:ascii="方正仿宋_GB2312" w:hAnsi="方正仿宋_GB2312" w:eastAsia="方正仿宋_GB2312" w:cs="方正仿宋_GB2312"/>
                <w:szCs w:val="32"/>
                <w:lang w:val="en-US" w:eastAsia="zh-CN"/>
              </w:rPr>
              <w:t>二</w:t>
            </w:r>
            <w:r>
              <w:rPr>
                <w:rFonts w:hint="eastAsia" w:ascii="方正仿宋_GB2312" w:hAnsi="方正仿宋_GB2312" w:eastAsia="方正仿宋_GB2312" w:cs="方正仿宋_GB2312"/>
                <w:szCs w:val="32"/>
              </w:rPr>
              <w:t>、项目效益完成情况</w:t>
            </w:r>
          </w:p>
          <w:p w14:paraId="437AC6B4">
            <w:pPr>
              <w:spacing w:line="300" w:lineRule="exact"/>
              <w:ind w:firstLine="420" w:firstLineChars="200"/>
              <w:rPr>
                <w:rFonts w:hint="eastAsia" w:ascii="方正仿宋_GB2312" w:hAnsi="方正仿宋_GB2312" w:eastAsia="方正仿宋_GB2312" w:cs="方正仿宋_GB2312"/>
                <w:szCs w:val="21"/>
                <w:lang w:val="zh-CN" w:eastAsia="zh-CN"/>
              </w:rPr>
            </w:pPr>
            <w:r>
              <w:rPr>
                <w:rFonts w:hint="eastAsia" w:ascii="方正仿宋_GB2312" w:hAnsi="方正仿宋_GB2312" w:eastAsia="方正仿宋_GB2312" w:cs="方正仿宋_GB2312"/>
                <w:szCs w:val="21"/>
                <w:lang w:val="zh-CN" w:eastAsia="zh-CN"/>
              </w:rPr>
              <w:t>（一）交通效益显著提升</w:t>
            </w:r>
          </w:p>
          <w:p w14:paraId="7F1E5599">
            <w:pPr>
              <w:spacing w:line="300" w:lineRule="exact"/>
              <w:ind w:firstLine="420" w:firstLineChars="200"/>
              <w:rPr>
                <w:rFonts w:hint="eastAsia" w:ascii="方正仿宋_GB2312" w:hAnsi="方正仿宋_GB2312" w:eastAsia="方正仿宋_GB2312" w:cs="方正仿宋_GB2312"/>
                <w:szCs w:val="21"/>
                <w:lang w:val="zh-CN" w:eastAsia="zh-CN"/>
              </w:rPr>
            </w:pPr>
            <w:r>
              <w:rPr>
                <w:rFonts w:hint="eastAsia" w:ascii="方正仿宋_GB2312" w:hAnsi="方正仿宋_GB2312" w:eastAsia="方正仿宋_GB2312" w:cs="方正仿宋_GB2312"/>
                <w:szCs w:val="21"/>
                <w:lang w:val="en-US" w:eastAsia="zh-CN"/>
              </w:rPr>
              <w:t>该项目</w:t>
            </w:r>
            <w:r>
              <w:rPr>
                <w:rFonts w:hint="eastAsia" w:ascii="方正仿宋_GB2312" w:hAnsi="方正仿宋_GB2312" w:eastAsia="方正仿宋_GB2312" w:cs="方正仿宋_GB2312"/>
                <w:szCs w:val="21"/>
                <w:lang w:val="zh-CN" w:eastAsia="zh-CN"/>
              </w:rPr>
              <w:t>采用双向六车道公路标准建设，进一步完善了区域路网布局，增强了道路通行效率。项目通车后，大幅缓解了原有道路的交通压力，缩短了区域间的出行时间，提高了运输效率，对促进沿线产业集聚发展和城乡一体化进程具有重要意义。</w:t>
            </w:r>
          </w:p>
          <w:p w14:paraId="648A6160">
            <w:pPr>
              <w:spacing w:line="300" w:lineRule="exact"/>
              <w:ind w:firstLine="420" w:firstLineChars="200"/>
              <w:rPr>
                <w:rFonts w:hint="eastAsia" w:ascii="方正仿宋_GB2312" w:hAnsi="方正仿宋_GB2312" w:eastAsia="方正仿宋_GB2312" w:cs="方正仿宋_GB2312"/>
                <w:szCs w:val="21"/>
                <w:lang w:val="zh-CN" w:eastAsia="zh-CN"/>
              </w:rPr>
            </w:pPr>
            <w:r>
              <w:rPr>
                <w:rFonts w:hint="eastAsia" w:ascii="方正仿宋_GB2312" w:hAnsi="方正仿宋_GB2312" w:eastAsia="方正仿宋_GB2312" w:cs="方正仿宋_GB2312"/>
                <w:szCs w:val="21"/>
                <w:lang w:val="zh-CN" w:eastAsia="zh-CN"/>
              </w:rPr>
              <w:t>（二）经济效益持续释放</w:t>
            </w:r>
          </w:p>
          <w:p w14:paraId="3F0168E9">
            <w:pPr>
              <w:spacing w:line="300" w:lineRule="exact"/>
              <w:ind w:firstLine="420" w:firstLineChars="200"/>
              <w:rPr>
                <w:rFonts w:hint="eastAsia" w:ascii="方正仿宋_GB2312" w:hAnsi="方正仿宋_GB2312" w:eastAsia="方正仿宋_GB2312" w:cs="方正仿宋_GB2312"/>
                <w:szCs w:val="21"/>
                <w:lang w:val="zh-CN" w:eastAsia="zh-CN"/>
              </w:rPr>
            </w:pPr>
            <w:r>
              <w:rPr>
                <w:rFonts w:hint="eastAsia" w:ascii="方正仿宋_GB2312" w:hAnsi="方正仿宋_GB2312" w:eastAsia="方正仿宋_GB2312" w:cs="方正仿宋_GB2312"/>
                <w:szCs w:val="21"/>
                <w:lang w:val="zh-CN" w:eastAsia="zh-CN"/>
              </w:rPr>
              <w:t>项目的实施带动了沿线物流运输等相关产业的发展，增强了区域经济活力。同时，通过优化交通条件，吸引了更多企业投资落户，为地方经济发展注入了新动能。</w:t>
            </w:r>
          </w:p>
          <w:p w14:paraId="6417BD4A">
            <w:pPr>
              <w:spacing w:line="300" w:lineRule="exact"/>
              <w:ind w:firstLine="420" w:firstLineChars="200"/>
              <w:rPr>
                <w:rFonts w:hint="eastAsia" w:ascii="方正仿宋_GB2312" w:hAnsi="方正仿宋_GB2312" w:eastAsia="方正仿宋_GB2312" w:cs="方正仿宋_GB2312"/>
                <w:szCs w:val="21"/>
                <w:lang w:val="zh-CN" w:eastAsia="zh-CN"/>
              </w:rPr>
            </w:pPr>
            <w:r>
              <w:rPr>
                <w:rFonts w:hint="eastAsia" w:ascii="方正仿宋_GB2312" w:hAnsi="方正仿宋_GB2312" w:eastAsia="方正仿宋_GB2312" w:cs="方正仿宋_GB2312"/>
                <w:szCs w:val="21"/>
                <w:lang w:val="zh-CN" w:eastAsia="zh-CN"/>
              </w:rPr>
              <w:t>（三）财政与融资管理成效明显</w:t>
            </w:r>
          </w:p>
          <w:p w14:paraId="61606C16">
            <w:pPr>
              <w:spacing w:line="300" w:lineRule="exact"/>
              <w:ind w:firstLine="420" w:firstLineChars="200"/>
              <w:rPr>
                <w:rFonts w:hint="eastAsia" w:ascii="方正仿宋_GB2312" w:hAnsi="方正仿宋_GB2312" w:eastAsia="方正仿宋_GB2312" w:cs="方正仿宋_GB2312"/>
                <w:szCs w:val="32"/>
              </w:rPr>
            </w:pPr>
            <w:r>
              <w:rPr>
                <w:rFonts w:hint="eastAsia" w:ascii="方正仿宋_GB2312" w:hAnsi="方正仿宋_GB2312" w:eastAsia="方正仿宋_GB2312" w:cs="方正仿宋_GB2312"/>
                <w:szCs w:val="21"/>
                <w:lang w:val="zh-CN" w:eastAsia="zh-CN"/>
              </w:rPr>
              <w:t>为缓解2024年度政府支付压力，</w:t>
            </w:r>
            <w:r>
              <w:rPr>
                <w:rFonts w:hint="eastAsia" w:ascii="方正仿宋_GB2312" w:hAnsi="方正仿宋_GB2312" w:eastAsia="方正仿宋_GB2312" w:cs="方正仿宋_GB2312"/>
                <w:szCs w:val="21"/>
                <w:lang w:val="en-US" w:eastAsia="zh-CN"/>
              </w:rPr>
              <w:t>天易经开区</w:t>
            </w:r>
            <w:r>
              <w:rPr>
                <w:rFonts w:hint="eastAsia" w:ascii="方正仿宋_GB2312" w:hAnsi="方正仿宋_GB2312" w:eastAsia="方正仿宋_GB2312" w:cs="方正仿宋_GB2312"/>
                <w:szCs w:val="21"/>
                <w:lang w:val="zh-CN" w:eastAsia="zh-CN"/>
              </w:rPr>
              <w:t>积极与中国银行、工商银行两家贷款银行沟通协商，达成一致意见，对原定还本付息计划进行了合理调整。其中：中国银行：2024年应偿还本金由原计划的20,577.66万元下调至311.18万元；工商银行：2024年应偿还本金由6,050万元下调至200万元。此外，通过多次与社会投资方深入洽谈，统筹考虑财政承受能力和项目</w:t>
            </w:r>
            <w:r>
              <w:rPr>
                <w:rFonts w:hint="eastAsia" w:ascii="方正仿宋_GB2312" w:hAnsi="方正仿宋_GB2312" w:eastAsia="方正仿宋_GB2312" w:cs="方正仿宋_GB2312"/>
                <w:szCs w:val="21"/>
                <w:lang w:val="en-US" w:eastAsia="zh-CN"/>
              </w:rPr>
              <w:t>方的</w:t>
            </w:r>
            <w:r>
              <w:rPr>
                <w:rFonts w:hint="eastAsia" w:ascii="方正仿宋_GB2312" w:hAnsi="方正仿宋_GB2312" w:eastAsia="方正仿宋_GB2312" w:cs="方正仿宋_GB2312"/>
                <w:szCs w:val="21"/>
                <w:lang w:val="zh-CN" w:eastAsia="zh-CN"/>
              </w:rPr>
              <w:t>需求，将本年度应支付资金由原计划的1.93亿元调整并降低至0.48亿元，显著减轻了当期财政支出压力</w:t>
            </w:r>
            <w:r>
              <w:rPr>
                <w:rFonts w:hint="eastAsia" w:ascii="方正仿宋_GB2312" w:hAnsi="方正仿宋_GB2312" w:eastAsia="方正仿宋_GB2312" w:cs="方正仿宋_GB2312"/>
                <w:szCs w:val="21"/>
                <w:highlight w:val="none"/>
                <w:lang w:val="zh-CN" w:eastAsia="zh-CN"/>
              </w:rPr>
              <w:t>，同时提升政府债务管理能力和财政可持续性</w:t>
            </w:r>
            <w:r>
              <w:rPr>
                <w:rFonts w:hint="eastAsia" w:ascii="方正仿宋_GB2312" w:hAnsi="方正仿宋_GB2312" w:eastAsia="方正仿宋_GB2312" w:cs="方正仿宋_GB2312"/>
                <w:szCs w:val="21"/>
                <w:lang w:val="zh-CN" w:eastAsia="zh-CN"/>
              </w:rPr>
              <w:t>。</w:t>
            </w:r>
          </w:p>
        </w:tc>
      </w:tr>
      <w:tr w14:paraId="1EC70F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78" w:type="dxa"/>
            <w:vMerge w:val="restart"/>
            <w:vAlign w:val="center"/>
          </w:tcPr>
          <w:p w14:paraId="004FF5E4">
            <w:pPr>
              <w:spacing w:line="576" w:lineRule="exact"/>
              <w:jc w:val="center"/>
              <w:rPr>
                <w:rFonts w:hint="eastAsia" w:ascii="方正仿宋_GB2312" w:hAnsi="方正仿宋_GB2312" w:eastAsia="方正仿宋_GB2312" w:cs="方正仿宋_GB2312"/>
                <w:szCs w:val="32"/>
              </w:rPr>
            </w:pPr>
            <w:r>
              <w:rPr>
                <w:rFonts w:hint="eastAsia" w:ascii="方正仿宋_GB2312" w:hAnsi="方正仿宋_GB2312" w:eastAsia="方正仿宋_GB2312" w:cs="方正仿宋_GB2312"/>
                <w:szCs w:val="32"/>
              </w:rPr>
              <w:t>存在的问题分析及改进措施</w:t>
            </w:r>
          </w:p>
        </w:tc>
        <w:tc>
          <w:tcPr>
            <w:tcW w:w="1992" w:type="dxa"/>
            <w:vAlign w:val="center"/>
          </w:tcPr>
          <w:p w14:paraId="035B4CCF">
            <w:pPr>
              <w:spacing w:line="576" w:lineRule="exact"/>
              <w:jc w:val="center"/>
              <w:rPr>
                <w:rFonts w:hint="eastAsia" w:ascii="方正仿宋_GB2312" w:hAnsi="方正仿宋_GB2312" w:eastAsia="方正仿宋_GB2312" w:cs="方正仿宋_GB2312"/>
                <w:szCs w:val="32"/>
              </w:rPr>
            </w:pPr>
            <w:r>
              <w:rPr>
                <w:rFonts w:hint="eastAsia" w:ascii="方正仿宋_GB2312" w:hAnsi="方正仿宋_GB2312" w:eastAsia="方正仿宋_GB2312" w:cs="方正仿宋_GB2312"/>
                <w:szCs w:val="32"/>
              </w:rPr>
              <w:t>存在的问题</w:t>
            </w:r>
          </w:p>
        </w:tc>
        <w:tc>
          <w:tcPr>
            <w:tcW w:w="5967" w:type="dxa"/>
            <w:vAlign w:val="center"/>
          </w:tcPr>
          <w:p w14:paraId="262B9CF5">
            <w:pPr>
              <w:spacing w:line="300" w:lineRule="exact"/>
              <w:ind w:firstLine="420" w:firstLineChars="200"/>
              <w:rPr>
                <w:rFonts w:hint="eastAsia" w:ascii="方正仿宋_GB2312" w:hAnsi="方正仿宋_GB2312" w:eastAsia="方正仿宋_GB2312" w:cs="方正仿宋_GB2312"/>
                <w:szCs w:val="21"/>
                <w:lang w:val="en-US" w:eastAsia="zh-CN"/>
              </w:rPr>
            </w:pPr>
            <w:r>
              <w:rPr>
                <w:rFonts w:hint="eastAsia" w:ascii="方正仿宋_GB2312" w:hAnsi="方正仿宋_GB2312" w:eastAsia="方正仿宋_GB2312" w:cs="方正仿宋_GB2312"/>
                <w:szCs w:val="21"/>
                <w:lang w:val="en-US" w:eastAsia="zh-CN"/>
              </w:rPr>
              <w:t>1、政府支出责任较大，县级财力紧张；</w:t>
            </w:r>
          </w:p>
          <w:p w14:paraId="4470D084">
            <w:pPr>
              <w:spacing w:line="300" w:lineRule="exact"/>
              <w:ind w:firstLine="420" w:firstLineChars="200"/>
              <w:rPr>
                <w:rFonts w:hint="eastAsia" w:ascii="方正仿宋_GB2312" w:hAnsi="方正仿宋_GB2312" w:eastAsia="方正仿宋_GB2312" w:cs="方正仿宋_GB2312"/>
                <w:szCs w:val="21"/>
                <w:lang w:val="en-US" w:eastAsia="zh-CN"/>
              </w:rPr>
            </w:pPr>
            <w:r>
              <w:rPr>
                <w:rFonts w:hint="eastAsia" w:ascii="方正仿宋_GB2312" w:hAnsi="方正仿宋_GB2312" w:eastAsia="方正仿宋_GB2312" w:cs="方正仿宋_GB2312"/>
                <w:szCs w:val="21"/>
                <w:lang w:val="en-US" w:eastAsia="zh-CN"/>
              </w:rPr>
              <w:t>2、长期财务健康问题：虽然通过与银行和社会投资方的协商暂时降低了2024年的还款金额和应支付资金，但这可能会导致后续年度的还款负担加重。需要评估这种短期缓解对中长期财政状况的影响</w:t>
            </w:r>
          </w:p>
          <w:p w14:paraId="56365075">
            <w:pPr>
              <w:pStyle w:val="2"/>
              <w:rPr>
                <w:rFonts w:hint="default"/>
                <w:lang w:val="en-US" w:eastAsia="zh-CN"/>
              </w:rPr>
            </w:pPr>
            <w:r>
              <w:rPr>
                <w:rFonts w:hint="eastAsia" w:ascii="方正仿宋_GB2312" w:hAnsi="方正仿宋_GB2312" w:eastAsia="方正仿宋_GB2312" w:cs="方正仿宋_GB2312"/>
                <w:szCs w:val="21"/>
                <w:lang w:val="en-US" w:eastAsia="zh-CN"/>
              </w:rPr>
              <w:t>3、依赖外部谈判结果：降低还款压力很大程度上依赖于成功与贷款银行和社会投资方的谈判结果。如果未来谈判条件发生变化，或者市场环境恶化，可能导致重新协商的困难增加。</w:t>
            </w:r>
          </w:p>
        </w:tc>
      </w:tr>
      <w:tr w14:paraId="744460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78" w:type="dxa"/>
            <w:vMerge w:val="continue"/>
            <w:vAlign w:val="center"/>
          </w:tcPr>
          <w:p w14:paraId="2E2E0B7F">
            <w:pPr>
              <w:spacing w:line="576" w:lineRule="exact"/>
              <w:jc w:val="center"/>
              <w:rPr>
                <w:rFonts w:hint="eastAsia" w:ascii="方正仿宋_GB2312" w:hAnsi="方正仿宋_GB2312" w:eastAsia="方正仿宋_GB2312" w:cs="方正仿宋_GB2312"/>
                <w:szCs w:val="32"/>
              </w:rPr>
            </w:pPr>
          </w:p>
        </w:tc>
        <w:tc>
          <w:tcPr>
            <w:tcW w:w="1992" w:type="dxa"/>
            <w:vAlign w:val="center"/>
          </w:tcPr>
          <w:p w14:paraId="4ECA11CD">
            <w:pPr>
              <w:spacing w:line="576" w:lineRule="exact"/>
              <w:jc w:val="center"/>
              <w:rPr>
                <w:rFonts w:hint="eastAsia" w:ascii="方正仿宋_GB2312" w:hAnsi="方正仿宋_GB2312" w:eastAsia="方正仿宋_GB2312" w:cs="方正仿宋_GB2312"/>
                <w:szCs w:val="32"/>
              </w:rPr>
            </w:pPr>
            <w:r>
              <w:rPr>
                <w:rFonts w:hint="eastAsia" w:ascii="方正仿宋_GB2312" w:hAnsi="方正仿宋_GB2312" w:eastAsia="方正仿宋_GB2312" w:cs="方正仿宋_GB2312"/>
                <w:szCs w:val="32"/>
              </w:rPr>
              <w:t>改进措施</w:t>
            </w:r>
          </w:p>
        </w:tc>
        <w:tc>
          <w:tcPr>
            <w:tcW w:w="5967" w:type="dxa"/>
            <w:vAlign w:val="center"/>
          </w:tcPr>
          <w:p w14:paraId="33DE531A">
            <w:pPr>
              <w:spacing w:line="300" w:lineRule="exact"/>
              <w:ind w:firstLine="420" w:firstLineChars="200"/>
              <w:rPr>
                <w:rFonts w:hint="eastAsia" w:ascii="方正仿宋_GB2312" w:hAnsi="方正仿宋_GB2312" w:eastAsia="方正仿宋_GB2312" w:cs="方正仿宋_GB2312"/>
                <w:szCs w:val="21"/>
                <w:lang w:val="en-US" w:eastAsia="zh-CN"/>
              </w:rPr>
            </w:pPr>
            <w:r>
              <w:rPr>
                <w:rFonts w:hint="eastAsia" w:ascii="方正仿宋_GB2312" w:hAnsi="方正仿宋_GB2312" w:eastAsia="方正仿宋_GB2312" w:cs="方正仿宋_GB2312"/>
                <w:szCs w:val="21"/>
                <w:lang w:val="en-US" w:eastAsia="zh-CN"/>
              </w:rPr>
              <w:t>1、严格</w:t>
            </w:r>
            <w:r>
              <w:rPr>
                <w:rFonts w:hint="eastAsia" w:ascii="方正仿宋_GB2312" w:hAnsi="方正仿宋_GB2312" w:eastAsia="方正仿宋_GB2312" w:cs="方正仿宋_GB2312"/>
                <w:szCs w:val="21"/>
                <w:lang w:val="zh-CN" w:eastAsia="zh-CN"/>
              </w:rPr>
              <w:t>落实过紧日子要求，加强财政资金管理。</w:t>
            </w:r>
          </w:p>
          <w:p w14:paraId="7A18B9B8">
            <w:pPr>
              <w:spacing w:line="300" w:lineRule="exact"/>
              <w:ind w:firstLine="420" w:firstLineChars="200"/>
              <w:rPr>
                <w:rFonts w:hint="eastAsia" w:ascii="方正仿宋_GB2312" w:hAnsi="方正仿宋_GB2312" w:eastAsia="方正仿宋_GB2312" w:cs="方正仿宋_GB2312"/>
                <w:szCs w:val="21"/>
                <w:lang w:val="en-US" w:eastAsia="zh-CN"/>
              </w:rPr>
            </w:pPr>
            <w:r>
              <w:rPr>
                <w:rFonts w:hint="eastAsia" w:ascii="方正仿宋_GB2312" w:hAnsi="方正仿宋_GB2312" w:eastAsia="方正仿宋_GB2312" w:cs="方正仿宋_GB2312"/>
                <w:szCs w:val="21"/>
                <w:lang w:val="en-US" w:eastAsia="zh-CN"/>
              </w:rPr>
              <w:t>2、严格按照预算编制的相关制度和要求进行预算编制，进一步提高预算编制的科学性、严谨性和可控性，提高预算的合理性和准确性。</w:t>
            </w:r>
          </w:p>
          <w:p w14:paraId="4219EBB4">
            <w:pPr>
              <w:pStyle w:val="2"/>
              <w:rPr>
                <w:rFonts w:hint="default" w:ascii="方正仿宋_GB2312" w:hAnsi="方正仿宋_GB2312" w:eastAsia="方正仿宋_GB2312" w:cs="方正仿宋_GB2312"/>
                <w:szCs w:val="21"/>
                <w:lang w:val="en-US" w:eastAsia="zh-CN"/>
              </w:rPr>
            </w:pPr>
            <w:r>
              <w:rPr>
                <w:rFonts w:hint="eastAsia" w:ascii="方正仿宋_GB2312" w:hAnsi="方正仿宋_GB2312" w:eastAsia="方正仿宋_GB2312" w:cs="方正仿宋_GB2312"/>
                <w:szCs w:val="21"/>
                <w:lang w:val="en-US" w:eastAsia="zh-CN"/>
              </w:rPr>
              <w:t>3、制定中长期偿债规划，在缓解2024年短期支付压力的基础上，避免“拆东墙补西墙”，防止后续年份因集中还款导致更大财政压力。在条件成熟时，考虑引进</w:t>
            </w:r>
            <w:bookmarkStart w:id="0" w:name="_GoBack"/>
            <w:bookmarkEnd w:id="0"/>
            <w:r>
              <w:rPr>
                <w:rFonts w:hint="eastAsia" w:ascii="方正仿宋_GB2312" w:hAnsi="方正仿宋_GB2312" w:eastAsia="方正仿宋_GB2312" w:cs="方正仿宋_GB2312"/>
                <w:szCs w:val="21"/>
                <w:lang w:val="en-US" w:eastAsia="zh-CN"/>
              </w:rPr>
              <w:t>地方政府专项债券等方式拓宽融资来源。</w:t>
            </w:r>
          </w:p>
        </w:tc>
      </w:tr>
      <w:tr w14:paraId="57A02D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378" w:type="dxa"/>
            <w:vMerge w:val="continue"/>
            <w:vAlign w:val="center"/>
          </w:tcPr>
          <w:p w14:paraId="429A3904">
            <w:pPr>
              <w:spacing w:line="576" w:lineRule="exact"/>
              <w:jc w:val="center"/>
              <w:rPr>
                <w:rFonts w:hint="eastAsia" w:ascii="方正仿宋_GB2312" w:hAnsi="方正仿宋_GB2312" w:eastAsia="方正仿宋_GB2312" w:cs="方正仿宋_GB2312"/>
                <w:szCs w:val="32"/>
              </w:rPr>
            </w:pPr>
          </w:p>
        </w:tc>
        <w:tc>
          <w:tcPr>
            <w:tcW w:w="1992" w:type="dxa"/>
            <w:vAlign w:val="center"/>
          </w:tcPr>
          <w:p w14:paraId="0A09CC74">
            <w:pPr>
              <w:spacing w:line="576" w:lineRule="exact"/>
              <w:jc w:val="both"/>
              <w:rPr>
                <w:rFonts w:hint="eastAsia" w:ascii="方正仿宋_GB2312" w:hAnsi="方正仿宋_GB2312" w:eastAsia="方正仿宋_GB2312" w:cs="方正仿宋_GB2312"/>
                <w:szCs w:val="32"/>
              </w:rPr>
            </w:pPr>
            <w:r>
              <w:rPr>
                <w:rFonts w:hint="eastAsia" w:ascii="方正仿宋_GB2312" w:hAnsi="方正仿宋_GB2312" w:eastAsia="方正仿宋_GB2312" w:cs="方正仿宋_GB2312"/>
                <w:szCs w:val="32"/>
              </w:rPr>
              <w:t>其他需要说明问题</w:t>
            </w:r>
          </w:p>
        </w:tc>
        <w:tc>
          <w:tcPr>
            <w:tcW w:w="5967" w:type="dxa"/>
            <w:vAlign w:val="center"/>
          </w:tcPr>
          <w:p w14:paraId="26D95B0D">
            <w:pPr>
              <w:spacing w:line="576" w:lineRule="exact"/>
              <w:jc w:val="center"/>
              <w:rPr>
                <w:rFonts w:hint="eastAsia" w:ascii="方正仿宋_GB2312" w:hAnsi="方正仿宋_GB2312" w:eastAsia="方正仿宋_GB2312" w:cs="方正仿宋_GB2312"/>
                <w:szCs w:val="32"/>
              </w:rPr>
            </w:pPr>
            <w:r>
              <w:rPr>
                <w:rFonts w:hint="eastAsia" w:ascii="方正仿宋_GB2312" w:hAnsi="方正仿宋_GB2312" w:eastAsia="方正仿宋_GB2312" w:cs="方正仿宋_GB2312"/>
                <w:szCs w:val="32"/>
              </w:rPr>
              <w:t>无</w:t>
            </w:r>
          </w:p>
        </w:tc>
      </w:tr>
    </w:tbl>
    <w:p w14:paraId="6222CCEB"/>
    <w:sectPr>
      <w:pgSz w:w="11906" w:h="16838"/>
      <w:pgMar w:top="1134" w:right="1797" w:bottom="680" w:left="1797" w:header="284" w:footer="28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Arial Narrow">
    <w:panose1 w:val="020B0606020202030204"/>
    <w:charset w:val="00"/>
    <w:family w:val="auto"/>
    <w:pitch w:val="default"/>
    <w:sig w:usb0="00000287" w:usb1="00000800" w:usb2="00000000" w:usb3="00000000" w:csb0="2000009F" w:csb1="DFD70000"/>
  </w:font>
  <w:font w:name="仿宋_GB2312">
    <w:panose1 w:val="02010609030101010101"/>
    <w:charset w:val="86"/>
    <w:family w:val="modern"/>
    <w:pitch w:val="default"/>
    <w:sig w:usb0="00000001" w:usb1="080E0000" w:usb2="00000000" w:usb3="00000000" w:csb0="00040000" w:csb1="00000000"/>
    <w:embedRegular r:id="rId1" w:fontKey="{3CBDD15B-6182-4C49-A957-032523A3603B}"/>
  </w:font>
  <w:font w:name="方正仿宋_GB2312">
    <w:panose1 w:val="02000000000000000000"/>
    <w:charset w:val="86"/>
    <w:family w:val="auto"/>
    <w:pitch w:val="default"/>
    <w:sig w:usb0="A00002BF" w:usb1="184F6CFA" w:usb2="00000012" w:usb3="00000000" w:csb0="00040001" w:csb1="00000000"/>
    <w:embedRegular r:id="rId2" w:fontKey="{57278202-1058-49CD-9493-D5AC44D352B5}"/>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JmYWQ4ZWIxYzhmODMxNTBiZmI3ZmVkNmRjMWQ3YzkifQ=="/>
  </w:docVars>
  <w:rsids>
    <w:rsidRoot w:val="00637999"/>
    <w:rsid w:val="000108AC"/>
    <w:rsid w:val="00023A8C"/>
    <w:rsid w:val="00052F75"/>
    <w:rsid w:val="001D12D3"/>
    <w:rsid w:val="0039109F"/>
    <w:rsid w:val="00530415"/>
    <w:rsid w:val="00576F75"/>
    <w:rsid w:val="00607C95"/>
    <w:rsid w:val="00637999"/>
    <w:rsid w:val="0067105D"/>
    <w:rsid w:val="00815876"/>
    <w:rsid w:val="00851BC5"/>
    <w:rsid w:val="0093075D"/>
    <w:rsid w:val="0093751B"/>
    <w:rsid w:val="0095362C"/>
    <w:rsid w:val="009A06D7"/>
    <w:rsid w:val="00A07533"/>
    <w:rsid w:val="00BC29C2"/>
    <w:rsid w:val="00C77203"/>
    <w:rsid w:val="00E13F75"/>
    <w:rsid w:val="00E4255D"/>
    <w:rsid w:val="00E470C2"/>
    <w:rsid w:val="00E63466"/>
    <w:rsid w:val="00F80176"/>
    <w:rsid w:val="082C52F1"/>
    <w:rsid w:val="0A764BE3"/>
    <w:rsid w:val="10B62239"/>
    <w:rsid w:val="143D67CD"/>
    <w:rsid w:val="262F1C7D"/>
    <w:rsid w:val="29896926"/>
    <w:rsid w:val="2BED4A7B"/>
    <w:rsid w:val="35094485"/>
    <w:rsid w:val="37276EB4"/>
    <w:rsid w:val="391C0F51"/>
    <w:rsid w:val="467C4DAF"/>
    <w:rsid w:val="4AD36E9A"/>
    <w:rsid w:val="4E62782D"/>
    <w:rsid w:val="50216A78"/>
    <w:rsid w:val="52626C5B"/>
    <w:rsid w:val="5547457F"/>
    <w:rsid w:val="58077EFD"/>
    <w:rsid w:val="59F221E9"/>
    <w:rsid w:val="5BEC7E8A"/>
    <w:rsid w:val="5C51307F"/>
    <w:rsid w:val="5CBF5F72"/>
    <w:rsid w:val="5DB75FEB"/>
    <w:rsid w:val="615756FD"/>
    <w:rsid w:val="644D00B7"/>
    <w:rsid w:val="66E95B54"/>
    <w:rsid w:val="694F5730"/>
    <w:rsid w:val="6D8242D2"/>
    <w:rsid w:val="77CC7EFE"/>
    <w:rsid w:val="7A816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customStyle="1" w:styleId="2">
    <w:name w:val="列出段落1"/>
    <w:basedOn w:val="1"/>
    <w:autoRedefine/>
    <w:qFormat/>
    <w:uiPriority w:val="99"/>
    <w:pPr>
      <w:ind w:firstLine="420"/>
    </w:pPr>
  </w:style>
  <w:style w:type="paragraph" w:styleId="3">
    <w:name w:val="footer"/>
    <w:basedOn w:val="1"/>
    <w:link w:val="10"/>
    <w:semiHidden/>
    <w:unhideWhenUsed/>
    <w:qFormat/>
    <w:uiPriority w:val="99"/>
    <w:pPr>
      <w:tabs>
        <w:tab w:val="center" w:pos="4153"/>
        <w:tab w:val="right" w:pos="8306"/>
      </w:tabs>
      <w:snapToGrid w:val="0"/>
      <w:jc w:val="left"/>
    </w:pPr>
    <w:rPr>
      <w:sz w:val="18"/>
      <w:szCs w:val="18"/>
    </w:rPr>
  </w:style>
  <w:style w:type="paragraph" w:styleId="4">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Strong"/>
    <w:basedOn w:val="6"/>
    <w:qFormat/>
    <w:uiPriority w:val="22"/>
    <w:rPr>
      <w:b/>
    </w:rPr>
  </w:style>
  <w:style w:type="paragraph" w:customStyle="1" w:styleId="8">
    <w:name w:val="正文格式"/>
    <w:qFormat/>
    <w:uiPriority w:val="99"/>
    <w:pPr>
      <w:spacing w:beforeLines="50" w:afterLines="50" w:line="360" w:lineRule="auto"/>
      <w:ind w:firstLine="480" w:firstLineChars="200"/>
    </w:pPr>
    <w:rPr>
      <w:rFonts w:ascii="Times New Roman" w:hAnsi="Times New Roman" w:eastAsia="宋体" w:cs="Times New Roman"/>
      <w:kern w:val="2"/>
      <w:sz w:val="24"/>
      <w:szCs w:val="22"/>
      <w:lang w:val="en-US" w:eastAsia="zh-CN" w:bidi="ar-SA"/>
    </w:rPr>
  </w:style>
  <w:style w:type="character" w:customStyle="1" w:styleId="9">
    <w:name w:val="页眉 Char"/>
    <w:basedOn w:val="6"/>
    <w:link w:val="4"/>
    <w:semiHidden/>
    <w:qFormat/>
    <w:uiPriority w:val="99"/>
    <w:rPr>
      <w:rFonts w:ascii="Times New Roman" w:hAnsi="Times New Roman" w:eastAsia="宋体" w:cs="Times New Roman"/>
      <w:sz w:val="18"/>
      <w:szCs w:val="18"/>
    </w:rPr>
  </w:style>
  <w:style w:type="character" w:customStyle="1" w:styleId="10">
    <w:name w:val="页脚 Char"/>
    <w:basedOn w:val="6"/>
    <w:link w:val="3"/>
    <w:semiHidden/>
    <w:qFormat/>
    <w:uiPriority w:val="99"/>
    <w:rPr>
      <w:rFonts w:ascii="Times New Roman" w:hAnsi="Times New Roman" w:eastAsia="宋体" w:cs="Times New Roman"/>
      <w:sz w:val="18"/>
      <w:szCs w:val="18"/>
    </w:rPr>
  </w:style>
  <w:style w:type="paragraph" w:styleId="11">
    <w:name w:val="No Spacing"/>
    <w:qFormat/>
    <w:uiPriority w:val="1"/>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1232</Words>
  <Characters>1309</Characters>
  <Lines>14</Lines>
  <Paragraphs>4</Paragraphs>
  <TotalTime>62</TotalTime>
  <ScaleCrop>false</ScaleCrop>
  <LinksUpToDate>false</LinksUpToDate>
  <CharactersWithSpaces>1309</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2022-05-18T03:25:00Z</dcterms:created>
  <dc:creator>XYDN</dc:creator>
  <cp:lastModifiedBy>蜜丫Amy</cp:lastModifiedBy>
  <dcterms:modified xsi:type="dcterms:W3CDTF">2025-05-26T06:16:35Z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D1DEF7DEB3CE4DE996D07195EB49BBBC_13</vt:lpwstr>
  </property>
  <property fmtid="{D5CDD505-2E9C-101B-9397-08002B2CF9AE}" pid="4" name="KSOTemplateDocerSaveRecord">
    <vt:lpwstr>eyJoZGlkIjoiMjJmYWQ4ZWIxYzhmODMxNTBiZmI3ZmVkNmRjMWQ3YzkiLCJ1c2VySWQiOiIyNDU4MTk3MjUifQ==</vt:lpwstr>
  </property>
</Properties>
</file>