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48"/>
        <w:tblpPr w:leftFromText="180" w:rightFromText="180" w:vertAnchor="page" w:horzAnchor="page" w:tblpX="5374" w:tblpY="8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9"/>
        <w:gridCol w:w="1963"/>
      </w:tblGrid>
      <w:tr w14:paraId="262A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0" w:hRule="atLeast"/>
        </w:trPr>
        <w:tc>
          <w:tcPr>
            <w:tcW w:w="5032" w:type="dxa"/>
            <w:gridSpan w:val="2"/>
            <w:noWrap/>
          </w:tcPr>
          <w:p w14:paraId="26FF18BA">
            <w:pPr>
              <w:spacing w:line="360" w:lineRule="auto"/>
              <w:ind w:firstLine="157" w:firstLineChars="49"/>
              <w:jc w:val="left"/>
              <w:rPr>
                <w:rFonts w:hint="eastAsia" w:ascii="宋体" w:hAnsi="宋体" w:eastAsia="宋体" w:cs="宋体"/>
                <w:b/>
                <w:kern w:val="0"/>
                <w:sz w:val="32"/>
                <w:szCs w:val="32"/>
              </w:rPr>
            </w:pPr>
            <w:r>
              <w:rPr>
                <w:rFonts w:hint="eastAsia" w:ascii="宋体" w:hAnsi="宋体" w:cs="宋体"/>
                <w:b/>
                <w:kern w:val="0"/>
                <w:sz w:val="32"/>
                <w:szCs w:val="32"/>
                <w:lang w:eastAsia="zh-CN"/>
              </w:rPr>
              <w:t>招标人</w:t>
            </w:r>
            <w:r>
              <w:rPr>
                <w:rFonts w:hint="eastAsia" w:ascii="宋体" w:hAnsi="宋体" w:eastAsia="宋体" w:cs="宋体"/>
                <w:b/>
                <w:kern w:val="0"/>
                <w:sz w:val="32"/>
                <w:szCs w:val="32"/>
              </w:rPr>
              <w:t>审核意见：</w:t>
            </w:r>
          </w:p>
          <w:p w14:paraId="161382B2">
            <w:pPr>
              <w:spacing w:line="360" w:lineRule="auto"/>
              <w:jc w:val="center"/>
              <w:rPr>
                <w:rFonts w:hint="eastAsia" w:ascii="宋体" w:hAnsi="宋体" w:eastAsia="宋体" w:cs="宋体"/>
                <w:b/>
                <w:kern w:val="0"/>
                <w:sz w:val="32"/>
                <w:szCs w:val="32"/>
              </w:rPr>
            </w:pPr>
          </w:p>
          <w:p w14:paraId="6DC118FA">
            <w:pPr>
              <w:spacing w:line="360" w:lineRule="auto"/>
              <w:jc w:val="right"/>
              <w:rPr>
                <w:rFonts w:hint="eastAsia" w:ascii="宋体" w:hAnsi="宋体" w:eastAsia="宋体" w:cs="宋体"/>
                <w:b/>
                <w:kern w:val="0"/>
                <w:sz w:val="32"/>
                <w:szCs w:val="32"/>
              </w:rPr>
            </w:pPr>
            <w:r>
              <w:rPr>
                <w:rFonts w:hint="eastAsia" w:ascii="宋体" w:hAnsi="宋体" w:eastAsia="宋体" w:cs="宋体"/>
                <w:b/>
                <w:kern w:val="0"/>
                <w:sz w:val="32"/>
                <w:szCs w:val="32"/>
              </w:rPr>
              <w:t>（盖章签字）</w:t>
            </w:r>
          </w:p>
        </w:tc>
      </w:tr>
      <w:tr w14:paraId="7683C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032" w:type="dxa"/>
            <w:gridSpan w:val="2"/>
            <w:noWrap/>
          </w:tcPr>
          <w:p w14:paraId="2F0C5312">
            <w:pPr>
              <w:spacing w:line="360" w:lineRule="auto"/>
              <w:jc w:val="left"/>
              <w:rPr>
                <w:rFonts w:hint="eastAsia" w:ascii="宋体" w:hAnsi="宋体" w:eastAsia="宋体" w:cs="宋体"/>
                <w:b/>
                <w:kern w:val="0"/>
                <w:sz w:val="24"/>
              </w:rPr>
            </w:pPr>
            <w:r>
              <w:rPr>
                <w:rFonts w:hint="eastAsia" w:ascii="宋体" w:hAnsi="宋体" w:eastAsia="宋体" w:cs="宋体"/>
                <w:b/>
                <w:kern w:val="0"/>
                <w:sz w:val="24"/>
              </w:rPr>
              <w:t>编制单位：</w:t>
            </w:r>
            <w:r>
              <w:rPr>
                <w:rFonts w:hint="eastAsia" w:ascii="宋体" w:hAnsi="宋体" w:eastAsia="宋体" w:cs="宋体"/>
                <w:b/>
                <w:kern w:val="0"/>
                <w:sz w:val="24"/>
                <w:lang w:eastAsia="zh-CN"/>
              </w:rPr>
              <w:t>湖南长顺项目管理有限公司</w:t>
            </w:r>
            <w:r>
              <w:rPr>
                <w:rFonts w:hint="eastAsia" w:ascii="宋体" w:hAnsi="宋体" w:eastAsia="宋体" w:cs="宋体"/>
                <w:b/>
                <w:kern w:val="0"/>
                <w:sz w:val="24"/>
              </w:rPr>
              <w:t xml:space="preserve">  </w:t>
            </w:r>
          </w:p>
        </w:tc>
      </w:tr>
      <w:tr w14:paraId="050F8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3069" w:type="dxa"/>
            <w:noWrap/>
          </w:tcPr>
          <w:p w14:paraId="5664F264">
            <w:pPr>
              <w:spacing w:line="360" w:lineRule="auto"/>
              <w:jc w:val="left"/>
              <w:rPr>
                <w:rFonts w:hint="eastAsia" w:ascii="宋体" w:hAnsi="宋体" w:eastAsia="宋体" w:cs="宋体"/>
                <w:b/>
                <w:kern w:val="0"/>
                <w:sz w:val="24"/>
              </w:rPr>
            </w:pPr>
            <w:r>
              <w:rPr>
                <w:rFonts w:hint="eastAsia" w:ascii="宋体" w:hAnsi="宋体" w:eastAsia="宋体" w:cs="宋体"/>
                <w:b/>
                <w:kern w:val="0"/>
                <w:sz w:val="24"/>
              </w:rPr>
              <w:t>编制人：</w:t>
            </w:r>
            <w:r>
              <w:rPr>
                <w:rFonts w:hint="eastAsia" w:ascii="宋体" w:hAnsi="宋体" w:eastAsia="宋体" w:cs="宋体"/>
                <w:b/>
                <w:kern w:val="0"/>
                <w:sz w:val="24"/>
                <w:lang w:val="en-US" w:eastAsia="zh-CN"/>
              </w:rPr>
              <w:t>蒋春宏</w:t>
            </w:r>
            <w:r>
              <w:rPr>
                <w:rFonts w:hint="eastAsia" w:ascii="宋体" w:hAnsi="宋体" w:eastAsia="宋体" w:cs="宋体"/>
                <w:b/>
                <w:kern w:val="0"/>
                <w:sz w:val="24"/>
              </w:rPr>
              <w:t xml:space="preserve">  </w:t>
            </w:r>
          </w:p>
        </w:tc>
        <w:tc>
          <w:tcPr>
            <w:tcW w:w="1963" w:type="dxa"/>
            <w:noWrap/>
          </w:tcPr>
          <w:p w14:paraId="032A6C14">
            <w:pPr>
              <w:spacing w:line="360" w:lineRule="auto"/>
              <w:jc w:val="left"/>
              <w:rPr>
                <w:rFonts w:hint="eastAsia" w:ascii="宋体" w:hAnsi="宋体" w:eastAsia="宋体" w:cs="宋体"/>
                <w:b/>
                <w:kern w:val="0"/>
                <w:sz w:val="24"/>
              </w:rPr>
            </w:pPr>
            <w:r>
              <w:rPr>
                <w:rFonts w:hint="eastAsia" w:ascii="宋体" w:hAnsi="宋体" w:eastAsia="宋体" w:cs="宋体"/>
                <w:b/>
                <w:kern w:val="0"/>
                <w:sz w:val="24"/>
              </w:rPr>
              <w:t>校稿人：</w:t>
            </w:r>
            <w:r>
              <w:rPr>
                <w:rFonts w:hint="eastAsia" w:ascii="宋体" w:hAnsi="宋体" w:eastAsia="宋体" w:cs="宋体"/>
                <w:b/>
                <w:kern w:val="0"/>
                <w:sz w:val="24"/>
                <w:lang w:val="en-US" w:eastAsia="zh-CN"/>
              </w:rPr>
              <w:t>王女士</w:t>
            </w:r>
            <w:r>
              <w:rPr>
                <w:rFonts w:hint="eastAsia" w:ascii="宋体" w:hAnsi="宋体" w:eastAsia="宋体" w:cs="宋体"/>
                <w:b/>
                <w:kern w:val="0"/>
                <w:sz w:val="24"/>
              </w:rPr>
              <w:t xml:space="preserve">   </w:t>
            </w:r>
          </w:p>
        </w:tc>
      </w:tr>
      <w:tr w14:paraId="6365F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032" w:type="dxa"/>
            <w:gridSpan w:val="2"/>
            <w:noWrap/>
          </w:tcPr>
          <w:p w14:paraId="0B29E842">
            <w:pPr>
              <w:spacing w:line="360" w:lineRule="auto"/>
              <w:jc w:val="left"/>
              <w:rPr>
                <w:rFonts w:hint="eastAsia" w:ascii="宋体" w:hAnsi="宋体" w:eastAsia="宋体" w:cs="宋体"/>
                <w:b/>
                <w:kern w:val="0"/>
                <w:sz w:val="24"/>
              </w:rPr>
            </w:pPr>
            <w:r>
              <w:rPr>
                <w:rFonts w:hint="eastAsia" w:ascii="宋体" w:hAnsi="宋体" w:eastAsia="宋体" w:cs="宋体"/>
                <w:b/>
                <w:kern w:val="0"/>
                <w:sz w:val="24"/>
              </w:rPr>
              <w:t>编制日期：</w:t>
            </w:r>
            <w:r>
              <w:rPr>
                <w:rFonts w:hint="eastAsia" w:ascii="宋体" w:hAnsi="宋体" w:cs="宋体"/>
                <w:b/>
                <w:kern w:val="0"/>
                <w:sz w:val="24"/>
                <w:lang w:val="en-US" w:eastAsia="zh-CN"/>
              </w:rPr>
              <w:t>2025</w:t>
            </w:r>
            <w:r>
              <w:rPr>
                <w:rFonts w:hint="eastAsia" w:ascii="宋体" w:hAnsi="宋体" w:eastAsia="宋体" w:cs="宋体"/>
                <w:b/>
                <w:kern w:val="0"/>
                <w:sz w:val="24"/>
              </w:rPr>
              <w:t>年4月</w:t>
            </w:r>
            <w:r>
              <w:rPr>
                <w:rFonts w:hint="eastAsia" w:ascii="宋体" w:hAnsi="宋体" w:cs="宋体"/>
                <w:b/>
                <w:kern w:val="0"/>
                <w:sz w:val="24"/>
                <w:lang w:val="en-US" w:eastAsia="zh-CN"/>
              </w:rPr>
              <w:t>21</w:t>
            </w:r>
            <w:r>
              <w:rPr>
                <w:rFonts w:hint="eastAsia" w:ascii="宋体" w:hAnsi="宋体" w:eastAsia="宋体" w:cs="宋体"/>
                <w:b/>
                <w:kern w:val="0"/>
                <w:sz w:val="24"/>
              </w:rPr>
              <w:t>日</w:t>
            </w:r>
          </w:p>
        </w:tc>
      </w:tr>
    </w:tbl>
    <w:p w14:paraId="2D42242F">
      <w:pPr>
        <w:pStyle w:val="26"/>
        <w:spacing w:line="360" w:lineRule="auto"/>
        <w:jc w:val="center"/>
        <w:rPr>
          <w:rFonts w:hint="eastAsia" w:ascii="宋体" w:hAnsi="宋体" w:eastAsia="宋体" w:cs="宋体"/>
          <w:b/>
          <w:sz w:val="18"/>
          <w:szCs w:val="18"/>
        </w:rPr>
      </w:pPr>
    </w:p>
    <w:p w14:paraId="02D511E6">
      <w:pPr>
        <w:pStyle w:val="26"/>
        <w:spacing w:line="360" w:lineRule="auto"/>
        <w:jc w:val="center"/>
        <w:rPr>
          <w:rFonts w:hint="eastAsia" w:ascii="宋体" w:hAnsi="宋体" w:eastAsia="宋体" w:cs="宋体"/>
          <w:b/>
          <w:sz w:val="18"/>
          <w:szCs w:val="18"/>
        </w:rPr>
      </w:pPr>
    </w:p>
    <w:p w14:paraId="0CF36243">
      <w:pPr>
        <w:pStyle w:val="26"/>
        <w:spacing w:line="360" w:lineRule="auto"/>
        <w:jc w:val="center"/>
        <w:rPr>
          <w:rFonts w:hint="eastAsia" w:ascii="宋体" w:hAnsi="宋体" w:eastAsia="宋体" w:cs="宋体"/>
          <w:b/>
          <w:sz w:val="18"/>
          <w:szCs w:val="18"/>
        </w:rPr>
      </w:pPr>
    </w:p>
    <w:p w14:paraId="1B4F84B4">
      <w:pPr>
        <w:pStyle w:val="26"/>
        <w:spacing w:line="360" w:lineRule="auto"/>
        <w:jc w:val="center"/>
        <w:rPr>
          <w:rFonts w:hint="eastAsia" w:ascii="宋体" w:hAnsi="宋体" w:eastAsia="宋体" w:cs="宋体"/>
          <w:b/>
          <w:sz w:val="18"/>
          <w:szCs w:val="18"/>
        </w:rPr>
      </w:pPr>
    </w:p>
    <w:p w14:paraId="6B60916A">
      <w:pPr>
        <w:pStyle w:val="26"/>
        <w:adjustRightInd w:val="0"/>
        <w:snapToGrid w:val="0"/>
        <w:spacing w:line="360" w:lineRule="auto"/>
        <w:jc w:val="center"/>
        <w:rPr>
          <w:rFonts w:hint="eastAsia" w:ascii="宋体" w:hAnsi="宋体" w:eastAsia="宋体" w:cs="宋体"/>
          <w:b/>
          <w:sz w:val="96"/>
          <w:szCs w:val="96"/>
        </w:rPr>
      </w:pPr>
    </w:p>
    <w:p w14:paraId="0E964FA8">
      <w:pPr>
        <w:pStyle w:val="26"/>
        <w:adjustRightInd w:val="0"/>
        <w:snapToGrid w:val="0"/>
        <w:spacing w:line="360" w:lineRule="auto"/>
        <w:jc w:val="center"/>
        <w:rPr>
          <w:rFonts w:hint="eastAsia" w:ascii="宋体" w:hAnsi="宋体" w:eastAsia="宋体" w:cs="宋体"/>
          <w:b/>
          <w:sz w:val="96"/>
          <w:szCs w:val="96"/>
        </w:rPr>
      </w:pPr>
    </w:p>
    <w:p w14:paraId="10979E50">
      <w:pPr>
        <w:pStyle w:val="26"/>
        <w:adjustRightInd w:val="0"/>
        <w:snapToGrid w:val="0"/>
        <w:spacing w:line="360" w:lineRule="auto"/>
        <w:jc w:val="center"/>
        <w:rPr>
          <w:rFonts w:hint="eastAsia" w:ascii="宋体" w:hAnsi="宋体" w:eastAsia="宋体" w:cs="宋体"/>
          <w:b/>
          <w:sz w:val="96"/>
          <w:szCs w:val="96"/>
        </w:rPr>
      </w:pPr>
      <w:r>
        <w:rPr>
          <w:rFonts w:hint="eastAsia" w:ascii="宋体" w:hAnsi="宋体" w:eastAsia="宋体" w:cs="宋体"/>
          <w:b/>
          <w:sz w:val="96"/>
          <w:szCs w:val="96"/>
        </w:rPr>
        <w:t>竞争性磋商文件</w:t>
      </w:r>
    </w:p>
    <w:p w14:paraId="21D31205">
      <w:pPr>
        <w:pStyle w:val="26"/>
        <w:adjustRightInd w:val="0"/>
        <w:snapToGrid w:val="0"/>
        <w:spacing w:beforeLines="50" w:line="360" w:lineRule="auto"/>
        <w:ind w:left="846" w:leftChars="403" w:firstLine="157" w:firstLineChars="49"/>
        <w:rPr>
          <w:rFonts w:hint="eastAsia" w:ascii="宋体" w:hAnsi="宋体" w:eastAsia="宋体" w:cs="宋体"/>
          <w:b/>
          <w:sz w:val="32"/>
          <w:szCs w:val="32"/>
        </w:rPr>
      </w:pPr>
    </w:p>
    <w:p w14:paraId="682922E7">
      <w:pPr>
        <w:pStyle w:val="26"/>
        <w:adjustRightInd w:val="0"/>
        <w:snapToGrid w:val="0"/>
        <w:spacing w:beforeLines="50" w:line="360" w:lineRule="auto"/>
        <w:ind w:left="846" w:leftChars="403" w:firstLine="157" w:firstLineChars="49"/>
        <w:rPr>
          <w:rFonts w:hint="eastAsia" w:ascii="宋体" w:hAnsi="宋体" w:eastAsia="宋体" w:cs="宋体"/>
          <w:b/>
          <w:sz w:val="32"/>
          <w:szCs w:val="32"/>
        </w:rPr>
      </w:pPr>
    </w:p>
    <w:p w14:paraId="3B346A79">
      <w:pPr>
        <w:pStyle w:val="26"/>
        <w:adjustRightInd w:val="0"/>
        <w:snapToGrid w:val="0"/>
        <w:spacing w:line="360" w:lineRule="auto"/>
        <w:ind w:left="3194" w:leftChars="450" w:hanging="2249" w:hangingChars="700"/>
        <w:rPr>
          <w:rFonts w:hint="eastAsia" w:ascii="宋体" w:hAnsi="宋体" w:eastAsia="宋体" w:cs="宋体"/>
          <w:b/>
          <w:bCs/>
          <w:sz w:val="32"/>
          <w:szCs w:val="32"/>
          <w:u w:val="single"/>
          <w:lang w:eastAsia="zh-CN"/>
        </w:rPr>
      </w:pPr>
      <w:r>
        <w:rPr>
          <w:rFonts w:hint="eastAsia" w:hAnsi="宋体" w:cs="宋体"/>
          <w:b/>
          <w:bCs/>
          <w:sz w:val="32"/>
          <w:szCs w:val="32"/>
          <w:lang w:eastAsia="zh-CN"/>
        </w:rPr>
        <w:t>招标项目</w:t>
      </w:r>
      <w:r>
        <w:rPr>
          <w:rFonts w:hint="eastAsia" w:ascii="宋体" w:hAnsi="宋体" w:eastAsia="宋体" w:cs="宋体"/>
          <w:b/>
          <w:bCs/>
          <w:sz w:val="32"/>
          <w:szCs w:val="32"/>
        </w:rPr>
        <w:t>名称：</w:t>
      </w:r>
      <w:r>
        <w:rPr>
          <w:rFonts w:hint="eastAsia" w:hAnsi="宋体" w:cs="宋体"/>
          <w:b/>
          <w:bCs/>
          <w:sz w:val="32"/>
          <w:szCs w:val="32"/>
          <w:u w:val="single"/>
          <w:lang w:eastAsia="zh-CN"/>
        </w:rPr>
        <w:t>湘潭县2024年高标准农田建设项目初步验收第三方技术服务单位遴选</w:t>
      </w:r>
    </w:p>
    <w:p w14:paraId="0739CBEA">
      <w:pPr>
        <w:pStyle w:val="26"/>
        <w:adjustRightInd w:val="0"/>
        <w:snapToGrid w:val="0"/>
        <w:spacing w:line="360" w:lineRule="auto"/>
        <w:ind w:left="420" w:leftChars="200" w:firstLine="482" w:firstLineChars="150"/>
        <w:rPr>
          <w:rFonts w:hint="eastAsia" w:ascii="宋体" w:hAnsi="宋体" w:eastAsia="宋体" w:cs="宋体"/>
          <w:sz w:val="32"/>
          <w:szCs w:val="32"/>
          <w:lang w:eastAsia="zh-CN"/>
        </w:rPr>
      </w:pPr>
      <w:r>
        <w:rPr>
          <w:rFonts w:hint="eastAsia" w:ascii="宋体" w:hAnsi="宋体" w:eastAsia="宋体" w:cs="宋体"/>
          <w:b/>
          <w:bCs/>
          <w:sz w:val="32"/>
          <w:szCs w:val="32"/>
        </w:rPr>
        <w:t>招    标   人：</w:t>
      </w:r>
      <w:r>
        <w:rPr>
          <w:rFonts w:hint="eastAsia" w:ascii="宋体" w:hAnsi="宋体" w:eastAsia="宋体" w:cs="宋体"/>
          <w:b/>
          <w:bCs/>
          <w:sz w:val="32"/>
          <w:szCs w:val="32"/>
          <w:u w:val="single"/>
          <w:lang w:eastAsia="zh-CN"/>
        </w:rPr>
        <w:t>湘潭县农业发展服务中心</w:t>
      </w:r>
    </w:p>
    <w:p w14:paraId="0EE72E30">
      <w:pPr>
        <w:pStyle w:val="26"/>
        <w:adjustRightInd w:val="0"/>
        <w:snapToGrid w:val="0"/>
        <w:spacing w:line="360" w:lineRule="auto"/>
        <w:ind w:firstLine="964" w:firstLineChars="300"/>
        <w:rPr>
          <w:rFonts w:hint="eastAsia" w:ascii="宋体" w:hAnsi="宋体" w:eastAsia="宋体" w:cs="宋体"/>
          <w:b/>
          <w:bCs/>
          <w:sz w:val="32"/>
          <w:szCs w:val="32"/>
          <w:u w:val="single"/>
          <w:lang w:eastAsia="zh-CN"/>
        </w:rPr>
      </w:pPr>
      <w:r>
        <w:rPr>
          <w:rFonts w:hint="eastAsia" w:ascii="宋体" w:hAnsi="宋体" w:eastAsia="宋体" w:cs="宋体"/>
          <w:b/>
          <w:bCs/>
          <w:sz w:val="32"/>
          <w:szCs w:val="32"/>
        </w:rPr>
        <w:t>委托代理编号：</w:t>
      </w:r>
      <w:r>
        <w:rPr>
          <w:rFonts w:hint="eastAsia" w:hAnsi="宋体" w:cs="宋体"/>
          <w:b/>
          <w:bCs/>
          <w:sz w:val="32"/>
          <w:szCs w:val="32"/>
          <w:u w:val="single"/>
          <w:lang w:eastAsia="zh-CN"/>
        </w:rPr>
        <w:t>HNCSZB-2025-CG-022</w:t>
      </w:r>
    </w:p>
    <w:p w14:paraId="1E4136F6">
      <w:pPr>
        <w:pStyle w:val="26"/>
        <w:adjustRightInd w:val="0"/>
        <w:snapToGrid w:val="0"/>
        <w:spacing w:line="360" w:lineRule="auto"/>
        <w:ind w:firstLine="964" w:firstLineChars="300"/>
        <w:rPr>
          <w:rFonts w:hint="eastAsia" w:ascii="宋体" w:hAnsi="宋体" w:eastAsia="宋体" w:cs="宋体"/>
          <w:b/>
          <w:bCs/>
          <w:sz w:val="32"/>
          <w:szCs w:val="32"/>
          <w:lang w:eastAsia="zh-CN"/>
        </w:rPr>
      </w:pPr>
      <w:r>
        <w:rPr>
          <w:rFonts w:hint="eastAsia" w:hAnsi="宋体" w:cs="宋体"/>
          <w:b/>
          <w:bCs/>
          <w:sz w:val="32"/>
          <w:szCs w:val="32"/>
          <w:lang w:eastAsia="zh-CN"/>
        </w:rPr>
        <w:t>招标代理机构</w:t>
      </w:r>
      <w:r>
        <w:rPr>
          <w:rFonts w:hint="eastAsia" w:ascii="宋体" w:hAnsi="宋体" w:eastAsia="宋体" w:cs="宋体"/>
          <w:b/>
          <w:bCs/>
          <w:sz w:val="32"/>
          <w:szCs w:val="32"/>
        </w:rPr>
        <w:t>：</w:t>
      </w:r>
      <w:r>
        <w:rPr>
          <w:rFonts w:hint="eastAsia" w:hAnsi="宋体" w:cs="宋体"/>
          <w:b/>
          <w:bCs/>
          <w:sz w:val="32"/>
          <w:szCs w:val="32"/>
          <w:u w:val="single"/>
          <w:lang w:eastAsia="zh-CN"/>
        </w:rPr>
        <w:t>湖南长顺项目管理有限公司</w:t>
      </w:r>
    </w:p>
    <w:p w14:paraId="615129C3">
      <w:pPr>
        <w:pStyle w:val="26"/>
        <w:adjustRightInd w:val="0"/>
        <w:snapToGrid w:val="0"/>
        <w:spacing w:line="360" w:lineRule="auto"/>
        <w:ind w:firstLine="964" w:firstLineChars="300"/>
        <w:rPr>
          <w:rFonts w:hint="eastAsia" w:ascii="宋体" w:hAnsi="宋体" w:eastAsia="宋体" w:cs="宋体"/>
          <w:b/>
          <w:bCs/>
          <w:sz w:val="32"/>
          <w:szCs w:val="32"/>
        </w:rPr>
      </w:pPr>
    </w:p>
    <w:p w14:paraId="2A8C12B5">
      <w:pPr>
        <w:pStyle w:val="26"/>
        <w:adjustRightInd w:val="0"/>
        <w:snapToGrid w:val="0"/>
        <w:spacing w:line="300" w:lineRule="exact"/>
        <w:ind w:firstLine="643" w:firstLineChars="200"/>
        <w:jc w:val="center"/>
        <w:rPr>
          <w:rFonts w:hint="eastAsia" w:ascii="宋体" w:hAnsi="宋体" w:eastAsia="宋体" w:cs="宋体"/>
          <w:b/>
          <w:sz w:val="32"/>
          <w:szCs w:val="32"/>
        </w:rPr>
      </w:pPr>
    </w:p>
    <w:p w14:paraId="1C14FFB8">
      <w:pPr>
        <w:pStyle w:val="26"/>
        <w:adjustRightInd w:val="0"/>
        <w:snapToGrid w:val="0"/>
        <w:spacing w:line="300" w:lineRule="exact"/>
        <w:ind w:firstLine="643" w:firstLineChars="200"/>
        <w:jc w:val="center"/>
        <w:rPr>
          <w:rFonts w:hint="eastAsia" w:ascii="宋体" w:hAnsi="宋体" w:eastAsia="宋体" w:cs="宋体"/>
          <w:b/>
          <w:sz w:val="32"/>
          <w:szCs w:val="32"/>
        </w:rPr>
      </w:pPr>
    </w:p>
    <w:p w14:paraId="6916C257">
      <w:pPr>
        <w:pStyle w:val="26"/>
        <w:adjustRightInd w:val="0"/>
        <w:snapToGrid w:val="0"/>
        <w:spacing w:line="300" w:lineRule="exact"/>
        <w:ind w:firstLine="643" w:firstLineChars="200"/>
        <w:jc w:val="center"/>
        <w:rPr>
          <w:rFonts w:hint="eastAsia" w:ascii="宋体" w:hAnsi="宋体" w:eastAsia="宋体" w:cs="宋体"/>
          <w:b/>
          <w:sz w:val="32"/>
          <w:szCs w:val="32"/>
        </w:rPr>
      </w:pPr>
    </w:p>
    <w:p w14:paraId="72AC529B">
      <w:pPr>
        <w:pStyle w:val="26"/>
        <w:adjustRightInd w:val="0"/>
        <w:snapToGrid w:val="0"/>
        <w:spacing w:line="300" w:lineRule="exact"/>
        <w:ind w:firstLine="643" w:firstLineChars="200"/>
        <w:jc w:val="center"/>
        <w:rPr>
          <w:rFonts w:hint="eastAsia" w:ascii="宋体" w:hAnsi="宋体" w:eastAsia="宋体" w:cs="宋体"/>
          <w:b/>
          <w:sz w:val="32"/>
          <w:szCs w:val="32"/>
        </w:rPr>
      </w:pPr>
    </w:p>
    <w:p w14:paraId="08673E42">
      <w:pPr>
        <w:pStyle w:val="26"/>
        <w:adjustRightInd w:val="0"/>
        <w:snapToGrid w:val="0"/>
        <w:spacing w:line="360" w:lineRule="auto"/>
        <w:jc w:val="center"/>
        <w:rPr>
          <w:rFonts w:hint="eastAsia" w:ascii="宋体" w:hAnsi="宋体" w:eastAsia="宋体" w:cs="宋体"/>
          <w:b/>
          <w:sz w:val="32"/>
        </w:rPr>
      </w:pPr>
      <w:r>
        <w:rPr>
          <w:rFonts w:hint="eastAsia" w:hAnsi="宋体" w:cs="宋体"/>
          <w:b/>
          <w:sz w:val="32"/>
          <w:lang w:eastAsia="zh-CN"/>
        </w:rPr>
        <w:t>2025年</w:t>
      </w:r>
      <w:r>
        <w:rPr>
          <w:rFonts w:hint="eastAsia" w:ascii="宋体" w:hAnsi="宋体" w:eastAsia="宋体" w:cs="宋体"/>
          <w:b/>
          <w:sz w:val="32"/>
        </w:rPr>
        <w:t>4月</w:t>
      </w:r>
    </w:p>
    <w:p w14:paraId="1CA5EF96">
      <w:pPr>
        <w:pStyle w:val="26"/>
        <w:adjustRightInd w:val="0"/>
        <w:snapToGrid w:val="0"/>
        <w:spacing w:line="360" w:lineRule="auto"/>
        <w:jc w:val="center"/>
        <w:rPr>
          <w:rFonts w:hint="eastAsia" w:ascii="宋体" w:hAnsi="宋体" w:eastAsia="宋体" w:cs="宋体"/>
          <w:spacing w:val="160"/>
          <w:sz w:val="36"/>
          <w:szCs w:val="36"/>
        </w:rPr>
        <w:sectPr>
          <w:footerReference r:id="rId4" w:type="default"/>
          <w:headerReference r:id="rId3" w:type="even"/>
          <w:footerReference r:id="rId5" w:type="even"/>
          <w:pgSz w:w="11906" w:h="16838"/>
          <w:pgMar w:top="0" w:right="1361" w:bottom="1134" w:left="1361" w:header="227" w:footer="992" w:gutter="0"/>
          <w:cols w:space="720" w:num="1"/>
          <w:titlePg/>
          <w:docGrid w:type="lines" w:linePitch="312" w:charSpace="0"/>
        </w:sectPr>
      </w:pPr>
    </w:p>
    <w:sdt>
      <w:sdtPr>
        <w:rPr>
          <w:rFonts w:hint="eastAsia" w:ascii="宋体" w:hAnsi="宋体" w:eastAsia="宋体" w:cs="宋体"/>
          <w:color w:val="auto"/>
          <w:kern w:val="2"/>
          <w:sz w:val="21"/>
          <w:szCs w:val="24"/>
          <w:lang w:val="zh-CN"/>
        </w:rPr>
        <w:id w:val="1727025578"/>
        <w:docPartObj>
          <w:docPartGallery w:val="Table of Contents"/>
          <w:docPartUnique/>
        </w:docPartObj>
      </w:sdtPr>
      <w:sdtEndPr>
        <w:rPr>
          <w:rFonts w:hint="eastAsia" w:ascii="宋体" w:hAnsi="宋体" w:eastAsia="宋体" w:cs="宋体"/>
          <w:b/>
          <w:bCs/>
          <w:color w:val="auto"/>
          <w:kern w:val="2"/>
          <w:sz w:val="21"/>
          <w:szCs w:val="24"/>
          <w:lang w:val="zh-CN"/>
        </w:rPr>
      </w:sdtEndPr>
      <w:sdtContent>
        <w:p w14:paraId="76F7F29C">
          <w:pPr>
            <w:pStyle w:val="133"/>
            <w:jc w:val="center"/>
            <w:rPr>
              <w:rFonts w:hint="eastAsia" w:ascii="宋体" w:hAnsi="宋体" w:eastAsia="宋体" w:cs="宋体"/>
              <w:b/>
              <w:color w:val="auto"/>
              <w:sz w:val="48"/>
              <w:szCs w:val="48"/>
            </w:rPr>
          </w:pPr>
          <w:r>
            <w:rPr>
              <w:rFonts w:hint="eastAsia" w:ascii="宋体" w:hAnsi="宋体" w:eastAsia="宋体" w:cs="宋体"/>
              <w:b/>
              <w:color w:val="auto"/>
              <w:sz w:val="48"/>
              <w:szCs w:val="48"/>
              <w:lang w:val="zh-CN"/>
            </w:rPr>
            <w:t>目录</w:t>
          </w:r>
        </w:p>
        <w:p w14:paraId="593CE6BF">
          <w:pPr>
            <w:pStyle w:val="33"/>
            <w:tabs>
              <w:tab w:val="right" w:leader="dot" w:pos="9184"/>
            </w:tabs>
          </w:pPr>
          <w:r>
            <w:rPr>
              <w:rFonts w:hint="eastAsia" w:ascii="宋体" w:hAnsi="宋体" w:eastAsia="宋体" w:cs="宋体"/>
            </w:rPr>
            <w:fldChar w:fldCharType="begin"/>
          </w:r>
          <w:r>
            <w:rPr>
              <w:rFonts w:hint="eastAsia" w:ascii="宋体" w:hAnsi="宋体" w:eastAsia="宋体" w:cs="宋体"/>
            </w:rPr>
            <w:instrText xml:space="preserve"> TOC \o "1-3" \h \z \u </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_Toc12763 </w:instrText>
          </w:r>
          <w:r>
            <w:rPr>
              <w:rFonts w:hint="eastAsia" w:ascii="宋体" w:hAnsi="宋体" w:eastAsia="宋体" w:cs="宋体"/>
            </w:rPr>
            <w:fldChar w:fldCharType="separate"/>
          </w:r>
          <w:r>
            <w:rPr>
              <w:rFonts w:hint="eastAsia" w:ascii="宋体" w:hAnsi="宋体" w:eastAsia="宋体" w:cs="宋体"/>
              <w:szCs w:val="22"/>
            </w:rPr>
            <w:t>第一章  磋商邀请</w:t>
          </w:r>
          <w:r>
            <w:tab/>
          </w:r>
          <w:r>
            <w:fldChar w:fldCharType="begin"/>
          </w:r>
          <w:r>
            <w:instrText xml:space="preserve"> PAGEREF _Toc12763 \h </w:instrText>
          </w:r>
          <w:r>
            <w:fldChar w:fldCharType="separate"/>
          </w:r>
          <w:r>
            <w:t>1</w:t>
          </w:r>
          <w:r>
            <w:fldChar w:fldCharType="end"/>
          </w:r>
          <w:r>
            <w:rPr>
              <w:rFonts w:hint="eastAsia" w:ascii="宋体" w:hAnsi="宋体" w:eastAsia="宋体" w:cs="宋体"/>
            </w:rPr>
            <w:fldChar w:fldCharType="end"/>
          </w:r>
        </w:p>
        <w:p w14:paraId="4C4126A3">
          <w:pPr>
            <w:pStyle w:val="33"/>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_Toc14558 </w:instrText>
          </w:r>
          <w:r>
            <w:rPr>
              <w:rFonts w:hint="eastAsia" w:ascii="宋体" w:hAnsi="宋体" w:eastAsia="宋体" w:cs="宋体"/>
              <w:bCs/>
              <w:lang w:val="zh-CN"/>
            </w:rPr>
            <w:fldChar w:fldCharType="separate"/>
          </w:r>
          <w:r>
            <w:rPr>
              <w:rFonts w:hint="eastAsia" w:ascii="宋体" w:hAnsi="宋体" w:eastAsia="宋体" w:cs="宋体"/>
              <w:szCs w:val="22"/>
              <w:lang w:val="en-US" w:eastAsia="zh-CN"/>
            </w:rPr>
            <w:t>第二章</w:t>
          </w:r>
          <w:r>
            <w:rPr>
              <w:rFonts w:hint="eastAsia" w:ascii="宋体" w:hAnsi="宋体" w:eastAsia="宋体" w:cs="宋体"/>
              <w:szCs w:val="22"/>
            </w:rPr>
            <w:t xml:space="preserve">  </w:t>
          </w:r>
          <w:r>
            <w:rPr>
              <w:rFonts w:hint="eastAsia" w:ascii="宋体" w:hAnsi="宋体" w:eastAsia="宋体" w:cs="宋体"/>
              <w:szCs w:val="22"/>
              <w:lang w:val="en-US" w:eastAsia="zh-CN"/>
            </w:rPr>
            <w:t>磋商须知</w:t>
          </w:r>
          <w:r>
            <w:tab/>
          </w:r>
          <w:r>
            <w:fldChar w:fldCharType="begin"/>
          </w:r>
          <w:r>
            <w:instrText xml:space="preserve"> PAGEREF _Toc14558 \h </w:instrText>
          </w:r>
          <w:r>
            <w:fldChar w:fldCharType="separate"/>
          </w:r>
          <w:r>
            <w:t>5</w:t>
          </w:r>
          <w:r>
            <w:fldChar w:fldCharType="end"/>
          </w:r>
          <w:r>
            <w:rPr>
              <w:rFonts w:hint="eastAsia" w:ascii="宋体" w:hAnsi="宋体" w:eastAsia="宋体" w:cs="宋体"/>
              <w:bCs/>
              <w:lang w:val="zh-CN"/>
            </w:rPr>
            <w:fldChar w:fldCharType="end"/>
          </w:r>
        </w:p>
        <w:p w14:paraId="136EE6F9">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_Toc30642 </w:instrText>
          </w:r>
          <w:r>
            <w:rPr>
              <w:rFonts w:hint="eastAsia" w:ascii="宋体" w:hAnsi="宋体" w:eastAsia="宋体" w:cs="宋体"/>
              <w:bCs/>
              <w:lang w:val="zh-CN"/>
            </w:rPr>
            <w:fldChar w:fldCharType="separate"/>
          </w:r>
          <w:r>
            <w:rPr>
              <w:rFonts w:hint="eastAsia" w:ascii="宋体" w:hAnsi="宋体" w:eastAsia="宋体" w:cs="宋体"/>
              <w:szCs w:val="30"/>
            </w:rPr>
            <w:t>磋商须知前附表</w:t>
          </w:r>
          <w:r>
            <w:tab/>
          </w:r>
          <w:r>
            <w:fldChar w:fldCharType="begin"/>
          </w:r>
          <w:r>
            <w:instrText xml:space="preserve"> PAGEREF _Toc30642 \h </w:instrText>
          </w:r>
          <w:r>
            <w:fldChar w:fldCharType="separate"/>
          </w:r>
          <w:r>
            <w:t>5</w:t>
          </w:r>
          <w:r>
            <w:fldChar w:fldCharType="end"/>
          </w:r>
          <w:r>
            <w:rPr>
              <w:rFonts w:hint="eastAsia" w:ascii="宋体" w:hAnsi="宋体" w:eastAsia="宋体" w:cs="宋体"/>
              <w:bCs/>
              <w:lang w:val="zh-CN"/>
            </w:rPr>
            <w:fldChar w:fldCharType="end"/>
          </w:r>
        </w:p>
        <w:p w14:paraId="214AD9BD">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_Toc12180 </w:instrText>
          </w:r>
          <w:r>
            <w:rPr>
              <w:rFonts w:hint="eastAsia" w:ascii="宋体" w:hAnsi="宋体" w:eastAsia="宋体" w:cs="宋体"/>
              <w:bCs/>
              <w:lang w:val="zh-CN"/>
            </w:rPr>
            <w:fldChar w:fldCharType="separate"/>
          </w:r>
          <w:r>
            <w:rPr>
              <w:rFonts w:hint="eastAsia" w:ascii="宋体" w:hAnsi="宋体" w:eastAsia="宋体" w:cs="宋体"/>
              <w:bCs/>
              <w:szCs w:val="28"/>
            </w:rPr>
            <w:t>磋商须知正文</w:t>
          </w:r>
          <w:r>
            <w:tab/>
          </w:r>
          <w:r>
            <w:fldChar w:fldCharType="begin"/>
          </w:r>
          <w:r>
            <w:instrText xml:space="preserve"> PAGEREF _Toc12180 \h </w:instrText>
          </w:r>
          <w:r>
            <w:fldChar w:fldCharType="separate"/>
          </w:r>
          <w:r>
            <w:t>11</w:t>
          </w:r>
          <w:r>
            <w:fldChar w:fldCharType="end"/>
          </w:r>
          <w:r>
            <w:rPr>
              <w:rFonts w:hint="eastAsia" w:ascii="宋体" w:hAnsi="宋体" w:eastAsia="宋体" w:cs="宋体"/>
              <w:bCs/>
              <w:lang w:val="zh-CN"/>
            </w:rPr>
            <w:fldChar w:fldCharType="end"/>
          </w:r>
        </w:p>
        <w:p w14:paraId="5D1EF46B">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_Toc6914 </w:instrText>
          </w:r>
          <w:r>
            <w:rPr>
              <w:rFonts w:hint="eastAsia" w:ascii="宋体" w:hAnsi="宋体" w:eastAsia="宋体" w:cs="宋体"/>
              <w:bCs/>
              <w:lang w:val="zh-CN"/>
            </w:rPr>
            <w:fldChar w:fldCharType="separate"/>
          </w:r>
          <w:r>
            <w:rPr>
              <w:rFonts w:hint="eastAsia" w:ascii="宋体" w:hAnsi="宋体" w:eastAsia="宋体" w:cs="宋体"/>
            </w:rPr>
            <w:t>一、说明</w:t>
          </w:r>
          <w:r>
            <w:tab/>
          </w:r>
          <w:r>
            <w:fldChar w:fldCharType="begin"/>
          </w:r>
          <w:r>
            <w:instrText xml:space="preserve"> PAGEREF _Toc6914 \h </w:instrText>
          </w:r>
          <w:r>
            <w:fldChar w:fldCharType="separate"/>
          </w:r>
          <w:r>
            <w:t>11</w:t>
          </w:r>
          <w:r>
            <w:fldChar w:fldCharType="end"/>
          </w:r>
          <w:r>
            <w:rPr>
              <w:rFonts w:hint="eastAsia" w:ascii="宋体" w:hAnsi="宋体" w:eastAsia="宋体" w:cs="宋体"/>
              <w:bCs/>
              <w:lang w:val="zh-CN"/>
            </w:rPr>
            <w:fldChar w:fldCharType="end"/>
          </w:r>
        </w:p>
        <w:p w14:paraId="2F396BA3">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_Toc3815 </w:instrText>
          </w:r>
          <w:r>
            <w:rPr>
              <w:rFonts w:hint="eastAsia" w:ascii="宋体" w:hAnsi="宋体" w:eastAsia="宋体" w:cs="宋体"/>
              <w:bCs/>
              <w:lang w:val="zh-CN"/>
            </w:rPr>
            <w:fldChar w:fldCharType="separate"/>
          </w:r>
          <w:r>
            <w:rPr>
              <w:rFonts w:hint="eastAsia" w:ascii="宋体" w:hAnsi="宋体" w:eastAsia="宋体" w:cs="宋体"/>
            </w:rPr>
            <w:t>二、磋商文件</w:t>
          </w:r>
          <w:r>
            <w:tab/>
          </w:r>
          <w:r>
            <w:fldChar w:fldCharType="begin"/>
          </w:r>
          <w:r>
            <w:instrText xml:space="preserve"> PAGEREF _Toc3815 \h </w:instrText>
          </w:r>
          <w:r>
            <w:fldChar w:fldCharType="separate"/>
          </w:r>
          <w:r>
            <w:t>12</w:t>
          </w:r>
          <w:r>
            <w:fldChar w:fldCharType="end"/>
          </w:r>
          <w:r>
            <w:rPr>
              <w:rFonts w:hint="eastAsia" w:ascii="宋体" w:hAnsi="宋体" w:eastAsia="宋体" w:cs="宋体"/>
              <w:bCs/>
              <w:lang w:val="zh-CN"/>
            </w:rPr>
            <w:fldChar w:fldCharType="end"/>
          </w:r>
        </w:p>
        <w:p w14:paraId="47AF3EF3">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_Toc599 </w:instrText>
          </w:r>
          <w:r>
            <w:rPr>
              <w:rFonts w:hint="eastAsia" w:ascii="宋体" w:hAnsi="宋体" w:eastAsia="宋体" w:cs="宋体"/>
              <w:bCs/>
              <w:lang w:val="zh-CN"/>
            </w:rPr>
            <w:fldChar w:fldCharType="separate"/>
          </w:r>
          <w:r>
            <w:rPr>
              <w:rFonts w:hint="eastAsia" w:ascii="宋体" w:hAnsi="宋体" w:eastAsia="宋体" w:cs="宋体"/>
            </w:rPr>
            <w:t>三、响应文件</w:t>
          </w:r>
          <w:r>
            <w:tab/>
          </w:r>
          <w:r>
            <w:fldChar w:fldCharType="begin"/>
          </w:r>
          <w:r>
            <w:instrText xml:space="preserve"> PAGEREF _Toc599 \h </w:instrText>
          </w:r>
          <w:r>
            <w:fldChar w:fldCharType="separate"/>
          </w:r>
          <w:r>
            <w:t>13</w:t>
          </w:r>
          <w:r>
            <w:fldChar w:fldCharType="end"/>
          </w:r>
          <w:r>
            <w:rPr>
              <w:rFonts w:hint="eastAsia" w:ascii="宋体" w:hAnsi="宋体" w:eastAsia="宋体" w:cs="宋体"/>
              <w:bCs/>
              <w:lang w:val="zh-CN"/>
            </w:rPr>
            <w:fldChar w:fldCharType="end"/>
          </w:r>
        </w:p>
        <w:p w14:paraId="5DF7BDAC">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_Toc9630 </w:instrText>
          </w:r>
          <w:r>
            <w:rPr>
              <w:rFonts w:hint="eastAsia" w:ascii="宋体" w:hAnsi="宋体" w:eastAsia="宋体" w:cs="宋体"/>
              <w:bCs/>
              <w:lang w:val="zh-CN"/>
            </w:rPr>
            <w:fldChar w:fldCharType="separate"/>
          </w:r>
          <w:r>
            <w:rPr>
              <w:rFonts w:hint="eastAsia" w:ascii="宋体" w:hAnsi="宋体" w:eastAsia="宋体" w:cs="宋体"/>
            </w:rPr>
            <w:t>四、响应文件的递交</w:t>
          </w:r>
          <w:r>
            <w:tab/>
          </w:r>
          <w:r>
            <w:fldChar w:fldCharType="begin"/>
          </w:r>
          <w:r>
            <w:instrText xml:space="preserve"> PAGEREF _Toc9630 \h </w:instrText>
          </w:r>
          <w:r>
            <w:fldChar w:fldCharType="separate"/>
          </w:r>
          <w:r>
            <w:t>15</w:t>
          </w:r>
          <w:r>
            <w:fldChar w:fldCharType="end"/>
          </w:r>
          <w:r>
            <w:rPr>
              <w:rFonts w:hint="eastAsia" w:ascii="宋体" w:hAnsi="宋体" w:eastAsia="宋体" w:cs="宋体"/>
              <w:bCs/>
              <w:lang w:val="zh-CN"/>
            </w:rPr>
            <w:fldChar w:fldCharType="end"/>
          </w:r>
        </w:p>
        <w:p w14:paraId="15D8BE44">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_Toc16949 </w:instrText>
          </w:r>
          <w:r>
            <w:rPr>
              <w:rFonts w:hint="eastAsia" w:ascii="宋体" w:hAnsi="宋体" w:eastAsia="宋体" w:cs="宋体"/>
              <w:bCs/>
              <w:lang w:val="zh-CN"/>
            </w:rPr>
            <w:fldChar w:fldCharType="separate"/>
          </w:r>
          <w:r>
            <w:rPr>
              <w:rFonts w:hint="eastAsia" w:ascii="宋体" w:hAnsi="宋体" w:eastAsia="宋体" w:cs="宋体"/>
            </w:rPr>
            <w:t>五、响应文件的磋商与评审</w:t>
          </w:r>
          <w:r>
            <w:tab/>
          </w:r>
          <w:r>
            <w:fldChar w:fldCharType="begin"/>
          </w:r>
          <w:r>
            <w:instrText xml:space="preserve"> PAGEREF _Toc16949 \h </w:instrText>
          </w:r>
          <w:r>
            <w:fldChar w:fldCharType="separate"/>
          </w:r>
          <w:r>
            <w:t>16</w:t>
          </w:r>
          <w:r>
            <w:fldChar w:fldCharType="end"/>
          </w:r>
          <w:r>
            <w:rPr>
              <w:rFonts w:hint="eastAsia" w:ascii="宋体" w:hAnsi="宋体" w:eastAsia="宋体" w:cs="宋体"/>
              <w:bCs/>
              <w:lang w:val="zh-CN"/>
            </w:rPr>
            <w:fldChar w:fldCharType="end"/>
          </w:r>
        </w:p>
        <w:p w14:paraId="067DEAB9">
          <w:pPr>
            <w:pStyle w:val="33"/>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_Toc7063 </w:instrText>
          </w:r>
          <w:r>
            <w:rPr>
              <w:rFonts w:hint="eastAsia" w:ascii="宋体" w:hAnsi="宋体" w:eastAsia="宋体" w:cs="宋体"/>
              <w:bCs/>
              <w:lang w:val="zh-CN"/>
            </w:rPr>
            <w:fldChar w:fldCharType="separate"/>
          </w:r>
          <w:r>
            <w:rPr>
              <w:rFonts w:hint="eastAsia" w:ascii="宋体" w:hAnsi="宋体" w:eastAsia="宋体" w:cs="宋体"/>
              <w:bCs/>
              <w:szCs w:val="32"/>
            </w:rPr>
            <w:t>第</w:t>
          </w:r>
          <w:r>
            <w:rPr>
              <w:rFonts w:hint="eastAsia" w:ascii="宋体" w:hAnsi="宋体" w:eastAsia="宋体" w:cs="宋体"/>
              <w:bCs/>
              <w:szCs w:val="32"/>
              <w:lang w:eastAsia="zh-CN"/>
            </w:rPr>
            <w:t>三</w:t>
          </w:r>
          <w:r>
            <w:rPr>
              <w:rFonts w:hint="eastAsia" w:ascii="宋体" w:hAnsi="宋体" w:eastAsia="宋体" w:cs="宋体"/>
              <w:bCs/>
              <w:szCs w:val="32"/>
            </w:rPr>
            <w:t xml:space="preserve">章 </w:t>
          </w:r>
          <w:r>
            <w:rPr>
              <w:rFonts w:hint="eastAsia" w:ascii="宋体" w:hAnsi="宋体" w:eastAsia="宋体" w:cs="宋体"/>
              <w:szCs w:val="32"/>
            </w:rPr>
            <w:t>招标要求</w:t>
          </w:r>
          <w:r>
            <w:tab/>
          </w:r>
          <w:r>
            <w:fldChar w:fldCharType="begin"/>
          </w:r>
          <w:r>
            <w:instrText xml:space="preserve"> PAGEREF _Toc7063 \h </w:instrText>
          </w:r>
          <w:r>
            <w:fldChar w:fldCharType="separate"/>
          </w:r>
          <w:r>
            <w:t>22</w:t>
          </w:r>
          <w:r>
            <w:fldChar w:fldCharType="end"/>
          </w:r>
          <w:r>
            <w:rPr>
              <w:rFonts w:hint="eastAsia" w:ascii="宋体" w:hAnsi="宋体" w:eastAsia="宋体" w:cs="宋体"/>
              <w:bCs/>
              <w:lang w:val="zh-CN"/>
            </w:rPr>
            <w:fldChar w:fldCharType="end"/>
          </w:r>
        </w:p>
        <w:p w14:paraId="2615E79E">
          <w:pPr>
            <w:pStyle w:val="33"/>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_Toc31406 </w:instrText>
          </w:r>
          <w:r>
            <w:rPr>
              <w:rFonts w:hint="eastAsia" w:ascii="宋体" w:hAnsi="宋体" w:eastAsia="宋体" w:cs="宋体"/>
              <w:bCs/>
              <w:lang w:val="zh-CN"/>
            </w:rPr>
            <w:fldChar w:fldCharType="separate"/>
          </w:r>
          <w:r>
            <w:rPr>
              <w:rFonts w:hint="eastAsia" w:ascii="宋体" w:hAnsi="宋体" w:eastAsia="宋体" w:cs="宋体"/>
              <w:bCs/>
              <w:szCs w:val="32"/>
            </w:rPr>
            <w:t>第</w:t>
          </w:r>
          <w:r>
            <w:rPr>
              <w:rFonts w:hint="eastAsia" w:ascii="宋体" w:hAnsi="宋体" w:eastAsia="宋体" w:cs="宋体"/>
              <w:bCs/>
              <w:szCs w:val="32"/>
              <w:lang w:eastAsia="zh-CN"/>
            </w:rPr>
            <w:t>四</w:t>
          </w:r>
          <w:r>
            <w:rPr>
              <w:rFonts w:hint="eastAsia" w:ascii="宋体" w:hAnsi="宋体" w:eastAsia="宋体" w:cs="宋体"/>
              <w:bCs/>
              <w:szCs w:val="32"/>
            </w:rPr>
            <w:t>章 响应文件组成</w:t>
          </w:r>
          <w:r>
            <w:tab/>
          </w:r>
          <w:r>
            <w:fldChar w:fldCharType="begin"/>
          </w:r>
          <w:r>
            <w:instrText xml:space="preserve"> PAGEREF _Toc31406 \h </w:instrText>
          </w:r>
          <w:r>
            <w:fldChar w:fldCharType="separate"/>
          </w:r>
          <w:r>
            <w:t>25</w:t>
          </w:r>
          <w:r>
            <w:fldChar w:fldCharType="end"/>
          </w:r>
          <w:r>
            <w:rPr>
              <w:rFonts w:hint="eastAsia" w:ascii="宋体" w:hAnsi="宋体" w:eastAsia="宋体" w:cs="宋体"/>
              <w:bCs/>
              <w:lang w:val="zh-CN"/>
            </w:rPr>
            <w:fldChar w:fldCharType="end"/>
          </w:r>
        </w:p>
        <w:p w14:paraId="2E29D229">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_Toc29090 </w:instrText>
          </w:r>
          <w:r>
            <w:rPr>
              <w:rFonts w:hint="eastAsia" w:ascii="宋体" w:hAnsi="宋体" w:eastAsia="宋体" w:cs="宋体"/>
              <w:bCs/>
              <w:lang w:val="zh-CN"/>
            </w:rPr>
            <w:fldChar w:fldCharType="separate"/>
          </w:r>
          <w:r>
            <w:rPr>
              <w:rFonts w:hint="eastAsia" w:ascii="宋体" w:hAnsi="宋体" w:eastAsia="宋体" w:cs="宋体"/>
              <w:szCs w:val="36"/>
            </w:rPr>
            <w:t>一、磋商响应声明</w:t>
          </w:r>
          <w:r>
            <w:tab/>
          </w:r>
          <w:r>
            <w:fldChar w:fldCharType="begin"/>
          </w:r>
          <w:r>
            <w:instrText xml:space="preserve"> PAGEREF _Toc29090 \h </w:instrText>
          </w:r>
          <w:r>
            <w:fldChar w:fldCharType="separate"/>
          </w:r>
          <w:r>
            <w:t>26</w:t>
          </w:r>
          <w:r>
            <w:fldChar w:fldCharType="end"/>
          </w:r>
          <w:r>
            <w:rPr>
              <w:rFonts w:hint="eastAsia" w:ascii="宋体" w:hAnsi="宋体" w:eastAsia="宋体" w:cs="宋体"/>
              <w:bCs/>
              <w:lang w:val="zh-CN"/>
            </w:rPr>
            <w:fldChar w:fldCharType="end"/>
          </w:r>
        </w:p>
        <w:p w14:paraId="6E8917C6">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_Toc3657 </w:instrText>
          </w:r>
          <w:r>
            <w:rPr>
              <w:rFonts w:hint="eastAsia" w:ascii="宋体" w:hAnsi="宋体" w:eastAsia="宋体" w:cs="宋体"/>
              <w:bCs/>
              <w:lang w:val="zh-CN"/>
            </w:rPr>
            <w:fldChar w:fldCharType="separate"/>
          </w:r>
          <w:r>
            <w:rPr>
              <w:rFonts w:hint="eastAsia" w:ascii="宋体" w:hAnsi="宋体" w:eastAsia="宋体" w:cs="宋体"/>
              <w:szCs w:val="36"/>
              <w:lang w:eastAsia="zh-CN"/>
            </w:rPr>
            <w:t>二</w:t>
          </w:r>
          <w:r>
            <w:rPr>
              <w:rFonts w:hint="eastAsia" w:ascii="宋体" w:hAnsi="宋体" w:eastAsia="宋体" w:cs="宋体"/>
              <w:szCs w:val="36"/>
            </w:rPr>
            <w:t>、供应商的资格证明材料</w:t>
          </w:r>
          <w:r>
            <w:tab/>
          </w:r>
          <w:r>
            <w:fldChar w:fldCharType="begin"/>
          </w:r>
          <w:r>
            <w:instrText xml:space="preserve"> PAGEREF _Toc3657 \h </w:instrText>
          </w:r>
          <w:r>
            <w:fldChar w:fldCharType="separate"/>
          </w:r>
          <w:r>
            <w:t>29</w:t>
          </w:r>
          <w:r>
            <w:fldChar w:fldCharType="end"/>
          </w:r>
          <w:r>
            <w:rPr>
              <w:rFonts w:hint="eastAsia" w:ascii="宋体" w:hAnsi="宋体" w:eastAsia="宋体" w:cs="宋体"/>
              <w:bCs/>
              <w:lang w:val="zh-CN"/>
            </w:rPr>
            <w:fldChar w:fldCharType="end"/>
          </w:r>
        </w:p>
        <w:p w14:paraId="6BAE9BC3">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_Toc14653 </w:instrText>
          </w:r>
          <w:r>
            <w:rPr>
              <w:rFonts w:hint="eastAsia" w:ascii="宋体" w:hAnsi="宋体" w:eastAsia="宋体" w:cs="宋体"/>
              <w:bCs/>
              <w:lang w:val="zh-CN"/>
            </w:rPr>
            <w:fldChar w:fldCharType="separate"/>
          </w:r>
          <w:r>
            <w:rPr>
              <w:rFonts w:hint="eastAsia" w:ascii="宋体" w:hAnsi="宋体" w:eastAsia="宋体" w:cs="宋体"/>
              <w:szCs w:val="36"/>
              <w:lang w:eastAsia="zh-CN"/>
            </w:rPr>
            <w:t>三</w:t>
          </w:r>
          <w:r>
            <w:rPr>
              <w:rFonts w:hint="eastAsia" w:ascii="宋体" w:hAnsi="宋体" w:eastAsia="宋体" w:cs="宋体"/>
              <w:szCs w:val="36"/>
            </w:rPr>
            <w:t>、</w:t>
          </w:r>
          <w:r>
            <w:rPr>
              <w:rFonts w:hint="eastAsia" w:ascii="宋体" w:hAnsi="宋体" w:eastAsia="宋体" w:cs="宋体"/>
              <w:szCs w:val="36"/>
              <w:lang w:eastAsia="zh-CN"/>
            </w:rPr>
            <w:t>服务方案</w:t>
          </w:r>
          <w:r>
            <w:rPr>
              <w:rFonts w:hint="eastAsia" w:ascii="宋体" w:hAnsi="宋体" w:eastAsia="宋体" w:cs="宋体"/>
              <w:szCs w:val="36"/>
            </w:rPr>
            <w:t>（格式自拟）</w:t>
          </w:r>
          <w:r>
            <w:tab/>
          </w:r>
          <w:r>
            <w:fldChar w:fldCharType="begin"/>
          </w:r>
          <w:r>
            <w:instrText xml:space="preserve"> PAGEREF _Toc14653 \h </w:instrText>
          </w:r>
          <w:r>
            <w:fldChar w:fldCharType="separate"/>
          </w:r>
          <w:r>
            <w:t>31</w:t>
          </w:r>
          <w:r>
            <w:fldChar w:fldCharType="end"/>
          </w:r>
          <w:r>
            <w:rPr>
              <w:rFonts w:hint="eastAsia" w:ascii="宋体" w:hAnsi="宋体" w:eastAsia="宋体" w:cs="宋体"/>
              <w:bCs/>
              <w:lang w:val="zh-CN"/>
            </w:rPr>
            <w:fldChar w:fldCharType="end"/>
          </w:r>
        </w:p>
        <w:p w14:paraId="08DD4B67">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_Toc25946 </w:instrText>
          </w:r>
          <w:r>
            <w:rPr>
              <w:rFonts w:hint="eastAsia" w:ascii="宋体" w:hAnsi="宋体" w:eastAsia="宋体" w:cs="宋体"/>
              <w:bCs/>
              <w:lang w:val="zh-CN"/>
            </w:rPr>
            <w:fldChar w:fldCharType="separate"/>
          </w:r>
          <w:r>
            <w:rPr>
              <w:rFonts w:hint="eastAsia" w:ascii="宋体" w:hAnsi="宋体" w:eastAsia="宋体" w:cs="宋体"/>
              <w:szCs w:val="36"/>
              <w:lang w:eastAsia="zh-CN"/>
            </w:rPr>
            <w:t>四、技术/商务响应与偏离</w:t>
          </w:r>
          <w:r>
            <w:rPr>
              <w:rFonts w:hint="eastAsia" w:ascii="宋体" w:hAnsi="宋体" w:eastAsia="宋体" w:cs="宋体"/>
              <w:szCs w:val="36"/>
            </w:rPr>
            <w:t>表</w:t>
          </w:r>
          <w:r>
            <w:tab/>
          </w:r>
          <w:r>
            <w:fldChar w:fldCharType="begin"/>
          </w:r>
          <w:r>
            <w:instrText xml:space="preserve"> PAGEREF _Toc25946 \h </w:instrText>
          </w:r>
          <w:r>
            <w:fldChar w:fldCharType="separate"/>
          </w:r>
          <w:r>
            <w:t>31</w:t>
          </w:r>
          <w:r>
            <w:fldChar w:fldCharType="end"/>
          </w:r>
          <w:r>
            <w:rPr>
              <w:rFonts w:hint="eastAsia" w:ascii="宋体" w:hAnsi="宋体" w:eastAsia="宋体" w:cs="宋体"/>
              <w:bCs/>
              <w:lang w:val="zh-CN"/>
            </w:rPr>
            <w:fldChar w:fldCharType="end"/>
          </w:r>
        </w:p>
        <w:p w14:paraId="72175792">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_Toc2828 </w:instrText>
          </w:r>
          <w:r>
            <w:rPr>
              <w:rFonts w:hint="eastAsia" w:ascii="宋体" w:hAnsi="宋体" w:eastAsia="宋体" w:cs="宋体"/>
              <w:bCs/>
              <w:lang w:val="zh-CN"/>
            </w:rPr>
            <w:fldChar w:fldCharType="separate"/>
          </w:r>
          <w:r>
            <w:rPr>
              <w:rFonts w:hint="eastAsia" w:ascii="宋体" w:hAnsi="宋体" w:eastAsia="宋体" w:cs="宋体"/>
              <w:szCs w:val="36"/>
              <w:lang w:eastAsia="zh-CN"/>
            </w:rPr>
            <w:t>五</w:t>
          </w:r>
          <w:r>
            <w:rPr>
              <w:rFonts w:hint="eastAsia" w:ascii="宋体" w:hAnsi="宋体" w:eastAsia="宋体" w:cs="宋体"/>
              <w:szCs w:val="36"/>
            </w:rPr>
            <w:t>、报价一览表</w:t>
          </w:r>
          <w:r>
            <w:tab/>
          </w:r>
          <w:r>
            <w:fldChar w:fldCharType="begin"/>
          </w:r>
          <w:r>
            <w:instrText xml:space="preserve"> PAGEREF _Toc2828 \h </w:instrText>
          </w:r>
          <w:r>
            <w:fldChar w:fldCharType="separate"/>
          </w:r>
          <w:r>
            <w:t>32</w:t>
          </w:r>
          <w:r>
            <w:fldChar w:fldCharType="end"/>
          </w:r>
          <w:r>
            <w:rPr>
              <w:rFonts w:hint="eastAsia" w:ascii="宋体" w:hAnsi="宋体" w:eastAsia="宋体" w:cs="宋体"/>
              <w:bCs/>
              <w:lang w:val="zh-CN"/>
            </w:rPr>
            <w:fldChar w:fldCharType="end"/>
          </w:r>
        </w:p>
        <w:p w14:paraId="46427F41">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_Toc18696 </w:instrText>
          </w:r>
          <w:r>
            <w:rPr>
              <w:rFonts w:hint="eastAsia" w:ascii="宋体" w:hAnsi="宋体" w:eastAsia="宋体" w:cs="宋体"/>
              <w:bCs/>
              <w:lang w:val="zh-CN"/>
            </w:rPr>
            <w:fldChar w:fldCharType="separate"/>
          </w:r>
          <w:r>
            <w:rPr>
              <w:rFonts w:hint="eastAsia" w:ascii="宋体" w:hAnsi="宋体" w:eastAsia="宋体" w:cs="宋体"/>
              <w:szCs w:val="36"/>
              <w:lang w:eastAsia="zh-CN"/>
            </w:rPr>
            <w:t>六</w:t>
          </w:r>
          <w:r>
            <w:rPr>
              <w:rFonts w:hint="eastAsia" w:ascii="宋体" w:hAnsi="宋体" w:eastAsia="宋体" w:cs="宋体"/>
              <w:szCs w:val="36"/>
            </w:rPr>
            <w:t>、供应商认为需提供的其它资料</w:t>
          </w:r>
          <w:r>
            <w:tab/>
          </w:r>
          <w:r>
            <w:fldChar w:fldCharType="begin"/>
          </w:r>
          <w:r>
            <w:instrText xml:space="preserve"> PAGEREF _Toc18696 \h </w:instrText>
          </w:r>
          <w:r>
            <w:fldChar w:fldCharType="separate"/>
          </w:r>
          <w:r>
            <w:t>33</w:t>
          </w:r>
          <w:r>
            <w:fldChar w:fldCharType="end"/>
          </w:r>
          <w:r>
            <w:rPr>
              <w:rFonts w:hint="eastAsia" w:ascii="宋体" w:hAnsi="宋体" w:eastAsia="宋体" w:cs="宋体"/>
              <w:bCs/>
              <w:lang w:val="zh-CN"/>
            </w:rPr>
            <w:fldChar w:fldCharType="end"/>
          </w:r>
        </w:p>
        <w:p w14:paraId="21A8DA44">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_Toc29830 </w:instrText>
          </w:r>
          <w:r>
            <w:rPr>
              <w:rFonts w:hint="eastAsia" w:ascii="宋体" w:hAnsi="宋体" w:eastAsia="宋体" w:cs="宋体"/>
              <w:bCs/>
              <w:lang w:val="zh-CN"/>
            </w:rPr>
            <w:fldChar w:fldCharType="separate"/>
          </w:r>
          <w:r>
            <w:rPr>
              <w:rFonts w:hint="eastAsia" w:ascii="宋体" w:hAnsi="宋体" w:eastAsia="宋体" w:cs="宋体"/>
              <w:szCs w:val="36"/>
              <w:lang w:eastAsia="zh-CN"/>
            </w:rPr>
            <w:t>七</w:t>
          </w:r>
          <w:r>
            <w:rPr>
              <w:rFonts w:hint="eastAsia" w:ascii="宋体" w:hAnsi="宋体" w:eastAsia="宋体" w:cs="宋体"/>
              <w:szCs w:val="36"/>
            </w:rPr>
            <w:t>、最后报价</w:t>
          </w:r>
          <w:r>
            <w:tab/>
          </w:r>
          <w:r>
            <w:fldChar w:fldCharType="begin"/>
          </w:r>
          <w:r>
            <w:instrText xml:space="preserve"> PAGEREF _Toc29830 \h </w:instrText>
          </w:r>
          <w:r>
            <w:fldChar w:fldCharType="separate"/>
          </w:r>
          <w:r>
            <w:t>34</w:t>
          </w:r>
          <w:r>
            <w:fldChar w:fldCharType="end"/>
          </w:r>
          <w:r>
            <w:rPr>
              <w:rFonts w:hint="eastAsia" w:ascii="宋体" w:hAnsi="宋体" w:eastAsia="宋体" w:cs="宋体"/>
              <w:bCs/>
              <w:lang w:val="zh-CN"/>
            </w:rPr>
            <w:fldChar w:fldCharType="end"/>
          </w:r>
        </w:p>
        <w:p w14:paraId="5B972C76">
          <w:pPr>
            <w:rPr>
              <w:rFonts w:hint="eastAsia" w:ascii="宋体" w:hAnsi="宋体" w:eastAsia="宋体" w:cs="宋体"/>
            </w:rPr>
          </w:pPr>
          <w:r>
            <w:rPr>
              <w:rFonts w:hint="eastAsia" w:ascii="宋体" w:hAnsi="宋体" w:eastAsia="宋体" w:cs="宋体"/>
              <w:bCs/>
              <w:lang w:val="zh-CN"/>
            </w:rPr>
            <w:fldChar w:fldCharType="end"/>
          </w:r>
        </w:p>
      </w:sdtContent>
    </w:sdt>
    <w:p w14:paraId="2B8395D9">
      <w:pPr>
        <w:pStyle w:val="3"/>
        <w:rPr>
          <w:rFonts w:hint="eastAsia" w:ascii="宋体" w:hAnsi="宋体" w:eastAsia="宋体" w:cs="宋体"/>
          <w:sz w:val="32"/>
          <w:szCs w:val="22"/>
        </w:rPr>
        <w:sectPr>
          <w:footerReference r:id="rId6" w:type="default"/>
          <w:pgSz w:w="11906" w:h="16838"/>
          <w:pgMar w:top="1020" w:right="1361" w:bottom="1020" w:left="1361" w:header="227" w:footer="992" w:gutter="0"/>
          <w:cols w:space="720" w:num="1"/>
          <w:docGrid w:type="lines" w:linePitch="312" w:charSpace="0"/>
        </w:sectPr>
      </w:pPr>
      <w:bookmarkStart w:id="0" w:name="_Toc5054"/>
    </w:p>
    <w:p w14:paraId="41D52E6F">
      <w:pPr>
        <w:pStyle w:val="3"/>
        <w:rPr>
          <w:rFonts w:hint="eastAsia" w:ascii="宋体" w:hAnsi="宋体" w:eastAsia="宋体" w:cs="宋体"/>
          <w:sz w:val="32"/>
          <w:szCs w:val="22"/>
        </w:rPr>
      </w:pPr>
      <w:bookmarkStart w:id="1" w:name="_Toc12763"/>
      <w:r>
        <w:rPr>
          <w:rFonts w:hint="eastAsia" w:ascii="宋体" w:hAnsi="宋体" w:eastAsia="宋体" w:cs="宋体"/>
          <w:sz w:val="32"/>
          <w:szCs w:val="22"/>
        </w:rPr>
        <w:t>第一章  磋商邀请</w:t>
      </w:r>
      <w:bookmarkEnd w:id="0"/>
      <w:bookmarkEnd w:id="1"/>
    </w:p>
    <w:p w14:paraId="1997F518">
      <w:pPr>
        <w:spacing w:line="480" w:lineRule="exact"/>
        <w:ind w:firstLine="420" w:firstLineChars="200"/>
        <w:rPr>
          <w:rFonts w:hint="eastAsia" w:ascii="宋体" w:hAnsi="宋体" w:eastAsia="宋体" w:cs="宋体"/>
        </w:rPr>
      </w:pPr>
      <w:bookmarkStart w:id="2" w:name="_Toc15955"/>
      <w:bookmarkStart w:id="3" w:name="_Toc11933130"/>
      <w:r>
        <w:rPr>
          <w:rFonts w:hint="eastAsia" w:ascii="宋体" w:hAnsi="宋体" w:cs="宋体"/>
          <w:lang w:eastAsia="zh-CN"/>
        </w:rPr>
        <w:t>湘潭县2024年高标准农田建设项目初步验收第三方技术服务单位遴选</w:t>
      </w:r>
      <w:r>
        <w:rPr>
          <w:rFonts w:hint="eastAsia" w:ascii="宋体" w:hAnsi="宋体" w:eastAsia="宋体" w:cs="宋体"/>
        </w:rPr>
        <w:t>，委托代理编号为</w:t>
      </w:r>
      <w:r>
        <w:rPr>
          <w:rFonts w:hint="eastAsia" w:ascii="宋体" w:hAnsi="宋体" w:eastAsia="宋体" w:cs="宋体"/>
          <w:lang w:eastAsia="zh-CN"/>
        </w:rPr>
        <w:t>：</w:t>
      </w:r>
      <w:r>
        <w:rPr>
          <w:rFonts w:hint="eastAsia" w:ascii="宋体" w:hAnsi="宋体" w:cs="宋体"/>
          <w:lang w:eastAsia="zh-CN"/>
        </w:rPr>
        <w:t>HNCSZB-2025-CG-022</w:t>
      </w:r>
      <w:r>
        <w:rPr>
          <w:rFonts w:hint="eastAsia" w:ascii="宋体" w:hAnsi="宋体" w:eastAsia="宋体" w:cs="宋体"/>
        </w:rPr>
        <w:t>。招标人为</w:t>
      </w:r>
      <w:r>
        <w:rPr>
          <w:rFonts w:hint="eastAsia" w:ascii="宋体" w:hAnsi="宋体" w:eastAsia="宋体" w:cs="宋体"/>
          <w:lang w:eastAsia="zh-CN"/>
        </w:rPr>
        <w:t>湘潭县农业发展服务中心</w:t>
      </w:r>
      <w:r>
        <w:rPr>
          <w:rFonts w:hint="eastAsia" w:ascii="宋体" w:hAnsi="宋体" w:eastAsia="宋体" w:cs="宋体"/>
        </w:rPr>
        <w:t>，</w:t>
      </w:r>
      <w:r>
        <w:rPr>
          <w:rFonts w:hint="eastAsia" w:ascii="宋体" w:hAnsi="宋体" w:cs="宋体"/>
          <w:lang w:eastAsia="zh-CN"/>
        </w:rPr>
        <w:t>招标代理机构</w:t>
      </w:r>
      <w:r>
        <w:rPr>
          <w:rFonts w:hint="eastAsia" w:ascii="宋体" w:hAnsi="宋体" w:eastAsia="宋体" w:cs="宋体"/>
        </w:rPr>
        <w:t>为</w:t>
      </w:r>
      <w:r>
        <w:rPr>
          <w:rFonts w:hint="eastAsia" w:ascii="宋体" w:hAnsi="宋体" w:cs="宋体"/>
          <w:lang w:eastAsia="zh-CN"/>
        </w:rPr>
        <w:t>湖南长顺项目管理有限公司</w:t>
      </w:r>
      <w:r>
        <w:rPr>
          <w:rFonts w:hint="eastAsia" w:ascii="宋体" w:hAnsi="宋体" w:eastAsia="宋体" w:cs="宋体"/>
        </w:rPr>
        <w:t>。现采用网上发布公告方式，邀请符合相应资格条件的供应商参与竞争性磋商采购活动。</w:t>
      </w:r>
    </w:p>
    <w:p w14:paraId="70D503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一、</w:t>
      </w:r>
      <w:r>
        <w:rPr>
          <w:rFonts w:hint="eastAsia" w:ascii="宋体" w:hAnsi="宋体" w:cs="宋体"/>
          <w:lang w:eastAsia="zh-CN"/>
        </w:rPr>
        <w:t>招标项目</w:t>
      </w:r>
      <w:r>
        <w:rPr>
          <w:rFonts w:hint="eastAsia" w:ascii="宋体" w:hAnsi="宋体" w:eastAsia="宋体" w:cs="宋体"/>
        </w:rPr>
        <w:t>基本概况</w:t>
      </w:r>
    </w:p>
    <w:p w14:paraId="2C6323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1、项目名称：</w:t>
      </w:r>
      <w:r>
        <w:rPr>
          <w:rFonts w:hint="eastAsia" w:ascii="宋体" w:hAnsi="宋体" w:cs="宋体"/>
          <w:lang w:eastAsia="zh-CN"/>
        </w:rPr>
        <w:t>湘潭县2024年高标准农田建设项目初步验收第三方技术服务单位遴选</w:t>
      </w:r>
      <w:r>
        <w:rPr>
          <w:rFonts w:hint="eastAsia" w:ascii="宋体" w:hAnsi="宋体" w:eastAsia="宋体" w:cs="宋体"/>
        </w:rPr>
        <w:t>；</w:t>
      </w:r>
    </w:p>
    <w:p w14:paraId="1BB620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2、委托代理编号：</w:t>
      </w:r>
      <w:r>
        <w:rPr>
          <w:rFonts w:hint="eastAsia" w:ascii="宋体" w:hAnsi="宋体" w:cs="宋体"/>
          <w:lang w:eastAsia="zh-CN"/>
        </w:rPr>
        <w:t>HNCSZB-2025-CG-022</w:t>
      </w:r>
      <w:r>
        <w:rPr>
          <w:rFonts w:hint="eastAsia" w:ascii="宋体" w:hAnsi="宋体" w:eastAsia="宋体" w:cs="宋体"/>
        </w:rPr>
        <w:t>；</w:t>
      </w:r>
    </w:p>
    <w:p w14:paraId="2F0835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3、招标方式：竞争性磋商；</w:t>
      </w:r>
    </w:p>
    <w:p w14:paraId="51787D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rPr>
        <w:t>4、</w:t>
      </w:r>
      <w:r>
        <w:rPr>
          <w:rFonts w:hint="eastAsia" w:ascii="宋体" w:hAnsi="宋体" w:eastAsia="宋体" w:cs="宋体"/>
          <w:lang w:val="en-US" w:eastAsia="zh-CN"/>
        </w:rPr>
        <w:t>预算：</w:t>
      </w:r>
      <w:r>
        <w:rPr>
          <w:rFonts w:hint="eastAsia" w:ascii="宋体" w:hAnsi="宋体" w:cs="宋体"/>
          <w:lang w:val="en-US" w:eastAsia="zh-CN"/>
        </w:rPr>
        <w:t>300000.00元</w:t>
      </w:r>
      <w:r>
        <w:rPr>
          <w:rFonts w:hint="eastAsia" w:ascii="宋体" w:hAnsi="宋体" w:eastAsia="宋体" w:cs="宋体"/>
          <w:lang w:val="en-US" w:eastAsia="zh-CN"/>
        </w:rPr>
        <w:t>；</w:t>
      </w:r>
    </w:p>
    <w:p w14:paraId="5A5BCF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eastAsia="zh-CN"/>
        </w:rPr>
      </w:pPr>
      <w:r>
        <w:rPr>
          <w:rFonts w:hint="eastAsia" w:ascii="宋体" w:hAnsi="宋体" w:eastAsia="宋体" w:cs="宋体"/>
          <w:lang w:val="en-US" w:eastAsia="zh-CN"/>
        </w:rPr>
        <w:t>5、</w:t>
      </w:r>
      <w:r>
        <w:rPr>
          <w:rFonts w:hint="eastAsia" w:ascii="宋体" w:hAnsi="宋体" w:eastAsia="宋体" w:cs="宋体"/>
        </w:rPr>
        <w:t>评标办法：综合评分法</w:t>
      </w:r>
      <w:r>
        <w:rPr>
          <w:rFonts w:hint="eastAsia" w:ascii="宋体" w:hAnsi="宋体" w:eastAsia="宋体" w:cs="宋体"/>
          <w:lang w:eastAsia="zh-CN"/>
        </w:rPr>
        <w:t>。</w:t>
      </w:r>
    </w:p>
    <w:p w14:paraId="256E5C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二、</w:t>
      </w:r>
      <w:r>
        <w:rPr>
          <w:rFonts w:hint="eastAsia" w:ascii="宋体" w:hAnsi="宋体" w:cs="宋体"/>
          <w:lang w:eastAsia="zh-CN"/>
        </w:rPr>
        <w:t>招标项目</w:t>
      </w:r>
      <w:r>
        <w:rPr>
          <w:rFonts w:hint="eastAsia" w:ascii="宋体" w:hAnsi="宋体" w:eastAsia="宋体" w:cs="宋体"/>
        </w:rPr>
        <w:t>的主要需求及磋商可能实质性变动内容：</w:t>
      </w:r>
    </w:p>
    <w:tbl>
      <w:tblPr>
        <w:tblStyle w:val="48"/>
        <w:tblW w:w="88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9"/>
        <w:gridCol w:w="3750"/>
        <w:gridCol w:w="1694"/>
        <w:gridCol w:w="896"/>
        <w:gridCol w:w="1726"/>
      </w:tblGrid>
      <w:tr w14:paraId="7C637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jc w:val="center"/>
        </w:trPr>
        <w:tc>
          <w:tcPr>
            <w:tcW w:w="739" w:type="dxa"/>
            <w:tcBorders>
              <w:right w:val="single" w:color="auto" w:sz="4" w:space="0"/>
            </w:tcBorders>
            <w:noWrap w:val="0"/>
            <w:vAlign w:val="center"/>
          </w:tcPr>
          <w:p w14:paraId="29BD13CE">
            <w:pPr>
              <w:spacing w:line="348" w:lineRule="auto"/>
              <w:jc w:val="center"/>
              <w:rPr>
                <w:rFonts w:hint="eastAsia" w:ascii="宋体" w:hAnsi="宋体" w:cs="宋体"/>
                <w:szCs w:val="21"/>
              </w:rPr>
            </w:pPr>
            <w:r>
              <w:rPr>
                <w:rFonts w:hint="eastAsia" w:ascii="宋体" w:hAnsi="宋体" w:cs="宋体"/>
                <w:szCs w:val="24"/>
              </w:rPr>
              <w:t>包名</w:t>
            </w:r>
          </w:p>
        </w:tc>
        <w:tc>
          <w:tcPr>
            <w:tcW w:w="3750" w:type="dxa"/>
            <w:noWrap w:val="0"/>
            <w:vAlign w:val="center"/>
          </w:tcPr>
          <w:p w14:paraId="16D4DCBC">
            <w:pPr>
              <w:spacing w:line="348" w:lineRule="auto"/>
              <w:jc w:val="center"/>
              <w:rPr>
                <w:rFonts w:hint="eastAsia" w:ascii="宋体" w:hAnsi="宋体" w:cs="宋体"/>
                <w:szCs w:val="21"/>
              </w:rPr>
            </w:pPr>
            <w:r>
              <w:rPr>
                <w:rFonts w:hint="eastAsia" w:ascii="宋体" w:hAnsi="宋体" w:cs="宋体"/>
                <w:szCs w:val="21"/>
              </w:rPr>
              <w:t>标的名称</w:t>
            </w:r>
          </w:p>
        </w:tc>
        <w:tc>
          <w:tcPr>
            <w:tcW w:w="1694" w:type="dxa"/>
            <w:tcBorders>
              <w:right w:val="single" w:color="auto" w:sz="4" w:space="0"/>
            </w:tcBorders>
            <w:noWrap w:val="0"/>
            <w:vAlign w:val="center"/>
          </w:tcPr>
          <w:p w14:paraId="127F7E53">
            <w:pPr>
              <w:spacing w:line="348" w:lineRule="auto"/>
              <w:jc w:val="center"/>
              <w:rPr>
                <w:rFonts w:hint="eastAsia" w:ascii="宋体" w:hAnsi="宋体" w:cs="宋体"/>
                <w:szCs w:val="21"/>
              </w:rPr>
            </w:pPr>
            <w:r>
              <w:rPr>
                <w:rFonts w:hint="eastAsia" w:ascii="宋体" w:hAnsi="宋体" w:cs="宋体"/>
                <w:szCs w:val="21"/>
              </w:rPr>
              <w:t>简要技术要求</w:t>
            </w:r>
          </w:p>
        </w:tc>
        <w:tc>
          <w:tcPr>
            <w:tcW w:w="896" w:type="dxa"/>
            <w:tcBorders>
              <w:left w:val="single" w:color="auto" w:sz="4" w:space="0"/>
            </w:tcBorders>
            <w:noWrap w:val="0"/>
            <w:vAlign w:val="center"/>
          </w:tcPr>
          <w:p w14:paraId="1E407EFB">
            <w:pPr>
              <w:spacing w:line="348" w:lineRule="auto"/>
              <w:ind w:firstLine="210" w:firstLineChars="100"/>
              <w:jc w:val="center"/>
              <w:rPr>
                <w:rFonts w:hint="eastAsia" w:ascii="宋体" w:hAnsi="宋体" w:cs="宋体"/>
                <w:szCs w:val="21"/>
              </w:rPr>
            </w:pPr>
            <w:r>
              <w:rPr>
                <w:rFonts w:hint="eastAsia" w:ascii="宋体" w:hAnsi="宋体" w:cs="宋体"/>
                <w:szCs w:val="21"/>
              </w:rPr>
              <w:t>数量</w:t>
            </w:r>
          </w:p>
        </w:tc>
        <w:tc>
          <w:tcPr>
            <w:tcW w:w="1726" w:type="dxa"/>
            <w:tcBorders>
              <w:left w:val="single" w:color="auto" w:sz="4" w:space="0"/>
            </w:tcBorders>
            <w:noWrap w:val="0"/>
            <w:vAlign w:val="center"/>
          </w:tcPr>
          <w:p w14:paraId="57CCD51B">
            <w:pPr>
              <w:spacing w:line="348" w:lineRule="auto"/>
              <w:jc w:val="center"/>
              <w:rPr>
                <w:rFonts w:hint="eastAsia" w:ascii="宋体" w:hAnsi="宋体" w:cs="宋体"/>
                <w:szCs w:val="21"/>
              </w:rPr>
            </w:pPr>
            <w:r>
              <w:rPr>
                <w:rFonts w:hint="eastAsia" w:ascii="宋体" w:hAnsi="宋体" w:cs="宋体"/>
                <w:szCs w:val="21"/>
              </w:rPr>
              <w:t>采购预算控制价</w:t>
            </w:r>
          </w:p>
        </w:tc>
      </w:tr>
      <w:tr w14:paraId="7F714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9" w:type="dxa"/>
            <w:tcBorders>
              <w:right w:val="single" w:color="auto" w:sz="4" w:space="0"/>
            </w:tcBorders>
            <w:noWrap w:val="0"/>
            <w:vAlign w:val="center"/>
          </w:tcPr>
          <w:p w14:paraId="645800ED">
            <w:pPr>
              <w:jc w:val="center"/>
              <w:rPr>
                <w:rFonts w:hint="eastAsia" w:ascii="宋体" w:hAnsi="宋体" w:cs="宋体"/>
                <w:color w:val="000000"/>
                <w:szCs w:val="24"/>
              </w:rPr>
            </w:pPr>
            <w:r>
              <w:rPr>
                <w:rFonts w:hint="eastAsia" w:ascii="宋体" w:hAnsi="宋体" w:cs="宋体"/>
                <w:color w:val="000000"/>
                <w:szCs w:val="21"/>
              </w:rPr>
              <w:t>整包</w:t>
            </w:r>
          </w:p>
        </w:tc>
        <w:tc>
          <w:tcPr>
            <w:tcW w:w="3750" w:type="dxa"/>
            <w:noWrap w:val="0"/>
            <w:vAlign w:val="center"/>
          </w:tcPr>
          <w:p w14:paraId="6DDF3C11">
            <w:pPr>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湘潭县2024年高标准农田建设项目初步验收第三方技术服务单位遴选</w:t>
            </w:r>
          </w:p>
        </w:tc>
        <w:tc>
          <w:tcPr>
            <w:tcW w:w="1694" w:type="dxa"/>
            <w:tcBorders>
              <w:right w:val="single" w:color="auto" w:sz="4" w:space="0"/>
            </w:tcBorders>
            <w:noWrap w:val="0"/>
            <w:vAlign w:val="center"/>
          </w:tcPr>
          <w:p w14:paraId="49818549">
            <w:pPr>
              <w:jc w:val="center"/>
              <w:rPr>
                <w:rFonts w:hint="eastAsia" w:ascii="宋体" w:hAnsi="宋体" w:eastAsia="宋体" w:cs="宋体"/>
                <w:color w:val="000000"/>
                <w:szCs w:val="24"/>
                <w:lang w:eastAsia="zh-CN"/>
              </w:rPr>
            </w:pPr>
            <w:r>
              <w:rPr>
                <w:rFonts w:hint="eastAsia" w:ascii="宋体" w:hAnsi="宋体" w:cs="宋体"/>
                <w:color w:val="000000"/>
                <w:szCs w:val="24"/>
              </w:rPr>
              <w:t>详见</w:t>
            </w:r>
            <w:r>
              <w:rPr>
                <w:rFonts w:hint="eastAsia" w:ascii="宋体" w:hAnsi="宋体" w:cs="宋体"/>
                <w:color w:val="000000"/>
                <w:szCs w:val="24"/>
                <w:lang w:eastAsia="zh-CN"/>
              </w:rPr>
              <w:t>招标要求</w:t>
            </w:r>
          </w:p>
        </w:tc>
        <w:tc>
          <w:tcPr>
            <w:tcW w:w="896" w:type="dxa"/>
            <w:tcBorders>
              <w:left w:val="single" w:color="auto" w:sz="4" w:space="0"/>
            </w:tcBorders>
            <w:noWrap w:val="0"/>
            <w:vAlign w:val="center"/>
          </w:tcPr>
          <w:p w14:paraId="3560E54C">
            <w:pPr>
              <w:jc w:val="center"/>
              <w:rPr>
                <w:rFonts w:ascii="宋体" w:hAnsi="宋体" w:cs="宋体"/>
                <w:color w:val="000000"/>
                <w:szCs w:val="21"/>
              </w:rPr>
            </w:pPr>
            <w:r>
              <w:rPr>
                <w:rFonts w:hint="eastAsia" w:ascii="宋体" w:hAnsi="宋体" w:cs="宋体"/>
                <w:color w:val="000000"/>
                <w:szCs w:val="21"/>
              </w:rPr>
              <w:t>1项</w:t>
            </w:r>
          </w:p>
        </w:tc>
        <w:tc>
          <w:tcPr>
            <w:tcW w:w="1726" w:type="dxa"/>
            <w:tcBorders>
              <w:left w:val="single" w:color="auto" w:sz="4" w:space="0"/>
            </w:tcBorders>
            <w:noWrap w:val="0"/>
            <w:vAlign w:val="center"/>
          </w:tcPr>
          <w:p w14:paraId="1A4BD359">
            <w:pPr>
              <w:jc w:val="center"/>
              <w:rPr>
                <w:rFonts w:hint="eastAsia" w:ascii="宋体" w:hAnsi="宋体" w:cs="宋体"/>
                <w:color w:val="000000"/>
                <w:szCs w:val="21"/>
              </w:rPr>
            </w:pPr>
            <w:r>
              <w:rPr>
                <w:rFonts w:hint="eastAsia" w:ascii="宋体" w:hAnsi="宋体" w:cs="宋体"/>
                <w:color w:val="000000"/>
                <w:szCs w:val="21"/>
                <w:lang w:val="en-US" w:eastAsia="zh-CN"/>
              </w:rPr>
              <w:t>300000.00</w:t>
            </w:r>
            <w:r>
              <w:rPr>
                <w:rFonts w:hint="eastAsia" w:ascii="宋体" w:hAnsi="宋体" w:cs="宋体"/>
                <w:color w:val="000000"/>
                <w:szCs w:val="21"/>
              </w:rPr>
              <w:t>元</w:t>
            </w:r>
          </w:p>
        </w:tc>
      </w:tr>
    </w:tbl>
    <w:p w14:paraId="7046939B">
      <w:pPr>
        <w:spacing w:line="480" w:lineRule="exact"/>
        <w:ind w:firstLine="420" w:firstLineChars="200"/>
        <w:rPr>
          <w:rFonts w:hint="eastAsia" w:ascii="宋体" w:hAnsi="宋体" w:eastAsia="宋体" w:cs="宋体"/>
        </w:rPr>
      </w:pPr>
      <w:r>
        <w:rPr>
          <w:rFonts w:hint="eastAsia" w:ascii="宋体" w:hAnsi="宋体" w:eastAsia="宋体" w:cs="宋体"/>
        </w:rPr>
        <w:t>三、</w:t>
      </w:r>
      <w:r>
        <w:rPr>
          <w:rFonts w:hint="eastAsia" w:ascii="宋体" w:hAnsi="宋体" w:cs="宋体"/>
          <w:lang w:eastAsia="zh-CN"/>
        </w:rPr>
        <w:t>供应商</w:t>
      </w:r>
      <w:r>
        <w:rPr>
          <w:rFonts w:hint="eastAsia" w:ascii="宋体" w:hAnsi="宋体" w:eastAsia="宋体" w:cs="宋体"/>
        </w:rPr>
        <w:t>的资格条件</w:t>
      </w:r>
    </w:p>
    <w:p w14:paraId="46F12730">
      <w:pPr>
        <w:spacing w:line="480" w:lineRule="exact"/>
        <w:ind w:firstLine="420" w:firstLineChars="200"/>
        <w:rPr>
          <w:rFonts w:hint="eastAsia" w:ascii="宋体" w:hAnsi="宋体" w:eastAsia="宋体" w:cs="宋体"/>
        </w:rPr>
      </w:pPr>
      <w:r>
        <w:rPr>
          <w:rFonts w:hint="eastAsia" w:ascii="宋体" w:hAnsi="宋体" w:eastAsia="宋体" w:cs="宋体"/>
        </w:rPr>
        <w:t>1、供应商基本资格条件：</w:t>
      </w:r>
    </w:p>
    <w:p w14:paraId="2124A726">
      <w:pPr>
        <w:spacing w:line="480" w:lineRule="exact"/>
        <w:ind w:firstLine="420" w:firstLineChars="200"/>
        <w:rPr>
          <w:rFonts w:hint="eastAsia" w:ascii="宋体" w:hAnsi="宋体" w:eastAsia="宋体" w:cs="宋体"/>
        </w:rPr>
      </w:pPr>
      <w:r>
        <w:rPr>
          <w:rFonts w:hint="eastAsia" w:ascii="宋体" w:hAnsi="宋体" w:eastAsia="宋体" w:cs="宋体"/>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法律、法规规定的其他条件；同时具备如下条件：</w:t>
      </w:r>
    </w:p>
    <w:p w14:paraId="1C80EF6E">
      <w:pPr>
        <w:spacing w:line="480" w:lineRule="exact"/>
        <w:ind w:firstLine="420" w:firstLineChars="200"/>
        <w:rPr>
          <w:rFonts w:hint="eastAsia" w:ascii="宋体" w:hAnsi="宋体" w:eastAsia="宋体" w:cs="宋体"/>
        </w:rPr>
      </w:pPr>
      <w:r>
        <w:rPr>
          <w:rFonts w:hint="eastAsia" w:ascii="宋体" w:hAnsi="宋体" w:eastAsia="宋体" w:cs="宋体"/>
        </w:rPr>
        <w:t>（1）提交企业法人营业执照副本(或者法人登记证书)</w:t>
      </w:r>
      <w:r>
        <w:rPr>
          <w:rFonts w:hint="eastAsia" w:ascii="宋体" w:hAnsi="宋体" w:eastAsia="宋体" w:cs="宋体"/>
          <w:lang w:eastAsia="zh-CN"/>
        </w:rPr>
        <w:t>、</w:t>
      </w:r>
      <w:r>
        <w:rPr>
          <w:rFonts w:hint="eastAsia" w:ascii="宋体" w:hAnsi="宋体" w:eastAsia="宋体" w:cs="宋体"/>
        </w:rPr>
        <w:t>银行开户许可证或基本存款账户信息；</w:t>
      </w:r>
    </w:p>
    <w:p w14:paraId="5DD7E328">
      <w:pPr>
        <w:spacing w:line="480" w:lineRule="exact"/>
        <w:ind w:firstLine="420" w:firstLineChars="200"/>
        <w:rPr>
          <w:rFonts w:hint="eastAsia" w:ascii="宋体" w:hAnsi="宋体" w:eastAsia="宋体" w:cs="宋体"/>
          <w:lang w:eastAsia="zh-CN"/>
        </w:rPr>
      </w:pPr>
      <w:r>
        <w:rPr>
          <w:rFonts w:hint="eastAsia" w:ascii="宋体" w:hAnsi="宋体" w:eastAsia="宋体" w:cs="宋体"/>
        </w:rPr>
        <w:t>（2）依法缴纳税收和社会保险费的证明材料：近三个月依法缴纳税收和社会保险费的证明（纳税及缴费凭证复印件加盖单位公章），或者委托他人缴纳的委托代办协议和近三个月的缴纳证明（收据复印件加盖单位公章），或者法定征收机关</w:t>
      </w:r>
      <w:r>
        <w:rPr>
          <w:rFonts w:hint="eastAsia" w:ascii="宋体" w:hAnsi="宋体" w:cs="宋体"/>
          <w:lang w:eastAsia="zh-CN"/>
        </w:rPr>
        <w:t>出</w:t>
      </w:r>
      <w:r>
        <w:rPr>
          <w:rFonts w:hint="eastAsia" w:ascii="宋体" w:hAnsi="宋体" w:eastAsia="宋体" w:cs="宋体"/>
        </w:rPr>
        <w:t>具的依法免缴税费的证明原件，或者依法缴纳税收和社会保险费的书面承诺原件</w:t>
      </w:r>
      <w:r>
        <w:rPr>
          <w:rFonts w:hint="eastAsia" w:ascii="宋体" w:hAnsi="宋体" w:cs="宋体"/>
          <w:lang w:eastAsia="zh-CN"/>
        </w:rPr>
        <w:t>；</w:t>
      </w:r>
    </w:p>
    <w:p w14:paraId="3EC51053">
      <w:pPr>
        <w:spacing w:line="480" w:lineRule="exact"/>
        <w:ind w:firstLine="420" w:firstLineChars="200"/>
        <w:rPr>
          <w:rFonts w:hint="eastAsia" w:ascii="宋体" w:hAnsi="宋体" w:eastAsia="宋体" w:cs="宋体"/>
        </w:rPr>
      </w:pPr>
      <w:r>
        <w:rPr>
          <w:rFonts w:hint="eastAsia" w:ascii="宋体" w:hAnsi="宋体" w:eastAsia="宋体" w:cs="宋体"/>
        </w:rPr>
        <w:t>（3）提交</w:t>
      </w:r>
      <w:r>
        <w:rPr>
          <w:rFonts w:hint="eastAsia" w:ascii="宋体" w:hAnsi="宋体" w:cs="宋体"/>
          <w:lang w:eastAsia="zh-CN"/>
        </w:rPr>
        <w:t>法定代表人（单位负责人）</w:t>
      </w:r>
      <w:r>
        <w:rPr>
          <w:rFonts w:hint="eastAsia" w:ascii="宋体" w:hAnsi="宋体" w:eastAsia="宋体" w:cs="宋体"/>
        </w:rPr>
        <w:t>身份证明书或者</w:t>
      </w:r>
      <w:r>
        <w:rPr>
          <w:rFonts w:hint="eastAsia" w:ascii="宋体" w:hAnsi="宋体" w:cs="宋体"/>
          <w:lang w:eastAsia="zh-CN"/>
        </w:rPr>
        <w:t>法定代表人（单位负责人）</w:t>
      </w:r>
      <w:r>
        <w:rPr>
          <w:rFonts w:hint="eastAsia" w:ascii="宋体" w:hAnsi="宋体" w:eastAsia="宋体" w:cs="宋体"/>
        </w:rPr>
        <w:t>授权委托书并附</w:t>
      </w:r>
      <w:r>
        <w:rPr>
          <w:rFonts w:hint="eastAsia" w:ascii="宋体" w:hAnsi="宋体" w:cs="宋体"/>
          <w:lang w:eastAsia="zh-CN"/>
        </w:rPr>
        <w:t>法定代表人（单位负责人）</w:t>
      </w:r>
      <w:r>
        <w:rPr>
          <w:rFonts w:hint="eastAsia" w:ascii="宋体" w:hAnsi="宋体" w:eastAsia="宋体" w:cs="宋体"/>
        </w:rPr>
        <w:t>身份证明书；</w:t>
      </w:r>
    </w:p>
    <w:p w14:paraId="7B6FF185">
      <w:pPr>
        <w:spacing w:line="480" w:lineRule="exact"/>
        <w:ind w:firstLine="420" w:firstLineChars="200"/>
        <w:rPr>
          <w:rFonts w:hint="eastAsia" w:ascii="宋体" w:hAnsi="宋体" w:eastAsia="宋体" w:cs="宋体"/>
        </w:rPr>
      </w:pPr>
      <w:r>
        <w:rPr>
          <w:rFonts w:hint="eastAsia" w:ascii="宋体" w:hAnsi="宋体" w:eastAsia="宋体" w:cs="宋体"/>
        </w:rPr>
        <w:t>（4）供应商参加本次</w:t>
      </w:r>
      <w:r>
        <w:rPr>
          <w:rFonts w:hint="eastAsia" w:ascii="宋体" w:hAnsi="宋体" w:cs="宋体"/>
          <w:lang w:eastAsia="zh-CN"/>
        </w:rPr>
        <w:t>招标活动</w:t>
      </w:r>
      <w:r>
        <w:rPr>
          <w:rFonts w:hint="eastAsia" w:ascii="宋体" w:hAnsi="宋体" w:eastAsia="宋体" w:cs="宋体"/>
        </w:rPr>
        <w:t>前三年内没有重大违法记录的书面声明承诺。</w:t>
      </w:r>
    </w:p>
    <w:p w14:paraId="5E926662">
      <w:pPr>
        <w:spacing w:line="480" w:lineRule="exact"/>
        <w:ind w:firstLine="420" w:firstLineChars="200"/>
        <w:rPr>
          <w:rFonts w:hint="eastAsia" w:ascii="宋体" w:hAnsi="宋体" w:eastAsia="宋体" w:cs="宋体"/>
        </w:rPr>
      </w:pPr>
      <w:r>
        <w:rPr>
          <w:rFonts w:hint="eastAsia" w:ascii="宋体" w:hAnsi="宋体" w:eastAsia="宋体" w:cs="宋体"/>
        </w:rPr>
        <w:t>注：</w:t>
      </w:r>
      <w:r>
        <w:rPr>
          <w:rFonts w:hint="eastAsia" w:ascii="宋体" w:hAnsi="宋体" w:cs="宋体"/>
          <w:lang w:eastAsia="zh-CN"/>
        </w:rPr>
        <w:t>供应商</w:t>
      </w:r>
      <w:r>
        <w:rPr>
          <w:rFonts w:hint="eastAsia" w:ascii="宋体" w:hAnsi="宋体" w:eastAsia="宋体" w:cs="宋体"/>
        </w:rPr>
        <w:t>具有实行了“三证合一”登记制度改革的新证，视同为持有工商营业执照、组织机构代码证和税务登记证，符合基本资格条件的相关条款；</w:t>
      </w:r>
      <w:r>
        <w:rPr>
          <w:rFonts w:hint="eastAsia" w:ascii="宋体" w:hAnsi="宋体" w:cs="宋体"/>
          <w:lang w:eastAsia="zh-CN"/>
        </w:rPr>
        <w:t>供应商</w:t>
      </w:r>
      <w:r>
        <w:rPr>
          <w:rFonts w:hint="eastAsia" w:ascii="宋体" w:hAnsi="宋体" w:eastAsia="宋体" w:cs="宋体"/>
        </w:rPr>
        <w:t>具有实行了“五证合一”登记制度改革的新证，视同为持有工商营业执照、组织机构代码证和税务登记证和社会保险登记证，符合基本资格条件的相关条款。</w:t>
      </w:r>
    </w:p>
    <w:p w14:paraId="49292A94">
      <w:pPr>
        <w:spacing w:line="480" w:lineRule="exact"/>
        <w:ind w:firstLine="420" w:firstLineChars="200"/>
        <w:rPr>
          <w:rFonts w:hint="eastAsia" w:ascii="宋体" w:hAnsi="宋体" w:eastAsia="宋体" w:cs="宋体"/>
          <w:lang w:val="en-US" w:eastAsia="zh-CN"/>
        </w:rPr>
      </w:pPr>
      <w:r>
        <w:rPr>
          <w:rFonts w:hint="eastAsia" w:ascii="宋体" w:hAnsi="宋体" w:eastAsia="宋体" w:cs="宋体"/>
        </w:rPr>
        <w:t>2、供应商特定资格条件：具备水利行业工程设计资质乙级及以上资质</w:t>
      </w:r>
      <w:r>
        <w:rPr>
          <w:rFonts w:hint="eastAsia" w:ascii="宋体" w:hAnsi="宋体" w:cs="宋体"/>
          <w:lang w:eastAsia="zh-CN"/>
        </w:rPr>
        <w:t>、</w:t>
      </w:r>
      <w:r>
        <w:rPr>
          <w:rFonts w:hint="eastAsia" w:ascii="宋体" w:hAnsi="宋体" w:eastAsia="宋体" w:cs="宋体"/>
        </w:rPr>
        <w:t>或农林行业工程设计乙级及以上资质</w:t>
      </w:r>
      <w:r>
        <w:rPr>
          <w:rFonts w:hint="eastAsia" w:ascii="宋体" w:hAnsi="宋体" w:cs="宋体"/>
          <w:lang w:eastAsia="zh-CN"/>
        </w:rPr>
        <w:t>、</w:t>
      </w:r>
      <w:r>
        <w:rPr>
          <w:rFonts w:hint="eastAsia" w:ascii="宋体" w:hAnsi="宋体" w:eastAsia="宋体" w:cs="宋体"/>
        </w:rPr>
        <w:t>或农业综合开发生态工程专业工程设计乙级及以上资质</w:t>
      </w:r>
      <w:r>
        <w:rPr>
          <w:rFonts w:hint="eastAsia" w:ascii="宋体" w:hAnsi="宋体" w:cs="宋体"/>
          <w:lang w:eastAsia="zh-CN"/>
        </w:rPr>
        <w:t>、</w:t>
      </w:r>
      <w:r>
        <w:rPr>
          <w:rFonts w:hint="eastAsia" w:ascii="宋体" w:hAnsi="宋体" w:eastAsia="宋体" w:cs="宋体"/>
        </w:rPr>
        <w:t>或引调水专业工程设计乙级及以上资质</w:t>
      </w:r>
      <w:r>
        <w:rPr>
          <w:rFonts w:hint="eastAsia" w:ascii="宋体" w:hAnsi="宋体" w:cs="宋体"/>
          <w:lang w:eastAsia="zh-CN"/>
        </w:rPr>
        <w:t>、</w:t>
      </w:r>
      <w:r>
        <w:rPr>
          <w:rFonts w:hint="eastAsia" w:ascii="宋体" w:hAnsi="宋体" w:eastAsia="宋体" w:cs="宋体"/>
        </w:rPr>
        <w:t>或灌溉排涝专业工程设计乙级及以上资质</w:t>
      </w:r>
      <w:r>
        <w:rPr>
          <w:rFonts w:hint="eastAsia" w:ascii="宋体" w:hAnsi="宋体" w:cs="宋体"/>
          <w:lang w:eastAsia="zh-CN"/>
        </w:rPr>
        <w:t>、</w:t>
      </w:r>
      <w:r>
        <w:rPr>
          <w:rFonts w:hint="eastAsia" w:ascii="宋体" w:hAnsi="宋体" w:eastAsia="宋体" w:cs="宋体"/>
          <w:lang w:eastAsia="zh-CN"/>
        </w:rPr>
        <w:t>或</w:t>
      </w:r>
      <w:r>
        <w:rPr>
          <w:rFonts w:hint="eastAsia" w:ascii="宋体" w:hAnsi="宋体" w:eastAsia="宋体" w:cs="宋体"/>
        </w:rPr>
        <w:t>农林工程专业乙级以上监理资质</w:t>
      </w:r>
      <w:r>
        <w:rPr>
          <w:rFonts w:hint="eastAsia" w:ascii="宋体" w:hAnsi="宋体" w:cs="宋体"/>
          <w:lang w:eastAsia="zh-CN"/>
        </w:rPr>
        <w:t>、</w:t>
      </w:r>
      <w:r>
        <w:rPr>
          <w:rFonts w:hint="eastAsia" w:ascii="宋体" w:hAnsi="宋体" w:eastAsia="宋体" w:cs="宋体"/>
        </w:rPr>
        <w:t>或水利水电工程专业乙级以上监理资质</w:t>
      </w:r>
      <w:r>
        <w:rPr>
          <w:rFonts w:hint="eastAsia" w:ascii="宋体" w:hAnsi="宋体" w:cs="宋体"/>
          <w:lang w:eastAsia="zh-CN"/>
        </w:rPr>
        <w:t>；</w:t>
      </w:r>
      <w:r>
        <w:rPr>
          <w:rFonts w:hint="eastAsia" w:ascii="宋体" w:hAnsi="宋体" w:cs="宋体"/>
          <w:lang w:val="en-US" w:eastAsia="zh-CN"/>
        </w:rPr>
        <w:t>或具备</w:t>
      </w:r>
      <w:r>
        <w:rPr>
          <w:rFonts w:hint="eastAsia" w:ascii="宋体" w:hAnsi="宋体" w:eastAsia="宋体" w:cs="宋体"/>
        </w:rPr>
        <w:t>农林工程</w:t>
      </w:r>
      <w:r>
        <w:rPr>
          <w:rFonts w:hint="eastAsia" w:ascii="宋体" w:hAnsi="宋体" w:cs="宋体"/>
          <w:lang w:val="en-US" w:eastAsia="zh-CN"/>
        </w:rPr>
        <w:t>项目管理资格、或</w:t>
      </w:r>
      <w:r>
        <w:rPr>
          <w:rFonts w:hint="eastAsia" w:ascii="宋体" w:hAnsi="宋体" w:eastAsia="宋体" w:cs="宋体"/>
        </w:rPr>
        <w:t>水利水电工程</w:t>
      </w:r>
      <w:r>
        <w:rPr>
          <w:rFonts w:hint="eastAsia" w:ascii="宋体" w:hAnsi="宋体" w:cs="宋体"/>
          <w:lang w:val="en-US" w:eastAsia="zh-CN"/>
        </w:rPr>
        <w:t>项目管理资格</w:t>
      </w:r>
      <w:r>
        <w:rPr>
          <w:rFonts w:hint="eastAsia" w:ascii="宋体" w:hAnsi="宋体" w:eastAsia="宋体" w:cs="宋体"/>
          <w:lang w:val="en-US" w:eastAsia="zh-CN"/>
        </w:rPr>
        <w:t>。</w:t>
      </w:r>
    </w:p>
    <w:p w14:paraId="54030A3A">
      <w:pPr>
        <w:spacing w:line="480" w:lineRule="exact"/>
        <w:ind w:firstLine="420" w:firstLineChars="200"/>
        <w:rPr>
          <w:rFonts w:hint="eastAsia" w:ascii="宋体" w:hAnsi="宋体" w:eastAsia="宋体" w:cs="宋体"/>
          <w:lang w:val="en-US" w:eastAsia="zh-CN"/>
        </w:rPr>
      </w:pPr>
      <w:r>
        <w:rPr>
          <w:rFonts w:hint="eastAsia" w:ascii="宋体" w:hAnsi="宋体" w:cs="宋体"/>
          <w:lang w:val="en-US" w:eastAsia="zh-CN"/>
        </w:rPr>
        <w:t>3</w:t>
      </w:r>
      <w:r>
        <w:rPr>
          <w:rFonts w:hint="eastAsia" w:ascii="宋体" w:hAnsi="宋体" w:eastAsia="宋体" w:cs="宋体"/>
          <w:lang w:val="en-US" w:eastAsia="zh-CN"/>
        </w:rPr>
        <w:t>、未入驻湖南省政府采购电子卖场的</w:t>
      </w:r>
      <w:r>
        <w:rPr>
          <w:rFonts w:hint="eastAsia" w:ascii="宋体" w:hAnsi="宋体" w:cs="宋体"/>
          <w:lang w:val="en-US" w:eastAsia="zh-CN"/>
        </w:rPr>
        <w:t>供应商</w:t>
      </w:r>
      <w:r>
        <w:rPr>
          <w:rFonts w:hint="eastAsia" w:ascii="宋体" w:hAnsi="宋体" w:eastAsia="宋体" w:cs="宋体"/>
          <w:lang w:val="en-US" w:eastAsia="zh-CN"/>
        </w:rPr>
        <w:t>，承诺在中标后完成省电子卖场注册（格式自拟）。</w:t>
      </w:r>
    </w:p>
    <w:p w14:paraId="4D8492BD">
      <w:pPr>
        <w:spacing w:line="480" w:lineRule="exact"/>
        <w:ind w:firstLine="420" w:firstLineChars="200"/>
        <w:rPr>
          <w:rFonts w:hint="eastAsia" w:ascii="宋体" w:hAnsi="宋体" w:eastAsia="宋体" w:cs="宋体"/>
          <w:lang w:eastAsia="zh-CN"/>
        </w:rPr>
      </w:pPr>
      <w:r>
        <w:rPr>
          <w:rFonts w:hint="eastAsia" w:ascii="宋体" w:hAnsi="宋体" w:cs="宋体"/>
          <w:lang w:val="en-US" w:eastAsia="zh-CN"/>
        </w:rPr>
        <w:t>4</w:t>
      </w:r>
      <w:r>
        <w:rPr>
          <w:rFonts w:hint="eastAsia" w:ascii="宋体" w:hAnsi="宋体" w:eastAsia="宋体" w:cs="宋体"/>
          <w:lang w:eastAsia="zh-CN"/>
        </w:rPr>
        <w:t>、未列入失信被执行人、重大税收违法案件当事人名单、政府采购严重违法失信行为记录名单的书面承诺（格式自拟），并附经“信用中国”（http://www.creditchina.gov.cn/）网站和“中国政府采购网网站”（http://www.ccgp.gov.cn/）查询记录。</w:t>
      </w:r>
    </w:p>
    <w:p w14:paraId="6631FAA6">
      <w:pPr>
        <w:spacing w:line="480" w:lineRule="exact"/>
        <w:ind w:firstLine="420" w:firstLineChars="200"/>
        <w:rPr>
          <w:rFonts w:hint="eastAsia" w:ascii="宋体" w:hAnsi="宋体" w:eastAsia="宋体" w:cs="宋体"/>
          <w:color w:val="auto"/>
        </w:rPr>
      </w:pPr>
      <w:r>
        <w:rPr>
          <w:rFonts w:hint="eastAsia" w:ascii="宋体" w:hAnsi="宋体" w:eastAsia="宋体" w:cs="宋体"/>
          <w:lang w:eastAsia="zh-CN"/>
        </w:rPr>
        <w:t>四</w:t>
      </w:r>
      <w:r>
        <w:rPr>
          <w:rFonts w:hint="eastAsia" w:ascii="宋体" w:hAnsi="宋体" w:eastAsia="宋体" w:cs="宋体"/>
        </w:rPr>
        <w:t>、磋商文件的获取时间、地</w:t>
      </w:r>
      <w:r>
        <w:rPr>
          <w:rFonts w:hint="eastAsia" w:ascii="宋体" w:hAnsi="宋体" w:eastAsia="宋体" w:cs="宋体"/>
          <w:color w:val="auto"/>
        </w:rPr>
        <w:t>点及方式</w:t>
      </w:r>
    </w:p>
    <w:p w14:paraId="7B5456C6">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1.请投标供应商从即日起至</w:t>
      </w:r>
      <w:r>
        <w:rPr>
          <w:rFonts w:hint="eastAsia" w:ascii="宋体" w:hAnsi="宋体" w:cs="宋体"/>
          <w:color w:val="auto"/>
          <w:lang w:eastAsia="zh-CN"/>
        </w:rPr>
        <w:t>2025年</w:t>
      </w:r>
      <w:r>
        <w:rPr>
          <w:rFonts w:hint="eastAsia" w:ascii="宋体" w:hAnsi="宋体" w:cs="宋体"/>
          <w:color w:val="auto"/>
          <w:lang w:val="en-US" w:eastAsia="zh-CN"/>
        </w:rPr>
        <w:t>4</w:t>
      </w:r>
      <w:r>
        <w:rPr>
          <w:rFonts w:hint="eastAsia" w:ascii="宋体" w:hAnsi="宋体" w:eastAsia="宋体" w:cs="宋体"/>
          <w:color w:val="auto"/>
        </w:rPr>
        <w:t>月</w:t>
      </w:r>
      <w:r>
        <w:rPr>
          <w:rFonts w:hint="eastAsia" w:ascii="宋体" w:hAnsi="宋体" w:cs="宋体"/>
          <w:color w:val="auto"/>
          <w:lang w:val="en-US" w:eastAsia="zh-CN"/>
        </w:rPr>
        <w:t>25</w:t>
      </w:r>
      <w:r>
        <w:rPr>
          <w:rFonts w:hint="eastAsia" w:ascii="宋体" w:hAnsi="宋体" w:eastAsia="宋体" w:cs="宋体"/>
          <w:color w:val="auto"/>
        </w:rPr>
        <w:t>日17时00分止(北京时间），</w:t>
      </w:r>
      <w:r>
        <w:rPr>
          <w:rFonts w:hint="eastAsia" w:ascii="宋体" w:hAnsi="宋体" w:eastAsia="宋体" w:cs="宋体"/>
          <w:color w:val="auto"/>
          <w:lang w:val="en-US" w:eastAsia="zh-CN"/>
        </w:rPr>
        <w:t>提供</w:t>
      </w:r>
      <w:r>
        <w:rPr>
          <w:rFonts w:hint="eastAsia" w:ascii="宋体" w:hAnsi="宋体" w:cs="宋体"/>
          <w:color w:val="auto"/>
          <w:lang w:eastAsia="zh-CN"/>
        </w:rPr>
        <w:t>法定代表人（单位负责人）</w:t>
      </w:r>
      <w:r>
        <w:rPr>
          <w:rFonts w:hint="eastAsia" w:ascii="宋体" w:hAnsi="宋体" w:eastAsia="宋体" w:cs="宋体"/>
          <w:color w:val="auto"/>
        </w:rPr>
        <w:t>（单位负责人）身份证明或委托授权书、本人身份证原件、营业执照副本复印件（所有资料加盖单位公章）在</w:t>
      </w:r>
      <w:r>
        <w:rPr>
          <w:rFonts w:hint="eastAsia" w:ascii="宋体" w:hAnsi="宋体" w:cs="宋体"/>
          <w:color w:val="auto"/>
          <w:lang w:eastAsia="zh-CN"/>
        </w:rPr>
        <w:t>湖南长顺项目管理有限公司（地址：</w:t>
      </w:r>
      <w:r>
        <w:rPr>
          <w:rFonts w:hint="eastAsia" w:ascii="宋体" w:hAnsi="宋体" w:cs="宋体"/>
          <w:color w:val="auto"/>
          <w:lang w:val="en-US" w:eastAsia="zh-CN"/>
        </w:rPr>
        <w:t>长沙市雨花区新兴路268号</w:t>
      </w:r>
      <w:r>
        <w:rPr>
          <w:rFonts w:hint="eastAsia" w:ascii="宋体" w:hAnsi="宋体" w:cs="宋体"/>
          <w:color w:val="auto"/>
          <w:lang w:eastAsia="zh-CN"/>
        </w:rPr>
        <w:t>）</w:t>
      </w:r>
      <w:r>
        <w:rPr>
          <w:rFonts w:hint="eastAsia" w:ascii="宋体" w:hAnsi="宋体" w:eastAsia="宋体" w:cs="宋体"/>
          <w:color w:val="auto"/>
        </w:rPr>
        <w:t>购买磋商文件，磋商文件售价：400元/套</w:t>
      </w:r>
      <w:r>
        <w:rPr>
          <w:rFonts w:hint="eastAsia" w:ascii="宋体" w:hAnsi="宋体" w:eastAsia="宋体" w:cs="宋体"/>
          <w:color w:val="auto"/>
          <w:lang w:eastAsia="zh-CN"/>
        </w:rPr>
        <w:t>，售后不退</w:t>
      </w:r>
      <w:r>
        <w:rPr>
          <w:rFonts w:hint="eastAsia" w:ascii="宋体" w:hAnsi="宋体" w:eastAsia="宋体" w:cs="宋体"/>
          <w:color w:val="auto"/>
        </w:rPr>
        <w:t>。</w:t>
      </w:r>
    </w:p>
    <w:p w14:paraId="74F855D4">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 澄清答疑采用网上发布或者书面方式。</w:t>
      </w:r>
    </w:p>
    <w:p w14:paraId="56140EC9">
      <w:pPr>
        <w:spacing w:line="480" w:lineRule="exact"/>
        <w:ind w:firstLine="420" w:firstLineChars="200"/>
        <w:rPr>
          <w:rFonts w:hint="eastAsia" w:ascii="宋体" w:hAnsi="宋体" w:eastAsia="宋体" w:cs="宋体"/>
          <w:color w:val="auto"/>
        </w:rPr>
      </w:pPr>
      <w:r>
        <w:rPr>
          <w:rFonts w:hint="eastAsia" w:ascii="宋体" w:hAnsi="宋体" w:cs="宋体"/>
          <w:color w:val="auto"/>
          <w:lang w:val="en-US" w:eastAsia="zh-CN"/>
        </w:rPr>
        <w:t>五</w:t>
      </w:r>
      <w:r>
        <w:rPr>
          <w:rFonts w:hint="eastAsia" w:ascii="宋体" w:hAnsi="宋体" w:eastAsia="宋体" w:cs="宋体"/>
          <w:color w:val="auto"/>
        </w:rPr>
        <w:t>、磋商响应文件的递交截止时间、开启时间及地点</w:t>
      </w:r>
    </w:p>
    <w:p w14:paraId="5D7A9B50">
      <w:pPr>
        <w:spacing w:line="480" w:lineRule="exact"/>
        <w:ind w:firstLine="420" w:firstLineChars="200"/>
        <w:rPr>
          <w:rFonts w:hint="eastAsia" w:ascii="宋体" w:hAnsi="宋体" w:eastAsia="宋体" w:cs="宋体"/>
          <w:lang w:val="en-US" w:eastAsia="zh-CN"/>
        </w:rPr>
      </w:pPr>
      <w:r>
        <w:rPr>
          <w:rFonts w:hint="eastAsia" w:ascii="宋体" w:hAnsi="宋体" w:cs="宋体"/>
          <w:color w:val="auto"/>
          <w:lang w:val="en-US" w:eastAsia="zh-CN"/>
        </w:rPr>
        <w:t>1</w:t>
      </w:r>
      <w:r>
        <w:rPr>
          <w:rFonts w:hint="eastAsia" w:ascii="宋体" w:hAnsi="宋体" w:eastAsia="宋体" w:cs="宋体"/>
          <w:lang w:val="en-US" w:eastAsia="zh-CN"/>
        </w:rPr>
        <w:t>、首次响应文件的提交截止时间：2025年4月30日 14:30（北京时间）</w:t>
      </w:r>
    </w:p>
    <w:p w14:paraId="1FA8E397">
      <w:pPr>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2、首次响应文件的开启时间：2025年4月30日14:30 （北京时间）</w:t>
      </w:r>
    </w:p>
    <w:p w14:paraId="704ABCA3">
      <w:pPr>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3、首次响应文件的提交和开启地点：湘潭县农业发展服务中心（地址：湘潭县易俗河镇金桂北路81号四楼会议室）；</w:t>
      </w:r>
    </w:p>
    <w:p w14:paraId="668DED67">
      <w:pPr>
        <w:spacing w:line="480" w:lineRule="exact"/>
        <w:ind w:firstLine="420" w:firstLineChars="200"/>
        <w:rPr>
          <w:rFonts w:hint="eastAsia" w:ascii="宋体" w:hAnsi="宋体" w:eastAsia="宋体" w:cs="宋体"/>
        </w:rPr>
      </w:pPr>
      <w:r>
        <w:rPr>
          <w:rFonts w:hint="eastAsia" w:ascii="宋体" w:hAnsi="宋体" w:eastAsia="宋体" w:cs="宋体"/>
          <w:lang w:val="en-US" w:eastAsia="zh-CN"/>
        </w:rPr>
        <w:t>4、逾期送达或者不按竞争性磋</w:t>
      </w:r>
      <w:r>
        <w:rPr>
          <w:rFonts w:hint="eastAsia" w:ascii="宋体" w:hAnsi="宋体" w:eastAsia="宋体" w:cs="宋体"/>
        </w:rPr>
        <w:t>商文件要求密封或者不按竞争性磋商文件的要求提供投标保证金的响应文件，</w:t>
      </w:r>
      <w:r>
        <w:rPr>
          <w:rFonts w:hint="eastAsia" w:ascii="宋体" w:hAnsi="宋体" w:cs="宋体"/>
          <w:lang w:eastAsia="zh-CN"/>
        </w:rPr>
        <w:t>招标代理机构</w:t>
      </w:r>
      <w:r>
        <w:rPr>
          <w:rFonts w:hint="eastAsia" w:ascii="宋体" w:hAnsi="宋体" w:eastAsia="宋体" w:cs="宋体"/>
        </w:rPr>
        <w:t>将拒绝接收；</w:t>
      </w:r>
    </w:p>
    <w:p w14:paraId="7B816B8D">
      <w:pPr>
        <w:spacing w:line="480" w:lineRule="exact"/>
        <w:ind w:firstLine="420" w:firstLineChars="200"/>
        <w:rPr>
          <w:rFonts w:hint="eastAsia" w:ascii="宋体" w:hAnsi="宋体" w:eastAsia="宋体" w:cs="宋体"/>
        </w:rPr>
      </w:pPr>
      <w:r>
        <w:rPr>
          <w:rFonts w:hint="eastAsia" w:ascii="宋体" w:hAnsi="宋体" w:eastAsia="宋体" w:cs="宋体"/>
        </w:rPr>
        <w:t>5、</w:t>
      </w:r>
      <w:r>
        <w:rPr>
          <w:rFonts w:hint="eastAsia" w:ascii="宋体" w:hAnsi="宋体" w:cs="宋体"/>
          <w:lang w:eastAsia="zh-CN"/>
        </w:rPr>
        <w:t>供应商</w:t>
      </w:r>
      <w:r>
        <w:rPr>
          <w:rFonts w:hint="eastAsia" w:ascii="宋体" w:hAnsi="宋体" w:eastAsia="宋体" w:cs="宋体"/>
        </w:rPr>
        <w:t>的</w:t>
      </w:r>
      <w:r>
        <w:rPr>
          <w:rFonts w:hint="eastAsia" w:ascii="宋体" w:hAnsi="宋体" w:cs="宋体"/>
          <w:lang w:eastAsia="zh-CN"/>
        </w:rPr>
        <w:t>法定代表人（单位负责人）</w:t>
      </w:r>
      <w:r>
        <w:rPr>
          <w:rFonts w:hint="eastAsia" w:ascii="宋体" w:hAnsi="宋体" w:eastAsia="宋体" w:cs="宋体"/>
        </w:rPr>
        <w:t>授权代表到场参加开标会议，并在开标会议现场身份验证时向招标人提交</w:t>
      </w:r>
      <w:r>
        <w:rPr>
          <w:rFonts w:hint="eastAsia" w:ascii="宋体" w:hAnsi="宋体" w:cs="宋体"/>
          <w:lang w:eastAsia="zh-CN"/>
        </w:rPr>
        <w:t>法定代表人（单位负责人）</w:t>
      </w:r>
      <w:r>
        <w:rPr>
          <w:rFonts w:hint="eastAsia" w:ascii="宋体" w:hAnsi="宋体" w:eastAsia="宋体" w:cs="宋体"/>
        </w:rPr>
        <w:t>身份证明文件原件和</w:t>
      </w:r>
      <w:r>
        <w:rPr>
          <w:rFonts w:hint="eastAsia" w:ascii="宋体" w:hAnsi="宋体" w:cs="宋体"/>
          <w:lang w:eastAsia="zh-CN"/>
        </w:rPr>
        <w:t>法定代表人（单位负责人）</w:t>
      </w:r>
      <w:r>
        <w:rPr>
          <w:rFonts w:hint="eastAsia" w:ascii="宋体" w:hAnsi="宋体" w:eastAsia="宋体" w:cs="宋体"/>
        </w:rPr>
        <w:t>授权委托书原件，出示本人身份证原件并签字以证明其出席，否则，投标将被拒绝。</w:t>
      </w:r>
    </w:p>
    <w:p w14:paraId="171FAA2E">
      <w:pPr>
        <w:spacing w:line="480" w:lineRule="exact"/>
        <w:ind w:firstLine="420" w:firstLineChars="200"/>
        <w:rPr>
          <w:rFonts w:hint="eastAsia" w:ascii="宋体" w:hAnsi="宋体" w:eastAsia="宋体" w:cs="宋体"/>
        </w:rPr>
      </w:pPr>
      <w:r>
        <w:rPr>
          <w:rFonts w:hint="eastAsia" w:ascii="宋体" w:hAnsi="宋体" w:cs="宋体"/>
          <w:lang w:val="en-US" w:eastAsia="zh-CN"/>
        </w:rPr>
        <w:t>六</w:t>
      </w:r>
      <w:r>
        <w:rPr>
          <w:rFonts w:hint="eastAsia" w:ascii="宋体" w:hAnsi="宋体" w:eastAsia="宋体" w:cs="宋体"/>
        </w:rPr>
        <w:t>、发布公告的媒介：</w:t>
      </w:r>
    </w:p>
    <w:p w14:paraId="4FC5D8A7">
      <w:pPr>
        <w:spacing w:line="480" w:lineRule="exact"/>
        <w:ind w:firstLine="420" w:firstLineChars="20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湘潭县农业发展服务中心官网</w:t>
      </w:r>
      <w:r>
        <w:rPr>
          <w:rFonts w:hint="eastAsia" w:ascii="宋体" w:hAnsi="宋体" w:eastAsia="宋体" w:cs="宋体"/>
          <w:lang w:eastAsia="zh-CN"/>
        </w:rPr>
        <w:t>》</w:t>
      </w:r>
      <w:r>
        <w:rPr>
          <w:rFonts w:hint="eastAsia" w:ascii="宋体" w:hAnsi="宋体" w:eastAsia="宋体" w:cs="宋体"/>
        </w:rPr>
        <w:t>。</w:t>
      </w:r>
    </w:p>
    <w:p w14:paraId="51B175FF">
      <w:pPr>
        <w:spacing w:line="480" w:lineRule="exact"/>
        <w:ind w:firstLine="420" w:firstLineChars="200"/>
        <w:rPr>
          <w:rFonts w:hint="eastAsia" w:ascii="宋体" w:hAnsi="宋体" w:eastAsia="宋体" w:cs="宋体"/>
        </w:rPr>
      </w:pPr>
      <w:r>
        <w:rPr>
          <w:rFonts w:hint="eastAsia" w:ascii="宋体" w:hAnsi="宋体" w:cs="宋体"/>
          <w:lang w:val="en-US" w:eastAsia="zh-CN"/>
        </w:rPr>
        <w:t>七</w:t>
      </w:r>
      <w:r>
        <w:rPr>
          <w:rFonts w:hint="eastAsia" w:ascii="宋体" w:hAnsi="宋体" w:eastAsia="宋体" w:cs="宋体"/>
        </w:rPr>
        <w:t>、疑问及质疑：</w:t>
      </w:r>
    </w:p>
    <w:p w14:paraId="359A6E59">
      <w:pPr>
        <w:spacing w:line="480" w:lineRule="exact"/>
        <w:ind w:firstLine="420" w:firstLineChars="200"/>
        <w:rPr>
          <w:rFonts w:hint="eastAsia" w:ascii="宋体" w:hAnsi="宋体" w:eastAsia="宋体" w:cs="宋体"/>
        </w:rPr>
      </w:pPr>
      <w:r>
        <w:rPr>
          <w:rFonts w:hint="eastAsia" w:ascii="宋体" w:hAnsi="宋体" w:eastAsia="宋体" w:cs="宋体"/>
        </w:rPr>
        <w:t>1、潜在</w:t>
      </w:r>
      <w:r>
        <w:rPr>
          <w:rFonts w:hint="eastAsia" w:ascii="宋体" w:hAnsi="宋体" w:cs="宋体"/>
          <w:lang w:eastAsia="zh-CN"/>
        </w:rPr>
        <w:t>供应商</w:t>
      </w:r>
      <w:r>
        <w:rPr>
          <w:rFonts w:hint="eastAsia" w:ascii="宋体" w:hAnsi="宋体" w:eastAsia="宋体" w:cs="宋体"/>
        </w:rPr>
        <w:t>对采购活动事项如有疑问的，可以向招标人或</w:t>
      </w:r>
      <w:r>
        <w:rPr>
          <w:rFonts w:hint="eastAsia" w:ascii="宋体" w:hAnsi="宋体" w:cs="宋体"/>
          <w:lang w:eastAsia="zh-CN"/>
        </w:rPr>
        <w:t>招标代理机构</w:t>
      </w:r>
      <w:r>
        <w:rPr>
          <w:rFonts w:hint="eastAsia" w:ascii="宋体" w:hAnsi="宋体" w:eastAsia="宋体" w:cs="宋体"/>
        </w:rPr>
        <w:t>提出询问。招标人或</w:t>
      </w:r>
      <w:r>
        <w:rPr>
          <w:rFonts w:hint="eastAsia" w:ascii="宋体" w:hAnsi="宋体" w:cs="宋体"/>
          <w:lang w:eastAsia="zh-CN"/>
        </w:rPr>
        <w:t>招标代理机构</w:t>
      </w:r>
      <w:r>
        <w:rPr>
          <w:rFonts w:hint="eastAsia" w:ascii="宋体" w:hAnsi="宋体" w:eastAsia="宋体" w:cs="宋体"/>
        </w:rPr>
        <w:t>将在3个工作日内作出答复。</w:t>
      </w:r>
    </w:p>
    <w:p w14:paraId="1050811E">
      <w:pPr>
        <w:spacing w:line="480" w:lineRule="exact"/>
        <w:ind w:firstLine="420" w:firstLineChars="200"/>
        <w:rPr>
          <w:rFonts w:hint="eastAsia" w:ascii="宋体" w:hAnsi="宋体" w:eastAsia="宋体" w:cs="宋体"/>
        </w:rPr>
      </w:pPr>
      <w:r>
        <w:rPr>
          <w:rFonts w:hint="eastAsia" w:ascii="宋体" w:hAnsi="宋体" w:eastAsia="宋体" w:cs="宋体"/>
        </w:rPr>
        <w:t>2、潜在</w:t>
      </w:r>
      <w:r>
        <w:rPr>
          <w:rFonts w:hint="eastAsia" w:ascii="宋体" w:hAnsi="宋体" w:cs="宋体"/>
          <w:lang w:eastAsia="zh-CN"/>
        </w:rPr>
        <w:t>供应商</w:t>
      </w:r>
      <w:r>
        <w:rPr>
          <w:rFonts w:hint="eastAsia" w:ascii="宋体" w:hAnsi="宋体" w:eastAsia="宋体" w:cs="宋体"/>
        </w:rPr>
        <w:t>认为磋商文件或</w:t>
      </w:r>
      <w:r>
        <w:rPr>
          <w:rFonts w:hint="eastAsia" w:ascii="宋体" w:hAnsi="宋体" w:eastAsia="宋体" w:cs="宋体"/>
          <w:lang w:eastAsia="zh-CN"/>
        </w:rPr>
        <w:t>磋商公告</w:t>
      </w:r>
      <w:r>
        <w:rPr>
          <w:rFonts w:hint="eastAsia" w:ascii="宋体" w:hAnsi="宋体" w:eastAsia="宋体" w:cs="宋体"/>
        </w:rPr>
        <w:t>使自己的合法权益受到损害的，可以在收到磋商文件之日或</w:t>
      </w:r>
      <w:r>
        <w:rPr>
          <w:rFonts w:hint="eastAsia" w:ascii="宋体" w:hAnsi="宋体" w:eastAsia="宋体" w:cs="宋体"/>
          <w:lang w:eastAsia="zh-CN"/>
        </w:rPr>
        <w:t>磋商公告</w:t>
      </w:r>
      <w:r>
        <w:rPr>
          <w:rFonts w:hint="eastAsia" w:ascii="宋体" w:hAnsi="宋体" w:eastAsia="宋体" w:cs="宋体"/>
        </w:rPr>
        <w:t>期限届满之日起7个工作日内，以书面形式向招标人、</w:t>
      </w:r>
      <w:r>
        <w:rPr>
          <w:rFonts w:hint="eastAsia" w:ascii="宋体" w:hAnsi="宋体" w:cs="宋体"/>
          <w:lang w:eastAsia="zh-CN"/>
        </w:rPr>
        <w:t>招标代理机构</w:t>
      </w:r>
      <w:r>
        <w:rPr>
          <w:rFonts w:hint="eastAsia" w:ascii="宋体" w:hAnsi="宋体" w:eastAsia="宋体" w:cs="宋体"/>
        </w:rPr>
        <w:t>提出质疑。</w:t>
      </w:r>
    </w:p>
    <w:p w14:paraId="35AB5F1B">
      <w:pPr>
        <w:spacing w:line="480" w:lineRule="exact"/>
        <w:ind w:firstLine="420" w:firstLineChars="200"/>
        <w:rPr>
          <w:rFonts w:hint="eastAsia" w:ascii="宋体" w:hAnsi="宋体" w:eastAsia="宋体" w:cs="宋体"/>
        </w:rPr>
      </w:pPr>
      <w:r>
        <w:rPr>
          <w:rFonts w:hint="eastAsia" w:ascii="宋体" w:hAnsi="宋体" w:cs="宋体"/>
          <w:lang w:val="en-US" w:eastAsia="zh-CN"/>
        </w:rPr>
        <w:t>八</w:t>
      </w:r>
      <w:r>
        <w:rPr>
          <w:rFonts w:hint="eastAsia" w:ascii="宋体" w:hAnsi="宋体" w:eastAsia="宋体" w:cs="宋体"/>
        </w:rPr>
        <w:t>、联系方式</w:t>
      </w:r>
    </w:p>
    <w:p w14:paraId="7584C2F9">
      <w:pPr>
        <w:spacing w:line="480" w:lineRule="exact"/>
        <w:ind w:firstLine="420" w:firstLineChars="200"/>
        <w:rPr>
          <w:rFonts w:hint="eastAsia" w:ascii="宋体" w:hAnsi="宋体" w:eastAsia="宋体" w:cs="宋体"/>
          <w:lang w:eastAsia="zh-CN"/>
        </w:rPr>
      </w:pPr>
      <w:r>
        <w:rPr>
          <w:rFonts w:hint="eastAsia" w:ascii="宋体" w:hAnsi="宋体" w:eastAsia="宋体" w:cs="宋体"/>
        </w:rPr>
        <w:t>1、</w:t>
      </w:r>
      <w:r>
        <w:rPr>
          <w:rFonts w:hint="eastAsia" w:ascii="宋体" w:hAnsi="宋体" w:cs="宋体"/>
          <w:lang w:eastAsia="zh-CN"/>
        </w:rPr>
        <w:t>招标项目</w:t>
      </w:r>
    </w:p>
    <w:p w14:paraId="20743B27">
      <w:pPr>
        <w:spacing w:line="480" w:lineRule="exact"/>
        <w:ind w:firstLine="420" w:firstLineChars="200"/>
        <w:rPr>
          <w:rFonts w:hint="default" w:ascii="宋体" w:hAnsi="宋体" w:eastAsia="宋体" w:cs="宋体"/>
          <w:lang w:val="en-US" w:eastAsia="zh-CN"/>
        </w:rPr>
      </w:pPr>
      <w:r>
        <w:rPr>
          <w:rFonts w:hint="eastAsia" w:ascii="宋体" w:hAnsi="宋体" w:eastAsia="宋体" w:cs="宋体"/>
        </w:rPr>
        <w:t>联系人姓名：</w:t>
      </w:r>
      <w:r>
        <w:rPr>
          <w:rFonts w:hint="eastAsia" w:ascii="宋体" w:hAnsi="宋体" w:cs="宋体"/>
          <w:lang w:eastAsia="zh-CN"/>
        </w:rPr>
        <w:t>王女士</w:t>
      </w:r>
      <w:r>
        <w:rPr>
          <w:rFonts w:hint="eastAsia" w:ascii="宋体" w:hAnsi="宋体" w:eastAsia="宋体" w:cs="宋体"/>
        </w:rPr>
        <w:t xml:space="preserve">   电 话：</w:t>
      </w:r>
      <w:r>
        <w:rPr>
          <w:rFonts w:hint="eastAsia" w:ascii="宋体" w:hAnsi="宋体" w:cs="宋体"/>
          <w:lang w:val="en-US" w:eastAsia="zh-CN"/>
        </w:rPr>
        <w:t>0731-85770482</w:t>
      </w:r>
    </w:p>
    <w:p w14:paraId="5FD50138">
      <w:pPr>
        <w:spacing w:line="480" w:lineRule="exact"/>
        <w:ind w:firstLine="420" w:firstLineChars="200"/>
        <w:rPr>
          <w:rFonts w:hint="eastAsia" w:ascii="宋体" w:hAnsi="宋体" w:eastAsia="宋体" w:cs="宋体"/>
        </w:rPr>
      </w:pPr>
      <w:r>
        <w:rPr>
          <w:rFonts w:hint="eastAsia" w:ascii="宋体" w:hAnsi="宋体" w:eastAsia="宋体" w:cs="宋体"/>
        </w:rPr>
        <w:t>2、招标人</w:t>
      </w:r>
    </w:p>
    <w:p w14:paraId="3ADC9D12">
      <w:pPr>
        <w:spacing w:line="480" w:lineRule="exact"/>
        <w:ind w:firstLine="420" w:firstLineChars="200"/>
        <w:rPr>
          <w:rFonts w:hint="eastAsia" w:ascii="宋体" w:hAnsi="宋体" w:eastAsia="宋体" w:cs="宋体"/>
          <w:lang w:eastAsia="zh-CN"/>
        </w:rPr>
      </w:pPr>
      <w:r>
        <w:rPr>
          <w:rFonts w:hint="eastAsia" w:ascii="宋体" w:hAnsi="宋体" w:cs="宋体"/>
          <w:lang w:eastAsia="zh-CN"/>
        </w:rPr>
        <w:t>招标人</w:t>
      </w:r>
      <w:r>
        <w:rPr>
          <w:rFonts w:hint="eastAsia" w:ascii="宋体" w:hAnsi="宋体" w:eastAsia="宋体" w:cs="宋体"/>
        </w:rPr>
        <w:t>：</w:t>
      </w:r>
      <w:r>
        <w:rPr>
          <w:rFonts w:hint="eastAsia" w:ascii="宋体" w:hAnsi="宋体" w:eastAsia="宋体" w:cs="宋体"/>
          <w:lang w:eastAsia="zh-CN"/>
        </w:rPr>
        <w:t>湘潭县农业发展服务中心</w:t>
      </w:r>
    </w:p>
    <w:p w14:paraId="2CB0BF72">
      <w:pPr>
        <w:spacing w:line="480" w:lineRule="exact"/>
        <w:ind w:firstLine="420" w:firstLineChars="200"/>
        <w:rPr>
          <w:rFonts w:hint="eastAsia" w:ascii="宋体" w:hAnsi="宋体" w:eastAsia="宋体" w:cs="宋体"/>
          <w:lang w:eastAsia="zh-CN"/>
        </w:rPr>
      </w:pPr>
      <w:r>
        <w:rPr>
          <w:rFonts w:hint="eastAsia" w:ascii="宋体" w:hAnsi="宋体" w:eastAsia="宋体" w:cs="宋体"/>
        </w:rPr>
        <w:t>地  址：</w:t>
      </w:r>
      <w:r>
        <w:rPr>
          <w:rFonts w:hint="eastAsia" w:ascii="宋体" w:hAnsi="宋体" w:eastAsia="宋体" w:cs="宋体"/>
          <w:lang w:eastAsia="zh-CN"/>
        </w:rPr>
        <w:t>湘潭县易俗河镇金桂北路81号</w:t>
      </w:r>
    </w:p>
    <w:p w14:paraId="19CCFBAE">
      <w:pPr>
        <w:spacing w:line="480" w:lineRule="exact"/>
        <w:ind w:firstLine="420" w:firstLineChars="200"/>
        <w:rPr>
          <w:rFonts w:hint="eastAsia" w:ascii="宋体" w:hAnsi="宋体" w:eastAsia="宋体" w:cs="宋体"/>
          <w:lang w:eastAsia="zh-CN"/>
        </w:rPr>
      </w:pPr>
      <w:r>
        <w:rPr>
          <w:rFonts w:hint="eastAsia" w:ascii="宋体" w:hAnsi="宋体" w:eastAsia="宋体" w:cs="宋体"/>
        </w:rPr>
        <w:t>联系人：</w:t>
      </w:r>
      <w:r>
        <w:rPr>
          <w:rFonts w:hint="eastAsia" w:ascii="宋体" w:hAnsi="宋体" w:eastAsia="宋体" w:cs="宋体"/>
          <w:lang w:eastAsia="zh-CN"/>
        </w:rPr>
        <w:t>周先生</w:t>
      </w:r>
    </w:p>
    <w:p w14:paraId="4E2DB8BB">
      <w:pPr>
        <w:spacing w:line="480" w:lineRule="exact"/>
        <w:ind w:firstLine="420" w:firstLineChars="200"/>
        <w:rPr>
          <w:rFonts w:hint="eastAsia" w:ascii="宋体" w:hAnsi="宋体" w:eastAsia="宋体" w:cs="宋体"/>
        </w:rPr>
      </w:pPr>
      <w:r>
        <w:rPr>
          <w:rFonts w:hint="eastAsia" w:ascii="宋体" w:hAnsi="宋体" w:eastAsia="宋体" w:cs="宋体"/>
        </w:rPr>
        <w:t>电</w:t>
      </w:r>
      <w:r>
        <w:rPr>
          <w:rFonts w:hint="eastAsia" w:ascii="宋体" w:hAnsi="宋体" w:cs="宋体"/>
          <w:lang w:val="en-US" w:eastAsia="zh-CN"/>
        </w:rPr>
        <w:t xml:space="preserve"> </w:t>
      </w:r>
      <w:r>
        <w:rPr>
          <w:rFonts w:hint="eastAsia" w:ascii="宋体" w:hAnsi="宋体" w:eastAsia="宋体" w:cs="宋体"/>
          <w:lang w:val="en-US" w:eastAsia="zh-CN"/>
        </w:rPr>
        <w:t xml:space="preserve"> </w:t>
      </w:r>
      <w:r>
        <w:rPr>
          <w:rFonts w:hint="eastAsia" w:ascii="宋体" w:hAnsi="宋体" w:eastAsia="宋体" w:cs="宋体"/>
        </w:rPr>
        <w:t>话：0731-57820883</w:t>
      </w:r>
    </w:p>
    <w:p w14:paraId="501C8A59">
      <w:pPr>
        <w:spacing w:line="480" w:lineRule="exact"/>
        <w:ind w:firstLine="420" w:firstLineChars="200"/>
        <w:rPr>
          <w:rFonts w:hint="eastAsia" w:ascii="宋体" w:hAnsi="宋体" w:cs="宋体"/>
          <w:lang w:eastAsia="zh-CN"/>
        </w:rPr>
      </w:pPr>
      <w:r>
        <w:rPr>
          <w:rFonts w:hint="eastAsia" w:ascii="宋体" w:hAnsi="宋体" w:eastAsia="宋体" w:cs="宋体"/>
        </w:rPr>
        <w:t>3、</w:t>
      </w:r>
      <w:r>
        <w:rPr>
          <w:rFonts w:hint="eastAsia" w:ascii="宋体" w:hAnsi="宋体" w:cs="宋体"/>
          <w:lang w:eastAsia="zh-CN"/>
        </w:rPr>
        <w:t>招标代理机构</w:t>
      </w:r>
    </w:p>
    <w:p w14:paraId="2A47BFB9">
      <w:pPr>
        <w:spacing w:line="480" w:lineRule="exact"/>
        <w:ind w:firstLine="420" w:firstLineChars="200"/>
        <w:rPr>
          <w:rFonts w:hint="eastAsia" w:ascii="宋体" w:hAnsi="宋体" w:cs="宋体"/>
          <w:lang w:eastAsia="zh-CN"/>
        </w:rPr>
      </w:pPr>
      <w:r>
        <w:rPr>
          <w:rFonts w:hint="eastAsia" w:ascii="宋体" w:hAnsi="宋体" w:cs="宋体"/>
          <w:lang w:eastAsia="zh-CN"/>
        </w:rPr>
        <w:t>招标代理机构</w:t>
      </w:r>
      <w:r>
        <w:rPr>
          <w:rFonts w:hint="eastAsia" w:ascii="宋体" w:hAnsi="宋体" w:eastAsia="宋体" w:cs="宋体"/>
        </w:rPr>
        <w:t>：</w:t>
      </w:r>
      <w:r>
        <w:rPr>
          <w:rFonts w:hint="eastAsia" w:ascii="宋体" w:hAnsi="宋体" w:eastAsia="宋体" w:cs="宋体"/>
          <w:lang w:eastAsia="zh-CN"/>
        </w:rPr>
        <w:t xml:space="preserve"> </w:t>
      </w:r>
      <w:r>
        <w:rPr>
          <w:rFonts w:hint="eastAsia" w:ascii="宋体" w:hAnsi="宋体" w:cs="宋体"/>
          <w:lang w:eastAsia="zh-CN"/>
        </w:rPr>
        <w:t>湖南长顺项目管理有限公司</w:t>
      </w:r>
    </w:p>
    <w:p w14:paraId="66AC08B0">
      <w:pPr>
        <w:spacing w:line="480" w:lineRule="exact"/>
        <w:ind w:firstLine="420" w:firstLineChars="200"/>
        <w:rPr>
          <w:rFonts w:hint="eastAsia" w:ascii="宋体" w:hAnsi="宋体" w:cs="宋体"/>
          <w:lang w:eastAsia="zh-CN"/>
        </w:rPr>
      </w:pPr>
      <w:r>
        <w:rPr>
          <w:rFonts w:hint="eastAsia" w:ascii="宋体" w:hAnsi="宋体" w:eastAsia="宋体" w:cs="宋体"/>
        </w:rPr>
        <w:t>地 址：</w:t>
      </w:r>
      <w:r>
        <w:rPr>
          <w:rFonts w:hint="eastAsia" w:ascii="宋体" w:hAnsi="宋体" w:cs="宋体"/>
          <w:lang w:eastAsia="zh-CN"/>
        </w:rPr>
        <w:t>长沙市雨花区新兴路268号</w:t>
      </w:r>
    </w:p>
    <w:p w14:paraId="72891964">
      <w:pPr>
        <w:spacing w:line="480" w:lineRule="exact"/>
        <w:ind w:firstLine="420" w:firstLineChars="200"/>
        <w:rPr>
          <w:rFonts w:hint="eastAsia" w:ascii="宋体" w:hAnsi="宋体" w:cs="宋体"/>
          <w:lang w:eastAsia="zh-CN"/>
        </w:rPr>
      </w:pPr>
      <w:r>
        <w:rPr>
          <w:rFonts w:hint="eastAsia" w:ascii="宋体" w:hAnsi="宋体" w:eastAsia="宋体" w:cs="宋体"/>
        </w:rPr>
        <w:t>联系人：</w:t>
      </w:r>
      <w:r>
        <w:rPr>
          <w:rFonts w:hint="eastAsia" w:ascii="宋体" w:hAnsi="宋体" w:cs="宋体"/>
          <w:lang w:eastAsia="zh-CN"/>
        </w:rPr>
        <w:t>王女士</w:t>
      </w:r>
    </w:p>
    <w:p w14:paraId="51130308">
      <w:pPr>
        <w:spacing w:line="480" w:lineRule="exact"/>
        <w:ind w:firstLine="420" w:firstLineChars="200"/>
        <w:rPr>
          <w:rFonts w:hint="eastAsia" w:ascii="宋体" w:hAnsi="宋体" w:cs="宋体"/>
          <w:szCs w:val="21"/>
        </w:rPr>
      </w:pPr>
      <w:r>
        <w:rPr>
          <w:rFonts w:hint="eastAsia" w:ascii="宋体" w:hAnsi="宋体" w:eastAsia="宋体" w:cs="宋体"/>
        </w:rPr>
        <w:t xml:space="preserve">电 </w:t>
      </w:r>
      <w:r>
        <w:rPr>
          <w:rFonts w:hint="eastAsia" w:ascii="宋体" w:hAnsi="宋体" w:eastAsia="宋体" w:cs="宋体"/>
          <w:lang w:val="en-US" w:eastAsia="zh-CN"/>
        </w:rPr>
        <w:t xml:space="preserve"> </w:t>
      </w:r>
      <w:r>
        <w:rPr>
          <w:rFonts w:hint="eastAsia" w:ascii="宋体" w:hAnsi="宋体" w:eastAsia="宋体" w:cs="宋体"/>
        </w:rPr>
        <w:t>话：</w:t>
      </w:r>
      <w:r>
        <w:rPr>
          <w:rFonts w:hint="eastAsia" w:ascii="宋体" w:hAnsi="宋体" w:cs="宋体"/>
          <w:lang w:val="en-US" w:eastAsia="zh-CN"/>
        </w:rPr>
        <w:t>0731-85770482</w:t>
      </w:r>
    </w:p>
    <w:p w14:paraId="73C740D2">
      <w:pPr>
        <w:spacing w:line="480" w:lineRule="exact"/>
        <w:ind w:firstLine="420" w:firstLineChars="200"/>
        <w:rPr>
          <w:rFonts w:hint="eastAsia" w:ascii="宋体" w:hAnsi="宋体" w:eastAsia="宋体" w:cs="宋体"/>
        </w:rPr>
      </w:pPr>
    </w:p>
    <w:p w14:paraId="6B4D933D">
      <w:pPr>
        <w:pStyle w:val="3"/>
        <w:rPr>
          <w:rFonts w:hint="eastAsia" w:ascii="宋体" w:hAnsi="宋体" w:eastAsia="宋体" w:cs="宋体"/>
          <w:b/>
          <w:bCs/>
          <w:kern w:val="2"/>
          <w:sz w:val="32"/>
          <w:szCs w:val="22"/>
          <w:lang w:val="en-US" w:eastAsia="zh-CN" w:bidi="ar-SA"/>
        </w:rPr>
      </w:pPr>
      <w:r>
        <w:rPr>
          <w:rFonts w:hint="eastAsia" w:ascii="宋体" w:hAnsi="宋体" w:eastAsia="宋体" w:cs="宋体"/>
          <w:b/>
          <w:sz w:val="30"/>
          <w:szCs w:val="30"/>
        </w:rPr>
        <w:br w:type="page"/>
      </w:r>
      <w:bookmarkStart w:id="4" w:name="_Toc14558"/>
      <w:r>
        <w:rPr>
          <w:rFonts w:hint="eastAsia" w:ascii="宋体" w:hAnsi="宋体" w:eastAsia="宋体" w:cs="宋体"/>
          <w:sz w:val="32"/>
          <w:szCs w:val="22"/>
          <w:lang w:val="en-US" w:eastAsia="zh-CN"/>
        </w:rPr>
        <w:t>第二章</w:t>
      </w:r>
      <w:r>
        <w:rPr>
          <w:rFonts w:hint="eastAsia" w:ascii="宋体" w:hAnsi="宋体" w:eastAsia="宋体" w:cs="宋体"/>
          <w:sz w:val="32"/>
          <w:szCs w:val="22"/>
        </w:rPr>
        <w:t xml:space="preserve">  </w:t>
      </w:r>
      <w:r>
        <w:rPr>
          <w:rFonts w:hint="eastAsia" w:ascii="宋体" w:hAnsi="宋体" w:eastAsia="宋体" w:cs="宋体"/>
          <w:sz w:val="32"/>
          <w:szCs w:val="22"/>
          <w:lang w:val="en-US" w:eastAsia="zh-CN"/>
        </w:rPr>
        <w:t>磋商须知</w:t>
      </w:r>
      <w:bookmarkEnd w:id="2"/>
      <w:bookmarkEnd w:id="3"/>
      <w:bookmarkEnd w:id="4"/>
    </w:p>
    <w:p w14:paraId="49CFFE03">
      <w:pPr>
        <w:pStyle w:val="26"/>
        <w:spacing w:line="720" w:lineRule="auto"/>
        <w:jc w:val="center"/>
        <w:outlineLvl w:val="1"/>
        <w:rPr>
          <w:rFonts w:hint="eastAsia" w:ascii="宋体" w:hAnsi="宋体" w:eastAsia="宋体" w:cs="宋体"/>
          <w:b/>
          <w:sz w:val="30"/>
          <w:szCs w:val="30"/>
        </w:rPr>
      </w:pPr>
      <w:bookmarkStart w:id="5" w:name="_Toc11933131"/>
      <w:bookmarkStart w:id="6" w:name="_Toc2634"/>
      <w:bookmarkStart w:id="7" w:name="_Toc30642"/>
      <w:r>
        <w:rPr>
          <w:rFonts w:hint="eastAsia" w:ascii="宋体" w:hAnsi="宋体" w:eastAsia="宋体" w:cs="宋体"/>
          <w:b/>
          <w:sz w:val="30"/>
          <w:szCs w:val="30"/>
        </w:rPr>
        <w:t>磋商须知前附表</w:t>
      </w:r>
      <w:bookmarkEnd w:id="5"/>
      <w:bookmarkEnd w:id="6"/>
      <w:bookmarkEnd w:id="7"/>
    </w:p>
    <w:tbl>
      <w:tblPr>
        <w:tblStyle w:val="48"/>
        <w:tblW w:w="9696"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5"/>
        <w:gridCol w:w="1776"/>
        <w:gridCol w:w="6725"/>
      </w:tblGrid>
      <w:tr w14:paraId="176E53B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blHeader/>
          <w:jc w:val="center"/>
        </w:trPr>
        <w:tc>
          <w:tcPr>
            <w:tcW w:w="1195" w:type="dxa"/>
            <w:noWrap/>
            <w:vAlign w:val="center"/>
          </w:tcPr>
          <w:p w14:paraId="70292A76">
            <w:pPr>
              <w:wordWrap w:val="0"/>
              <w:adjustRightInd w:val="0"/>
              <w:snapToGrid w:val="0"/>
              <w:jc w:val="center"/>
              <w:rPr>
                <w:rFonts w:hint="eastAsia" w:ascii="宋体" w:hAnsi="宋体" w:eastAsia="宋体" w:cs="宋体"/>
                <w:b/>
                <w:szCs w:val="21"/>
              </w:rPr>
            </w:pPr>
            <w:r>
              <w:rPr>
                <w:rFonts w:hint="eastAsia" w:ascii="宋体" w:hAnsi="宋体" w:eastAsia="宋体" w:cs="宋体"/>
                <w:b/>
                <w:szCs w:val="21"/>
              </w:rPr>
              <w:t>条款号</w:t>
            </w:r>
          </w:p>
        </w:tc>
        <w:tc>
          <w:tcPr>
            <w:tcW w:w="1776" w:type="dxa"/>
            <w:noWrap/>
            <w:vAlign w:val="center"/>
          </w:tcPr>
          <w:p w14:paraId="18296642">
            <w:pPr>
              <w:wordWrap w:val="0"/>
              <w:adjustRightInd w:val="0"/>
              <w:snapToGrid w:val="0"/>
              <w:jc w:val="center"/>
              <w:rPr>
                <w:rFonts w:hint="eastAsia" w:ascii="宋体" w:hAnsi="宋体" w:eastAsia="宋体" w:cs="宋体"/>
                <w:b/>
                <w:szCs w:val="21"/>
              </w:rPr>
            </w:pPr>
            <w:r>
              <w:rPr>
                <w:rFonts w:hint="eastAsia" w:ascii="宋体" w:hAnsi="宋体" w:eastAsia="宋体" w:cs="宋体"/>
                <w:b/>
                <w:szCs w:val="21"/>
              </w:rPr>
              <w:t>条款名称</w:t>
            </w:r>
          </w:p>
        </w:tc>
        <w:tc>
          <w:tcPr>
            <w:tcW w:w="6725" w:type="dxa"/>
            <w:noWrap/>
            <w:vAlign w:val="center"/>
          </w:tcPr>
          <w:p w14:paraId="54A40B9F">
            <w:pPr>
              <w:wordWrap w:val="0"/>
              <w:adjustRightInd w:val="0"/>
              <w:snapToGrid w:val="0"/>
              <w:jc w:val="center"/>
              <w:rPr>
                <w:rFonts w:hint="eastAsia" w:ascii="宋体" w:hAnsi="宋体" w:eastAsia="宋体" w:cs="宋体"/>
                <w:b/>
                <w:szCs w:val="21"/>
              </w:rPr>
            </w:pPr>
            <w:r>
              <w:rPr>
                <w:rFonts w:hint="eastAsia" w:ascii="宋体" w:hAnsi="宋体" w:eastAsia="宋体" w:cs="宋体"/>
                <w:b/>
                <w:szCs w:val="21"/>
              </w:rPr>
              <w:t>编列内容规定</w:t>
            </w:r>
          </w:p>
        </w:tc>
      </w:tr>
      <w:tr w14:paraId="15FBD2B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9696" w:type="dxa"/>
            <w:gridSpan w:val="3"/>
            <w:noWrap/>
            <w:vAlign w:val="center"/>
          </w:tcPr>
          <w:p w14:paraId="1B127137">
            <w:pPr>
              <w:wordWrap w:val="0"/>
              <w:adjustRightInd w:val="0"/>
              <w:snapToGrid w:val="0"/>
              <w:rPr>
                <w:rFonts w:hint="eastAsia" w:ascii="宋体" w:hAnsi="宋体" w:eastAsia="宋体" w:cs="宋体"/>
                <w:szCs w:val="21"/>
              </w:rPr>
            </w:pPr>
            <w:r>
              <w:rPr>
                <w:rFonts w:hint="eastAsia" w:ascii="宋体" w:hAnsi="宋体" w:eastAsia="宋体" w:cs="宋体"/>
                <w:b/>
                <w:szCs w:val="21"/>
              </w:rPr>
              <w:t>一、说明</w:t>
            </w:r>
          </w:p>
        </w:tc>
      </w:tr>
      <w:tr w14:paraId="600C87D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38" w:hRule="atLeast"/>
          <w:jc w:val="center"/>
        </w:trPr>
        <w:tc>
          <w:tcPr>
            <w:tcW w:w="1195" w:type="dxa"/>
            <w:noWrap/>
            <w:vAlign w:val="center"/>
          </w:tcPr>
          <w:p w14:paraId="7BF3BB0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61720EC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第1.1款</w:t>
            </w:r>
          </w:p>
        </w:tc>
        <w:tc>
          <w:tcPr>
            <w:tcW w:w="1776" w:type="dxa"/>
            <w:noWrap/>
            <w:vAlign w:val="center"/>
          </w:tcPr>
          <w:p w14:paraId="4588659A">
            <w:pPr>
              <w:wordWrap w:val="0"/>
              <w:adjustRightInd w:val="0"/>
              <w:snapToGrid w:val="0"/>
              <w:jc w:val="center"/>
              <w:rPr>
                <w:rFonts w:hint="eastAsia" w:ascii="宋体" w:hAnsi="宋体" w:eastAsia="宋体" w:cs="宋体"/>
                <w:szCs w:val="21"/>
                <w:lang w:eastAsia="zh-CN"/>
              </w:rPr>
            </w:pPr>
            <w:r>
              <w:rPr>
                <w:rFonts w:hint="eastAsia" w:ascii="宋体" w:hAnsi="宋体" w:cs="宋体"/>
                <w:szCs w:val="21"/>
                <w:lang w:eastAsia="zh-CN"/>
              </w:rPr>
              <w:t>招标项目</w:t>
            </w:r>
          </w:p>
        </w:tc>
        <w:tc>
          <w:tcPr>
            <w:tcW w:w="6725" w:type="dxa"/>
            <w:noWrap/>
            <w:vAlign w:val="center"/>
          </w:tcPr>
          <w:p w14:paraId="7501AB1D">
            <w:pPr>
              <w:wordWrap w:val="0"/>
              <w:adjustRightInd w:val="0"/>
              <w:snapToGrid w:val="0"/>
              <w:rPr>
                <w:rFonts w:hint="eastAsia" w:ascii="宋体" w:hAnsi="宋体" w:eastAsia="宋体" w:cs="宋体"/>
                <w:szCs w:val="21"/>
                <w:lang w:eastAsia="zh-CN"/>
              </w:rPr>
            </w:pPr>
            <w:r>
              <w:rPr>
                <w:rFonts w:hint="eastAsia" w:ascii="宋体" w:hAnsi="宋体" w:cs="宋体"/>
                <w:szCs w:val="21"/>
                <w:lang w:eastAsia="zh-CN"/>
              </w:rPr>
              <w:t>湘潭县2024年高标准农田建设项目初步验收第三方技术服务单位遴选</w:t>
            </w:r>
          </w:p>
        </w:tc>
      </w:tr>
      <w:tr w14:paraId="1F9ECD8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5" w:hRule="atLeast"/>
          <w:jc w:val="center"/>
        </w:trPr>
        <w:tc>
          <w:tcPr>
            <w:tcW w:w="1195" w:type="dxa"/>
            <w:noWrap/>
            <w:vAlign w:val="center"/>
          </w:tcPr>
          <w:p w14:paraId="1D26735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7EC5211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第2.1款</w:t>
            </w:r>
          </w:p>
        </w:tc>
        <w:tc>
          <w:tcPr>
            <w:tcW w:w="1776" w:type="dxa"/>
            <w:noWrap/>
            <w:vAlign w:val="center"/>
          </w:tcPr>
          <w:p w14:paraId="1AD244A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招标人</w:t>
            </w:r>
          </w:p>
        </w:tc>
        <w:tc>
          <w:tcPr>
            <w:tcW w:w="6725" w:type="dxa"/>
            <w:noWrap/>
            <w:vAlign w:val="center"/>
          </w:tcPr>
          <w:p w14:paraId="233E23D5">
            <w:pPr>
              <w:wordWrap w:val="0"/>
              <w:adjustRightInd w:val="0"/>
              <w:snapToGrid w:val="0"/>
              <w:spacing w:line="360" w:lineRule="auto"/>
              <w:rPr>
                <w:rFonts w:hint="eastAsia" w:ascii="宋体" w:hAnsi="宋体" w:eastAsia="宋体" w:cs="宋体"/>
                <w:szCs w:val="21"/>
                <w:lang w:eastAsia="zh-CN"/>
              </w:rPr>
            </w:pPr>
            <w:r>
              <w:rPr>
                <w:rFonts w:hint="eastAsia" w:ascii="宋体" w:hAnsi="宋体" w:cs="宋体"/>
                <w:lang w:eastAsia="zh-CN"/>
              </w:rPr>
              <w:t>招标人</w:t>
            </w:r>
            <w:r>
              <w:rPr>
                <w:rFonts w:hint="eastAsia" w:ascii="宋体" w:hAnsi="宋体" w:eastAsia="宋体" w:cs="宋体"/>
                <w:szCs w:val="21"/>
              </w:rPr>
              <w:t>：</w:t>
            </w:r>
            <w:r>
              <w:rPr>
                <w:rFonts w:hint="eastAsia" w:ascii="宋体" w:hAnsi="宋体" w:eastAsia="宋体" w:cs="宋体"/>
                <w:szCs w:val="21"/>
                <w:lang w:eastAsia="zh-CN"/>
              </w:rPr>
              <w:t>湘潭县农业发展服务中心</w:t>
            </w:r>
          </w:p>
          <w:p w14:paraId="309BE0B9">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lang w:eastAsia="zh-CN"/>
              </w:rPr>
              <w:t>地址：湘潭县易俗河镇金桂北路81号</w:t>
            </w:r>
          </w:p>
          <w:p w14:paraId="5DBAD060">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lang w:eastAsia="zh-CN"/>
              </w:rPr>
              <w:t>联系人：周先生</w:t>
            </w:r>
          </w:p>
          <w:p w14:paraId="4BD24188">
            <w:pPr>
              <w:wordWrap w:val="0"/>
              <w:adjustRightInd w:val="0"/>
              <w:snapToGrid w:val="0"/>
              <w:spacing w:line="360" w:lineRule="auto"/>
              <w:rPr>
                <w:rFonts w:hint="eastAsia"/>
                <w:lang w:eastAsia="zh-CN"/>
              </w:rPr>
            </w:pPr>
            <w:r>
              <w:rPr>
                <w:rFonts w:hint="eastAsia" w:ascii="宋体" w:hAnsi="宋体" w:eastAsia="宋体" w:cs="宋体"/>
                <w:szCs w:val="21"/>
                <w:lang w:eastAsia="zh-CN"/>
              </w:rPr>
              <w:t>电话</w:t>
            </w:r>
            <w:r>
              <w:rPr>
                <w:rFonts w:hint="eastAsia" w:ascii="宋体" w:hAnsi="宋体" w:cs="宋体"/>
                <w:szCs w:val="21"/>
                <w:lang w:eastAsia="zh-CN"/>
              </w:rPr>
              <w:t>：0731-57820883</w:t>
            </w:r>
          </w:p>
        </w:tc>
      </w:tr>
      <w:tr w14:paraId="56F6088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95" w:type="dxa"/>
            <w:noWrap/>
            <w:vAlign w:val="center"/>
          </w:tcPr>
          <w:p w14:paraId="7DAC6BD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05217EFE">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第2.2款</w:t>
            </w:r>
          </w:p>
        </w:tc>
        <w:tc>
          <w:tcPr>
            <w:tcW w:w="1776" w:type="dxa"/>
            <w:noWrap/>
            <w:vAlign w:val="center"/>
          </w:tcPr>
          <w:p w14:paraId="7A50619D">
            <w:pPr>
              <w:wordWrap w:val="0"/>
              <w:adjustRightInd w:val="0"/>
              <w:snapToGrid w:val="0"/>
              <w:jc w:val="center"/>
              <w:rPr>
                <w:rFonts w:hint="eastAsia" w:ascii="宋体" w:hAnsi="宋体" w:eastAsia="宋体" w:cs="宋体"/>
                <w:szCs w:val="21"/>
                <w:lang w:eastAsia="zh-CN"/>
              </w:rPr>
            </w:pPr>
            <w:r>
              <w:rPr>
                <w:rFonts w:hint="eastAsia" w:ascii="宋体" w:hAnsi="宋体" w:cs="宋体"/>
                <w:szCs w:val="21"/>
                <w:lang w:eastAsia="zh-CN"/>
              </w:rPr>
              <w:t>招标代理机构</w:t>
            </w:r>
          </w:p>
        </w:tc>
        <w:tc>
          <w:tcPr>
            <w:tcW w:w="6725" w:type="dxa"/>
            <w:noWrap/>
            <w:vAlign w:val="center"/>
          </w:tcPr>
          <w:p w14:paraId="5485CE34">
            <w:pPr>
              <w:wordWrap w:val="0"/>
              <w:adjustRightInd w:val="0"/>
              <w:snapToGrid w:val="0"/>
              <w:spacing w:line="360" w:lineRule="auto"/>
              <w:rPr>
                <w:rFonts w:hint="eastAsia" w:ascii="宋体" w:hAnsi="宋体" w:eastAsia="宋体" w:cs="宋体"/>
                <w:szCs w:val="21"/>
                <w:lang w:eastAsia="zh-CN"/>
              </w:rPr>
            </w:pPr>
            <w:r>
              <w:rPr>
                <w:rFonts w:hint="eastAsia" w:ascii="宋体" w:hAnsi="宋体" w:cs="宋体"/>
                <w:szCs w:val="21"/>
                <w:lang w:eastAsia="zh-CN"/>
              </w:rPr>
              <w:t>招标代理机构</w:t>
            </w:r>
            <w:r>
              <w:rPr>
                <w:rFonts w:hint="eastAsia" w:ascii="宋体" w:hAnsi="宋体" w:eastAsia="宋体" w:cs="宋体"/>
                <w:szCs w:val="21"/>
              </w:rPr>
              <w:t>：</w:t>
            </w:r>
            <w:r>
              <w:rPr>
                <w:rFonts w:hint="eastAsia" w:ascii="宋体" w:hAnsi="宋体" w:cs="宋体"/>
                <w:szCs w:val="21"/>
                <w:lang w:eastAsia="zh-CN"/>
              </w:rPr>
              <w:t>湖南长顺项目管理有限公司</w:t>
            </w:r>
          </w:p>
          <w:p w14:paraId="26B3128B">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rPr>
              <w:t>地址：</w:t>
            </w:r>
            <w:r>
              <w:rPr>
                <w:rFonts w:hint="eastAsia" w:ascii="宋体" w:hAnsi="宋体" w:cs="宋体"/>
                <w:bCs/>
                <w:szCs w:val="21"/>
                <w:lang w:eastAsia="zh-CN"/>
              </w:rPr>
              <w:t>长沙市雨花区新兴路268号</w:t>
            </w:r>
          </w:p>
          <w:p w14:paraId="7E83B945">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rPr>
              <w:t>联系人：</w:t>
            </w:r>
            <w:r>
              <w:rPr>
                <w:rFonts w:hint="eastAsia" w:ascii="宋体" w:hAnsi="宋体" w:cs="宋体"/>
                <w:szCs w:val="21"/>
                <w:lang w:eastAsia="zh-CN"/>
              </w:rPr>
              <w:t>王女士</w:t>
            </w:r>
          </w:p>
          <w:p w14:paraId="17D22E4A">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rPr>
              <w:t>电话：</w:t>
            </w:r>
            <w:r>
              <w:rPr>
                <w:rFonts w:hint="eastAsia" w:ascii="宋体" w:hAnsi="宋体" w:cs="宋体"/>
                <w:lang w:val="en-US" w:eastAsia="zh-CN"/>
              </w:rPr>
              <w:t>0731-85770482</w:t>
            </w:r>
          </w:p>
        </w:tc>
      </w:tr>
      <w:tr w14:paraId="0CB93EF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31" w:hRule="atLeast"/>
          <w:jc w:val="center"/>
        </w:trPr>
        <w:tc>
          <w:tcPr>
            <w:tcW w:w="1195" w:type="dxa"/>
            <w:noWrap/>
            <w:vAlign w:val="center"/>
          </w:tcPr>
          <w:p w14:paraId="6D24762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649D3E98">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第2.3款</w:t>
            </w:r>
          </w:p>
        </w:tc>
        <w:tc>
          <w:tcPr>
            <w:tcW w:w="1776" w:type="dxa"/>
            <w:noWrap/>
            <w:vAlign w:val="center"/>
          </w:tcPr>
          <w:p w14:paraId="1CB0B66E">
            <w:pPr>
              <w:wordWrap w:val="0"/>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供应商</w:t>
            </w:r>
          </w:p>
          <w:p w14:paraId="53D784B4">
            <w:pPr>
              <w:wordWrap w:val="0"/>
              <w:adjustRightInd w:val="0"/>
              <w:snapToGrid w:val="0"/>
              <w:jc w:val="center"/>
              <w:rPr>
                <w:rFonts w:hint="eastAsia" w:ascii="宋体" w:hAnsi="宋体" w:eastAsia="宋体" w:cs="宋体"/>
                <w:bCs/>
                <w:szCs w:val="21"/>
              </w:rPr>
            </w:pPr>
            <w:r>
              <w:rPr>
                <w:rFonts w:hint="eastAsia" w:ascii="宋体" w:hAnsi="宋体" w:eastAsia="宋体" w:cs="宋体"/>
                <w:kern w:val="0"/>
                <w:szCs w:val="21"/>
              </w:rPr>
              <w:t>的</w:t>
            </w:r>
            <w:r>
              <w:rPr>
                <w:rFonts w:hint="eastAsia" w:ascii="宋体" w:hAnsi="宋体" w:eastAsia="宋体" w:cs="宋体"/>
                <w:szCs w:val="21"/>
              </w:rPr>
              <w:t>邀请方式</w:t>
            </w:r>
          </w:p>
        </w:tc>
        <w:tc>
          <w:tcPr>
            <w:tcW w:w="6725" w:type="dxa"/>
            <w:noWrap/>
            <w:vAlign w:val="center"/>
          </w:tcPr>
          <w:p w14:paraId="0FAF9375">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发布公告</w:t>
            </w:r>
          </w:p>
        </w:tc>
      </w:tr>
      <w:tr w14:paraId="09EAE71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95" w:type="dxa"/>
            <w:noWrap/>
            <w:vAlign w:val="center"/>
          </w:tcPr>
          <w:p w14:paraId="0B947B16">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297B90C4">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第3.1款</w:t>
            </w:r>
          </w:p>
        </w:tc>
        <w:tc>
          <w:tcPr>
            <w:tcW w:w="1776" w:type="dxa"/>
            <w:noWrap/>
            <w:vAlign w:val="center"/>
          </w:tcPr>
          <w:p w14:paraId="31C1D0E2">
            <w:pPr>
              <w:wordWrap w:val="0"/>
              <w:adjustRightInd w:val="0"/>
              <w:snapToGrid w:val="0"/>
              <w:jc w:val="center"/>
              <w:rPr>
                <w:rFonts w:hint="eastAsia" w:ascii="宋体" w:hAnsi="宋体" w:eastAsia="宋体" w:cs="宋体"/>
                <w:szCs w:val="21"/>
              </w:rPr>
            </w:pPr>
            <w:r>
              <w:rPr>
                <w:rFonts w:hint="eastAsia" w:ascii="宋体" w:hAnsi="宋体" w:eastAsia="宋体" w:cs="宋体"/>
                <w:bCs/>
                <w:szCs w:val="21"/>
              </w:rPr>
              <w:t>供应商</w:t>
            </w:r>
            <w:r>
              <w:rPr>
                <w:rFonts w:hint="eastAsia" w:ascii="宋体" w:hAnsi="宋体" w:eastAsia="宋体" w:cs="宋体"/>
                <w:szCs w:val="21"/>
              </w:rPr>
              <w:t>资格条件</w:t>
            </w:r>
          </w:p>
        </w:tc>
        <w:tc>
          <w:tcPr>
            <w:tcW w:w="6725" w:type="dxa"/>
            <w:noWrap/>
          </w:tcPr>
          <w:p w14:paraId="5BF42D83">
            <w:pPr>
              <w:pStyle w:val="41"/>
              <w:rPr>
                <w:rFonts w:hint="eastAsia" w:ascii="宋体" w:hAnsi="宋体" w:eastAsia="宋体" w:cs="宋体"/>
                <w:color w:val="auto"/>
              </w:rPr>
            </w:pPr>
            <w:r>
              <w:rPr>
                <w:rFonts w:hint="eastAsia" w:ascii="宋体" w:hAnsi="宋体" w:eastAsia="宋体" w:cs="宋体"/>
                <w:color w:val="auto"/>
              </w:rPr>
              <w:t>1、供应商基本资格条件：</w:t>
            </w:r>
          </w:p>
          <w:p w14:paraId="25375D38">
            <w:pPr>
              <w:pStyle w:val="41"/>
              <w:rPr>
                <w:rFonts w:hint="eastAsia" w:ascii="宋体" w:hAnsi="宋体" w:eastAsia="宋体" w:cs="宋体"/>
                <w:color w:val="auto"/>
              </w:rPr>
            </w:pPr>
            <w:r>
              <w:rPr>
                <w:rFonts w:hint="eastAsia" w:ascii="宋体" w:hAnsi="宋体" w:eastAsia="宋体" w:cs="宋体"/>
                <w:color w:val="auto"/>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法律、法规规定的其他条件；同时具备如下条件：</w:t>
            </w:r>
          </w:p>
          <w:p w14:paraId="182BE101">
            <w:pPr>
              <w:pStyle w:val="41"/>
              <w:rPr>
                <w:rFonts w:hint="eastAsia" w:ascii="宋体" w:hAnsi="宋体" w:eastAsia="宋体" w:cs="宋体"/>
                <w:color w:val="auto"/>
              </w:rPr>
            </w:pPr>
            <w:r>
              <w:rPr>
                <w:rFonts w:hint="eastAsia" w:ascii="宋体" w:hAnsi="宋体" w:eastAsia="宋体" w:cs="宋体"/>
                <w:color w:val="auto"/>
              </w:rPr>
              <w:t>（1）提交企业法人营业执照副本(或者法人登记证书)</w:t>
            </w:r>
            <w:r>
              <w:rPr>
                <w:rFonts w:hint="eastAsia" w:ascii="宋体" w:hAnsi="宋体" w:eastAsia="宋体" w:cs="宋体"/>
                <w:color w:val="auto"/>
                <w:lang w:eastAsia="zh-CN"/>
              </w:rPr>
              <w:t>、</w:t>
            </w:r>
            <w:r>
              <w:rPr>
                <w:rFonts w:hint="eastAsia" w:ascii="宋体" w:hAnsi="宋体" w:eastAsia="宋体" w:cs="宋体"/>
                <w:color w:val="auto"/>
              </w:rPr>
              <w:t>银行开户许可证或基本存款账户信息；</w:t>
            </w:r>
          </w:p>
          <w:p w14:paraId="17C1FD3F">
            <w:pPr>
              <w:pStyle w:val="41"/>
              <w:rPr>
                <w:rFonts w:hint="eastAsia" w:ascii="宋体" w:hAnsi="宋体" w:eastAsia="宋体" w:cs="宋体"/>
                <w:color w:val="auto"/>
                <w:lang w:eastAsia="zh-CN"/>
              </w:rPr>
            </w:pPr>
            <w:r>
              <w:rPr>
                <w:rFonts w:hint="eastAsia" w:ascii="宋体" w:hAnsi="宋体" w:eastAsia="宋体" w:cs="宋体"/>
                <w:color w:val="auto"/>
              </w:rPr>
              <w:t>（2）依法缴纳税收和社会保险费的证明材料：近三个月依法缴纳税收和社会保险费的证明（纳税及缴费凭证复印件加盖单位公章），或者委托他人缴纳的委托代办协议和近三个月的缴纳证明（收据复印件加盖单位公章），或者法定征收机关</w:t>
            </w:r>
            <w:r>
              <w:rPr>
                <w:rFonts w:hint="eastAsia" w:cs="宋体"/>
                <w:color w:val="auto"/>
                <w:lang w:eastAsia="zh-CN"/>
              </w:rPr>
              <w:t>出</w:t>
            </w:r>
            <w:r>
              <w:rPr>
                <w:rFonts w:hint="eastAsia" w:ascii="宋体" w:hAnsi="宋体" w:eastAsia="宋体" w:cs="宋体"/>
                <w:color w:val="auto"/>
              </w:rPr>
              <w:t>具的依法免缴税费的证明原件，或者依法缴纳税收和社会保险费的书面承诺原件</w:t>
            </w:r>
            <w:r>
              <w:rPr>
                <w:rFonts w:hint="eastAsia" w:ascii="宋体" w:hAnsi="宋体" w:eastAsia="宋体" w:cs="宋体"/>
                <w:color w:val="auto"/>
                <w:lang w:eastAsia="zh-CN"/>
              </w:rPr>
              <w:t>；</w:t>
            </w:r>
          </w:p>
          <w:p w14:paraId="3B48406F">
            <w:pPr>
              <w:pStyle w:val="41"/>
              <w:rPr>
                <w:rFonts w:hint="eastAsia" w:ascii="宋体" w:hAnsi="宋体" w:eastAsia="宋体" w:cs="宋体"/>
                <w:color w:val="auto"/>
              </w:rPr>
            </w:pPr>
            <w:r>
              <w:rPr>
                <w:rFonts w:hint="eastAsia" w:ascii="宋体" w:hAnsi="宋体" w:eastAsia="宋体" w:cs="宋体"/>
                <w:color w:val="auto"/>
              </w:rPr>
              <w:t>（3）提交</w:t>
            </w:r>
            <w:r>
              <w:rPr>
                <w:rFonts w:hint="eastAsia" w:cs="宋体"/>
                <w:color w:val="auto"/>
                <w:lang w:eastAsia="zh-CN"/>
              </w:rPr>
              <w:t>法定代表人（单位负责人）</w:t>
            </w:r>
            <w:r>
              <w:rPr>
                <w:rFonts w:hint="eastAsia" w:ascii="宋体" w:hAnsi="宋体" w:eastAsia="宋体" w:cs="宋体"/>
                <w:color w:val="auto"/>
              </w:rPr>
              <w:t>身份证明书或者</w:t>
            </w:r>
            <w:r>
              <w:rPr>
                <w:rFonts w:hint="eastAsia" w:cs="宋体"/>
                <w:color w:val="auto"/>
                <w:lang w:eastAsia="zh-CN"/>
              </w:rPr>
              <w:t>法定代表人（单位负责人）</w:t>
            </w:r>
            <w:r>
              <w:rPr>
                <w:rFonts w:hint="eastAsia" w:ascii="宋体" w:hAnsi="宋体" w:eastAsia="宋体" w:cs="宋体"/>
                <w:color w:val="auto"/>
              </w:rPr>
              <w:t>授权委托书并附</w:t>
            </w:r>
            <w:r>
              <w:rPr>
                <w:rFonts w:hint="eastAsia" w:cs="宋体"/>
                <w:color w:val="auto"/>
                <w:lang w:eastAsia="zh-CN"/>
              </w:rPr>
              <w:t>法定代表人（单位负责人）</w:t>
            </w:r>
            <w:r>
              <w:rPr>
                <w:rFonts w:hint="eastAsia" w:ascii="宋体" w:hAnsi="宋体" w:eastAsia="宋体" w:cs="宋体"/>
                <w:color w:val="auto"/>
              </w:rPr>
              <w:t>身份证明书；</w:t>
            </w:r>
          </w:p>
          <w:p w14:paraId="033EA87C">
            <w:pPr>
              <w:pStyle w:val="41"/>
              <w:rPr>
                <w:rFonts w:hint="eastAsia" w:ascii="宋体" w:hAnsi="宋体" w:eastAsia="宋体" w:cs="宋体"/>
                <w:color w:val="auto"/>
              </w:rPr>
            </w:pPr>
            <w:r>
              <w:rPr>
                <w:rFonts w:hint="eastAsia" w:ascii="宋体" w:hAnsi="宋体" w:eastAsia="宋体" w:cs="宋体"/>
                <w:color w:val="auto"/>
              </w:rPr>
              <w:t>（4）供应商参加本次</w:t>
            </w:r>
            <w:r>
              <w:rPr>
                <w:rFonts w:hint="eastAsia" w:ascii="宋体" w:hAnsi="宋体" w:eastAsia="宋体" w:cs="宋体"/>
                <w:color w:val="auto"/>
                <w:lang w:eastAsia="zh-CN"/>
              </w:rPr>
              <w:t>招标活动</w:t>
            </w:r>
            <w:r>
              <w:rPr>
                <w:rFonts w:hint="eastAsia" w:ascii="宋体" w:hAnsi="宋体" w:eastAsia="宋体" w:cs="宋体"/>
                <w:color w:val="auto"/>
              </w:rPr>
              <w:t>前三年内没有重大违法记录的书面声明承诺。</w:t>
            </w:r>
          </w:p>
          <w:p w14:paraId="0F44C70C">
            <w:pPr>
              <w:pStyle w:val="41"/>
              <w:rPr>
                <w:rFonts w:hint="eastAsia" w:ascii="宋体" w:hAnsi="宋体" w:eastAsia="宋体" w:cs="宋体"/>
                <w:color w:val="auto"/>
              </w:rPr>
            </w:pPr>
            <w:r>
              <w:rPr>
                <w:rFonts w:hint="eastAsia" w:ascii="宋体" w:hAnsi="宋体" w:eastAsia="宋体" w:cs="宋体"/>
                <w:color w:val="auto"/>
              </w:rPr>
              <w:t>注：</w:t>
            </w:r>
            <w:r>
              <w:rPr>
                <w:rFonts w:hint="eastAsia" w:ascii="宋体" w:hAnsi="宋体" w:eastAsia="宋体" w:cs="宋体"/>
                <w:color w:val="auto"/>
                <w:lang w:eastAsia="zh-CN"/>
              </w:rPr>
              <w:t>供应商</w:t>
            </w:r>
            <w:r>
              <w:rPr>
                <w:rFonts w:hint="eastAsia" w:ascii="宋体" w:hAnsi="宋体" w:eastAsia="宋体" w:cs="宋体"/>
                <w:color w:val="auto"/>
              </w:rPr>
              <w:t>具有实行了“三证合一”登记制度改革的新证，视同为持有工商营业执照、组织机构代码证和税务登记证，符合基本资格条件的相关条款；</w:t>
            </w:r>
            <w:r>
              <w:rPr>
                <w:rFonts w:hint="eastAsia" w:ascii="宋体" w:hAnsi="宋体" w:eastAsia="宋体" w:cs="宋体"/>
                <w:color w:val="auto"/>
                <w:lang w:eastAsia="zh-CN"/>
              </w:rPr>
              <w:t>供应商</w:t>
            </w:r>
            <w:r>
              <w:rPr>
                <w:rFonts w:hint="eastAsia" w:ascii="宋体" w:hAnsi="宋体" w:eastAsia="宋体" w:cs="宋体"/>
                <w:color w:val="auto"/>
              </w:rPr>
              <w:t>具有实行了“五证合一”登记制度改革的新证，视同为持有工商营业执照、组织机构代码证和税务登记证和社会保险登记证，符合基本资格条件的相关条款。</w:t>
            </w:r>
          </w:p>
          <w:p w14:paraId="29044C8D">
            <w:pPr>
              <w:spacing w:line="480" w:lineRule="exact"/>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rPr>
              <w:t>2、供应商特定资格条件</w:t>
            </w:r>
            <w:r>
              <w:rPr>
                <w:rFonts w:hint="eastAsia" w:ascii="宋体" w:hAnsi="宋体" w:eastAsia="宋体" w:cs="宋体"/>
                <w:color w:val="auto"/>
                <w:kern w:val="0"/>
                <w:sz w:val="21"/>
                <w:szCs w:val="21"/>
                <w:lang w:val="en-US" w:eastAsia="zh-CN" w:bidi="ar-SA"/>
              </w:rPr>
              <w:t>：</w:t>
            </w:r>
            <w:r>
              <w:rPr>
                <w:rFonts w:hint="eastAsia" w:ascii="宋体" w:hAnsi="宋体" w:eastAsia="宋体" w:cs="宋体"/>
              </w:rPr>
              <w:t>具备水利行业工程设计资质乙级及以上资质</w:t>
            </w:r>
            <w:r>
              <w:rPr>
                <w:rFonts w:hint="eastAsia" w:ascii="宋体" w:hAnsi="宋体" w:cs="宋体"/>
                <w:lang w:eastAsia="zh-CN"/>
              </w:rPr>
              <w:t>、</w:t>
            </w:r>
            <w:r>
              <w:rPr>
                <w:rFonts w:hint="eastAsia" w:ascii="宋体" w:hAnsi="宋体" w:eastAsia="宋体" w:cs="宋体"/>
              </w:rPr>
              <w:t>或农林行业工程设计乙级及以上资质</w:t>
            </w:r>
            <w:r>
              <w:rPr>
                <w:rFonts w:hint="eastAsia" w:ascii="宋体" w:hAnsi="宋体" w:cs="宋体"/>
                <w:lang w:eastAsia="zh-CN"/>
              </w:rPr>
              <w:t>、</w:t>
            </w:r>
            <w:r>
              <w:rPr>
                <w:rFonts w:hint="eastAsia" w:ascii="宋体" w:hAnsi="宋体" w:eastAsia="宋体" w:cs="宋体"/>
              </w:rPr>
              <w:t>或农业综合开发生态工程专业工程设计乙级及以上资质</w:t>
            </w:r>
            <w:r>
              <w:rPr>
                <w:rFonts w:hint="eastAsia" w:ascii="宋体" w:hAnsi="宋体" w:cs="宋体"/>
                <w:lang w:eastAsia="zh-CN"/>
              </w:rPr>
              <w:t>、</w:t>
            </w:r>
            <w:r>
              <w:rPr>
                <w:rFonts w:hint="eastAsia" w:ascii="宋体" w:hAnsi="宋体" w:eastAsia="宋体" w:cs="宋体"/>
              </w:rPr>
              <w:t>或引调水专业工程设计乙级及以上资质</w:t>
            </w:r>
            <w:r>
              <w:rPr>
                <w:rFonts w:hint="eastAsia" w:ascii="宋体" w:hAnsi="宋体" w:cs="宋体"/>
                <w:lang w:eastAsia="zh-CN"/>
              </w:rPr>
              <w:t>、</w:t>
            </w:r>
            <w:r>
              <w:rPr>
                <w:rFonts w:hint="eastAsia" w:ascii="宋体" w:hAnsi="宋体" w:eastAsia="宋体" w:cs="宋体"/>
              </w:rPr>
              <w:t>或灌溉排涝专业工程设计乙级及以上资质</w:t>
            </w:r>
            <w:r>
              <w:rPr>
                <w:rFonts w:hint="eastAsia" w:ascii="宋体" w:hAnsi="宋体" w:cs="宋体"/>
                <w:lang w:eastAsia="zh-CN"/>
              </w:rPr>
              <w:t>、</w:t>
            </w:r>
            <w:r>
              <w:rPr>
                <w:rFonts w:hint="eastAsia" w:ascii="宋体" w:hAnsi="宋体" w:eastAsia="宋体" w:cs="宋体"/>
                <w:lang w:eastAsia="zh-CN"/>
              </w:rPr>
              <w:t>或</w:t>
            </w:r>
            <w:r>
              <w:rPr>
                <w:rFonts w:hint="eastAsia" w:ascii="宋体" w:hAnsi="宋体" w:eastAsia="宋体" w:cs="宋体"/>
              </w:rPr>
              <w:t>农林工程专业乙级以上监理资质</w:t>
            </w:r>
            <w:r>
              <w:rPr>
                <w:rFonts w:hint="eastAsia" w:ascii="宋体" w:hAnsi="宋体" w:cs="宋体"/>
                <w:lang w:eastAsia="zh-CN"/>
              </w:rPr>
              <w:t>、</w:t>
            </w:r>
            <w:r>
              <w:rPr>
                <w:rFonts w:hint="eastAsia" w:ascii="宋体" w:hAnsi="宋体" w:eastAsia="宋体" w:cs="宋体"/>
              </w:rPr>
              <w:t>或水利水电工程专业乙级以上监理资质</w:t>
            </w:r>
            <w:r>
              <w:rPr>
                <w:rFonts w:hint="eastAsia" w:ascii="宋体" w:hAnsi="宋体" w:cs="宋体"/>
                <w:lang w:eastAsia="zh-CN"/>
              </w:rPr>
              <w:t>；</w:t>
            </w:r>
            <w:r>
              <w:rPr>
                <w:rFonts w:hint="eastAsia" w:ascii="宋体" w:hAnsi="宋体" w:cs="宋体"/>
                <w:lang w:val="en-US" w:eastAsia="zh-CN"/>
              </w:rPr>
              <w:t>或具备</w:t>
            </w:r>
            <w:r>
              <w:rPr>
                <w:rFonts w:hint="eastAsia" w:ascii="宋体" w:hAnsi="宋体" w:eastAsia="宋体" w:cs="宋体"/>
              </w:rPr>
              <w:t>农林工程</w:t>
            </w:r>
            <w:r>
              <w:rPr>
                <w:rFonts w:hint="eastAsia" w:ascii="宋体" w:hAnsi="宋体" w:cs="宋体"/>
                <w:lang w:val="en-US" w:eastAsia="zh-CN"/>
              </w:rPr>
              <w:t>项目管理资格、或</w:t>
            </w:r>
            <w:r>
              <w:rPr>
                <w:rFonts w:hint="eastAsia" w:ascii="宋体" w:hAnsi="宋体" w:eastAsia="宋体" w:cs="宋体"/>
              </w:rPr>
              <w:t>水利水电工程</w:t>
            </w:r>
            <w:r>
              <w:rPr>
                <w:rFonts w:hint="eastAsia" w:ascii="宋体" w:hAnsi="宋体" w:cs="宋体"/>
                <w:lang w:val="en-US" w:eastAsia="zh-CN"/>
              </w:rPr>
              <w:t>项目管理资格</w:t>
            </w:r>
            <w:r>
              <w:rPr>
                <w:rFonts w:hint="eastAsia" w:ascii="宋体" w:hAnsi="宋体" w:eastAsia="宋体" w:cs="宋体"/>
                <w:color w:val="auto"/>
                <w:kern w:val="0"/>
                <w:sz w:val="21"/>
                <w:szCs w:val="21"/>
                <w:lang w:val="en-US" w:eastAsia="zh-CN" w:bidi="ar-SA"/>
              </w:rPr>
              <w:t>。</w:t>
            </w:r>
          </w:p>
          <w:p w14:paraId="082EEA0D">
            <w:pPr>
              <w:pStyle w:val="41"/>
              <w:rPr>
                <w:rFonts w:hint="eastAsia" w:ascii="宋体" w:hAnsi="宋体" w:eastAsia="宋体" w:cs="宋体"/>
                <w:color w:val="auto"/>
                <w:lang w:val="en-US" w:eastAsia="zh-CN"/>
              </w:rPr>
            </w:pPr>
            <w:r>
              <w:rPr>
                <w:rFonts w:hint="eastAsia" w:ascii="宋体" w:hAnsi="宋体" w:eastAsia="宋体" w:cs="宋体"/>
                <w:color w:val="auto"/>
                <w:lang w:val="en-US" w:eastAsia="zh-CN"/>
              </w:rPr>
              <w:t>3、未入驻湖南省政府采购电子卖场的供应商，承诺在中标后完成省电子卖场注册（格式自拟）。</w:t>
            </w:r>
          </w:p>
          <w:p w14:paraId="0B2BD85B">
            <w:pPr>
              <w:pStyle w:val="41"/>
              <w:rPr>
                <w:rFonts w:hint="eastAsia" w:ascii="宋体" w:hAnsi="宋体" w:eastAsia="宋体" w:cs="宋体"/>
                <w:color w:val="auto"/>
              </w:rPr>
            </w:pPr>
            <w:r>
              <w:rPr>
                <w:rFonts w:hint="eastAsia" w:ascii="宋体" w:hAnsi="宋体" w:eastAsia="宋体" w:cs="宋体"/>
                <w:color w:val="auto"/>
                <w:lang w:val="en-US" w:eastAsia="zh-CN"/>
              </w:rPr>
              <w:t>4</w:t>
            </w:r>
            <w:r>
              <w:rPr>
                <w:rFonts w:hint="eastAsia" w:ascii="宋体" w:hAnsi="宋体" w:eastAsia="宋体" w:cs="宋体"/>
                <w:color w:val="auto"/>
                <w:lang w:eastAsia="zh-CN"/>
              </w:rPr>
              <w:t>、未列入失信被执行人、重大税收违法案件当事人名单、政府采购严重违法失信行为记录名单的书面承诺（格式自拟），并附经“信用中国”（http://www.creditchina.gov.cn/）网站和“中国政府采购网网站”（http://www.ccgp.gov.cn/）查询记录。</w:t>
            </w:r>
          </w:p>
        </w:tc>
      </w:tr>
      <w:tr w14:paraId="2DAE6BC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195" w:type="dxa"/>
            <w:noWrap/>
            <w:vAlign w:val="center"/>
          </w:tcPr>
          <w:p w14:paraId="24E1D39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510EEF9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第6.1款</w:t>
            </w:r>
          </w:p>
        </w:tc>
        <w:tc>
          <w:tcPr>
            <w:tcW w:w="1776" w:type="dxa"/>
            <w:noWrap/>
            <w:vAlign w:val="center"/>
          </w:tcPr>
          <w:p w14:paraId="515B887F">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联合体形式</w:t>
            </w:r>
          </w:p>
        </w:tc>
        <w:tc>
          <w:tcPr>
            <w:tcW w:w="6725" w:type="dxa"/>
            <w:noWrap/>
            <w:vAlign w:val="center"/>
          </w:tcPr>
          <w:p w14:paraId="0B28C61A">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不接受</w:t>
            </w:r>
          </w:p>
          <w:p w14:paraId="4EF8D505">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接受</w:t>
            </w:r>
          </w:p>
        </w:tc>
      </w:tr>
      <w:tr w14:paraId="5E8B6CB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7" w:hRule="atLeast"/>
          <w:jc w:val="center"/>
        </w:trPr>
        <w:tc>
          <w:tcPr>
            <w:tcW w:w="1195" w:type="dxa"/>
            <w:noWrap/>
            <w:vAlign w:val="center"/>
          </w:tcPr>
          <w:p w14:paraId="69AB851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14083DD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第6.2款</w:t>
            </w:r>
          </w:p>
        </w:tc>
        <w:tc>
          <w:tcPr>
            <w:tcW w:w="1776" w:type="dxa"/>
            <w:noWrap/>
            <w:vAlign w:val="center"/>
          </w:tcPr>
          <w:p w14:paraId="412D5A6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对联合体</w:t>
            </w:r>
          </w:p>
          <w:p w14:paraId="21F4A2E7">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各方的要求</w:t>
            </w:r>
          </w:p>
        </w:tc>
        <w:tc>
          <w:tcPr>
            <w:tcW w:w="6725" w:type="dxa"/>
            <w:noWrap/>
            <w:vAlign w:val="center"/>
          </w:tcPr>
          <w:p w14:paraId="2DBFF04F">
            <w:pPr>
              <w:wordWrap w:val="0"/>
              <w:adjustRightInd w:val="0"/>
              <w:snapToGrid w:val="0"/>
              <w:rPr>
                <w:rFonts w:hint="eastAsia" w:ascii="宋体" w:hAnsi="宋体" w:eastAsia="宋体" w:cs="宋体"/>
                <w:szCs w:val="21"/>
              </w:rPr>
            </w:pPr>
            <w:r>
              <w:rPr>
                <w:rFonts w:hint="eastAsia" w:ascii="宋体" w:hAnsi="宋体" w:eastAsia="宋体" w:cs="宋体"/>
                <w:szCs w:val="21"/>
              </w:rPr>
              <w:t>/</w:t>
            </w:r>
          </w:p>
        </w:tc>
      </w:tr>
      <w:tr w14:paraId="6B3FA3F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58" w:hRule="atLeast"/>
          <w:jc w:val="center"/>
        </w:trPr>
        <w:tc>
          <w:tcPr>
            <w:tcW w:w="1195" w:type="dxa"/>
            <w:noWrap/>
            <w:vAlign w:val="center"/>
          </w:tcPr>
          <w:p w14:paraId="7C6B6DC9">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6DE089F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第7.1款</w:t>
            </w:r>
          </w:p>
        </w:tc>
        <w:tc>
          <w:tcPr>
            <w:tcW w:w="1776" w:type="dxa"/>
            <w:noWrap/>
            <w:vAlign w:val="center"/>
          </w:tcPr>
          <w:p w14:paraId="5A5A2DC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现场勘察</w:t>
            </w:r>
          </w:p>
        </w:tc>
        <w:tc>
          <w:tcPr>
            <w:tcW w:w="6725" w:type="dxa"/>
            <w:noWrap/>
            <w:vAlign w:val="center"/>
          </w:tcPr>
          <w:p w14:paraId="52F31C32">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本次招标不组织统一的现场踏勘，</w:t>
            </w:r>
            <w:r>
              <w:rPr>
                <w:rFonts w:hint="eastAsia" w:ascii="宋体" w:hAnsi="宋体" w:cs="宋体"/>
                <w:szCs w:val="21"/>
                <w:lang w:eastAsia="zh-CN"/>
              </w:rPr>
              <w:t>供应商</w:t>
            </w:r>
            <w:r>
              <w:rPr>
                <w:rFonts w:hint="eastAsia" w:ascii="宋体" w:hAnsi="宋体" w:eastAsia="宋体" w:cs="宋体"/>
                <w:szCs w:val="21"/>
              </w:rPr>
              <w:t>可自行对现场进行考察，取得并核实有关编制</w:t>
            </w:r>
            <w:r>
              <w:rPr>
                <w:rFonts w:hint="eastAsia" w:ascii="宋体" w:hAnsi="宋体" w:cs="宋体"/>
                <w:szCs w:val="21"/>
                <w:lang w:eastAsia="zh-CN"/>
              </w:rPr>
              <w:t>响应文件</w:t>
            </w:r>
            <w:r>
              <w:rPr>
                <w:rFonts w:hint="eastAsia" w:ascii="宋体" w:hAnsi="宋体" w:eastAsia="宋体" w:cs="宋体"/>
                <w:szCs w:val="21"/>
              </w:rPr>
              <w:t>所需的一切资料。（招标人不承担供应商踏勘现场所发生的任何费用、责任和风险。）</w:t>
            </w:r>
          </w:p>
        </w:tc>
      </w:tr>
      <w:tr w14:paraId="2B1765C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9696" w:type="dxa"/>
            <w:gridSpan w:val="3"/>
            <w:noWrap/>
            <w:vAlign w:val="center"/>
          </w:tcPr>
          <w:p w14:paraId="0F4CB913">
            <w:pPr>
              <w:wordWrap w:val="0"/>
              <w:adjustRightInd w:val="0"/>
              <w:snapToGrid w:val="0"/>
              <w:rPr>
                <w:rFonts w:hint="eastAsia" w:ascii="宋体" w:hAnsi="宋体" w:eastAsia="宋体" w:cs="宋体"/>
                <w:b/>
                <w:szCs w:val="21"/>
              </w:rPr>
            </w:pPr>
            <w:r>
              <w:rPr>
                <w:rFonts w:hint="eastAsia" w:ascii="宋体" w:hAnsi="宋体" w:eastAsia="宋体" w:cs="宋体"/>
                <w:b/>
                <w:szCs w:val="21"/>
              </w:rPr>
              <w:t>二、磋商文件</w:t>
            </w:r>
          </w:p>
        </w:tc>
      </w:tr>
      <w:tr w14:paraId="04A17A0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1195" w:type="dxa"/>
            <w:noWrap/>
            <w:vAlign w:val="center"/>
          </w:tcPr>
          <w:p w14:paraId="0D30E01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27D8CE95">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第11.1款</w:t>
            </w:r>
          </w:p>
        </w:tc>
        <w:tc>
          <w:tcPr>
            <w:tcW w:w="1776" w:type="dxa"/>
            <w:noWrap/>
            <w:vAlign w:val="center"/>
          </w:tcPr>
          <w:p w14:paraId="18FCCF5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提供磋商文件期限</w:t>
            </w:r>
          </w:p>
        </w:tc>
        <w:tc>
          <w:tcPr>
            <w:tcW w:w="6725" w:type="dxa"/>
            <w:noWrap/>
            <w:vAlign w:val="center"/>
          </w:tcPr>
          <w:p w14:paraId="43F47234">
            <w:pPr>
              <w:wordWrap w:val="0"/>
              <w:rPr>
                <w:rFonts w:hint="eastAsia" w:ascii="宋体" w:hAnsi="宋体" w:eastAsia="宋体" w:cs="宋体"/>
                <w:szCs w:val="21"/>
              </w:rPr>
            </w:pPr>
            <w:r>
              <w:rPr>
                <w:rFonts w:hint="eastAsia" w:ascii="宋体" w:hAnsi="宋体" w:eastAsia="宋体" w:cs="宋体"/>
                <w:szCs w:val="21"/>
              </w:rPr>
              <w:t>以磋商公告为准</w:t>
            </w:r>
          </w:p>
        </w:tc>
      </w:tr>
      <w:tr w14:paraId="5C05DC8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 w:hRule="atLeast"/>
          <w:jc w:val="center"/>
        </w:trPr>
        <w:tc>
          <w:tcPr>
            <w:tcW w:w="1195" w:type="dxa"/>
            <w:noWrap/>
            <w:vAlign w:val="center"/>
          </w:tcPr>
          <w:p w14:paraId="632ACC91">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1B374E97">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第11.2款</w:t>
            </w:r>
          </w:p>
        </w:tc>
        <w:tc>
          <w:tcPr>
            <w:tcW w:w="1776" w:type="dxa"/>
            <w:noWrap/>
            <w:vAlign w:val="center"/>
          </w:tcPr>
          <w:p w14:paraId="2BB8569C">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领取或购买磋商文件时应提供的资料</w:t>
            </w:r>
          </w:p>
        </w:tc>
        <w:tc>
          <w:tcPr>
            <w:tcW w:w="6725" w:type="dxa"/>
            <w:noWrap/>
            <w:vAlign w:val="center"/>
          </w:tcPr>
          <w:p w14:paraId="4AE6F8F6">
            <w:pPr>
              <w:wordWrap w:val="0"/>
              <w:adjustRightInd w:val="0"/>
              <w:snapToGrid w:val="0"/>
              <w:jc w:val="left"/>
              <w:rPr>
                <w:rFonts w:hint="eastAsia" w:ascii="宋体" w:hAnsi="宋体" w:eastAsia="宋体" w:cs="宋体"/>
                <w:szCs w:val="21"/>
              </w:rPr>
            </w:pPr>
            <w:r>
              <w:rPr>
                <w:rFonts w:hint="eastAsia" w:ascii="宋体" w:hAnsi="宋体" w:eastAsia="宋体" w:cs="宋体"/>
                <w:szCs w:val="21"/>
              </w:rPr>
              <w:t>以磋商公告为准</w:t>
            </w:r>
          </w:p>
        </w:tc>
      </w:tr>
      <w:tr w14:paraId="21D1595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98" w:hRule="atLeast"/>
          <w:jc w:val="center"/>
        </w:trPr>
        <w:tc>
          <w:tcPr>
            <w:tcW w:w="1195" w:type="dxa"/>
            <w:noWrap/>
            <w:vAlign w:val="center"/>
          </w:tcPr>
          <w:p w14:paraId="595475D6">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386421B1">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第12.1款</w:t>
            </w:r>
          </w:p>
        </w:tc>
        <w:tc>
          <w:tcPr>
            <w:tcW w:w="1776" w:type="dxa"/>
            <w:noWrap/>
            <w:vAlign w:val="center"/>
          </w:tcPr>
          <w:p w14:paraId="7012CAEE">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提交首次响应文件的截止时间</w:t>
            </w:r>
          </w:p>
        </w:tc>
        <w:tc>
          <w:tcPr>
            <w:tcW w:w="6725" w:type="dxa"/>
            <w:noWrap/>
            <w:vAlign w:val="center"/>
          </w:tcPr>
          <w:p w14:paraId="2D1178FE">
            <w:pPr>
              <w:wordWrap w:val="0"/>
              <w:spacing w:line="360" w:lineRule="auto"/>
              <w:rPr>
                <w:rFonts w:hint="eastAsia" w:ascii="宋体" w:hAnsi="宋体" w:eastAsia="宋体" w:cs="宋体"/>
                <w:szCs w:val="21"/>
              </w:rPr>
            </w:pPr>
            <w:r>
              <w:rPr>
                <w:rFonts w:hint="eastAsia" w:ascii="宋体" w:hAnsi="宋体" w:eastAsia="宋体" w:cs="宋体"/>
                <w:szCs w:val="21"/>
              </w:rPr>
              <w:t>以磋商公告为准</w:t>
            </w:r>
          </w:p>
        </w:tc>
      </w:tr>
      <w:tr w14:paraId="4B6DBAF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5" w:hRule="atLeast"/>
          <w:jc w:val="center"/>
        </w:trPr>
        <w:tc>
          <w:tcPr>
            <w:tcW w:w="9696" w:type="dxa"/>
            <w:gridSpan w:val="3"/>
            <w:noWrap/>
            <w:vAlign w:val="center"/>
          </w:tcPr>
          <w:p w14:paraId="0EB0B196">
            <w:pPr>
              <w:wordWrap w:val="0"/>
              <w:adjustRightInd w:val="0"/>
              <w:snapToGrid w:val="0"/>
              <w:spacing w:line="360" w:lineRule="auto"/>
              <w:rPr>
                <w:rFonts w:hint="eastAsia" w:ascii="宋体" w:hAnsi="宋体" w:eastAsia="宋体" w:cs="宋体"/>
                <w:szCs w:val="21"/>
              </w:rPr>
            </w:pPr>
            <w:r>
              <w:rPr>
                <w:rFonts w:hint="eastAsia" w:ascii="宋体" w:hAnsi="宋体" w:eastAsia="宋体" w:cs="宋体"/>
                <w:b/>
                <w:szCs w:val="21"/>
              </w:rPr>
              <w:t>三、响应文件的编写</w:t>
            </w:r>
          </w:p>
        </w:tc>
      </w:tr>
      <w:tr w14:paraId="071A9FD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1" w:hRule="atLeast"/>
          <w:jc w:val="center"/>
        </w:trPr>
        <w:tc>
          <w:tcPr>
            <w:tcW w:w="1195" w:type="dxa"/>
            <w:noWrap/>
            <w:vAlign w:val="center"/>
          </w:tcPr>
          <w:p w14:paraId="4AF60D6E">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610CA058">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第16.4款</w:t>
            </w:r>
          </w:p>
        </w:tc>
        <w:tc>
          <w:tcPr>
            <w:tcW w:w="1776" w:type="dxa"/>
            <w:noWrap/>
            <w:vAlign w:val="center"/>
          </w:tcPr>
          <w:p w14:paraId="700167D5">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采购预算（招标控制价）</w:t>
            </w:r>
          </w:p>
        </w:tc>
        <w:tc>
          <w:tcPr>
            <w:tcW w:w="6725" w:type="dxa"/>
            <w:noWrap/>
            <w:vAlign w:val="center"/>
          </w:tcPr>
          <w:p w14:paraId="6A6A5ECA">
            <w:pPr>
              <w:wordWrap w:val="0"/>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本项目控制价格</w:t>
            </w:r>
            <w:r>
              <w:rPr>
                <w:rFonts w:hint="eastAsia" w:ascii="宋体" w:hAnsi="宋体" w:eastAsia="宋体" w:cs="宋体"/>
                <w:b/>
                <w:szCs w:val="21"/>
                <w:lang w:eastAsia="zh-CN"/>
              </w:rPr>
              <w:t>：</w:t>
            </w:r>
            <w:r>
              <w:rPr>
                <w:rFonts w:hint="eastAsia" w:ascii="宋体" w:hAnsi="宋体" w:cs="宋体"/>
                <w:b/>
                <w:szCs w:val="21"/>
                <w:lang w:val="en-US" w:eastAsia="zh-CN"/>
              </w:rPr>
              <w:t>300000.00</w:t>
            </w:r>
            <w:r>
              <w:rPr>
                <w:rFonts w:hint="eastAsia" w:ascii="宋体" w:hAnsi="宋体" w:eastAsia="宋体" w:cs="宋体"/>
                <w:b/>
                <w:szCs w:val="21"/>
                <w:lang w:val="en-US" w:eastAsia="zh-CN"/>
              </w:rPr>
              <w:t>元</w:t>
            </w:r>
          </w:p>
          <w:p w14:paraId="38E40D2D">
            <w:pPr>
              <w:wordWrap w:val="0"/>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投标单位投标报价不能高于本项目</w:t>
            </w:r>
            <w:r>
              <w:rPr>
                <w:rFonts w:hint="eastAsia" w:ascii="宋体" w:hAnsi="宋体" w:cs="宋体"/>
                <w:b/>
                <w:szCs w:val="21"/>
                <w:lang w:eastAsia="zh-CN"/>
              </w:rPr>
              <w:t>招标</w:t>
            </w:r>
            <w:r>
              <w:rPr>
                <w:rFonts w:hint="eastAsia" w:ascii="宋体" w:hAnsi="宋体" w:eastAsia="宋体" w:cs="宋体"/>
                <w:b/>
                <w:szCs w:val="21"/>
              </w:rPr>
              <w:t>预算金额，第二次报价（最终报价）（单栋报价及合计）采用现场填写并当场公布，成交及价格评审以最终报价为准。在项目磋商过程中无任何实质性变动的前提下，第二次报价（最终报价）不得高于上一轮且不得高于项目预算控制价,否则作</w:t>
            </w:r>
            <w:r>
              <w:rPr>
                <w:rFonts w:hint="eastAsia" w:ascii="宋体" w:hAnsi="宋体" w:cs="宋体"/>
                <w:b/>
                <w:szCs w:val="21"/>
                <w:lang w:eastAsia="zh-CN"/>
              </w:rPr>
              <w:t>无效响应</w:t>
            </w:r>
            <w:r>
              <w:rPr>
                <w:rFonts w:hint="eastAsia" w:ascii="宋体" w:hAnsi="宋体" w:eastAsia="宋体" w:cs="宋体"/>
                <w:b/>
                <w:szCs w:val="21"/>
              </w:rPr>
              <w:t>处理（项目磋商过程中有实质性变动的情况除外）。</w:t>
            </w:r>
          </w:p>
        </w:tc>
      </w:tr>
      <w:tr w14:paraId="6CDF693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06" w:hRule="atLeast"/>
          <w:jc w:val="center"/>
        </w:trPr>
        <w:tc>
          <w:tcPr>
            <w:tcW w:w="1195" w:type="dxa"/>
            <w:noWrap/>
            <w:vAlign w:val="center"/>
          </w:tcPr>
          <w:p w14:paraId="1C8E3441">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79471D5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第17.3款</w:t>
            </w:r>
          </w:p>
        </w:tc>
        <w:tc>
          <w:tcPr>
            <w:tcW w:w="1776" w:type="dxa"/>
            <w:noWrap/>
            <w:vAlign w:val="center"/>
          </w:tcPr>
          <w:p w14:paraId="07551090">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非制造商的</w:t>
            </w:r>
          </w:p>
          <w:p w14:paraId="156EC7D7">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证明文件</w:t>
            </w:r>
          </w:p>
        </w:tc>
        <w:tc>
          <w:tcPr>
            <w:tcW w:w="6725" w:type="dxa"/>
            <w:noWrap/>
            <w:vAlign w:val="center"/>
          </w:tcPr>
          <w:p w14:paraId="10D0047A">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不要求提供</w:t>
            </w:r>
          </w:p>
          <w:p w14:paraId="4719FAC6">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要求提供：经销、或代理投标货物、或为投标货物提供售后服务的证明文件。（证明文件复印件须加盖供应商单位公章，否则视为无效响应。）</w:t>
            </w:r>
          </w:p>
        </w:tc>
      </w:tr>
      <w:tr w14:paraId="2AF57DB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 w:hRule="atLeast"/>
          <w:jc w:val="center"/>
        </w:trPr>
        <w:tc>
          <w:tcPr>
            <w:tcW w:w="1195" w:type="dxa"/>
            <w:noWrap/>
            <w:vAlign w:val="center"/>
          </w:tcPr>
          <w:p w14:paraId="7F83FD93">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5E38C0D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第18.1款</w:t>
            </w:r>
          </w:p>
        </w:tc>
        <w:tc>
          <w:tcPr>
            <w:tcW w:w="1776" w:type="dxa"/>
            <w:noWrap/>
            <w:vAlign w:val="center"/>
          </w:tcPr>
          <w:p w14:paraId="4655BB8B">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样品提供及样品提交的时间、地点</w:t>
            </w:r>
          </w:p>
        </w:tc>
        <w:tc>
          <w:tcPr>
            <w:tcW w:w="6725" w:type="dxa"/>
            <w:noWrap/>
            <w:vAlign w:val="center"/>
          </w:tcPr>
          <w:p w14:paraId="5AF700D5">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不要求提供</w:t>
            </w:r>
          </w:p>
        </w:tc>
      </w:tr>
      <w:tr w14:paraId="2A15863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89" w:hRule="atLeast"/>
          <w:jc w:val="center"/>
        </w:trPr>
        <w:tc>
          <w:tcPr>
            <w:tcW w:w="1195" w:type="dxa"/>
            <w:noWrap/>
            <w:vAlign w:val="center"/>
          </w:tcPr>
          <w:p w14:paraId="15095529">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3B230CE7">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第19.1款</w:t>
            </w:r>
          </w:p>
        </w:tc>
        <w:tc>
          <w:tcPr>
            <w:tcW w:w="1776" w:type="dxa"/>
            <w:noWrap/>
            <w:vAlign w:val="center"/>
          </w:tcPr>
          <w:p w14:paraId="13569409">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磋商保证金</w:t>
            </w:r>
          </w:p>
        </w:tc>
        <w:tc>
          <w:tcPr>
            <w:tcW w:w="6725" w:type="dxa"/>
            <w:noWrap/>
            <w:vAlign w:val="center"/>
          </w:tcPr>
          <w:p w14:paraId="3422FB83">
            <w:pPr>
              <w:widowControl/>
              <w:spacing w:line="360" w:lineRule="auto"/>
              <w:jc w:val="left"/>
              <w:rPr>
                <w:rFonts w:hint="eastAsia" w:ascii="宋体" w:hAnsi="宋体" w:eastAsia="宋体" w:cs="宋体"/>
                <w:szCs w:val="21"/>
              </w:rPr>
            </w:pPr>
            <w:r>
              <w:rPr>
                <w:rFonts w:hint="eastAsia" w:ascii="宋体" w:hAnsi="宋体" w:eastAsia="宋体" w:cs="宋体"/>
                <w:szCs w:val="21"/>
              </w:rPr>
              <w:t>不要求提供</w:t>
            </w:r>
          </w:p>
        </w:tc>
      </w:tr>
      <w:tr w14:paraId="46638A2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 w:hRule="atLeast"/>
          <w:jc w:val="center"/>
        </w:trPr>
        <w:tc>
          <w:tcPr>
            <w:tcW w:w="1195" w:type="dxa"/>
            <w:noWrap/>
            <w:vAlign w:val="center"/>
          </w:tcPr>
          <w:p w14:paraId="6E810C69">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0572F618">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第20.1款</w:t>
            </w:r>
          </w:p>
        </w:tc>
        <w:tc>
          <w:tcPr>
            <w:tcW w:w="1776" w:type="dxa"/>
            <w:noWrap/>
            <w:vAlign w:val="center"/>
          </w:tcPr>
          <w:p w14:paraId="4A714329">
            <w:pPr>
              <w:wordWrap w:val="0"/>
              <w:adjustRightInd w:val="0"/>
              <w:snapToGrid w:val="0"/>
              <w:jc w:val="center"/>
              <w:rPr>
                <w:rFonts w:hint="eastAsia" w:ascii="宋体" w:hAnsi="宋体" w:eastAsia="宋体" w:cs="宋体"/>
                <w:bCs/>
                <w:szCs w:val="21"/>
              </w:rPr>
            </w:pPr>
            <w:r>
              <w:rPr>
                <w:rFonts w:hint="eastAsia" w:ascii="宋体" w:hAnsi="宋体" w:eastAsia="宋体" w:cs="宋体"/>
                <w:bCs/>
                <w:szCs w:val="21"/>
              </w:rPr>
              <w:t>响应文件有效期</w:t>
            </w:r>
          </w:p>
        </w:tc>
        <w:tc>
          <w:tcPr>
            <w:tcW w:w="6725" w:type="dxa"/>
            <w:noWrap/>
            <w:vAlign w:val="center"/>
          </w:tcPr>
          <w:p w14:paraId="73306DA4">
            <w:pPr>
              <w:wordWrap w:val="0"/>
              <w:adjustRightInd w:val="0"/>
              <w:snapToGrid w:val="0"/>
              <w:rPr>
                <w:rFonts w:hint="eastAsia" w:ascii="宋体" w:hAnsi="宋体" w:eastAsia="宋体" w:cs="宋体"/>
                <w:bCs/>
                <w:szCs w:val="21"/>
              </w:rPr>
            </w:pPr>
            <w:r>
              <w:rPr>
                <w:rFonts w:hint="eastAsia" w:ascii="宋体" w:hAnsi="宋体" w:eastAsia="宋体" w:cs="宋体"/>
                <w:szCs w:val="21"/>
                <w:u w:val="single"/>
              </w:rPr>
              <w:t>90</w:t>
            </w:r>
            <w:r>
              <w:rPr>
                <w:rFonts w:hint="eastAsia" w:ascii="宋体" w:hAnsi="宋体" w:eastAsia="宋体" w:cs="宋体"/>
                <w:szCs w:val="21"/>
              </w:rPr>
              <w:t>日（日历日）</w:t>
            </w:r>
          </w:p>
        </w:tc>
      </w:tr>
      <w:tr w14:paraId="31A8751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 w:hRule="atLeast"/>
          <w:jc w:val="center"/>
        </w:trPr>
        <w:tc>
          <w:tcPr>
            <w:tcW w:w="1195" w:type="dxa"/>
            <w:noWrap/>
            <w:vAlign w:val="center"/>
          </w:tcPr>
          <w:p w14:paraId="45F9DB22">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1D82262F">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第21.1款</w:t>
            </w:r>
          </w:p>
        </w:tc>
        <w:tc>
          <w:tcPr>
            <w:tcW w:w="1776" w:type="dxa"/>
            <w:noWrap/>
            <w:vAlign w:val="center"/>
          </w:tcPr>
          <w:p w14:paraId="09124862">
            <w:pPr>
              <w:wordWrap w:val="0"/>
              <w:adjustRightInd w:val="0"/>
              <w:snapToGrid w:val="0"/>
              <w:jc w:val="center"/>
              <w:rPr>
                <w:rFonts w:hint="eastAsia" w:ascii="宋体" w:hAnsi="宋体" w:eastAsia="宋体" w:cs="宋体"/>
                <w:szCs w:val="21"/>
              </w:rPr>
            </w:pPr>
            <w:r>
              <w:rPr>
                <w:rFonts w:hint="eastAsia" w:ascii="宋体" w:hAnsi="宋体" w:eastAsia="宋体" w:cs="宋体"/>
                <w:bCs/>
                <w:szCs w:val="21"/>
              </w:rPr>
              <w:t>响应</w:t>
            </w:r>
            <w:r>
              <w:rPr>
                <w:rFonts w:hint="eastAsia" w:ascii="宋体" w:hAnsi="宋体" w:eastAsia="宋体" w:cs="宋体"/>
                <w:szCs w:val="21"/>
              </w:rPr>
              <w:t>文件份数</w:t>
            </w:r>
          </w:p>
        </w:tc>
        <w:tc>
          <w:tcPr>
            <w:tcW w:w="6725" w:type="dxa"/>
            <w:noWrap/>
            <w:vAlign w:val="center"/>
          </w:tcPr>
          <w:p w14:paraId="571553CE">
            <w:pPr>
              <w:wordWrap w:val="0"/>
              <w:adjustRightInd w:val="0"/>
              <w:snapToGrid w:val="0"/>
              <w:spacing w:line="380" w:lineRule="exact"/>
              <w:rPr>
                <w:rFonts w:hint="eastAsia" w:ascii="宋体" w:hAnsi="宋体" w:eastAsia="宋体" w:cs="宋体"/>
                <w:b/>
                <w:szCs w:val="21"/>
              </w:rPr>
            </w:pPr>
            <w:r>
              <w:rPr>
                <w:rFonts w:hint="eastAsia" w:ascii="宋体" w:hAnsi="宋体" w:eastAsia="宋体" w:cs="宋体"/>
                <w:b/>
                <w:szCs w:val="21"/>
              </w:rPr>
              <w:t>正本一份，副本二份，电子文档（U盘，标注单位名称）</w:t>
            </w:r>
            <w:r>
              <w:rPr>
                <w:rFonts w:hint="eastAsia" w:ascii="宋体" w:hAnsi="宋体" w:eastAsia="宋体" w:cs="宋体"/>
                <w:b/>
                <w:szCs w:val="21"/>
                <w:lang w:eastAsia="zh-CN"/>
              </w:rPr>
              <w:t>一</w:t>
            </w:r>
            <w:r>
              <w:rPr>
                <w:rFonts w:hint="eastAsia" w:ascii="宋体" w:hAnsi="宋体" w:eastAsia="宋体" w:cs="宋体"/>
                <w:b/>
                <w:szCs w:val="21"/>
              </w:rPr>
              <w:t>份</w:t>
            </w:r>
          </w:p>
          <w:p w14:paraId="73303664">
            <w:pPr>
              <w:pStyle w:val="62"/>
              <w:wordWrap w:val="0"/>
              <w:ind w:firstLine="0"/>
              <w:rPr>
                <w:rFonts w:hint="eastAsia" w:ascii="宋体" w:hAnsi="宋体" w:eastAsia="宋体" w:cs="宋体"/>
                <w:szCs w:val="21"/>
              </w:rPr>
            </w:pPr>
            <w:r>
              <w:rPr>
                <w:rFonts w:hint="eastAsia" w:ascii="宋体" w:hAnsi="宋体" w:eastAsia="宋体" w:cs="宋体"/>
                <w:b/>
                <w:szCs w:val="21"/>
              </w:rPr>
              <w:t>采用胶装方式装订，装订应牢固、不易拆散和换页，不得采用活页装订。</w:t>
            </w:r>
          </w:p>
        </w:tc>
      </w:tr>
      <w:tr w14:paraId="4FF3672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 w:hRule="atLeast"/>
          <w:jc w:val="center"/>
        </w:trPr>
        <w:tc>
          <w:tcPr>
            <w:tcW w:w="9696" w:type="dxa"/>
            <w:gridSpan w:val="3"/>
            <w:noWrap/>
            <w:vAlign w:val="center"/>
          </w:tcPr>
          <w:p w14:paraId="289BCE1E">
            <w:pPr>
              <w:wordWrap w:val="0"/>
              <w:adjustRightInd w:val="0"/>
              <w:snapToGrid w:val="0"/>
              <w:rPr>
                <w:rFonts w:hint="eastAsia" w:ascii="宋体" w:hAnsi="宋体" w:eastAsia="宋体" w:cs="宋体"/>
                <w:b/>
                <w:bCs/>
                <w:szCs w:val="21"/>
              </w:rPr>
            </w:pPr>
            <w:r>
              <w:rPr>
                <w:rFonts w:hint="eastAsia" w:ascii="宋体" w:hAnsi="宋体" w:eastAsia="宋体" w:cs="宋体"/>
                <w:b/>
                <w:szCs w:val="21"/>
              </w:rPr>
              <w:t>四、响应文件的递交</w:t>
            </w:r>
          </w:p>
        </w:tc>
      </w:tr>
      <w:tr w14:paraId="02ED0E9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43" w:hRule="atLeast"/>
          <w:jc w:val="center"/>
        </w:trPr>
        <w:tc>
          <w:tcPr>
            <w:tcW w:w="1195" w:type="dxa"/>
            <w:noWrap/>
            <w:vAlign w:val="center"/>
          </w:tcPr>
          <w:p w14:paraId="6F064D74">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1659DC6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第22.2款</w:t>
            </w:r>
          </w:p>
        </w:tc>
        <w:tc>
          <w:tcPr>
            <w:tcW w:w="1776" w:type="dxa"/>
            <w:noWrap/>
            <w:vAlign w:val="center"/>
          </w:tcPr>
          <w:p w14:paraId="4CE51A9A">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封套上应</w:t>
            </w:r>
          </w:p>
          <w:p w14:paraId="394E9184">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载明的信息</w:t>
            </w:r>
          </w:p>
        </w:tc>
        <w:tc>
          <w:tcPr>
            <w:tcW w:w="6725" w:type="dxa"/>
            <w:noWrap/>
            <w:vAlign w:val="center"/>
          </w:tcPr>
          <w:p w14:paraId="4E02988F">
            <w:pPr>
              <w:wordWrap w:val="0"/>
              <w:adjustRightInd w:val="0"/>
              <w:snapToGrid w:val="0"/>
              <w:spacing w:line="360" w:lineRule="auto"/>
              <w:rPr>
                <w:rFonts w:hint="eastAsia" w:ascii="宋体" w:hAnsi="宋体" w:eastAsia="宋体" w:cs="宋体"/>
                <w:szCs w:val="21"/>
                <w:u w:val="single"/>
              </w:rPr>
            </w:pPr>
            <w:r>
              <w:rPr>
                <w:rFonts w:hint="eastAsia" w:ascii="宋体" w:hAnsi="宋体" w:cs="宋体"/>
                <w:szCs w:val="21"/>
                <w:u w:val="single"/>
                <w:lang w:eastAsia="zh-CN"/>
              </w:rPr>
              <w:t>湘潭县2024年高标准农田建设项目初步验收第三方技术服务单位遴选</w:t>
            </w:r>
            <w:r>
              <w:rPr>
                <w:rFonts w:hint="eastAsia" w:ascii="宋体" w:hAnsi="宋体" w:eastAsia="宋体" w:cs="宋体"/>
                <w:szCs w:val="21"/>
              </w:rPr>
              <w:t>响应文件</w:t>
            </w:r>
          </w:p>
          <w:p w14:paraId="59B001BD">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bCs/>
                <w:szCs w:val="21"/>
              </w:rPr>
              <w:t>委托代理编号：</w:t>
            </w:r>
            <w:r>
              <w:rPr>
                <w:rFonts w:hint="eastAsia" w:ascii="宋体" w:hAnsi="宋体" w:cs="宋体"/>
                <w:bCs/>
                <w:szCs w:val="21"/>
                <w:lang w:eastAsia="zh-CN"/>
              </w:rPr>
              <w:t>HNCSZB-2025-CG-022</w:t>
            </w:r>
          </w:p>
          <w:p w14:paraId="780678CA">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供应商名称：</w:t>
            </w:r>
          </w:p>
          <w:p w14:paraId="2694CD80">
            <w:pPr>
              <w:wordWrap w:val="0"/>
              <w:adjustRightInd w:val="0"/>
              <w:snapToGrid w:val="0"/>
              <w:spacing w:line="360" w:lineRule="auto"/>
              <w:rPr>
                <w:rFonts w:hint="eastAsia" w:ascii="宋体" w:hAnsi="宋体" w:eastAsia="宋体" w:cs="宋体"/>
                <w:szCs w:val="21"/>
              </w:rPr>
            </w:pPr>
            <w:r>
              <w:rPr>
                <w:rFonts w:hint="eastAsia" w:ascii="宋体" w:hAnsi="宋体" w:eastAsia="宋体" w:cs="宋体"/>
                <w:color w:val="auto"/>
                <w:szCs w:val="21"/>
              </w:rPr>
              <w:t xml:space="preserve">在 </w:t>
            </w:r>
            <w:r>
              <w:rPr>
                <w:rFonts w:hint="eastAsia" w:ascii="宋体" w:hAnsi="宋体" w:cs="宋体"/>
                <w:color w:val="auto"/>
                <w:szCs w:val="21"/>
                <w:lang w:eastAsia="zh-CN"/>
              </w:rPr>
              <w:t>2025年</w:t>
            </w:r>
            <w:r>
              <w:rPr>
                <w:rFonts w:hint="eastAsia" w:ascii="宋体" w:hAnsi="宋体" w:cs="宋体"/>
                <w:color w:val="auto"/>
                <w:szCs w:val="21"/>
                <w:lang w:val="en-US" w:eastAsia="zh-CN"/>
              </w:rPr>
              <w:t>4</w:t>
            </w:r>
            <w:r>
              <w:rPr>
                <w:rFonts w:hint="eastAsia" w:ascii="宋体" w:hAnsi="宋体" w:eastAsia="宋体" w:cs="宋体"/>
                <w:color w:val="auto"/>
                <w:szCs w:val="21"/>
              </w:rPr>
              <w:t>月</w:t>
            </w:r>
            <w:r>
              <w:rPr>
                <w:rFonts w:hint="eastAsia" w:ascii="宋体" w:hAnsi="宋体" w:cs="宋体"/>
                <w:color w:val="auto"/>
                <w:szCs w:val="21"/>
                <w:lang w:val="en-US" w:eastAsia="zh-CN"/>
              </w:rPr>
              <w:t>30</w:t>
            </w:r>
            <w:r>
              <w:rPr>
                <w:rFonts w:hint="eastAsia" w:ascii="宋体" w:hAnsi="宋体" w:eastAsia="宋体" w:cs="宋体"/>
                <w:color w:val="auto"/>
                <w:szCs w:val="21"/>
              </w:rPr>
              <w:t>日</w:t>
            </w:r>
            <w:r>
              <w:rPr>
                <w:rFonts w:hint="eastAsia" w:ascii="宋体" w:hAnsi="宋体" w:cs="宋体"/>
                <w:color w:val="auto"/>
                <w:szCs w:val="21"/>
                <w:lang w:val="en-US" w:eastAsia="zh-CN"/>
              </w:rPr>
              <w:t>14</w:t>
            </w:r>
            <w:r>
              <w:rPr>
                <w:rFonts w:hint="eastAsia" w:ascii="宋体" w:hAnsi="宋体" w:eastAsia="宋体" w:cs="宋体"/>
                <w:color w:val="auto"/>
                <w:szCs w:val="21"/>
              </w:rPr>
              <w:t>时30分之</w:t>
            </w:r>
            <w:r>
              <w:rPr>
                <w:rFonts w:hint="eastAsia" w:ascii="宋体" w:hAnsi="宋体" w:eastAsia="宋体" w:cs="宋体"/>
                <w:szCs w:val="21"/>
              </w:rPr>
              <w:t>前不得启封</w:t>
            </w:r>
          </w:p>
        </w:tc>
      </w:tr>
      <w:tr w14:paraId="4FCF6CF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95" w:type="dxa"/>
            <w:noWrap/>
            <w:vAlign w:val="center"/>
          </w:tcPr>
          <w:p w14:paraId="7D7B5C4F">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7B02E1C2">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第24.1款</w:t>
            </w:r>
          </w:p>
        </w:tc>
        <w:tc>
          <w:tcPr>
            <w:tcW w:w="1776" w:type="dxa"/>
            <w:noWrap/>
            <w:vAlign w:val="center"/>
          </w:tcPr>
          <w:p w14:paraId="1597BE7F">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响应文件的</w:t>
            </w:r>
          </w:p>
          <w:p w14:paraId="036697B2">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递交地点</w:t>
            </w:r>
          </w:p>
        </w:tc>
        <w:tc>
          <w:tcPr>
            <w:tcW w:w="6725" w:type="dxa"/>
            <w:noWrap/>
            <w:vAlign w:val="center"/>
          </w:tcPr>
          <w:p w14:paraId="3622412F">
            <w:pPr>
              <w:adjustRightInd w:val="0"/>
              <w:snapToGrid w:val="0"/>
              <w:spacing w:line="360" w:lineRule="auto"/>
              <w:rPr>
                <w:rFonts w:hint="eastAsia" w:ascii="宋体" w:hAnsi="宋体" w:eastAsia="宋体" w:cs="宋体"/>
                <w:strike/>
                <w:szCs w:val="21"/>
              </w:rPr>
            </w:pPr>
            <w:r>
              <w:rPr>
                <w:rFonts w:hint="eastAsia" w:ascii="宋体" w:hAnsi="宋体" w:eastAsia="宋体" w:cs="宋体"/>
                <w:lang w:val="en-US" w:eastAsia="zh-CN"/>
              </w:rPr>
              <w:t>湘潭县农业发展服务中心</w:t>
            </w:r>
            <w:r>
              <w:rPr>
                <w:rFonts w:hint="eastAsia" w:ascii="宋体" w:hAnsi="宋体" w:eastAsia="宋体" w:cs="宋体"/>
              </w:rPr>
              <w:t>（地址：</w:t>
            </w:r>
            <w:r>
              <w:rPr>
                <w:rFonts w:hint="eastAsia" w:ascii="宋体" w:hAnsi="宋体" w:eastAsia="宋体" w:cs="宋体"/>
                <w:lang w:val="en-US" w:eastAsia="zh-CN"/>
              </w:rPr>
              <w:t>湘潭县易俗河镇金桂北路81号四楼会议室</w:t>
            </w:r>
            <w:r>
              <w:rPr>
                <w:rFonts w:hint="eastAsia" w:ascii="宋体" w:hAnsi="宋体" w:eastAsia="宋体" w:cs="宋体"/>
              </w:rPr>
              <w:t>）</w:t>
            </w:r>
          </w:p>
        </w:tc>
      </w:tr>
      <w:tr w14:paraId="40643D2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9696" w:type="dxa"/>
            <w:gridSpan w:val="3"/>
            <w:noWrap/>
            <w:vAlign w:val="center"/>
          </w:tcPr>
          <w:p w14:paraId="2C171F33">
            <w:pPr>
              <w:wordWrap w:val="0"/>
              <w:adjustRightInd w:val="0"/>
              <w:snapToGrid w:val="0"/>
              <w:rPr>
                <w:rFonts w:hint="eastAsia" w:ascii="宋体" w:hAnsi="宋体" w:eastAsia="宋体" w:cs="宋体"/>
                <w:szCs w:val="21"/>
              </w:rPr>
            </w:pPr>
            <w:r>
              <w:rPr>
                <w:rFonts w:hint="eastAsia" w:ascii="宋体" w:hAnsi="宋体" w:eastAsia="宋体" w:cs="宋体"/>
                <w:b/>
                <w:bCs/>
                <w:szCs w:val="21"/>
              </w:rPr>
              <w:t>五、响应文件的磋商与评审</w:t>
            </w:r>
          </w:p>
        </w:tc>
      </w:tr>
      <w:tr w14:paraId="32C5B5D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1195" w:type="dxa"/>
            <w:noWrap/>
            <w:vAlign w:val="center"/>
          </w:tcPr>
          <w:p w14:paraId="06BF7D2C">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第二章第31.2款</w:t>
            </w:r>
          </w:p>
        </w:tc>
        <w:tc>
          <w:tcPr>
            <w:tcW w:w="1776" w:type="dxa"/>
            <w:noWrap/>
            <w:vAlign w:val="center"/>
          </w:tcPr>
          <w:p w14:paraId="42859F79">
            <w:pPr>
              <w:wordWrap w:val="0"/>
              <w:adjustRightInd w:val="0"/>
              <w:snapToGrid w:val="0"/>
              <w:jc w:val="left"/>
              <w:rPr>
                <w:rFonts w:hint="eastAsia" w:ascii="宋体" w:hAnsi="宋体" w:eastAsia="宋体" w:cs="宋体"/>
                <w:szCs w:val="21"/>
              </w:rPr>
            </w:pPr>
            <w:r>
              <w:rPr>
                <w:rFonts w:hint="eastAsia" w:ascii="宋体" w:hAnsi="宋体" w:eastAsia="宋体" w:cs="宋体"/>
                <w:szCs w:val="21"/>
              </w:rPr>
              <w:t>评审因素和标准</w:t>
            </w:r>
          </w:p>
        </w:tc>
        <w:tc>
          <w:tcPr>
            <w:tcW w:w="6725" w:type="dxa"/>
            <w:noWrap/>
            <w:vAlign w:val="center"/>
          </w:tcPr>
          <w:p w14:paraId="23104F2C">
            <w:pPr>
              <w:wordWrap w:val="0"/>
              <w:adjustRightInd w:val="0"/>
              <w:snapToGrid w:val="0"/>
              <w:rPr>
                <w:rFonts w:hint="eastAsia" w:ascii="宋体" w:hAnsi="宋体" w:eastAsia="宋体" w:cs="宋体"/>
                <w:bCs/>
                <w:szCs w:val="21"/>
                <w:lang w:eastAsia="zh-CN"/>
              </w:rPr>
            </w:pPr>
            <w:r>
              <w:rPr>
                <w:rFonts w:hint="eastAsia" w:ascii="宋体" w:hAnsi="宋体" w:eastAsia="宋体" w:cs="宋体"/>
                <w:bCs/>
                <w:szCs w:val="21"/>
              </w:rPr>
              <w:t>见附页</w:t>
            </w:r>
            <w:r>
              <w:rPr>
                <w:rFonts w:hint="eastAsia" w:ascii="宋体" w:hAnsi="宋体" w:eastAsia="宋体" w:cs="宋体"/>
                <w:bCs/>
                <w:szCs w:val="21"/>
                <w:lang w:val="en-US" w:eastAsia="zh-CN"/>
              </w:rPr>
              <w:t>1</w:t>
            </w:r>
          </w:p>
        </w:tc>
      </w:tr>
      <w:tr w14:paraId="525D3D9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6" w:hRule="atLeast"/>
          <w:jc w:val="center"/>
        </w:trPr>
        <w:tc>
          <w:tcPr>
            <w:tcW w:w="1195" w:type="dxa"/>
            <w:noWrap/>
            <w:vAlign w:val="center"/>
          </w:tcPr>
          <w:p w14:paraId="1876DDF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第二章第31.3款</w:t>
            </w:r>
          </w:p>
        </w:tc>
        <w:tc>
          <w:tcPr>
            <w:tcW w:w="1776" w:type="dxa"/>
            <w:noWrap/>
            <w:vAlign w:val="center"/>
          </w:tcPr>
          <w:p w14:paraId="6D681911">
            <w:pPr>
              <w:wordWrap w:val="0"/>
              <w:adjustRightInd w:val="0"/>
              <w:snapToGrid w:val="0"/>
              <w:jc w:val="center"/>
              <w:rPr>
                <w:rFonts w:hint="eastAsia" w:ascii="宋体" w:hAnsi="宋体" w:eastAsia="宋体" w:cs="宋体"/>
                <w:szCs w:val="21"/>
              </w:rPr>
            </w:pPr>
            <w:r>
              <w:rPr>
                <w:rFonts w:hint="eastAsia" w:ascii="宋体" w:hAnsi="宋体" w:eastAsia="宋体" w:cs="宋体"/>
                <w:kern w:val="0"/>
                <w:szCs w:val="21"/>
              </w:rPr>
              <w:t>最后报价</w:t>
            </w:r>
            <w:r>
              <w:rPr>
                <w:rFonts w:hint="eastAsia" w:ascii="宋体" w:hAnsi="宋体" w:eastAsia="宋体" w:cs="宋体"/>
                <w:szCs w:val="21"/>
              </w:rPr>
              <w:t>调整</w:t>
            </w:r>
          </w:p>
        </w:tc>
        <w:tc>
          <w:tcPr>
            <w:tcW w:w="6725" w:type="dxa"/>
            <w:noWrap/>
            <w:vAlign w:val="center"/>
          </w:tcPr>
          <w:p w14:paraId="5027AF31">
            <w:pPr>
              <w:wordWrap w:val="0"/>
              <w:adjustRightInd w:val="0"/>
              <w:snapToGrid w:val="0"/>
              <w:spacing w:line="288" w:lineRule="auto"/>
              <w:rPr>
                <w:rFonts w:hint="eastAsia" w:ascii="宋体" w:hAnsi="宋体" w:eastAsia="宋体" w:cs="宋体"/>
                <w:szCs w:val="21"/>
              </w:rPr>
            </w:pPr>
            <w:r>
              <w:rPr>
                <w:rFonts w:hint="eastAsia" w:ascii="宋体" w:hAnsi="宋体" w:eastAsia="宋体" w:cs="宋体"/>
                <w:szCs w:val="21"/>
              </w:rPr>
              <w:t>\</w:t>
            </w:r>
          </w:p>
        </w:tc>
      </w:tr>
      <w:tr w14:paraId="01DA870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6" w:hRule="atLeast"/>
          <w:jc w:val="center"/>
        </w:trPr>
        <w:tc>
          <w:tcPr>
            <w:tcW w:w="1195" w:type="dxa"/>
            <w:noWrap/>
            <w:vAlign w:val="center"/>
          </w:tcPr>
          <w:p w14:paraId="552443F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第二章第31.5款</w:t>
            </w:r>
          </w:p>
        </w:tc>
        <w:tc>
          <w:tcPr>
            <w:tcW w:w="1776" w:type="dxa"/>
            <w:noWrap/>
            <w:vAlign w:val="center"/>
          </w:tcPr>
          <w:p w14:paraId="672C14D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技术、商务、价格</w:t>
            </w:r>
            <w:r>
              <w:rPr>
                <w:rFonts w:hint="eastAsia" w:ascii="宋体" w:hAnsi="宋体" w:eastAsia="宋体" w:cs="宋体"/>
                <w:kern w:val="0"/>
                <w:szCs w:val="21"/>
              </w:rPr>
              <w:t>得分或总得分</w:t>
            </w:r>
            <w:r>
              <w:rPr>
                <w:rFonts w:hint="eastAsia" w:ascii="宋体" w:hAnsi="宋体" w:eastAsia="宋体" w:cs="宋体"/>
                <w:szCs w:val="21"/>
              </w:rPr>
              <w:t>调整</w:t>
            </w:r>
          </w:p>
        </w:tc>
        <w:tc>
          <w:tcPr>
            <w:tcW w:w="6725" w:type="dxa"/>
            <w:noWrap/>
            <w:vAlign w:val="center"/>
          </w:tcPr>
          <w:p w14:paraId="629CCC34">
            <w:pPr>
              <w:wordWrap w:val="0"/>
              <w:adjustRightInd w:val="0"/>
              <w:snapToGrid w:val="0"/>
              <w:rPr>
                <w:rFonts w:hint="eastAsia" w:ascii="宋体" w:hAnsi="宋体" w:eastAsia="宋体" w:cs="宋体"/>
                <w:szCs w:val="21"/>
              </w:rPr>
            </w:pPr>
            <w:r>
              <w:rPr>
                <w:rFonts w:hint="eastAsia" w:ascii="宋体" w:hAnsi="宋体" w:eastAsia="宋体" w:cs="宋体"/>
                <w:szCs w:val="21"/>
              </w:rPr>
              <w:t>\</w:t>
            </w:r>
          </w:p>
        </w:tc>
      </w:tr>
      <w:tr w14:paraId="69202C6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6" w:hRule="atLeast"/>
          <w:jc w:val="center"/>
        </w:trPr>
        <w:tc>
          <w:tcPr>
            <w:tcW w:w="1195" w:type="dxa"/>
            <w:noWrap/>
            <w:vAlign w:val="center"/>
          </w:tcPr>
          <w:p w14:paraId="5B45CCA9">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第二章第31.6款</w:t>
            </w:r>
          </w:p>
        </w:tc>
        <w:tc>
          <w:tcPr>
            <w:tcW w:w="1776" w:type="dxa"/>
            <w:noWrap/>
            <w:vAlign w:val="center"/>
          </w:tcPr>
          <w:p w14:paraId="63166754">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多处或部分获得政府采购政策优惠的计算方法</w:t>
            </w:r>
          </w:p>
        </w:tc>
        <w:tc>
          <w:tcPr>
            <w:tcW w:w="6725" w:type="dxa"/>
            <w:noWrap/>
            <w:vAlign w:val="center"/>
          </w:tcPr>
          <w:p w14:paraId="284B37B2">
            <w:pPr>
              <w:wordWrap w:val="0"/>
              <w:adjustRightInd w:val="0"/>
              <w:snapToGrid w:val="0"/>
              <w:rPr>
                <w:rFonts w:hint="eastAsia" w:ascii="宋体" w:hAnsi="宋体" w:eastAsia="宋体" w:cs="宋体"/>
                <w:szCs w:val="21"/>
              </w:rPr>
            </w:pPr>
            <w:r>
              <w:rPr>
                <w:rFonts w:hint="eastAsia" w:ascii="宋体" w:hAnsi="宋体" w:eastAsia="宋体" w:cs="宋体"/>
                <w:szCs w:val="21"/>
              </w:rPr>
              <w:t>\</w:t>
            </w:r>
          </w:p>
        </w:tc>
      </w:tr>
      <w:tr w14:paraId="7F99FAD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9" w:hRule="atLeast"/>
          <w:jc w:val="center"/>
        </w:trPr>
        <w:tc>
          <w:tcPr>
            <w:tcW w:w="9696" w:type="dxa"/>
            <w:gridSpan w:val="3"/>
            <w:noWrap/>
            <w:vAlign w:val="center"/>
          </w:tcPr>
          <w:p w14:paraId="368DF20D">
            <w:pPr>
              <w:wordWrap w:val="0"/>
              <w:adjustRightInd w:val="0"/>
              <w:snapToGrid w:val="0"/>
              <w:rPr>
                <w:rFonts w:hint="eastAsia" w:ascii="宋体" w:hAnsi="宋体" w:eastAsia="宋体" w:cs="宋体"/>
                <w:szCs w:val="21"/>
              </w:rPr>
            </w:pPr>
            <w:r>
              <w:rPr>
                <w:rFonts w:hint="eastAsia" w:ascii="宋体" w:hAnsi="宋体" w:eastAsia="宋体" w:cs="宋体"/>
                <w:b/>
                <w:szCs w:val="21"/>
              </w:rPr>
              <w:t>六、成交结果信息公布与授予合同</w:t>
            </w:r>
          </w:p>
        </w:tc>
      </w:tr>
      <w:tr w14:paraId="775BA0A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195" w:type="dxa"/>
            <w:noWrap/>
            <w:vAlign w:val="center"/>
          </w:tcPr>
          <w:p w14:paraId="2971BA44">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06BA540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第37.1款</w:t>
            </w:r>
          </w:p>
        </w:tc>
        <w:tc>
          <w:tcPr>
            <w:tcW w:w="1776" w:type="dxa"/>
            <w:noWrap/>
            <w:vAlign w:val="center"/>
          </w:tcPr>
          <w:p w14:paraId="72143142">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公示的媒体</w:t>
            </w:r>
          </w:p>
        </w:tc>
        <w:tc>
          <w:tcPr>
            <w:tcW w:w="6725" w:type="dxa"/>
            <w:noWrap/>
            <w:vAlign w:val="center"/>
          </w:tcPr>
          <w:p w14:paraId="2460E664">
            <w:pPr>
              <w:wordWrap w:val="0"/>
              <w:adjustRightInd w:val="0"/>
              <w:snapToGrid w:val="0"/>
              <w:rPr>
                <w:rFonts w:hint="eastAsia" w:ascii="宋体" w:hAnsi="宋体" w:eastAsia="宋体" w:cs="宋体"/>
                <w:szCs w:val="21"/>
              </w:rPr>
            </w:pPr>
            <w:r>
              <w:rPr>
                <w:rFonts w:hint="eastAsia" w:ascii="宋体" w:hAnsi="宋体" w:eastAsia="宋体" w:cs="宋体"/>
                <w:szCs w:val="21"/>
                <w:lang w:val="en-US" w:eastAsia="zh-CN"/>
              </w:rPr>
              <w:t>湘潭县农业发展服务中心官网</w:t>
            </w:r>
          </w:p>
        </w:tc>
      </w:tr>
      <w:tr w14:paraId="51D1575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1" w:hRule="atLeast"/>
          <w:jc w:val="center"/>
        </w:trPr>
        <w:tc>
          <w:tcPr>
            <w:tcW w:w="1195" w:type="dxa"/>
            <w:noWrap/>
            <w:vAlign w:val="center"/>
          </w:tcPr>
          <w:p w14:paraId="4AEBA356">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321944D6">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第39.3款</w:t>
            </w:r>
          </w:p>
        </w:tc>
        <w:tc>
          <w:tcPr>
            <w:tcW w:w="1776" w:type="dxa"/>
            <w:noWrap/>
            <w:vAlign w:val="center"/>
          </w:tcPr>
          <w:p w14:paraId="3E7F6F4E">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履约担保</w:t>
            </w:r>
          </w:p>
        </w:tc>
        <w:tc>
          <w:tcPr>
            <w:tcW w:w="6725" w:type="dxa"/>
            <w:noWrap/>
            <w:vAlign w:val="center"/>
          </w:tcPr>
          <w:p w14:paraId="08AC3624">
            <w:pPr>
              <w:wordWrap w:val="0"/>
              <w:spacing w:line="360" w:lineRule="auto"/>
              <w:rPr>
                <w:rFonts w:hint="eastAsia" w:ascii="宋体" w:hAnsi="宋体" w:eastAsia="宋体" w:cs="宋体"/>
                <w:szCs w:val="21"/>
              </w:rPr>
            </w:pPr>
            <w:r>
              <w:rPr>
                <w:rFonts w:hint="eastAsia" w:ascii="宋体" w:hAnsi="宋体" w:eastAsia="宋体" w:cs="宋体"/>
                <w:szCs w:val="21"/>
              </w:rPr>
              <w:t>■ 不要求提供</w:t>
            </w:r>
          </w:p>
          <w:p w14:paraId="1658851C">
            <w:pPr>
              <w:pStyle w:val="13"/>
              <w:ind w:firstLine="0"/>
              <w:rPr>
                <w:rFonts w:hint="eastAsia" w:ascii="宋体" w:hAnsi="宋体" w:eastAsia="宋体" w:cs="宋体"/>
                <w:szCs w:val="21"/>
              </w:rPr>
            </w:pPr>
            <w:r>
              <w:rPr>
                <w:rFonts w:hint="eastAsia" w:ascii="宋体" w:hAnsi="宋体" w:eastAsia="宋体" w:cs="宋体"/>
                <w:kern w:val="2"/>
                <w:sz w:val="21"/>
                <w:szCs w:val="21"/>
              </w:rPr>
              <w:t>□要求提供</w:t>
            </w:r>
          </w:p>
        </w:tc>
      </w:tr>
      <w:tr w14:paraId="438E6E2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 w:hRule="atLeast"/>
          <w:jc w:val="center"/>
        </w:trPr>
        <w:tc>
          <w:tcPr>
            <w:tcW w:w="9696" w:type="dxa"/>
            <w:gridSpan w:val="3"/>
            <w:noWrap/>
            <w:vAlign w:val="center"/>
          </w:tcPr>
          <w:p w14:paraId="415991CA">
            <w:pPr>
              <w:wordWrap w:val="0"/>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七、其他规定</w:t>
            </w:r>
          </w:p>
        </w:tc>
      </w:tr>
      <w:tr w14:paraId="5D5FB65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54" w:hRule="atLeast"/>
          <w:jc w:val="center"/>
        </w:trPr>
        <w:tc>
          <w:tcPr>
            <w:tcW w:w="1195" w:type="dxa"/>
            <w:noWrap/>
            <w:vAlign w:val="center"/>
          </w:tcPr>
          <w:p w14:paraId="75BBE6A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4FF02D77">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第41.1款</w:t>
            </w:r>
          </w:p>
        </w:tc>
        <w:tc>
          <w:tcPr>
            <w:tcW w:w="1776" w:type="dxa"/>
            <w:noWrap/>
            <w:vAlign w:val="center"/>
          </w:tcPr>
          <w:p w14:paraId="58174FB2">
            <w:pPr>
              <w:wordWrap w:val="0"/>
              <w:adjustRightInd w:val="0"/>
              <w:snapToGrid w:val="0"/>
              <w:spacing w:line="360" w:lineRule="auto"/>
              <w:jc w:val="center"/>
              <w:rPr>
                <w:rFonts w:hint="eastAsia" w:ascii="宋体" w:hAnsi="宋体" w:eastAsia="宋体" w:cs="宋体"/>
                <w:szCs w:val="21"/>
              </w:rPr>
            </w:pPr>
            <w:r>
              <w:rPr>
                <w:rFonts w:hint="eastAsia" w:ascii="宋体" w:hAnsi="宋体" w:cs="宋体"/>
                <w:szCs w:val="21"/>
                <w:lang w:eastAsia="zh-CN"/>
              </w:rPr>
              <w:t>招标代理</w:t>
            </w:r>
            <w:r>
              <w:rPr>
                <w:rFonts w:hint="eastAsia" w:ascii="宋体" w:hAnsi="宋体" w:eastAsia="宋体" w:cs="宋体"/>
                <w:szCs w:val="21"/>
              </w:rPr>
              <w:t>服务费</w:t>
            </w:r>
          </w:p>
        </w:tc>
        <w:tc>
          <w:tcPr>
            <w:tcW w:w="6725" w:type="dxa"/>
            <w:noWrap/>
            <w:vAlign w:val="center"/>
          </w:tcPr>
          <w:p w14:paraId="6D34F78F">
            <w:pPr>
              <w:wordWrap w:val="0"/>
              <w:adjustRightInd w:val="0"/>
              <w:snapToGrid w:val="0"/>
              <w:spacing w:line="360" w:lineRule="auto"/>
              <w:rPr>
                <w:rFonts w:hint="eastAsia" w:ascii="宋体" w:hAnsi="宋体" w:eastAsia="宋体" w:cs="宋体"/>
              </w:rPr>
            </w:pPr>
            <w:r>
              <w:rPr>
                <w:rFonts w:hint="eastAsia" w:ascii="宋体" w:hAnsi="宋体" w:cs="宋体"/>
                <w:szCs w:val="21"/>
                <w:lang w:eastAsia="zh-CN"/>
              </w:rPr>
              <w:t>招标代理机构</w:t>
            </w:r>
            <w:r>
              <w:rPr>
                <w:rFonts w:hint="eastAsia" w:ascii="宋体" w:hAnsi="宋体" w:eastAsia="宋体" w:cs="宋体"/>
                <w:szCs w:val="21"/>
              </w:rPr>
              <w:t>按照与</w:t>
            </w:r>
            <w:r>
              <w:rPr>
                <w:rFonts w:hint="eastAsia" w:ascii="宋体" w:hAnsi="宋体" w:cs="宋体"/>
                <w:szCs w:val="21"/>
                <w:lang w:eastAsia="zh-CN"/>
              </w:rPr>
              <w:t>招标人</w:t>
            </w:r>
            <w:r>
              <w:rPr>
                <w:rFonts w:hint="eastAsia" w:ascii="宋体" w:hAnsi="宋体" w:eastAsia="宋体" w:cs="宋体"/>
                <w:szCs w:val="21"/>
              </w:rPr>
              <w:t>签订的委托代理协议约定</w:t>
            </w:r>
            <w:r>
              <w:rPr>
                <w:rFonts w:hint="eastAsia" w:ascii="宋体" w:hAnsi="宋体" w:eastAsia="宋体" w:cs="宋体"/>
                <w:szCs w:val="21"/>
                <w:lang w:eastAsia="zh-CN"/>
              </w:rPr>
              <w:t>，参照国家计价格</w:t>
            </w:r>
            <w:r>
              <w:rPr>
                <w:rFonts w:hint="eastAsia" w:ascii="宋体" w:hAnsi="宋体" w:cs="宋体"/>
                <w:szCs w:val="21"/>
                <w:lang w:eastAsia="zh-CN"/>
              </w:rPr>
              <w:t>〔2002〕1980号</w:t>
            </w:r>
            <w:r>
              <w:rPr>
                <w:rFonts w:hint="eastAsia" w:ascii="宋体" w:hAnsi="宋体" w:eastAsia="宋体" w:cs="宋体"/>
                <w:szCs w:val="21"/>
                <w:lang w:eastAsia="zh-CN"/>
              </w:rPr>
              <w:t>文件规定的</w:t>
            </w:r>
            <w:r>
              <w:rPr>
                <w:rFonts w:hint="eastAsia" w:ascii="宋体" w:hAnsi="宋体" w:cs="宋体"/>
                <w:szCs w:val="21"/>
                <w:lang w:eastAsia="zh-CN"/>
              </w:rPr>
              <w:t>服务</w:t>
            </w:r>
            <w:r>
              <w:rPr>
                <w:rFonts w:hint="eastAsia" w:ascii="宋体" w:hAnsi="宋体" w:eastAsia="宋体" w:cs="宋体"/>
                <w:szCs w:val="21"/>
                <w:lang w:eastAsia="zh-CN"/>
              </w:rPr>
              <w:t>类收费标准</w:t>
            </w:r>
            <w:r>
              <w:rPr>
                <w:rFonts w:hint="eastAsia" w:ascii="宋体" w:hAnsi="宋体" w:cs="宋体"/>
                <w:szCs w:val="21"/>
                <w:lang w:eastAsia="zh-CN"/>
              </w:rPr>
              <w:t>的</w:t>
            </w:r>
            <w:r>
              <w:rPr>
                <w:rFonts w:hint="eastAsia" w:ascii="宋体" w:hAnsi="宋体" w:cs="宋体"/>
                <w:szCs w:val="21"/>
                <w:lang w:val="en-US" w:eastAsia="zh-CN"/>
              </w:rPr>
              <w:t>80%</w:t>
            </w:r>
            <w:r>
              <w:rPr>
                <w:rFonts w:hint="eastAsia" w:ascii="宋体" w:hAnsi="宋体" w:eastAsia="宋体" w:cs="宋体"/>
                <w:szCs w:val="21"/>
              </w:rPr>
              <w:t>收取</w:t>
            </w:r>
            <w:r>
              <w:rPr>
                <w:rFonts w:hint="eastAsia" w:ascii="宋体" w:hAnsi="宋体" w:eastAsia="宋体" w:cs="宋体"/>
                <w:szCs w:val="21"/>
                <w:lang w:eastAsia="zh-CN"/>
              </w:rPr>
              <w:t>；</w:t>
            </w:r>
            <w:r>
              <w:rPr>
                <w:rFonts w:hint="eastAsia" w:ascii="宋体" w:hAnsi="宋体" w:eastAsia="宋体" w:cs="宋体"/>
                <w:szCs w:val="21"/>
                <w:lang w:val="en-US" w:eastAsia="zh-CN"/>
              </w:rPr>
              <w:t>本项目预算金额中已包含</w:t>
            </w:r>
            <w:r>
              <w:rPr>
                <w:rFonts w:hint="eastAsia" w:ascii="宋体" w:hAnsi="宋体" w:cs="宋体"/>
                <w:szCs w:val="21"/>
                <w:lang w:val="en-US" w:eastAsia="zh-CN"/>
              </w:rPr>
              <w:t>招标代理</w:t>
            </w:r>
            <w:r>
              <w:rPr>
                <w:rFonts w:hint="eastAsia" w:ascii="宋体" w:hAnsi="宋体" w:eastAsia="宋体" w:cs="宋体"/>
                <w:szCs w:val="21"/>
                <w:lang w:val="en-US" w:eastAsia="zh-CN"/>
              </w:rPr>
              <w:t>服务费和专家评审费。由</w:t>
            </w:r>
            <w:r>
              <w:rPr>
                <w:rFonts w:hint="eastAsia" w:ascii="宋体" w:hAnsi="宋体" w:eastAsia="宋体" w:cs="宋体"/>
                <w:szCs w:val="21"/>
              </w:rPr>
              <w:t>成交单位在领取中标通知书时一次性支付。</w:t>
            </w:r>
          </w:p>
        </w:tc>
      </w:tr>
      <w:tr w14:paraId="3322B98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195" w:type="dxa"/>
            <w:vMerge w:val="restart"/>
            <w:noWrap/>
            <w:vAlign w:val="center"/>
          </w:tcPr>
          <w:p w14:paraId="09FA0BC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70BC1428">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第42.1款</w:t>
            </w:r>
          </w:p>
        </w:tc>
        <w:tc>
          <w:tcPr>
            <w:tcW w:w="1776" w:type="dxa"/>
            <w:noWrap/>
            <w:vAlign w:val="center"/>
          </w:tcPr>
          <w:p w14:paraId="4D6F440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其他规定</w:t>
            </w:r>
          </w:p>
        </w:tc>
        <w:tc>
          <w:tcPr>
            <w:tcW w:w="6725" w:type="dxa"/>
            <w:noWrap/>
            <w:vAlign w:val="center"/>
          </w:tcPr>
          <w:p w14:paraId="6BB5D30A">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无</w:t>
            </w:r>
          </w:p>
        </w:tc>
      </w:tr>
      <w:tr w14:paraId="53F5235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195" w:type="dxa"/>
            <w:vMerge w:val="continue"/>
            <w:noWrap/>
            <w:vAlign w:val="center"/>
          </w:tcPr>
          <w:p w14:paraId="79A16A5C">
            <w:pPr>
              <w:wordWrap w:val="0"/>
              <w:adjustRightInd w:val="0"/>
              <w:snapToGrid w:val="0"/>
              <w:jc w:val="center"/>
              <w:rPr>
                <w:rFonts w:hint="eastAsia" w:ascii="宋体" w:hAnsi="宋体" w:eastAsia="宋体" w:cs="宋体"/>
                <w:szCs w:val="21"/>
              </w:rPr>
            </w:pPr>
          </w:p>
        </w:tc>
        <w:tc>
          <w:tcPr>
            <w:tcW w:w="1776" w:type="dxa"/>
            <w:noWrap/>
            <w:vAlign w:val="center"/>
          </w:tcPr>
          <w:p w14:paraId="342CEEBD">
            <w:pPr>
              <w:adjustRightInd w:val="0"/>
              <w:snapToGrid w:val="0"/>
              <w:spacing w:line="360" w:lineRule="exact"/>
              <w:jc w:val="center"/>
              <w:rPr>
                <w:rFonts w:hint="eastAsia" w:ascii="宋体" w:hAnsi="宋体" w:eastAsia="宋体" w:cs="宋体"/>
              </w:rPr>
            </w:pPr>
            <w:r>
              <w:rPr>
                <w:rFonts w:hint="eastAsia" w:ascii="宋体" w:hAnsi="宋体" w:eastAsia="宋体" w:cs="宋体"/>
              </w:rPr>
              <w:t>接收质疑函的联系部门、联系电话和通讯地址</w:t>
            </w:r>
          </w:p>
        </w:tc>
        <w:tc>
          <w:tcPr>
            <w:tcW w:w="6725" w:type="dxa"/>
            <w:noWrap/>
            <w:vAlign w:val="center"/>
          </w:tcPr>
          <w:p w14:paraId="4E33D7E7">
            <w:pPr>
              <w:spacing w:line="360" w:lineRule="exact"/>
              <w:rPr>
                <w:rFonts w:hint="eastAsia" w:ascii="宋体" w:hAnsi="宋体" w:eastAsia="宋体" w:cs="宋体"/>
              </w:rPr>
            </w:pPr>
            <w:r>
              <w:rPr>
                <w:rFonts w:hint="eastAsia" w:ascii="宋体" w:hAnsi="宋体" w:eastAsia="宋体" w:cs="宋体"/>
                <w:b/>
              </w:rPr>
              <w:t>1、接收质疑函的方式：</w:t>
            </w:r>
            <w:r>
              <w:rPr>
                <w:rFonts w:hint="eastAsia" w:ascii="宋体" w:hAnsi="宋体" w:eastAsia="宋体" w:cs="宋体"/>
                <w:bCs/>
              </w:rPr>
              <w:t>参照</w:t>
            </w:r>
            <w:r>
              <w:rPr>
                <w:rFonts w:hint="eastAsia" w:ascii="宋体" w:hAnsi="宋体" w:eastAsia="宋体" w:cs="宋体"/>
              </w:rPr>
              <w:t>《湖南省财政厅关于印发&lt;政府采购质疑答复和投诉处理操作规程&gt;的通知》（湘财购</w:t>
            </w:r>
            <w:r>
              <w:rPr>
                <w:rFonts w:hint="eastAsia" w:ascii="宋体" w:hAnsi="宋体" w:cs="宋体"/>
                <w:lang w:eastAsia="zh-CN"/>
              </w:rPr>
              <w:t>〔2019〕20号</w:t>
            </w:r>
            <w:r>
              <w:rPr>
                <w:rFonts w:hint="eastAsia" w:ascii="宋体" w:hAnsi="宋体" w:eastAsia="宋体" w:cs="宋体"/>
              </w:rPr>
              <w:t>）规定向招标人和</w:t>
            </w:r>
            <w:r>
              <w:rPr>
                <w:rFonts w:hint="eastAsia" w:ascii="宋体" w:hAnsi="宋体" w:cs="宋体"/>
                <w:lang w:eastAsia="zh-CN"/>
              </w:rPr>
              <w:t>招标代理机构</w:t>
            </w:r>
            <w:r>
              <w:rPr>
                <w:rFonts w:hint="eastAsia" w:ascii="宋体" w:hAnsi="宋体" w:eastAsia="宋体" w:cs="宋体"/>
              </w:rPr>
              <w:t>一并提交书面质疑函及相关证明材料。</w:t>
            </w:r>
          </w:p>
          <w:p w14:paraId="70BB852E">
            <w:pPr>
              <w:spacing w:line="360" w:lineRule="exact"/>
              <w:rPr>
                <w:rFonts w:hint="eastAsia" w:ascii="宋体" w:hAnsi="宋体" w:eastAsia="宋体" w:cs="宋体"/>
                <w:b/>
              </w:rPr>
            </w:pPr>
            <w:r>
              <w:rPr>
                <w:rFonts w:hint="eastAsia" w:ascii="宋体" w:hAnsi="宋体" w:eastAsia="宋体" w:cs="宋体"/>
                <w:b/>
              </w:rPr>
              <w:t>2、接收质疑函的联系部门、联系电话和通讯地址：</w:t>
            </w:r>
          </w:p>
          <w:p w14:paraId="07F667B6">
            <w:pPr>
              <w:wordWrap w:val="0"/>
              <w:adjustRightInd w:val="0"/>
              <w:snapToGrid w:val="0"/>
              <w:spacing w:line="336" w:lineRule="auto"/>
              <w:jc w:val="left"/>
              <w:rPr>
                <w:rFonts w:hint="eastAsia" w:ascii="宋体" w:hAnsi="宋体" w:eastAsia="宋体" w:cs="宋体"/>
                <w:szCs w:val="21"/>
                <w:lang w:eastAsia="zh-CN"/>
              </w:rPr>
            </w:pPr>
            <w:r>
              <w:rPr>
                <w:rFonts w:hint="eastAsia" w:ascii="宋体" w:hAnsi="宋体" w:cs="宋体"/>
                <w:szCs w:val="21"/>
                <w:lang w:eastAsia="zh-CN"/>
              </w:rPr>
              <w:t>招标人</w:t>
            </w:r>
            <w:r>
              <w:rPr>
                <w:rFonts w:hint="eastAsia" w:ascii="宋体" w:hAnsi="宋体" w:eastAsia="宋体" w:cs="宋体"/>
                <w:szCs w:val="21"/>
              </w:rPr>
              <w:t>：</w:t>
            </w:r>
            <w:r>
              <w:rPr>
                <w:rFonts w:hint="eastAsia" w:ascii="宋体" w:hAnsi="宋体" w:eastAsia="宋体" w:cs="宋体"/>
                <w:szCs w:val="21"/>
                <w:lang w:eastAsia="zh-CN"/>
              </w:rPr>
              <w:t>湘潭县农业发展服务中心</w:t>
            </w:r>
          </w:p>
          <w:p w14:paraId="64D297D1">
            <w:pPr>
              <w:wordWrap w:val="0"/>
              <w:adjustRightInd w:val="0"/>
              <w:snapToGrid w:val="0"/>
              <w:spacing w:line="336" w:lineRule="auto"/>
              <w:jc w:val="left"/>
              <w:rPr>
                <w:rFonts w:hint="eastAsia" w:ascii="宋体" w:hAnsi="宋体" w:cs="宋体"/>
                <w:szCs w:val="21"/>
                <w:lang w:eastAsia="zh-CN"/>
              </w:rPr>
            </w:pPr>
            <w:r>
              <w:rPr>
                <w:rFonts w:hint="eastAsia" w:ascii="宋体" w:hAnsi="宋体" w:cs="宋体"/>
                <w:szCs w:val="21"/>
                <w:lang w:eastAsia="zh-CN"/>
              </w:rPr>
              <w:t>地  址：湘潭县易俗河镇金桂北路81号</w:t>
            </w:r>
          </w:p>
          <w:p w14:paraId="65C33B82">
            <w:pPr>
              <w:wordWrap w:val="0"/>
              <w:adjustRightInd w:val="0"/>
              <w:snapToGrid w:val="0"/>
              <w:spacing w:line="336" w:lineRule="auto"/>
              <w:jc w:val="left"/>
              <w:rPr>
                <w:rFonts w:hint="eastAsia" w:ascii="宋体" w:hAnsi="宋体" w:cs="宋体"/>
                <w:szCs w:val="21"/>
                <w:lang w:eastAsia="zh-CN"/>
              </w:rPr>
            </w:pPr>
            <w:r>
              <w:rPr>
                <w:rFonts w:hint="eastAsia" w:ascii="宋体" w:hAnsi="宋体" w:cs="宋体"/>
                <w:szCs w:val="21"/>
                <w:lang w:eastAsia="zh-CN"/>
              </w:rPr>
              <w:t>电</w:t>
            </w:r>
            <w:r>
              <w:rPr>
                <w:rFonts w:hint="eastAsia" w:ascii="宋体" w:hAnsi="宋体" w:cs="宋体"/>
                <w:szCs w:val="21"/>
                <w:lang w:val="en-US" w:eastAsia="zh-CN"/>
              </w:rPr>
              <w:t xml:space="preserve">  </w:t>
            </w:r>
            <w:r>
              <w:rPr>
                <w:rFonts w:hint="eastAsia" w:ascii="宋体" w:hAnsi="宋体" w:cs="宋体"/>
                <w:szCs w:val="21"/>
                <w:lang w:eastAsia="zh-CN"/>
              </w:rPr>
              <w:t>话：0731-57820883</w:t>
            </w:r>
          </w:p>
          <w:p w14:paraId="51F05AD0">
            <w:pPr>
              <w:wordWrap w:val="0"/>
              <w:adjustRightInd w:val="0"/>
              <w:snapToGrid w:val="0"/>
              <w:spacing w:line="336" w:lineRule="auto"/>
              <w:jc w:val="left"/>
              <w:rPr>
                <w:rFonts w:hint="eastAsia" w:ascii="宋体" w:hAnsi="宋体" w:cs="宋体"/>
                <w:szCs w:val="21"/>
                <w:lang w:eastAsia="zh-CN"/>
              </w:rPr>
            </w:pPr>
            <w:r>
              <w:rPr>
                <w:rFonts w:hint="eastAsia" w:ascii="宋体" w:hAnsi="宋体" w:cs="宋体"/>
                <w:szCs w:val="21"/>
                <w:lang w:eastAsia="zh-CN"/>
              </w:rPr>
              <w:t>招标代理机构：湖南长顺项目管理有限公司</w:t>
            </w:r>
          </w:p>
          <w:p w14:paraId="76A65E04">
            <w:pPr>
              <w:wordWrap w:val="0"/>
              <w:adjustRightInd w:val="0"/>
              <w:snapToGrid w:val="0"/>
              <w:spacing w:line="336" w:lineRule="auto"/>
              <w:jc w:val="left"/>
              <w:rPr>
                <w:rFonts w:hint="eastAsia" w:ascii="宋体" w:hAnsi="宋体" w:eastAsia="宋体" w:cs="宋体"/>
                <w:szCs w:val="21"/>
                <w:lang w:eastAsia="zh-CN"/>
              </w:rPr>
            </w:pPr>
            <w:r>
              <w:rPr>
                <w:rFonts w:hint="eastAsia" w:ascii="宋体" w:hAnsi="宋体" w:cs="宋体"/>
                <w:szCs w:val="21"/>
                <w:lang w:eastAsia="zh-CN"/>
              </w:rPr>
              <w:t>地址：长沙市雨花</w:t>
            </w:r>
            <w:r>
              <w:rPr>
                <w:rFonts w:hint="eastAsia" w:ascii="宋体" w:hAnsi="宋体" w:cs="宋体"/>
                <w:bCs/>
                <w:szCs w:val="21"/>
                <w:lang w:eastAsia="zh-CN"/>
              </w:rPr>
              <w:t>区新兴路268号</w:t>
            </w:r>
          </w:p>
          <w:p w14:paraId="648CC7A0">
            <w:pPr>
              <w:wordWrap w:val="0"/>
              <w:adjustRightInd w:val="0"/>
              <w:snapToGrid w:val="0"/>
              <w:spacing w:line="336" w:lineRule="auto"/>
              <w:jc w:val="left"/>
              <w:rPr>
                <w:rFonts w:hint="eastAsia" w:ascii="宋体" w:hAnsi="宋体" w:eastAsia="宋体" w:cs="宋体"/>
                <w:szCs w:val="21"/>
                <w:lang w:eastAsia="zh-CN"/>
              </w:rPr>
            </w:pPr>
            <w:r>
              <w:rPr>
                <w:rFonts w:hint="eastAsia" w:ascii="宋体" w:hAnsi="宋体" w:eastAsia="宋体" w:cs="宋体"/>
                <w:szCs w:val="21"/>
              </w:rPr>
              <w:t>联系人：</w:t>
            </w:r>
            <w:r>
              <w:rPr>
                <w:rFonts w:hint="eastAsia" w:ascii="宋体" w:hAnsi="宋体" w:cs="宋体"/>
                <w:szCs w:val="21"/>
                <w:lang w:eastAsia="zh-CN"/>
              </w:rPr>
              <w:t>王女士</w:t>
            </w:r>
          </w:p>
          <w:p w14:paraId="32D9FEB3">
            <w:pPr>
              <w:wordWrap w:val="0"/>
              <w:adjustRightInd w:val="0"/>
              <w:snapToGrid w:val="0"/>
              <w:spacing w:line="336" w:lineRule="auto"/>
              <w:jc w:val="left"/>
              <w:rPr>
                <w:rFonts w:hint="eastAsia" w:ascii="宋体" w:hAnsi="宋体" w:eastAsia="宋体" w:cs="宋体"/>
                <w:szCs w:val="21"/>
                <w:lang w:eastAsia="zh-CN"/>
              </w:rPr>
            </w:pPr>
            <w:r>
              <w:rPr>
                <w:rFonts w:hint="eastAsia" w:ascii="宋体" w:hAnsi="宋体" w:eastAsia="宋体" w:cs="宋体"/>
                <w:szCs w:val="21"/>
              </w:rPr>
              <w:t>电话：</w:t>
            </w:r>
            <w:r>
              <w:rPr>
                <w:rFonts w:hint="eastAsia" w:ascii="宋体" w:hAnsi="宋体" w:cs="宋体"/>
                <w:lang w:val="en-US" w:eastAsia="zh-CN"/>
              </w:rPr>
              <w:t>0731-85770482</w:t>
            </w:r>
            <w:r>
              <w:rPr>
                <w:rFonts w:hint="eastAsia" w:ascii="宋体" w:hAnsi="宋体" w:eastAsia="宋体" w:cs="宋体"/>
                <w:szCs w:val="21"/>
              </w:rPr>
              <w:t>邮箱：</w:t>
            </w:r>
            <w:r>
              <w:rPr>
                <w:rFonts w:hint="eastAsia" w:ascii="宋体" w:hAnsi="宋体" w:cs="宋体"/>
                <w:szCs w:val="21"/>
                <w:lang w:eastAsia="zh-CN"/>
              </w:rPr>
              <w:t>58712057@qq.com</w:t>
            </w:r>
          </w:p>
          <w:p w14:paraId="617964F8">
            <w:pPr>
              <w:spacing w:line="360" w:lineRule="exact"/>
              <w:rPr>
                <w:rFonts w:hint="eastAsia" w:ascii="宋体" w:hAnsi="宋体" w:eastAsia="宋体" w:cs="宋体"/>
                <w:b/>
                <w:u w:val="dottedHeavy"/>
              </w:rPr>
            </w:pPr>
            <w:r>
              <w:rPr>
                <w:rFonts w:hint="eastAsia" w:ascii="宋体" w:hAnsi="宋体" w:eastAsia="宋体" w:cs="宋体"/>
                <w:b/>
                <w:u w:val="dottedHeavy"/>
              </w:rPr>
              <w:t>注：</w:t>
            </w:r>
            <w:r>
              <w:rPr>
                <w:rFonts w:hint="eastAsia" w:ascii="宋体" w:hAnsi="宋体" w:cs="宋体"/>
                <w:b/>
                <w:u w:val="dottedHeavy"/>
                <w:lang w:eastAsia="zh-CN"/>
              </w:rPr>
              <w:t>供应商</w:t>
            </w:r>
            <w:r>
              <w:rPr>
                <w:rFonts w:hint="eastAsia" w:ascii="宋体" w:hAnsi="宋体" w:eastAsia="宋体" w:cs="宋体"/>
                <w:b/>
                <w:u w:val="dottedHeavy"/>
              </w:rPr>
              <w:t>在法定质疑期内针对同一</w:t>
            </w:r>
            <w:r>
              <w:rPr>
                <w:rFonts w:hint="eastAsia" w:ascii="宋体" w:hAnsi="宋体" w:cs="宋体"/>
                <w:b/>
                <w:u w:val="dottedHeavy"/>
                <w:lang w:eastAsia="zh-CN"/>
              </w:rPr>
              <w:t>招标</w:t>
            </w:r>
            <w:r>
              <w:rPr>
                <w:rFonts w:hint="eastAsia" w:ascii="宋体" w:hAnsi="宋体" w:eastAsia="宋体" w:cs="宋体"/>
                <w:b/>
                <w:u w:val="dottedHeavy"/>
              </w:rPr>
              <w:t>程序环节的质疑要求一次性提出。</w:t>
            </w:r>
          </w:p>
        </w:tc>
      </w:tr>
      <w:tr w14:paraId="3C85B44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1195" w:type="dxa"/>
            <w:vMerge w:val="restart"/>
            <w:noWrap/>
            <w:vAlign w:val="center"/>
          </w:tcPr>
          <w:p w14:paraId="3204995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08FB3E3F">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第43.1款</w:t>
            </w:r>
          </w:p>
        </w:tc>
        <w:tc>
          <w:tcPr>
            <w:tcW w:w="1776" w:type="dxa"/>
            <w:noWrap/>
            <w:vAlign w:val="center"/>
          </w:tcPr>
          <w:p w14:paraId="7F415BBB">
            <w:pPr>
              <w:wordWrap w:val="0"/>
              <w:adjustRightInd w:val="0"/>
              <w:snapToGrid w:val="0"/>
              <w:jc w:val="center"/>
              <w:rPr>
                <w:rFonts w:hint="eastAsia" w:ascii="宋体" w:hAnsi="宋体" w:eastAsia="宋体" w:cs="宋体"/>
                <w:szCs w:val="21"/>
              </w:rPr>
            </w:pPr>
            <w:r>
              <w:rPr>
                <w:rFonts w:hint="eastAsia" w:ascii="宋体" w:hAnsi="宋体" w:cs="宋体"/>
                <w:szCs w:val="21"/>
                <w:lang w:eastAsia="zh-CN"/>
              </w:rPr>
              <w:t>无效响应</w:t>
            </w:r>
            <w:r>
              <w:rPr>
                <w:rFonts w:hint="eastAsia" w:ascii="宋体" w:hAnsi="宋体" w:eastAsia="宋体" w:cs="宋体"/>
                <w:szCs w:val="21"/>
              </w:rPr>
              <w:t>的规定</w:t>
            </w:r>
          </w:p>
        </w:tc>
        <w:tc>
          <w:tcPr>
            <w:tcW w:w="6725" w:type="dxa"/>
            <w:noWrap/>
            <w:vAlign w:val="center"/>
          </w:tcPr>
          <w:p w14:paraId="0AFE5B54">
            <w:pPr>
              <w:wordWrap w:val="0"/>
              <w:adjustRightInd w:val="0"/>
              <w:snapToGrid w:val="0"/>
              <w:spacing w:line="336" w:lineRule="auto"/>
              <w:jc w:val="left"/>
              <w:rPr>
                <w:rFonts w:hint="eastAsia" w:ascii="宋体" w:hAnsi="宋体" w:eastAsia="宋体" w:cs="宋体"/>
                <w:szCs w:val="21"/>
              </w:rPr>
            </w:pPr>
            <w:r>
              <w:rPr>
                <w:rFonts w:hint="eastAsia" w:ascii="宋体" w:hAnsi="宋体" w:cs="宋体"/>
                <w:szCs w:val="21"/>
                <w:lang w:eastAsia="zh-CN"/>
              </w:rPr>
              <w:t>响应文件</w:t>
            </w:r>
            <w:r>
              <w:rPr>
                <w:rFonts w:hint="eastAsia" w:ascii="宋体" w:hAnsi="宋体" w:eastAsia="宋体" w:cs="宋体"/>
                <w:szCs w:val="21"/>
              </w:rPr>
              <w:t>属下列情况之一的，应在资格性、符合性检查时按照</w:t>
            </w:r>
            <w:r>
              <w:rPr>
                <w:rFonts w:hint="eastAsia" w:ascii="宋体" w:hAnsi="宋体" w:cs="宋体"/>
                <w:szCs w:val="21"/>
                <w:lang w:eastAsia="zh-CN"/>
              </w:rPr>
              <w:t>无效响应</w:t>
            </w:r>
            <w:r>
              <w:rPr>
                <w:rFonts w:hint="eastAsia" w:ascii="宋体" w:hAnsi="宋体" w:eastAsia="宋体" w:cs="宋体"/>
                <w:szCs w:val="21"/>
              </w:rPr>
              <w:t>处理：</w:t>
            </w:r>
          </w:p>
          <w:p w14:paraId="61EF9B3D">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1</w:t>
            </w:r>
            <w:r>
              <w:rPr>
                <w:rFonts w:hint="eastAsia" w:ascii="宋体" w:hAnsi="宋体" w:eastAsia="宋体" w:cs="宋体"/>
                <w:szCs w:val="21"/>
              </w:rPr>
              <w:t>）未按照磋商文件规定要求密封、签署、盖章的；</w:t>
            </w:r>
          </w:p>
          <w:p w14:paraId="4DAC8DF1">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2</w:t>
            </w:r>
            <w:r>
              <w:rPr>
                <w:rFonts w:hint="eastAsia" w:ascii="宋体" w:hAnsi="宋体" w:eastAsia="宋体" w:cs="宋体"/>
                <w:szCs w:val="21"/>
              </w:rPr>
              <w:t>）联合体没有提交联合体协议书，或未提交联合体各方资格证明文件，或联合体牵头方不符合第二章“磋商须知”供应商资格条件的；</w:t>
            </w:r>
          </w:p>
          <w:p w14:paraId="2C139A53">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3</w:t>
            </w:r>
            <w:r>
              <w:rPr>
                <w:rFonts w:hint="eastAsia" w:ascii="宋体" w:hAnsi="宋体" w:eastAsia="宋体" w:cs="宋体"/>
                <w:szCs w:val="21"/>
              </w:rPr>
              <w:t>）参加</w:t>
            </w:r>
            <w:r>
              <w:rPr>
                <w:rFonts w:hint="eastAsia" w:ascii="宋体" w:hAnsi="宋体" w:cs="宋体"/>
                <w:szCs w:val="21"/>
                <w:lang w:eastAsia="zh-CN"/>
              </w:rPr>
              <w:t>招标活动</w:t>
            </w:r>
            <w:r>
              <w:rPr>
                <w:rFonts w:hint="eastAsia" w:ascii="宋体" w:hAnsi="宋体" w:eastAsia="宋体" w:cs="宋体"/>
                <w:szCs w:val="21"/>
              </w:rPr>
              <w:t>前三年内，在经营活动中有重大违法记录的；</w:t>
            </w:r>
          </w:p>
          <w:p w14:paraId="1CD0EFC3">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4</w:t>
            </w:r>
            <w:r>
              <w:rPr>
                <w:rFonts w:hint="eastAsia" w:ascii="宋体" w:hAnsi="宋体" w:eastAsia="宋体" w:cs="宋体"/>
                <w:szCs w:val="21"/>
              </w:rPr>
              <w:t>）不具备第二章“磋商须知”第3.1</w:t>
            </w:r>
            <w:r>
              <w:rPr>
                <w:rFonts w:hint="eastAsia" w:ascii="宋体" w:hAnsi="宋体" w:eastAsia="宋体" w:cs="宋体"/>
                <w:szCs w:val="21"/>
                <w:lang w:val="zh-CN"/>
              </w:rPr>
              <w:t>款</w:t>
            </w:r>
            <w:r>
              <w:rPr>
                <w:rFonts w:hint="eastAsia" w:ascii="宋体" w:hAnsi="宋体" w:eastAsia="宋体" w:cs="宋体"/>
                <w:szCs w:val="21"/>
              </w:rPr>
              <w:t>规定资格要求的；</w:t>
            </w:r>
          </w:p>
          <w:p w14:paraId="63D2CFD8">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5</w:t>
            </w:r>
            <w:r>
              <w:rPr>
                <w:rFonts w:hint="eastAsia" w:ascii="宋体" w:hAnsi="宋体" w:eastAsia="宋体" w:cs="宋体"/>
                <w:szCs w:val="21"/>
              </w:rPr>
              <w:t>）不满足第二章“磋商须知”第3.1</w:t>
            </w:r>
            <w:r>
              <w:rPr>
                <w:rFonts w:hint="eastAsia" w:ascii="宋体" w:hAnsi="宋体" w:eastAsia="宋体" w:cs="宋体"/>
                <w:szCs w:val="21"/>
                <w:lang w:val="zh-CN"/>
              </w:rPr>
              <w:t>款</w:t>
            </w:r>
            <w:r>
              <w:rPr>
                <w:rFonts w:hint="eastAsia" w:ascii="宋体" w:hAnsi="宋体" w:eastAsia="宋体" w:cs="宋体"/>
                <w:szCs w:val="21"/>
              </w:rPr>
              <w:t>规定的实质性要求的；</w:t>
            </w:r>
          </w:p>
          <w:p w14:paraId="64AEB81B">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6</w:t>
            </w:r>
            <w:r>
              <w:rPr>
                <w:rFonts w:hint="eastAsia" w:ascii="宋体" w:hAnsi="宋体" w:eastAsia="宋体" w:cs="宋体"/>
                <w:szCs w:val="21"/>
              </w:rPr>
              <w:t>）投标报价超过投资估算价的；</w:t>
            </w:r>
          </w:p>
          <w:p w14:paraId="17B7A141">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7</w:t>
            </w:r>
            <w:r>
              <w:rPr>
                <w:rFonts w:hint="eastAsia" w:ascii="宋体" w:hAnsi="宋体" w:eastAsia="宋体" w:cs="宋体"/>
                <w:szCs w:val="21"/>
              </w:rPr>
              <w:t>）同一供应商提交两个以上不同的</w:t>
            </w:r>
            <w:r>
              <w:rPr>
                <w:rFonts w:hint="eastAsia" w:ascii="宋体" w:hAnsi="宋体" w:cs="宋体"/>
                <w:szCs w:val="21"/>
                <w:lang w:eastAsia="zh-CN"/>
              </w:rPr>
              <w:t>响应文件</w:t>
            </w:r>
            <w:r>
              <w:rPr>
                <w:rFonts w:hint="eastAsia" w:ascii="宋体" w:hAnsi="宋体" w:eastAsia="宋体" w:cs="宋体"/>
                <w:szCs w:val="21"/>
              </w:rPr>
              <w:t>或者投标报价的，但第一章“投标须知”第16.3</w:t>
            </w:r>
            <w:r>
              <w:rPr>
                <w:rFonts w:hint="eastAsia" w:ascii="宋体" w:hAnsi="宋体" w:eastAsia="宋体" w:cs="宋体"/>
                <w:szCs w:val="21"/>
                <w:lang w:val="zh-CN"/>
              </w:rPr>
              <w:t>款</w:t>
            </w:r>
            <w:r>
              <w:rPr>
                <w:rFonts w:hint="eastAsia" w:ascii="宋体" w:hAnsi="宋体" w:eastAsia="宋体" w:cs="宋体"/>
                <w:szCs w:val="21"/>
              </w:rPr>
              <w:t>允许提交备选方案的除外；</w:t>
            </w:r>
          </w:p>
          <w:p w14:paraId="1CF9435B">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8</w:t>
            </w:r>
            <w:r>
              <w:rPr>
                <w:rFonts w:hint="eastAsia" w:ascii="宋体" w:hAnsi="宋体" w:eastAsia="宋体" w:cs="宋体"/>
                <w:szCs w:val="21"/>
              </w:rPr>
              <w:t>）</w:t>
            </w:r>
            <w:r>
              <w:rPr>
                <w:rFonts w:hint="eastAsia" w:ascii="宋体" w:hAnsi="宋体" w:cs="宋体"/>
                <w:szCs w:val="21"/>
                <w:lang w:eastAsia="zh-CN"/>
              </w:rPr>
              <w:t>响应文件</w:t>
            </w:r>
            <w:r>
              <w:rPr>
                <w:rFonts w:hint="eastAsia" w:ascii="宋体" w:hAnsi="宋体" w:eastAsia="宋体" w:cs="宋体"/>
                <w:szCs w:val="21"/>
              </w:rPr>
              <w:t>载明的投标范围小于磋商文件规定的招标范围的(缺漏磋商文件所要求的内容)；</w:t>
            </w:r>
          </w:p>
          <w:p w14:paraId="1D97CB0E">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9</w:t>
            </w:r>
            <w:r>
              <w:rPr>
                <w:rFonts w:hint="eastAsia" w:ascii="宋体" w:hAnsi="宋体" w:eastAsia="宋体" w:cs="宋体"/>
                <w:szCs w:val="21"/>
              </w:rPr>
              <w:t>）投标有效期不足的；</w:t>
            </w:r>
          </w:p>
          <w:p w14:paraId="4C90CFC5">
            <w:pPr>
              <w:wordWrap w:val="0"/>
              <w:adjustRightInd w:val="0"/>
              <w:snapToGrid w:val="0"/>
              <w:spacing w:line="336" w:lineRule="auto"/>
              <w:rPr>
                <w:rFonts w:hint="eastAsia" w:ascii="宋体" w:hAnsi="宋体" w:eastAsia="宋体" w:cs="宋体"/>
                <w:szCs w:val="21"/>
              </w:rPr>
            </w:pPr>
            <w:r>
              <w:rPr>
                <w:rFonts w:hint="eastAsia" w:ascii="宋体" w:hAnsi="宋体" w:eastAsia="宋体" w:cs="宋体"/>
                <w:szCs w:val="21"/>
              </w:rPr>
              <w:t>（1</w:t>
            </w:r>
            <w:r>
              <w:rPr>
                <w:rFonts w:hint="eastAsia" w:ascii="宋体" w:hAnsi="宋体" w:cs="宋体"/>
                <w:szCs w:val="21"/>
                <w:lang w:val="en-US" w:eastAsia="zh-CN"/>
              </w:rPr>
              <w:t>0</w:t>
            </w:r>
            <w:r>
              <w:rPr>
                <w:rFonts w:hint="eastAsia" w:ascii="宋体" w:hAnsi="宋体" w:eastAsia="宋体" w:cs="宋体"/>
                <w:szCs w:val="21"/>
              </w:rPr>
              <w:t>）不符合法律、法规和磋商文件规定的。</w:t>
            </w:r>
          </w:p>
        </w:tc>
      </w:tr>
      <w:tr w14:paraId="55D5D05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86" w:hRule="atLeast"/>
          <w:jc w:val="center"/>
        </w:trPr>
        <w:tc>
          <w:tcPr>
            <w:tcW w:w="1195" w:type="dxa"/>
            <w:vMerge w:val="continue"/>
            <w:noWrap/>
            <w:vAlign w:val="center"/>
          </w:tcPr>
          <w:p w14:paraId="46438686">
            <w:pPr>
              <w:wordWrap w:val="0"/>
              <w:adjustRightInd w:val="0"/>
              <w:snapToGrid w:val="0"/>
              <w:jc w:val="center"/>
              <w:rPr>
                <w:rFonts w:hint="eastAsia" w:ascii="宋体" w:hAnsi="宋体" w:eastAsia="宋体" w:cs="宋体"/>
                <w:szCs w:val="21"/>
              </w:rPr>
            </w:pPr>
          </w:p>
        </w:tc>
        <w:tc>
          <w:tcPr>
            <w:tcW w:w="1776" w:type="dxa"/>
            <w:noWrap/>
            <w:vAlign w:val="center"/>
          </w:tcPr>
          <w:p w14:paraId="4BB8D550">
            <w:pPr>
              <w:rPr>
                <w:rFonts w:hint="eastAsia" w:ascii="宋体" w:hAnsi="宋体" w:eastAsia="宋体" w:cs="宋体"/>
              </w:rPr>
            </w:pPr>
            <w:r>
              <w:rPr>
                <w:rFonts w:hint="eastAsia" w:ascii="宋体" w:hAnsi="宋体" w:eastAsia="宋体" w:cs="宋体"/>
              </w:rPr>
              <w:t>评标办法</w:t>
            </w:r>
          </w:p>
        </w:tc>
        <w:tc>
          <w:tcPr>
            <w:tcW w:w="6725" w:type="dxa"/>
            <w:noWrap/>
            <w:vAlign w:val="center"/>
          </w:tcPr>
          <w:p w14:paraId="140FEBF4">
            <w:pPr>
              <w:rPr>
                <w:rFonts w:hint="eastAsia" w:ascii="宋体" w:hAnsi="宋体" w:eastAsia="宋体" w:cs="宋体"/>
                <w:bCs/>
                <w:kern w:val="0"/>
                <w:sz w:val="22"/>
                <w:szCs w:val="22"/>
              </w:rPr>
            </w:pPr>
            <w:r>
              <w:rPr>
                <w:rFonts w:hint="eastAsia" w:ascii="宋体" w:hAnsi="宋体" w:eastAsia="宋体" w:cs="宋体"/>
              </w:rPr>
              <w:t>综合评分法。</w:t>
            </w:r>
            <w:r>
              <w:rPr>
                <w:rFonts w:hint="eastAsia" w:ascii="宋体" w:hAnsi="宋体" w:eastAsia="宋体" w:cs="宋体"/>
                <w:bCs/>
                <w:kern w:val="0"/>
                <w:szCs w:val="21"/>
              </w:rPr>
              <w:t>评标结果按评审后得分由高到低顺序排列。</w:t>
            </w:r>
            <w:r>
              <w:rPr>
                <w:rFonts w:hint="eastAsia" w:ascii="宋体" w:hAnsi="宋体" w:cs="宋体"/>
                <w:bCs/>
                <w:kern w:val="0"/>
                <w:szCs w:val="21"/>
                <w:lang w:eastAsia="zh-CN"/>
              </w:rPr>
              <w:t>响应文件</w:t>
            </w:r>
            <w:r>
              <w:rPr>
                <w:rFonts w:hint="eastAsia" w:ascii="宋体" w:hAnsi="宋体" w:eastAsia="宋体" w:cs="宋体"/>
                <w:bCs/>
                <w:kern w:val="0"/>
                <w:szCs w:val="21"/>
              </w:rPr>
              <w:t>满足磋商文件全部实质性要求，且按照评审因素的量化指标评审得分最高的</w:t>
            </w:r>
            <w:r>
              <w:rPr>
                <w:rFonts w:hint="eastAsia" w:ascii="宋体" w:hAnsi="宋体" w:cs="宋体"/>
                <w:bCs/>
                <w:kern w:val="0"/>
                <w:szCs w:val="21"/>
                <w:lang w:eastAsia="zh-CN"/>
              </w:rPr>
              <w:t>供应商</w:t>
            </w:r>
            <w:r>
              <w:rPr>
                <w:rFonts w:hint="eastAsia" w:ascii="宋体" w:hAnsi="宋体" w:eastAsia="宋体" w:cs="宋体"/>
                <w:bCs/>
                <w:kern w:val="0"/>
                <w:szCs w:val="21"/>
              </w:rPr>
              <w:t>为排名第一的中标候选人，以此类推。</w:t>
            </w:r>
          </w:p>
        </w:tc>
      </w:tr>
      <w:tr w14:paraId="1C31231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51" w:hRule="atLeast"/>
          <w:jc w:val="center"/>
        </w:trPr>
        <w:tc>
          <w:tcPr>
            <w:tcW w:w="1195" w:type="dxa"/>
            <w:noWrap/>
            <w:vAlign w:val="center"/>
          </w:tcPr>
          <w:p w14:paraId="26E2B23D">
            <w:pPr>
              <w:rPr>
                <w:rFonts w:hint="eastAsia" w:ascii="宋体" w:hAnsi="宋体" w:eastAsia="宋体" w:cs="宋体"/>
              </w:rPr>
            </w:pPr>
            <w:r>
              <w:rPr>
                <w:rFonts w:hint="eastAsia" w:ascii="宋体" w:hAnsi="宋体" w:eastAsia="宋体" w:cs="宋体"/>
              </w:rPr>
              <w:t>第二章第38.2款</w:t>
            </w:r>
          </w:p>
        </w:tc>
        <w:tc>
          <w:tcPr>
            <w:tcW w:w="1776" w:type="dxa"/>
            <w:noWrap/>
            <w:vAlign w:val="center"/>
          </w:tcPr>
          <w:p w14:paraId="1D4997E7">
            <w:pPr>
              <w:rPr>
                <w:rFonts w:hint="eastAsia" w:ascii="宋体" w:hAnsi="宋体" w:eastAsia="宋体" w:cs="宋体"/>
              </w:rPr>
            </w:pPr>
            <w:r>
              <w:rPr>
                <w:rFonts w:hint="eastAsia" w:ascii="宋体" w:hAnsi="宋体" w:eastAsia="宋体" w:cs="宋体"/>
              </w:rPr>
              <w:t>投标供应商提出问题的截止时间</w:t>
            </w:r>
          </w:p>
        </w:tc>
        <w:tc>
          <w:tcPr>
            <w:tcW w:w="6725" w:type="dxa"/>
            <w:noWrap/>
            <w:vAlign w:val="center"/>
          </w:tcPr>
          <w:p w14:paraId="271B0D91">
            <w:pPr>
              <w:adjustRightInd w:val="0"/>
              <w:snapToGrid w:val="0"/>
              <w:spacing w:line="360" w:lineRule="exact"/>
              <w:rPr>
                <w:rFonts w:hint="eastAsia" w:ascii="宋体" w:hAnsi="宋体" w:eastAsia="宋体" w:cs="宋体"/>
                <w:szCs w:val="21"/>
              </w:rPr>
            </w:pPr>
            <w:r>
              <w:rPr>
                <w:rFonts w:hint="eastAsia" w:ascii="宋体" w:hAnsi="宋体" w:eastAsia="宋体" w:cs="宋体"/>
                <w:szCs w:val="21"/>
              </w:rPr>
              <w:t>截止时间：</w:t>
            </w:r>
            <w:r>
              <w:rPr>
                <w:rFonts w:hint="eastAsia" w:ascii="宋体" w:hAnsi="宋体" w:cs="宋体"/>
                <w:szCs w:val="21"/>
                <w:lang w:eastAsia="zh-CN"/>
              </w:rPr>
              <w:t>供应商</w:t>
            </w:r>
            <w:r>
              <w:rPr>
                <w:rFonts w:hint="eastAsia" w:ascii="宋体" w:hAnsi="宋体" w:eastAsia="宋体" w:cs="宋体"/>
                <w:szCs w:val="21"/>
              </w:rPr>
              <w:t>对磋商文件有异议的，请在采购文件公告期限届满之日起7个工作日内提出；在此之后收到的问题将不再答复。</w:t>
            </w:r>
          </w:p>
        </w:tc>
      </w:tr>
      <w:tr w14:paraId="324BA3C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61" w:hRule="atLeast"/>
          <w:jc w:val="center"/>
        </w:trPr>
        <w:tc>
          <w:tcPr>
            <w:tcW w:w="2971" w:type="dxa"/>
            <w:gridSpan w:val="2"/>
            <w:noWrap/>
            <w:vAlign w:val="center"/>
          </w:tcPr>
          <w:p w14:paraId="208CC9E6">
            <w:pPr>
              <w:rPr>
                <w:rFonts w:hint="eastAsia" w:ascii="宋体" w:hAnsi="宋体" w:eastAsia="宋体" w:cs="宋体"/>
              </w:rPr>
            </w:pPr>
            <w:r>
              <w:rPr>
                <w:rFonts w:hint="eastAsia" w:ascii="宋体" w:hAnsi="宋体" w:eastAsia="宋体" w:cs="宋体"/>
              </w:rPr>
              <w:t>法律依据</w:t>
            </w:r>
          </w:p>
        </w:tc>
        <w:tc>
          <w:tcPr>
            <w:tcW w:w="6725" w:type="dxa"/>
            <w:noWrap/>
            <w:vAlign w:val="center"/>
          </w:tcPr>
          <w:p w14:paraId="6C6CA582">
            <w:pPr>
              <w:adjustRightInd w:val="0"/>
              <w:snapToGrid w:val="0"/>
              <w:spacing w:line="360" w:lineRule="exact"/>
              <w:rPr>
                <w:rFonts w:hint="eastAsia" w:ascii="宋体" w:hAnsi="宋体" w:eastAsia="宋体" w:cs="宋体"/>
                <w:szCs w:val="21"/>
              </w:rPr>
            </w:pPr>
            <w:r>
              <w:rPr>
                <w:rFonts w:hint="eastAsia" w:ascii="宋体" w:hAnsi="宋体" w:eastAsia="宋体" w:cs="宋体"/>
                <w:szCs w:val="21"/>
              </w:rPr>
              <w:t>本项目参照《中华人民共和国政府采购法》及其实施条例和《财政部关于印发政府采购竞争性磋商招标方式管理暂行办法的通知》（财库〔2014〕214号）的规定和《财政部关于政府采购竞争性磋商招标方式管理暂行办法有关问题的补充通知》（财库〔2015〕124号）执行采购。</w:t>
            </w:r>
          </w:p>
        </w:tc>
      </w:tr>
    </w:tbl>
    <w:p w14:paraId="32ADCED9">
      <w:pPr>
        <w:adjustRightInd w:val="0"/>
        <w:snapToGrid w:val="0"/>
        <w:spacing w:line="360" w:lineRule="auto"/>
        <w:rPr>
          <w:rFonts w:hint="eastAsia" w:ascii="宋体" w:hAnsi="宋体" w:eastAsia="宋体" w:cs="宋体"/>
          <w:b/>
          <w:bCs/>
          <w:szCs w:val="21"/>
        </w:rPr>
        <w:sectPr>
          <w:footerReference r:id="rId7" w:type="default"/>
          <w:pgSz w:w="11906" w:h="16838"/>
          <w:pgMar w:top="1020" w:right="1361" w:bottom="1020" w:left="1361" w:header="227" w:footer="992" w:gutter="0"/>
          <w:pgNumType w:fmt="decimal" w:start="1"/>
          <w:cols w:space="720" w:num="1"/>
          <w:docGrid w:type="lines" w:linePitch="312" w:charSpace="0"/>
        </w:sectPr>
      </w:pPr>
    </w:p>
    <w:p w14:paraId="56BB4F37">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附页1</w:t>
      </w:r>
    </w:p>
    <w:p w14:paraId="3EB1626A">
      <w:pPr>
        <w:jc w:val="center"/>
        <w:rPr>
          <w:rFonts w:hint="eastAsia" w:ascii="宋体"/>
          <w:b/>
          <w:sz w:val="28"/>
          <w:szCs w:val="28"/>
        </w:rPr>
      </w:pPr>
      <w:r>
        <w:rPr>
          <w:rFonts w:hint="eastAsia" w:ascii="宋体"/>
          <w:b/>
          <w:sz w:val="28"/>
          <w:szCs w:val="28"/>
        </w:rPr>
        <w:t>评审因素和标准（总分100）</w:t>
      </w:r>
    </w:p>
    <w:tbl>
      <w:tblPr>
        <w:tblStyle w:val="48"/>
        <w:tblW w:w="971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56"/>
        <w:gridCol w:w="686"/>
        <w:gridCol w:w="1131"/>
        <w:gridCol w:w="7345"/>
      </w:tblGrid>
      <w:tr w14:paraId="7CF60B3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556" w:type="dxa"/>
            <w:tcBorders>
              <w:bottom w:val="single" w:color="auto" w:sz="4" w:space="0"/>
              <w:right w:val="single" w:color="auto" w:sz="4" w:space="0"/>
            </w:tcBorders>
            <w:noWrap w:val="0"/>
            <w:vAlign w:val="center"/>
          </w:tcPr>
          <w:p w14:paraId="36CE330E">
            <w:pPr>
              <w:spacing w:line="320" w:lineRule="exact"/>
              <w:jc w:val="center"/>
              <w:rPr>
                <w:rFonts w:hint="eastAsia" w:ascii="宋体"/>
                <w:b/>
                <w:color w:val="auto"/>
                <w:szCs w:val="21"/>
              </w:rPr>
            </w:pPr>
            <w:r>
              <w:rPr>
                <w:rFonts w:hint="eastAsia" w:ascii="宋体"/>
                <w:b/>
                <w:color w:val="auto"/>
                <w:szCs w:val="21"/>
              </w:rPr>
              <w:t>序号</w:t>
            </w:r>
          </w:p>
        </w:tc>
        <w:tc>
          <w:tcPr>
            <w:tcW w:w="1817" w:type="dxa"/>
            <w:gridSpan w:val="2"/>
            <w:tcBorders>
              <w:left w:val="single" w:color="auto" w:sz="4" w:space="0"/>
              <w:bottom w:val="single" w:color="auto" w:sz="4" w:space="0"/>
              <w:right w:val="single" w:color="auto" w:sz="4" w:space="0"/>
            </w:tcBorders>
            <w:noWrap w:val="0"/>
            <w:vAlign w:val="center"/>
          </w:tcPr>
          <w:p w14:paraId="3B70CFC5">
            <w:pPr>
              <w:spacing w:line="320" w:lineRule="exact"/>
              <w:jc w:val="center"/>
              <w:rPr>
                <w:rFonts w:hint="eastAsia" w:ascii="宋体"/>
                <w:b/>
                <w:color w:val="auto"/>
                <w:szCs w:val="21"/>
              </w:rPr>
            </w:pPr>
            <w:r>
              <w:rPr>
                <w:rFonts w:hint="eastAsia" w:ascii="宋体"/>
                <w:b/>
                <w:color w:val="auto"/>
                <w:szCs w:val="21"/>
              </w:rPr>
              <w:t>项目</w:t>
            </w:r>
          </w:p>
        </w:tc>
        <w:tc>
          <w:tcPr>
            <w:tcW w:w="7345" w:type="dxa"/>
            <w:tcBorders>
              <w:left w:val="single" w:color="auto" w:sz="4" w:space="0"/>
              <w:bottom w:val="single" w:color="auto" w:sz="4" w:space="0"/>
            </w:tcBorders>
            <w:noWrap w:val="0"/>
            <w:vAlign w:val="center"/>
          </w:tcPr>
          <w:p w14:paraId="571E56AB">
            <w:pPr>
              <w:spacing w:line="320" w:lineRule="exact"/>
              <w:jc w:val="center"/>
              <w:rPr>
                <w:rFonts w:hint="eastAsia" w:ascii="宋体"/>
                <w:b/>
                <w:color w:val="auto"/>
                <w:szCs w:val="21"/>
              </w:rPr>
            </w:pPr>
            <w:r>
              <w:rPr>
                <w:rFonts w:hint="eastAsia" w:ascii="宋体"/>
                <w:b/>
                <w:color w:val="auto"/>
                <w:szCs w:val="21"/>
              </w:rPr>
              <w:t>评分办法</w:t>
            </w:r>
          </w:p>
        </w:tc>
      </w:tr>
      <w:tr w14:paraId="3E9EDBE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556" w:type="dxa"/>
            <w:tcBorders>
              <w:bottom w:val="single" w:color="auto" w:sz="4" w:space="0"/>
              <w:right w:val="single" w:color="auto" w:sz="4" w:space="0"/>
            </w:tcBorders>
            <w:noWrap w:val="0"/>
            <w:vAlign w:val="center"/>
          </w:tcPr>
          <w:p w14:paraId="6B0AB8A9">
            <w:pPr>
              <w:adjustRightInd w:val="0"/>
              <w:snapToGrid w:val="0"/>
              <w:spacing w:line="300" w:lineRule="exact"/>
              <w:jc w:val="center"/>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w:t>
            </w:r>
          </w:p>
        </w:tc>
        <w:tc>
          <w:tcPr>
            <w:tcW w:w="686" w:type="dxa"/>
            <w:tcBorders>
              <w:left w:val="single" w:color="auto" w:sz="4" w:space="0"/>
              <w:bottom w:val="single" w:color="auto" w:sz="4" w:space="0"/>
              <w:right w:val="single" w:color="auto" w:sz="4" w:space="0"/>
            </w:tcBorders>
            <w:noWrap w:val="0"/>
            <w:vAlign w:val="center"/>
          </w:tcPr>
          <w:p w14:paraId="2FCC90A4">
            <w:pPr>
              <w:adjustRightInd w:val="0"/>
              <w:snapToGrid w:val="0"/>
              <w:spacing w:line="300" w:lineRule="exact"/>
              <w:jc w:val="center"/>
              <w:rPr>
                <w:rFonts w:hint="eastAsia" w:ascii="宋体"/>
                <w:color w:val="auto"/>
                <w:szCs w:val="21"/>
                <w:highlight w:val="none"/>
                <w:lang w:eastAsia="zh-CN"/>
              </w:rPr>
            </w:pPr>
            <w:r>
              <w:rPr>
                <w:rFonts w:hint="eastAsia" w:ascii="宋体"/>
                <w:color w:val="auto"/>
                <w:szCs w:val="21"/>
                <w:highlight w:val="none"/>
                <w:lang w:eastAsia="zh-CN"/>
              </w:rPr>
              <w:t>价格</w:t>
            </w:r>
          </w:p>
          <w:p w14:paraId="2528F5AB">
            <w:pPr>
              <w:adjustRightInd w:val="0"/>
              <w:snapToGrid w:val="0"/>
              <w:spacing w:line="300" w:lineRule="exact"/>
              <w:jc w:val="center"/>
              <w:rPr>
                <w:rFonts w:hint="eastAsia" w:ascii="宋体"/>
                <w:color w:val="auto"/>
                <w:szCs w:val="21"/>
                <w:highlight w:val="none"/>
                <w:lang w:eastAsia="zh-CN"/>
              </w:rPr>
            </w:pPr>
            <w:r>
              <w:rPr>
                <w:rFonts w:hint="eastAsia" w:ascii="宋体"/>
                <w:color w:val="auto"/>
                <w:szCs w:val="21"/>
                <w:highlight w:val="none"/>
                <w:lang w:eastAsia="zh-CN"/>
              </w:rPr>
              <w:t>部分</w:t>
            </w:r>
          </w:p>
          <w:p w14:paraId="4F014319">
            <w:pPr>
              <w:adjustRightInd w:val="0"/>
              <w:snapToGrid w:val="0"/>
              <w:spacing w:line="300" w:lineRule="exact"/>
              <w:jc w:val="center"/>
              <w:rPr>
                <w:rFonts w:hint="eastAsia" w:ascii="宋体" w:eastAsia="宋体"/>
                <w:color w:val="auto"/>
                <w:szCs w:val="21"/>
                <w:highlight w:val="none"/>
                <w:lang w:eastAsia="zh-CN"/>
              </w:rPr>
            </w:pPr>
            <w:r>
              <w:rPr>
                <w:rFonts w:hint="eastAsia" w:ascii="宋体" w:eastAsia="宋体" w:cs="宋体"/>
                <w:color w:val="auto"/>
                <w:kern w:val="2"/>
                <w:sz w:val="21"/>
                <w:szCs w:val="24"/>
                <w:highlight w:val="none"/>
                <w:lang w:val="en-US" w:eastAsia="zh-CN" w:bidi="ar-SA"/>
              </w:rPr>
              <w:t>（</w:t>
            </w:r>
            <w:r>
              <w:rPr>
                <w:rFonts w:hint="eastAsia" w:ascii="宋体" w:cs="宋体"/>
                <w:color w:val="auto"/>
                <w:kern w:val="2"/>
                <w:sz w:val="21"/>
                <w:szCs w:val="24"/>
                <w:highlight w:val="none"/>
                <w:lang w:val="en-US" w:eastAsia="zh-CN" w:bidi="ar-SA"/>
              </w:rPr>
              <w:t>50</w:t>
            </w:r>
            <w:r>
              <w:rPr>
                <w:rFonts w:hint="eastAsia" w:ascii="宋体" w:eastAsia="宋体" w:cs="宋体"/>
                <w:color w:val="auto"/>
                <w:kern w:val="2"/>
                <w:sz w:val="21"/>
                <w:szCs w:val="24"/>
                <w:highlight w:val="none"/>
                <w:lang w:val="en-US" w:eastAsia="zh-CN" w:bidi="ar-SA"/>
              </w:rPr>
              <w:t>分）</w:t>
            </w:r>
          </w:p>
        </w:tc>
        <w:tc>
          <w:tcPr>
            <w:tcW w:w="1131" w:type="dxa"/>
            <w:tcBorders>
              <w:left w:val="single" w:color="auto" w:sz="4" w:space="0"/>
              <w:bottom w:val="single" w:color="auto" w:sz="4" w:space="0"/>
              <w:right w:val="single" w:color="auto" w:sz="4" w:space="0"/>
            </w:tcBorders>
            <w:noWrap w:val="0"/>
            <w:vAlign w:val="center"/>
          </w:tcPr>
          <w:p w14:paraId="13B3EBDD">
            <w:pPr>
              <w:adjustRightInd w:val="0"/>
              <w:snapToGrid w:val="0"/>
              <w:spacing w:line="300" w:lineRule="exact"/>
              <w:jc w:val="center"/>
              <w:rPr>
                <w:rFonts w:hint="eastAsia" w:ascii="宋体" w:hAnsi="宋体"/>
                <w:color w:val="auto"/>
                <w:szCs w:val="21"/>
                <w:highlight w:val="none"/>
              </w:rPr>
            </w:pPr>
            <w:r>
              <w:rPr>
                <w:rFonts w:hint="eastAsia" w:ascii="宋体" w:hAnsi="宋体"/>
                <w:color w:val="auto"/>
                <w:szCs w:val="21"/>
                <w:highlight w:val="none"/>
                <w:lang w:eastAsia="zh-CN"/>
              </w:rPr>
              <w:t>磋商</w:t>
            </w:r>
            <w:r>
              <w:rPr>
                <w:rFonts w:hint="eastAsia" w:ascii="宋体" w:hAnsi="宋体"/>
                <w:color w:val="auto"/>
                <w:szCs w:val="21"/>
                <w:highlight w:val="none"/>
              </w:rPr>
              <w:t>报价</w:t>
            </w:r>
          </w:p>
          <w:p w14:paraId="6F983F9D">
            <w:pPr>
              <w:adjustRightInd w:val="0"/>
              <w:snapToGrid w:val="0"/>
              <w:spacing w:line="300" w:lineRule="exact"/>
              <w:jc w:val="center"/>
              <w:rPr>
                <w:rFonts w:hint="eastAsia" w:ascii="宋体" w:eastAsia="宋体" w:cs="宋体"/>
                <w:color w:val="auto"/>
                <w:kern w:val="2"/>
                <w:sz w:val="21"/>
                <w:szCs w:val="21"/>
                <w:highlight w:val="none"/>
                <w:lang w:val="en-US" w:eastAsia="zh-CN" w:bidi="ar-SA"/>
              </w:rPr>
            </w:pPr>
            <w:r>
              <w:rPr>
                <w:rFonts w:hint="eastAsia" w:ascii="宋体" w:eastAsia="宋体" w:cs="宋体"/>
                <w:color w:val="auto"/>
                <w:kern w:val="2"/>
                <w:sz w:val="21"/>
                <w:szCs w:val="21"/>
                <w:highlight w:val="none"/>
                <w:lang w:val="en-US" w:eastAsia="zh-CN" w:bidi="ar-SA"/>
              </w:rPr>
              <w:t>（</w:t>
            </w:r>
            <w:r>
              <w:rPr>
                <w:rFonts w:hint="eastAsia" w:ascii="宋体" w:cs="宋体"/>
                <w:color w:val="auto"/>
                <w:kern w:val="2"/>
                <w:sz w:val="21"/>
                <w:szCs w:val="21"/>
                <w:highlight w:val="none"/>
                <w:lang w:val="en-US" w:eastAsia="zh-CN" w:bidi="ar-SA"/>
              </w:rPr>
              <w:t>50</w:t>
            </w:r>
            <w:r>
              <w:rPr>
                <w:rFonts w:hint="eastAsia" w:ascii="宋体" w:eastAsia="宋体" w:cs="宋体"/>
                <w:color w:val="auto"/>
                <w:kern w:val="2"/>
                <w:sz w:val="21"/>
                <w:szCs w:val="21"/>
                <w:highlight w:val="none"/>
                <w:lang w:val="en-US" w:eastAsia="zh-CN" w:bidi="ar-SA"/>
              </w:rPr>
              <w:t>分）</w:t>
            </w:r>
          </w:p>
        </w:tc>
        <w:tc>
          <w:tcPr>
            <w:tcW w:w="7345" w:type="dxa"/>
            <w:tcBorders>
              <w:left w:val="single" w:color="auto" w:sz="4" w:space="0"/>
              <w:bottom w:val="single" w:color="auto" w:sz="4" w:space="0"/>
            </w:tcBorders>
            <w:noWrap w:val="0"/>
            <w:vAlign w:val="center"/>
          </w:tcPr>
          <w:p w14:paraId="067E1045">
            <w:pPr>
              <w:keepNext w:val="0"/>
              <w:keepLines w:val="0"/>
              <w:pageBreakBefore w:val="0"/>
              <w:widowControl w:val="0"/>
              <w:kinsoku/>
              <w:wordWrap/>
              <w:overflowPunct/>
              <w:topLinePunct w:val="0"/>
              <w:autoSpaceDE/>
              <w:autoSpaceDN/>
              <w:bidi w:val="0"/>
              <w:adjustRightInd w:val="0"/>
              <w:snapToGrid w:val="0"/>
              <w:spacing w:line="288" w:lineRule="auto"/>
              <w:jc w:val="both"/>
              <w:textAlignment w:val="auto"/>
              <w:rPr>
                <w:rFonts w:hint="default" w:ascii="宋体" w:eastAsia="宋体"/>
                <w:color w:val="auto"/>
                <w:szCs w:val="21"/>
                <w:highlight w:val="none"/>
                <w:lang w:val="en-US" w:eastAsia="zh-CN"/>
              </w:rPr>
            </w:pPr>
            <w:r>
              <w:rPr>
                <w:rFonts w:hint="eastAsia" w:ascii="宋体" w:hAnsi="宋体"/>
                <w:color w:val="auto"/>
                <w:szCs w:val="21"/>
                <w:highlight w:val="none"/>
              </w:rPr>
              <w:t>满足</w:t>
            </w:r>
            <w:r>
              <w:rPr>
                <w:rFonts w:hint="eastAsia" w:ascii="宋体" w:hAnsi="宋体"/>
                <w:color w:val="auto"/>
                <w:szCs w:val="21"/>
                <w:highlight w:val="none"/>
                <w:lang w:eastAsia="zh-CN"/>
              </w:rPr>
              <w:t>磋商文件</w:t>
            </w:r>
            <w:r>
              <w:rPr>
                <w:rFonts w:hint="eastAsia" w:ascii="宋体" w:hAnsi="宋体"/>
                <w:color w:val="auto"/>
                <w:szCs w:val="21"/>
                <w:highlight w:val="none"/>
              </w:rPr>
              <w:t>要求且评标价格最低的报价为评标基准价，其价格得分计</w:t>
            </w:r>
            <w:r>
              <w:rPr>
                <w:rFonts w:hint="eastAsia" w:ascii="宋体" w:hAnsi="宋体"/>
                <w:color w:val="auto"/>
                <w:szCs w:val="21"/>
                <w:highlight w:val="none"/>
                <w:lang w:val="en-US" w:eastAsia="zh-CN"/>
              </w:rPr>
              <w:t>50</w:t>
            </w:r>
            <w:r>
              <w:rPr>
                <w:rFonts w:hint="eastAsia" w:ascii="宋体" w:hAnsi="宋体"/>
                <w:color w:val="auto"/>
                <w:szCs w:val="21"/>
                <w:highlight w:val="none"/>
              </w:rPr>
              <w:t>分。其他供应商的价格得分统一按公式计算：磋商报价得分=（磋商基准价/最后磋商报价）×</w:t>
            </w:r>
            <w:r>
              <w:rPr>
                <w:rFonts w:hint="eastAsia" w:ascii="宋体" w:hAnsi="宋体"/>
                <w:color w:val="auto"/>
                <w:szCs w:val="21"/>
                <w:highlight w:val="none"/>
                <w:lang w:val="en-US" w:eastAsia="zh-CN"/>
              </w:rPr>
              <w:t>50</w:t>
            </w:r>
          </w:p>
        </w:tc>
      </w:tr>
      <w:tr w14:paraId="6D373C4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34" w:hRule="atLeast"/>
          <w:jc w:val="center"/>
        </w:trPr>
        <w:tc>
          <w:tcPr>
            <w:tcW w:w="556" w:type="dxa"/>
            <w:tcBorders>
              <w:right w:val="single" w:color="auto" w:sz="4" w:space="0"/>
            </w:tcBorders>
            <w:noWrap w:val="0"/>
            <w:vAlign w:val="center"/>
          </w:tcPr>
          <w:p w14:paraId="62FEAC7F">
            <w:pPr>
              <w:adjustRightInd w:val="0"/>
              <w:snapToGrid w:val="0"/>
              <w:spacing w:line="300" w:lineRule="exact"/>
              <w:jc w:val="center"/>
              <w:rPr>
                <w:rFonts w:hint="default"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2</w:t>
            </w:r>
          </w:p>
        </w:tc>
        <w:tc>
          <w:tcPr>
            <w:tcW w:w="686" w:type="dxa"/>
            <w:tcBorders>
              <w:left w:val="single" w:color="auto" w:sz="4" w:space="0"/>
              <w:right w:val="single" w:color="auto" w:sz="4" w:space="0"/>
            </w:tcBorders>
            <w:noWrap w:val="0"/>
            <w:vAlign w:val="center"/>
          </w:tcPr>
          <w:p w14:paraId="0EB9B2C6">
            <w:pPr>
              <w:spacing w:line="320" w:lineRule="exact"/>
              <w:jc w:val="center"/>
              <w:rPr>
                <w:rFonts w:hint="eastAsia" w:ascii="宋体"/>
                <w:color w:val="auto"/>
                <w:szCs w:val="21"/>
                <w:highlight w:val="none"/>
              </w:rPr>
            </w:pPr>
            <w:r>
              <w:rPr>
                <w:rFonts w:hint="eastAsia" w:ascii="宋体"/>
                <w:color w:val="auto"/>
                <w:szCs w:val="21"/>
                <w:highlight w:val="none"/>
              </w:rPr>
              <w:t>技术</w:t>
            </w:r>
          </w:p>
          <w:p w14:paraId="441E0BB4">
            <w:pPr>
              <w:spacing w:line="320" w:lineRule="exact"/>
              <w:jc w:val="center"/>
              <w:rPr>
                <w:rFonts w:hint="eastAsia" w:ascii="宋体"/>
                <w:color w:val="auto"/>
                <w:szCs w:val="21"/>
                <w:highlight w:val="none"/>
              </w:rPr>
            </w:pPr>
            <w:r>
              <w:rPr>
                <w:rFonts w:hint="eastAsia" w:ascii="宋体"/>
                <w:color w:val="auto"/>
                <w:szCs w:val="21"/>
                <w:highlight w:val="none"/>
              </w:rPr>
              <w:t>部分</w:t>
            </w:r>
          </w:p>
          <w:p w14:paraId="1490661B">
            <w:pPr>
              <w:spacing w:line="320" w:lineRule="exact"/>
              <w:jc w:val="center"/>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30</w:t>
            </w:r>
            <w:r>
              <w:rPr>
                <w:rFonts w:hint="eastAsia" w:ascii="宋体"/>
                <w:color w:val="auto"/>
                <w:szCs w:val="21"/>
                <w:highlight w:val="none"/>
              </w:rPr>
              <w:t>分）</w:t>
            </w:r>
          </w:p>
        </w:tc>
        <w:tc>
          <w:tcPr>
            <w:tcW w:w="1131" w:type="dxa"/>
            <w:tcBorders>
              <w:top w:val="single" w:color="auto" w:sz="4" w:space="0"/>
              <w:left w:val="single" w:color="auto" w:sz="4" w:space="0"/>
              <w:right w:val="single" w:color="auto" w:sz="4" w:space="0"/>
            </w:tcBorders>
            <w:noWrap w:val="0"/>
            <w:vAlign w:val="center"/>
          </w:tcPr>
          <w:p w14:paraId="518BFE02">
            <w:pPr>
              <w:adjustRightInd w:val="0"/>
              <w:snapToGrid w:val="0"/>
              <w:spacing w:line="300" w:lineRule="exact"/>
              <w:jc w:val="center"/>
              <w:rPr>
                <w:rFonts w:hint="default" w:ascii="宋体" w:hAnsi="宋体" w:cs="Times New Roman"/>
                <w:color w:val="auto"/>
                <w:szCs w:val="21"/>
                <w:highlight w:val="none"/>
                <w:lang w:val="en-US" w:eastAsia="zh-CN"/>
              </w:rPr>
            </w:pPr>
            <w:r>
              <w:rPr>
                <w:rFonts w:hint="eastAsia" w:ascii="宋体" w:hAnsi="宋体" w:cs="Times New Roman"/>
                <w:color w:val="auto"/>
                <w:szCs w:val="21"/>
                <w:highlight w:val="none"/>
                <w:lang w:val="en-US" w:eastAsia="zh-CN"/>
              </w:rPr>
              <w:t>服务方案</w:t>
            </w:r>
            <w:r>
              <w:rPr>
                <w:rFonts w:hint="eastAsia" w:ascii="宋体" w:eastAsia="宋体" w:cs="宋体"/>
                <w:color w:val="auto"/>
                <w:kern w:val="2"/>
                <w:sz w:val="21"/>
                <w:szCs w:val="21"/>
                <w:highlight w:val="none"/>
                <w:lang w:val="en-US" w:eastAsia="zh-CN" w:bidi="ar-SA"/>
              </w:rPr>
              <w:t>（</w:t>
            </w:r>
            <w:r>
              <w:rPr>
                <w:rFonts w:hint="eastAsia" w:ascii="宋体" w:cs="宋体"/>
                <w:color w:val="auto"/>
                <w:kern w:val="2"/>
                <w:sz w:val="21"/>
                <w:szCs w:val="21"/>
                <w:highlight w:val="none"/>
                <w:lang w:val="en-US" w:eastAsia="zh-CN" w:bidi="ar-SA"/>
              </w:rPr>
              <w:t>30</w:t>
            </w:r>
            <w:r>
              <w:rPr>
                <w:rFonts w:hint="eastAsia" w:ascii="宋体" w:eastAsia="宋体" w:cs="宋体"/>
                <w:color w:val="auto"/>
                <w:kern w:val="2"/>
                <w:sz w:val="21"/>
                <w:szCs w:val="21"/>
                <w:highlight w:val="none"/>
                <w:lang w:val="en-US" w:eastAsia="zh-CN" w:bidi="ar-SA"/>
              </w:rPr>
              <w:t>分）</w:t>
            </w:r>
          </w:p>
        </w:tc>
        <w:tc>
          <w:tcPr>
            <w:tcW w:w="7345" w:type="dxa"/>
            <w:tcBorders>
              <w:left w:val="single" w:color="auto" w:sz="4" w:space="0"/>
            </w:tcBorders>
            <w:noWrap w:val="0"/>
            <w:vAlign w:val="center"/>
          </w:tcPr>
          <w:p w14:paraId="05C927F1">
            <w:pPr>
              <w:keepNext w:val="0"/>
              <w:keepLines w:val="0"/>
              <w:pageBreakBefore w:val="0"/>
              <w:widowControl w:val="0"/>
              <w:kinsoku/>
              <w:wordWrap/>
              <w:overflowPunct/>
              <w:topLinePunct w:val="0"/>
              <w:autoSpaceDE/>
              <w:autoSpaceDN/>
              <w:bidi w:val="0"/>
              <w:adjustRightInd w:val="0"/>
              <w:snapToGrid w:val="0"/>
              <w:spacing w:line="288" w:lineRule="auto"/>
              <w:jc w:val="both"/>
              <w:textAlignment w:val="auto"/>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lang w:eastAsia="zh-CN"/>
              </w:rPr>
              <w:t>供应商提供详细的服务方案，包括但不仅限于验收时间安排及保障措施、验收方法、验收流程及步骤、其它增值服务等。根据方案的科学性、合理性、完整性等进行综合评价，</w:t>
            </w:r>
            <w:r>
              <w:rPr>
                <w:rFonts w:hint="eastAsia" w:ascii="宋体" w:hAnsi="宋体" w:eastAsia="宋体" w:cs="Times New Roman"/>
                <w:color w:val="auto"/>
                <w:szCs w:val="21"/>
                <w:lang w:val="en-US" w:eastAsia="zh-CN"/>
              </w:rPr>
              <w:t>完全满足磋商文件要求的计25~30</w:t>
            </w:r>
            <w:r>
              <w:rPr>
                <w:rFonts w:hint="eastAsia" w:ascii="宋体" w:hAnsi="宋体" w:eastAsia="宋体" w:cs="Times New Roman"/>
                <w:color w:val="auto"/>
                <w:szCs w:val="21"/>
                <w:lang w:eastAsia="zh-CN"/>
              </w:rPr>
              <w:t>分；</w:t>
            </w:r>
            <w:r>
              <w:rPr>
                <w:rFonts w:hint="eastAsia" w:ascii="宋体" w:hAnsi="宋体" w:eastAsia="宋体" w:cs="Times New Roman"/>
                <w:color w:val="auto"/>
                <w:szCs w:val="21"/>
                <w:lang w:val="en-US" w:eastAsia="zh-CN"/>
              </w:rPr>
              <w:t>较为满足磋商文件要求的计20~24</w:t>
            </w:r>
            <w:r>
              <w:rPr>
                <w:rFonts w:hint="eastAsia" w:ascii="宋体" w:hAnsi="宋体" w:eastAsia="宋体" w:cs="Times New Roman"/>
                <w:color w:val="auto"/>
                <w:szCs w:val="21"/>
                <w:lang w:eastAsia="zh-CN"/>
              </w:rPr>
              <w:t>分；</w:t>
            </w:r>
            <w:r>
              <w:rPr>
                <w:rFonts w:hint="eastAsia" w:ascii="宋体" w:hAnsi="宋体" w:eastAsia="宋体" w:cs="Times New Roman"/>
                <w:color w:val="auto"/>
                <w:szCs w:val="21"/>
                <w:lang w:val="en-US" w:eastAsia="zh-CN"/>
              </w:rPr>
              <w:t>基本满足磋商文件要求的计15~19</w:t>
            </w:r>
            <w:r>
              <w:rPr>
                <w:rFonts w:hint="eastAsia" w:ascii="宋体" w:hAnsi="宋体" w:eastAsia="宋体" w:cs="Times New Roman"/>
                <w:color w:val="auto"/>
                <w:szCs w:val="21"/>
                <w:lang w:eastAsia="zh-CN"/>
              </w:rPr>
              <w:t>分；</w:t>
            </w:r>
            <w:r>
              <w:rPr>
                <w:rFonts w:hint="eastAsia" w:ascii="宋体" w:hAnsi="宋体" w:eastAsia="宋体" w:cs="Times New Roman"/>
                <w:color w:val="auto"/>
                <w:szCs w:val="21"/>
                <w:lang w:val="en-US" w:eastAsia="zh-CN"/>
              </w:rPr>
              <w:t>未提供不计分。</w:t>
            </w:r>
          </w:p>
        </w:tc>
      </w:tr>
      <w:tr w14:paraId="50DF977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556" w:type="dxa"/>
            <w:tcBorders>
              <w:right w:val="single" w:color="auto" w:sz="4" w:space="0"/>
            </w:tcBorders>
            <w:noWrap w:val="0"/>
            <w:vAlign w:val="center"/>
          </w:tcPr>
          <w:p w14:paraId="6123F17B">
            <w:pPr>
              <w:adjustRightInd w:val="0"/>
              <w:snapToGrid w:val="0"/>
              <w:spacing w:line="300" w:lineRule="exact"/>
              <w:jc w:val="center"/>
              <w:rPr>
                <w:rFonts w:hint="default" w:ascii="宋体" w:eastAsia="宋体"/>
                <w:color w:val="auto"/>
                <w:szCs w:val="21"/>
                <w:highlight w:val="none"/>
                <w:lang w:val="en-US" w:eastAsia="zh-CN"/>
              </w:rPr>
            </w:pPr>
            <w:r>
              <w:rPr>
                <w:rFonts w:hint="eastAsia" w:ascii="宋体"/>
                <w:color w:val="auto"/>
                <w:szCs w:val="21"/>
                <w:highlight w:val="none"/>
                <w:lang w:val="en-US" w:eastAsia="zh-CN"/>
              </w:rPr>
              <w:t>3</w:t>
            </w:r>
          </w:p>
        </w:tc>
        <w:tc>
          <w:tcPr>
            <w:tcW w:w="686" w:type="dxa"/>
            <w:vMerge w:val="restart"/>
            <w:tcBorders>
              <w:left w:val="single" w:color="auto" w:sz="4" w:space="0"/>
              <w:right w:val="single" w:color="auto" w:sz="4" w:space="0"/>
            </w:tcBorders>
            <w:noWrap w:val="0"/>
            <w:vAlign w:val="center"/>
          </w:tcPr>
          <w:p w14:paraId="6909FB10">
            <w:pPr>
              <w:spacing w:line="320" w:lineRule="exact"/>
              <w:jc w:val="center"/>
              <w:rPr>
                <w:rFonts w:hint="eastAsia" w:ascii="宋体"/>
                <w:color w:val="auto"/>
                <w:szCs w:val="21"/>
                <w:highlight w:val="none"/>
              </w:rPr>
            </w:pPr>
            <w:r>
              <w:rPr>
                <w:rFonts w:hint="eastAsia" w:ascii="宋体"/>
                <w:color w:val="auto"/>
                <w:szCs w:val="21"/>
                <w:highlight w:val="none"/>
              </w:rPr>
              <w:t>商务</w:t>
            </w:r>
          </w:p>
          <w:p w14:paraId="781B80C6">
            <w:pPr>
              <w:spacing w:line="320" w:lineRule="exact"/>
              <w:jc w:val="center"/>
              <w:rPr>
                <w:rFonts w:hint="eastAsia" w:ascii="宋体"/>
                <w:color w:val="auto"/>
                <w:szCs w:val="21"/>
                <w:highlight w:val="none"/>
              </w:rPr>
            </w:pPr>
            <w:r>
              <w:rPr>
                <w:rFonts w:hint="eastAsia" w:ascii="宋体"/>
                <w:color w:val="auto"/>
                <w:szCs w:val="21"/>
                <w:highlight w:val="none"/>
              </w:rPr>
              <w:t>部分</w:t>
            </w:r>
          </w:p>
          <w:p w14:paraId="042B4D86">
            <w:pPr>
              <w:spacing w:line="320" w:lineRule="exact"/>
              <w:jc w:val="center"/>
              <w:rPr>
                <w:rFonts w:hint="eastAsia" w:ascii="宋体"/>
                <w:color w:val="auto"/>
                <w:szCs w:val="21"/>
                <w:highlight w:val="none"/>
                <w:lang w:eastAsia="zh-CN"/>
              </w:rPr>
            </w:pPr>
            <w:r>
              <w:rPr>
                <w:rFonts w:hint="eastAsia" w:ascii="宋体"/>
                <w:color w:val="auto"/>
                <w:szCs w:val="21"/>
                <w:highlight w:val="none"/>
                <w:lang w:val="en-US" w:eastAsia="zh-CN"/>
              </w:rPr>
              <w:t>(20分</w:t>
            </w:r>
            <w:r>
              <w:rPr>
                <w:rFonts w:hint="eastAsia" w:ascii="宋体"/>
                <w:color w:val="auto"/>
                <w:szCs w:val="21"/>
                <w:highlight w:val="none"/>
                <w:lang w:eastAsia="zh-CN"/>
              </w:rPr>
              <w:t>）</w:t>
            </w:r>
          </w:p>
        </w:tc>
        <w:tc>
          <w:tcPr>
            <w:tcW w:w="1131" w:type="dxa"/>
            <w:tcBorders>
              <w:left w:val="single" w:color="auto" w:sz="4" w:space="0"/>
              <w:right w:val="single" w:color="auto" w:sz="4" w:space="0"/>
            </w:tcBorders>
            <w:shd w:val="clear" w:color="auto" w:fill="auto"/>
            <w:noWrap w:val="0"/>
            <w:vAlign w:val="center"/>
          </w:tcPr>
          <w:p w14:paraId="37BD4479">
            <w:pPr>
              <w:adjustRightInd w:val="0"/>
              <w:snapToGrid w:val="0"/>
              <w:spacing w:line="300" w:lineRule="exact"/>
              <w:jc w:val="center"/>
              <w:rPr>
                <w:rFonts w:hint="eastAsia" w:ascii="宋体" w:hAnsi="宋体" w:cs="Times New Roman"/>
                <w:color w:val="auto"/>
                <w:szCs w:val="21"/>
                <w:highlight w:val="none"/>
                <w:lang w:eastAsia="zh-CN"/>
              </w:rPr>
            </w:pPr>
            <w:r>
              <w:rPr>
                <w:rFonts w:hint="eastAsia" w:ascii="宋体" w:hAnsi="宋体" w:cs="Times New Roman"/>
                <w:color w:val="auto"/>
                <w:szCs w:val="21"/>
                <w:highlight w:val="none"/>
                <w:lang w:eastAsia="zh-CN"/>
              </w:rPr>
              <w:t>类似业绩</w:t>
            </w:r>
          </w:p>
          <w:p w14:paraId="56607A6A">
            <w:pPr>
              <w:adjustRightInd w:val="0"/>
              <w:snapToGrid w:val="0"/>
              <w:spacing w:line="300" w:lineRule="exact"/>
              <w:jc w:val="center"/>
              <w:rPr>
                <w:rFonts w:hint="eastAsia" w:ascii="宋体" w:hAnsi="宋体" w:cs="Times New Roman"/>
                <w:color w:val="auto"/>
                <w:szCs w:val="21"/>
                <w:highlight w:val="none"/>
                <w:lang w:val="en-US" w:eastAsia="zh-CN"/>
              </w:rPr>
            </w:pPr>
            <w:r>
              <w:rPr>
                <w:rFonts w:hint="eastAsia" w:ascii="宋体" w:hAnsi="宋体" w:cs="Times New Roman"/>
                <w:color w:val="auto"/>
                <w:szCs w:val="21"/>
                <w:highlight w:val="none"/>
                <w:lang w:eastAsia="zh-CN"/>
              </w:rPr>
              <w:t>（</w:t>
            </w:r>
            <w:r>
              <w:rPr>
                <w:rFonts w:hint="eastAsia" w:ascii="宋体" w:hAnsi="宋体" w:cs="Times New Roman"/>
                <w:color w:val="auto"/>
                <w:szCs w:val="21"/>
                <w:highlight w:val="none"/>
                <w:lang w:val="en-US" w:eastAsia="zh-CN"/>
              </w:rPr>
              <w:t>6</w:t>
            </w:r>
            <w:r>
              <w:rPr>
                <w:rFonts w:hint="eastAsia" w:ascii="宋体" w:hAnsi="宋体" w:cs="Times New Roman"/>
                <w:color w:val="auto"/>
                <w:szCs w:val="21"/>
                <w:highlight w:val="none"/>
                <w:lang w:eastAsia="zh-CN"/>
              </w:rPr>
              <w:t>分）</w:t>
            </w:r>
          </w:p>
        </w:tc>
        <w:tc>
          <w:tcPr>
            <w:tcW w:w="7345" w:type="dxa"/>
            <w:tcBorders>
              <w:left w:val="single" w:color="auto" w:sz="4" w:space="0"/>
            </w:tcBorders>
            <w:shd w:val="clear" w:color="auto" w:fill="auto"/>
            <w:noWrap w:val="0"/>
            <w:vAlign w:val="center"/>
          </w:tcPr>
          <w:p w14:paraId="07E1C6A6">
            <w:pPr>
              <w:spacing w:line="300" w:lineRule="exact"/>
              <w:jc w:val="both"/>
              <w:rPr>
                <w:rFonts w:hint="eastAsia" w:ascii="宋体" w:hAnsi="宋体" w:eastAsia="宋体" w:cs="宋体"/>
                <w:b w:val="0"/>
                <w:i w:val="0"/>
                <w:caps w:val="0"/>
                <w:color w:val="auto"/>
                <w:spacing w:val="0"/>
                <w:w w:val="100"/>
                <w:kern w:val="2"/>
                <w:sz w:val="21"/>
                <w:szCs w:val="24"/>
                <w:highlight w:val="none"/>
                <w:lang w:val="en-US" w:eastAsia="zh-CN" w:bidi="ar-SA"/>
              </w:rPr>
            </w:pPr>
            <w:r>
              <w:rPr>
                <w:rFonts w:hint="eastAsia" w:ascii="宋体" w:hAnsi="宋体" w:eastAsia="宋体" w:cs="宋体"/>
                <w:b w:val="0"/>
                <w:i w:val="0"/>
                <w:caps w:val="0"/>
                <w:color w:val="auto"/>
                <w:spacing w:val="0"/>
                <w:w w:val="100"/>
                <w:sz w:val="21"/>
                <w:highlight w:val="none"/>
              </w:rPr>
              <w:t>供应商递交响应文件截止时间前三年内完成过类似业绩的，每提供一个计</w:t>
            </w:r>
            <w:r>
              <w:rPr>
                <w:rFonts w:hint="eastAsia" w:ascii="宋体" w:hAnsi="宋体" w:cs="宋体"/>
                <w:b w:val="0"/>
                <w:i w:val="0"/>
                <w:caps w:val="0"/>
                <w:color w:val="auto"/>
                <w:spacing w:val="0"/>
                <w:w w:val="100"/>
                <w:sz w:val="21"/>
                <w:highlight w:val="none"/>
                <w:lang w:val="en-US" w:eastAsia="zh-CN"/>
              </w:rPr>
              <w:t>3</w:t>
            </w:r>
            <w:r>
              <w:rPr>
                <w:rFonts w:hint="eastAsia" w:ascii="宋体" w:hAnsi="宋体" w:eastAsia="宋体" w:cs="宋体"/>
                <w:b w:val="0"/>
                <w:i w:val="0"/>
                <w:caps w:val="0"/>
                <w:color w:val="auto"/>
                <w:spacing w:val="0"/>
                <w:w w:val="100"/>
                <w:sz w:val="21"/>
                <w:highlight w:val="none"/>
              </w:rPr>
              <w:t>分，最高计</w:t>
            </w:r>
            <w:r>
              <w:rPr>
                <w:rFonts w:hint="eastAsia" w:ascii="宋体" w:hAnsi="宋体" w:cs="宋体"/>
                <w:b w:val="0"/>
                <w:i w:val="0"/>
                <w:caps w:val="0"/>
                <w:color w:val="auto"/>
                <w:spacing w:val="0"/>
                <w:w w:val="100"/>
                <w:sz w:val="21"/>
                <w:highlight w:val="none"/>
                <w:lang w:val="en-US" w:eastAsia="zh-CN"/>
              </w:rPr>
              <w:t>6</w:t>
            </w:r>
            <w:r>
              <w:rPr>
                <w:rFonts w:hint="eastAsia" w:ascii="宋体" w:hAnsi="宋体" w:eastAsia="宋体" w:cs="宋体"/>
                <w:b w:val="0"/>
                <w:i w:val="0"/>
                <w:caps w:val="0"/>
                <w:color w:val="auto"/>
                <w:spacing w:val="0"/>
                <w:w w:val="100"/>
                <w:sz w:val="21"/>
                <w:highlight w:val="none"/>
              </w:rPr>
              <w:t>分。</w:t>
            </w:r>
            <w:r>
              <w:rPr>
                <w:rFonts w:hint="eastAsia" w:ascii="宋体" w:hAnsi="宋体" w:cs="宋体"/>
                <w:b w:val="0"/>
                <w:i w:val="0"/>
                <w:caps w:val="0"/>
                <w:color w:val="auto"/>
                <w:spacing w:val="0"/>
                <w:w w:val="100"/>
                <w:sz w:val="21"/>
                <w:highlight w:val="none"/>
                <w:lang w:eastAsia="zh-CN"/>
              </w:rPr>
              <w:t>（</w:t>
            </w:r>
            <w:r>
              <w:rPr>
                <w:rFonts w:hint="eastAsia" w:ascii="宋体" w:hAnsi="宋体" w:cs="宋体"/>
                <w:b w:val="0"/>
                <w:i w:val="0"/>
                <w:caps w:val="0"/>
                <w:color w:val="auto"/>
                <w:spacing w:val="0"/>
                <w:w w:val="100"/>
                <w:sz w:val="21"/>
                <w:highlight w:val="none"/>
                <w:lang w:val="en-US" w:eastAsia="zh-CN"/>
              </w:rPr>
              <w:t>类似业绩指高标准农田建设项目验收服务项目，提供成交通知书及合同或协议书</w:t>
            </w:r>
            <w:r>
              <w:rPr>
                <w:rFonts w:hint="eastAsia" w:ascii="宋体" w:hAnsi="宋体" w:cs="宋体"/>
                <w:b w:val="0"/>
                <w:i w:val="0"/>
                <w:caps w:val="0"/>
                <w:color w:val="auto"/>
                <w:spacing w:val="0"/>
                <w:w w:val="100"/>
                <w:sz w:val="21"/>
                <w:highlight w:val="none"/>
                <w:lang w:eastAsia="zh-CN"/>
              </w:rPr>
              <w:t>）</w:t>
            </w:r>
          </w:p>
        </w:tc>
      </w:tr>
      <w:tr w14:paraId="3C79425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556" w:type="dxa"/>
            <w:tcBorders>
              <w:right w:val="single" w:color="auto" w:sz="4" w:space="0"/>
            </w:tcBorders>
            <w:noWrap w:val="0"/>
            <w:vAlign w:val="center"/>
          </w:tcPr>
          <w:p w14:paraId="160E8B30">
            <w:pPr>
              <w:adjustRightInd w:val="0"/>
              <w:snapToGrid w:val="0"/>
              <w:spacing w:line="300" w:lineRule="exact"/>
              <w:jc w:val="center"/>
              <w:rPr>
                <w:rFonts w:hint="default" w:ascii="宋体"/>
                <w:color w:val="auto"/>
                <w:szCs w:val="21"/>
                <w:highlight w:val="none"/>
                <w:lang w:val="en-US" w:eastAsia="zh-CN"/>
              </w:rPr>
            </w:pPr>
            <w:r>
              <w:rPr>
                <w:rFonts w:hint="eastAsia" w:ascii="宋体"/>
                <w:color w:val="auto"/>
                <w:szCs w:val="21"/>
                <w:highlight w:val="none"/>
                <w:lang w:val="en-US" w:eastAsia="zh-CN"/>
              </w:rPr>
              <w:t>4</w:t>
            </w:r>
          </w:p>
        </w:tc>
        <w:tc>
          <w:tcPr>
            <w:tcW w:w="686" w:type="dxa"/>
            <w:vMerge w:val="continue"/>
            <w:tcBorders>
              <w:left w:val="single" w:color="auto" w:sz="4" w:space="0"/>
              <w:right w:val="single" w:color="auto" w:sz="4" w:space="0"/>
            </w:tcBorders>
            <w:noWrap w:val="0"/>
            <w:vAlign w:val="center"/>
          </w:tcPr>
          <w:p w14:paraId="41D122DC">
            <w:pPr>
              <w:spacing w:line="320" w:lineRule="exact"/>
              <w:jc w:val="center"/>
              <w:rPr>
                <w:rFonts w:hint="eastAsia" w:ascii="宋体"/>
                <w:color w:val="auto"/>
                <w:szCs w:val="21"/>
                <w:highlight w:val="none"/>
                <w:lang w:val="en-US" w:eastAsia="zh-CN"/>
              </w:rPr>
            </w:pPr>
          </w:p>
        </w:tc>
        <w:tc>
          <w:tcPr>
            <w:tcW w:w="1131" w:type="dxa"/>
            <w:tcBorders>
              <w:left w:val="single" w:color="auto" w:sz="4" w:space="0"/>
              <w:right w:val="single" w:color="auto" w:sz="4" w:space="0"/>
            </w:tcBorders>
            <w:shd w:val="clear" w:color="auto" w:fill="auto"/>
            <w:noWrap w:val="0"/>
            <w:vAlign w:val="center"/>
          </w:tcPr>
          <w:p w14:paraId="384F335B">
            <w:pPr>
              <w:adjustRightInd w:val="0"/>
              <w:snapToGrid w:val="0"/>
              <w:spacing w:line="300" w:lineRule="exact"/>
              <w:jc w:val="center"/>
              <w:rPr>
                <w:rFonts w:hint="default" w:ascii="宋体" w:hAnsi="宋体" w:cs="Times New Roman"/>
                <w:color w:val="auto"/>
                <w:szCs w:val="21"/>
                <w:highlight w:val="none"/>
                <w:lang w:val="en-US" w:eastAsia="zh-CN"/>
              </w:rPr>
            </w:pPr>
            <w:r>
              <w:rPr>
                <w:rFonts w:hint="eastAsia" w:ascii="宋体" w:hAnsi="宋体" w:cs="Times New Roman"/>
                <w:color w:val="auto"/>
                <w:szCs w:val="21"/>
                <w:highlight w:val="none"/>
                <w:lang w:val="en-US" w:eastAsia="zh-CN"/>
              </w:rPr>
              <w:t>项目负责人（4分）</w:t>
            </w:r>
          </w:p>
        </w:tc>
        <w:tc>
          <w:tcPr>
            <w:tcW w:w="7345" w:type="dxa"/>
            <w:tcBorders>
              <w:left w:val="single" w:color="auto" w:sz="4" w:space="0"/>
            </w:tcBorders>
            <w:shd w:val="clear" w:color="auto" w:fill="auto"/>
            <w:noWrap w:val="0"/>
            <w:vAlign w:val="center"/>
          </w:tcPr>
          <w:p w14:paraId="612F49D5">
            <w:pPr>
              <w:spacing w:line="300" w:lineRule="exact"/>
              <w:jc w:val="both"/>
              <w:rPr>
                <w:rFonts w:hint="default" w:ascii="宋体" w:hAnsi="宋体" w:eastAsia="宋体" w:cs="宋体"/>
                <w:b w:val="0"/>
                <w:i w:val="0"/>
                <w:caps w:val="0"/>
                <w:color w:val="auto"/>
                <w:spacing w:val="0"/>
                <w:w w:val="100"/>
                <w:sz w:val="21"/>
                <w:highlight w:val="none"/>
                <w:lang w:val="en-US" w:eastAsia="zh-CN"/>
              </w:rPr>
            </w:pPr>
            <w:r>
              <w:rPr>
                <w:rFonts w:hint="eastAsia" w:ascii="宋体" w:hAnsi="宋体" w:cs="宋体"/>
                <w:b w:val="0"/>
                <w:i w:val="0"/>
                <w:caps w:val="0"/>
                <w:color w:val="auto"/>
                <w:spacing w:val="0"/>
                <w:w w:val="100"/>
                <w:sz w:val="21"/>
                <w:highlight w:val="none"/>
                <w:lang w:val="en-US" w:eastAsia="zh-CN"/>
              </w:rPr>
              <w:t>拟任项目负责人具有水利类或农业类相关工程专业高级职称的得4分。（提供由劳动保障部门出具的投标截止时间前近半年内连续三个月缴纳养老保险证明）</w:t>
            </w:r>
          </w:p>
        </w:tc>
      </w:tr>
      <w:tr w14:paraId="427D982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556" w:type="dxa"/>
            <w:tcBorders>
              <w:right w:val="single" w:color="auto" w:sz="4" w:space="0"/>
            </w:tcBorders>
            <w:noWrap w:val="0"/>
            <w:vAlign w:val="center"/>
          </w:tcPr>
          <w:p w14:paraId="13CCF0AB">
            <w:pPr>
              <w:adjustRightInd w:val="0"/>
              <w:snapToGrid w:val="0"/>
              <w:spacing w:line="300" w:lineRule="exact"/>
              <w:jc w:val="center"/>
              <w:rPr>
                <w:rFonts w:hint="default" w:ascii="宋体"/>
                <w:color w:val="auto"/>
                <w:szCs w:val="21"/>
                <w:highlight w:val="none"/>
                <w:lang w:val="en-US" w:eastAsia="zh-CN"/>
              </w:rPr>
            </w:pPr>
            <w:r>
              <w:rPr>
                <w:rFonts w:hint="eastAsia" w:ascii="宋体"/>
                <w:color w:val="auto"/>
                <w:szCs w:val="21"/>
                <w:highlight w:val="none"/>
                <w:lang w:val="en-US" w:eastAsia="zh-CN"/>
              </w:rPr>
              <w:t>5</w:t>
            </w:r>
          </w:p>
        </w:tc>
        <w:tc>
          <w:tcPr>
            <w:tcW w:w="686" w:type="dxa"/>
            <w:vMerge w:val="continue"/>
            <w:tcBorders>
              <w:left w:val="single" w:color="auto" w:sz="4" w:space="0"/>
              <w:right w:val="single" w:color="auto" w:sz="4" w:space="0"/>
            </w:tcBorders>
            <w:noWrap w:val="0"/>
            <w:vAlign w:val="center"/>
          </w:tcPr>
          <w:p w14:paraId="3BE7CFC4">
            <w:pPr>
              <w:spacing w:line="320" w:lineRule="exact"/>
              <w:jc w:val="center"/>
              <w:rPr>
                <w:rFonts w:hint="eastAsia" w:ascii="宋体"/>
                <w:color w:val="auto"/>
                <w:szCs w:val="21"/>
                <w:highlight w:val="none"/>
                <w:lang w:val="en-US" w:eastAsia="zh-CN"/>
              </w:rPr>
            </w:pPr>
          </w:p>
        </w:tc>
        <w:tc>
          <w:tcPr>
            <w:tcW w:w="1131" w:type="dxa"/>
            <w:tcBorders>
              <w:left w:val="single" w:color="auto" w:sz="4" w:space="0"/>
              <w:right w:val="single" w:color="auto" w:sz="4" w:space="0"/>
            </w:tcBorders>
            <w:shd w:val="clear" w:color="auto" w:fill="auto"/>
            <w:noWrap w:val="0"/>
            <w:vAlign w:val="center"/>
          </w:tcPr>
          <w:p w14:paraId="1E4EB094">
            <w:pPr>
              <w:adjustRightInd w:val="0"/>
              <w:snapToGrid w:val="0"/>
              <w:spacing w:line="300" w:lineRule="exact"/>
              <w:jc w:val="center"/>
              <w:rPr>
                <w:rFonts w:hint="eastAsia" w:ascii="宋体" w:hAnsi="宋体" w:cs="Times New Roman"/>
                <w:color w:val="auto"/>
                <w:szCs w:val="21"/>
                <w:highlight w:val="none"/>
                <w:lang w:val="en-US" w:eastAsia="zh-CN"/>
              </w:rPr>
            </w:pPr>
            <w:r>
              <w:rPr>
                <w:rFonts w:hint="eastAsia" w:ascii="宋体" w:hAnsi="宋体" w:cs="Times New Roman"/>
                <w:color w:val="auto"/>
                <w:szCs w:val="21"/>
                <w:highlight w:val="none"/>
                <w:lang w:val="en-US" w:eastAsia="zh-CN"/>
              </w:rPr>
              <w:t>其他人员</w:t>
            </w:r>
          </w:p>
          <w:p w14:paraId="0ED70BD7">
            <w:pPr>
              <w:adjustRightInd w:val="0"/>
              <w:snapToGrid w:val="0"/>
              <w:spacing w:line="300" w:lineRule="exact"/>
              <w:jc w:val="center"/>
              <w:rPr>
                <w:rFonts w:hint="default" w:ascii="宋体" w:hAnsi="宋体" w:cs="Times New Roman"/>
                <w:color w:val="auto"/>
                <w:szCs w:val="21"/>
                <w:highlight w:val="none"/>
                <w:lang w:val="en-US" w:eastAsia="zh-CN"/>
              </w:rPr>
            </w:pPr>
            <w:r>
              <w:rPr>
                <w:rFonts w:hint="eastAsia" w:ascii="宋体" w:hAnsi="宋体" w:cs="Times New Roman"/>
                <w:color w:val="auto"/>
                <w:szCs w:val="21"/>
                <w:highlight w:val="none"/>
                <w:lang w:val="en-US" w:eastAsia="zh-CN"/>
              </w:rPr>
              <w:t>（10分）</w:t>
            </w:r>
          </w:p>
        </w:tc>
        <w:tc>
          <w:tcPr>
            <w:tcW w:w="7345" w:type="dxa"/>
            <w:tcBorders>
              <w:left w:val="single" w:color="auto" w:sz="4" w:space="0"/>
            </w:tcBorders>
            <w:shd w:val="clear" w:color="auto" w:fill="auto"/>
            <w:noWrap w:val="0"/>
            <w:vAlign w:val="center"/>
          </w:tcPr>
          <w:p w14:paraId="6D4EB780">
            <w:pPr>
              <w:spacing w:line="300" w:lineRule="exact"/>
              <w:jc w:val="both"/>
              <w:rPr>
                <w:rFonts w:hint="eastAsia" w:ascii="宋体" w:hAnsi="宋体" w:eastAsia="宋体" w:cs="宋体"/>
                <w:b w:val="0"/>
                <w:i w:val="0"/>
                <w:caps w:val="0"/>
                <w:color w:val="auto"/>
                <w:spacing w:val="0"/>
                <w:w w:val="100"/>
                <w:sz w:val="21"/>
                <w:highlight w:val="none"/>
              </w:rPr>
            </w:pPr>
            <w:r>
              <w:rPr>
                <w:rFonts w:hint="eastAsia" w:ascii="宋体" w:hAnsi="宋体" w:eastAsia="宋体" w:cs="宋体"/>
                <w:b w:val="0"/>
                <w:i w:val="0"/>
                <w:caps w:val="0"/>
                <w:color w:val="auto"/>
                <w:spacing w:val="0"/>
                <w:w w:val="100"/>
                <w:sz w:val="21"/>
                <w:highlight w:val="none"/>
              </w:rPr>
              <w:t>拟任本次项目服务团队的人员（不包括项目负责人）具备水利水电工程建筑</w:t>
            </w:r>
            <w:r>
              <w:rPr>
                <w:rFonts w:hint="eastAsia" w:ascii="宋体" w:hAnsi="宋体" w:cs="宋体"/>
                <w:b w:val="0"/>
                <w:i w:val="0"/>
                <w:caps w:val="0"/>
                <w:color w:val="auto"/>
                <w:spacing w:val="0"/>
                <w:w w:val="100"/>
                <w:sz w:val="21"/>
                <w:highlight w:val="none"/>
                <w:lang w:val="en-US" w:eastAsia="zh-CN"/>
              </w:rPr>
              <w:t>或</w:t>
            </w:r>
            <w:r>
              <w:rPr>
                <w:rFonts w:hint="eastAsia" w:ascii="宋体" w:hAnsi="宋体" w:eastAsia="宋体" w:cs="宋体"/>
                <w:b w:val="0"/>
                <w:i w:val="0"/>
                <w:caps w:val="0"/>
                <w:color w:val="auto"/>
                <w:spacing w:val="0"/>
                <w:w w:val="100"/>
                <w:sz w:val="21"/>
                <w:highlight w:val="none"/>
              </w:rPr>
              <w:t>水利水电规划</w:t>
            </w:r>
            <w:r>
              <w:rPr>
                <w:rFonts w:hint="eastAsia" w:ascii="宋体" w:hAnsi="宋体" w:cs="宋体"/>
                <w:b w:val="0"/>
                <w:i w:val="0"/>
                <w:caps w:val="0"/>
                <w:color w:val="auto"/>
                <w:spacing w:val="0"/>
                <w:w w:val="100"/>
                <w:sz w:val="21"/>
                <w:highlight w:val="none"/>
                <w:lang w:val="en-US" w:eastAsia="zh-CN"/>
              </w:rPr>
              <w:t>或</w:t>
            </w:r>
            <w:r>
              <w:rPr>
                <w:rFonts w:hint="eastAsia" w:ascii="宋体" w:hAnsi="宋体" w:eastAsia="宋体" w:cs="宋体"/>
                <w:b w:val="0"/>
                <w:i w:val="0"/>
                <w:caps w:val="0"/>
                <w:color w:val="auto"/>
                <w:spacing w:val="0"/>
                <w:w w:val="100"/>
                <w:sz w:val="21"/>
                <w:highlight w:val="none"/>
              </w:rPr>
              <w:t>水土保持</w:t>
            </w:r>
            <w:r>
              <w:rPr>
                <w:rFonts w:hint="eastAsia" w:ascii="宋体" w:hAnsi="宋体" w:cs="宋体"/>
                <w:b w:val="0"/>
                <w:i w:val="0"/>
                <w:caps w:val="0"/>
                <w:color w:val="auto"/>
                <w:spacing w:val="0"/>
                <w:w w:val="100"/>
                <w:sz w:val="21"/>
                <w:highlight w:val="none"/>
                <w:lang w:val="en-US" w:eastAsia="zh-CN"/>
              </w:rPr>
              <w:t>或</w:t>
            </w:r>
            <w:r>
              <w:rPr>
                <w:rFonts w:hint="eastAsia" w:ascii="宋体" w:hAnsi="宋体" w:eastAsia="宋体" w:cs="宋体"/>
                <w:b w:val="0"/>
                <w:i w:val="0"/>
                <w:caps w:val="0"/>
                <w:color w:val="auto"/>
                <w:spacing w:val="0"/>
                <w:w w:val="100"/>
                <w:sz w:val="21"/>
                <w:highlight w:val="none"/>
              </w:rPr>
              <w:t>工程造价</w:t>
            </w:r>
            <w:r>
              <w:rPr>
                <w:rFonts w:hint="eastAsia" w:ascii="宋体" w:hAnsi="宋体" w:cs="宋体"/>
                <w:b w:val="0"/>
                <w:i w:val="0"/>
                <w:caps w:val="0"/>
                <w:color w:val="auto"/>
                <w:spacing w:val="0"/>
                <w:w w:val="100"/>
                <w:sz w:val="21"/>
                <w:highlight w:val="none"/>
                <w:lang w:val="en-US" w:eastAsia="zh-CN"/>
              </w:rPr>
              <w:t>或</w:t>
            </w:r>
            <w:r>
              <w:rPr>
                <w:rFonts w:hint="eastAsia" w:ascii="宋体" w:hAnsi="宋体" w:eastAsia="宋体" w:cs="宋体"/>
                <w:b w:val="0"/>
                <w:i w:val="0"/>
                <w:caps w:val="0"/>
                <w:color w:val="auto"/>
                <w:spacing w:val="0"/>
                <w:w w:val="100"/>
                <w:sz w:val="21"/>
                <w:highlight w:val="none"/>
              </w:rPr>
              <w:t>工程测量</w:t>
            </w:r>
            <w:r>
              <w:rPr>
                <w:rFonts w:hint="eastAsia" w:ascii="宋体" w:hAnsi="宋体" w:cs="宋体"/>
                <w:b w:val="0"/>
                <w:i w:val="0"/>
                <w:caps w:val="0"/>
                <w:color w:val="auto"/>
                <w:spacing w:val="0"/>
                <w:w w:val="100"/>
                <w:sz w:val="21"/>
                <w:highlight w:val="none"/>
                <w:lang w:val="en-US" w:eastAsia="zh-CN"/>
              </w:rPr>
              <w:t>或</w:t>
            </w:r>
            <w:r>
              <w:rPr>
                <w:rFonts w:hint="eastAsia" w:ascii="宋体" w:hAnsi="宋体" w:eastAsia="宋体" w:cs="宋体"/>
                <w:b w:val="0"/>
                <w:i w:val="0"/>
                <w:caps w:val="0"/>
                <w:color w:val="auto"/>
                <w:spacing w:val="0"/>
                <w:w w:val="100"/>
                <w:sz w:val="21"/>
                <w:highlight w:val="none"/>
              </w:rPr>
              <w:t>建筑工程</w:t>
            </w:r>
            <w:r>
              <w:rPr>
                <w:rFonts w:hint="eastAsia" w:ascii="宋体" w:hAnsi="宋体" w:cs="宋体"/>
                <w:b w:val="0"/>
                <w:i w:val="0"/>
                <w:caps w:val="0"/>
                <w:color w:val="auto"/>
                <w:spacing w:val="0"/>
                <w:w w:val="100"/>
                <w:sz w:val="21"/>
                <w:highlight w:val="none"/>
                <w:lang w:val="en-US" w:eastAsia="zh-CN"/>
              </w:rPr>
              <w:t>或</w:t>
            </w:r>
            <w:r>
              <w:rPr>
                <w:rFonts w:hint="eastAsia" w:ascii="宋体" w:hAnsi="宋体" w:eastAsia="宋体" w:cs="宋体"/>
                <w:b w:val="0"/>
                <w:i w:val="0"/>
                <w:caps w:val="0"/>
                <w:color w:val="auto"/>
                <w:spacing w:val="0"/>
                <w:w w:val="100"/>
                <w:sz w:val="21"/>
                <w:highlight w:val="none"/>
              </w:rPr>
              <w:t>土地工程中级及以上技术职称的的每个专业计</w:t>
            </w:r>
            <w:r>
              <w:rPr>
                <w:rFonts w:hint="eastAsia" w:ascii="宋体" w:hAnsi="宋体" w:cs="宋体"/>
                <w:b w:val="0"/>
                <w:i w:val="0"/>
                <w:caps w:val="0"/>
                <w:color w:val="auto"/>
                <w:spacing w:val="0"/>
                <w:w w:val="100"/>
                <w:sz w:val="21"/>
                <w:highlight w:val="none"/>
                <w:lang w:val="en-US" w:eastAsia="zh-CN"/>
              </w:rPr>
              <w:t>2</w:t>
            </w:r>
            <w:r>
              <w:rPr>
                <w:rFonts w:hint="eastAsia" w:ascii="宋体" w:hAnsi="宋体" w:eastAsia="宋体" w:cs="宋体"/>
                <w:b w:val="0"/>
                <w:i w:val="0"/>
                <w:caps w:val="0"/>
                <w:color w:val="auto"/>
                <w:spacing w:val="0"/>
                <w:w w:val="100"/>
                <w:sz w:val="21"/>
                <w:highlight w:val="none"/>
              </w:rPr>
              <w:t>分，最高得</w:t>
            </w:r>
            <w:r>
              <w:rPr>
                <w:rFonts w:hint="eastAsia" w:ascii="宋体" w:hAnsi="宋体" w:cs="宋体"/>
                <w:b w:val="0"/>
                <w:i w:val="0"/>
                <w:caps w:val="0"/>
                <w:color w:val="auto"/>
                <w:spacing w:val="0"/>
                <w:w w:val="100"/>
                <w:sz w:val="21"/>
                <w:highlight w:val="none"/>
                <w:lang w:val="en-US" w:eastAsia="zh-CN"/>
              </w:rPr>
              <w:t>10</w:t>
            </w:r>
            <w:r>
              <w:rPr>
                <w:rFonts w:hint="eastAsia" w:ascii="宋体" w:hAnsi="宋体" w:eastAsia="宋体" w:cs="宋体"/>
                <w:b w:val="0"/>
                <w:i w:val="0"/>
                <w:caps w:val="0"/>
                <w:color w:val="auto"/>
                <w:spacing w:val="0"/>
                <w:w w:val="100"/>
                <w:sz w:val="21"/>
                <w:highlight w:val="none"/>
              </w:rPr>
              <w:t>分。</w:t>
            </w:r>
            <w:r>
              <w:rPr>
                <w:rFonts w:hint="eastAsia" w:ascii="宋体" w:hAnsi="宋体" w:cs="宋体"/>
                <w:b w:val="0"/>
                <w:i w:val="0"/>
                <w:caps w:val="0"/>
                <w:color w:val="auto"/>
                <w:spacing w:val="0"/>
                <w:w w:val="100"/>
                <w:sz w:val="21"/>
                <w:highlight w:val="none"/>
                <w:lang w:val="en-US" w:eastAsia="zh-CN"/>
              </w:rPr>
              <w:t>（提供由劳动保障部门出具的投标截止时间前近半年内连续三个月缴纳养老保险证明）</w:t>
            </w:r>
          </w:p>
        </w:tc>
      </w:tr>
      <w:tr w14:paraId="2EE7A66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9718" w:type="dxa"/>
            <w:gridSpan w:val="4"/>
            <w:noWrap w:val="0"/>
            <w:vAlign w:val="center"/>
          </w:tcPr>
          <w:p w14:paraId="61175031">
            <w:pPr>
              <w:adjustRightInd w:val="0"/>
              <w:snapToGrid w:val="0"/>
              <w:spacing w:line="300" w:lineRule="exact"/>
              <w:rPr>
                <w:rFonts w:hint="eastAsia" w:ascii="宋体" w:eastAsia="宋体"/>
                <w:color w:val="auto"/>
                <w:szCs w:val="21"/>
                <w:highlight w:val="yellow"/>
                <w:lang w:val="en-US" w:eastAsia="zh-CN"/>
              </w:rPr>
            </w:pPr>
            <w:r>
              <w:rPr>
                <w:rFonts w:hint="eastAsia" w:ascii="宋体"/>
                <w:color w:val="auto"/>
                <w:szCs w:val="21"/>
                <w:highlight w:val="none"/>
                <w:lang w:eastAsia="zh-CN"/>
              </w:rPr>
              <w:t>合计：</w:t>
            </w:r>
            <w:r>
              <w:rPr>
                <w:rFonts w:hint="eastAsia" w:ascii="宋体"/>
                <w:color w:val="auto"/>
                <w:szCs w:val="21"/>
                <w:highlight w:val="none"/>
                <w:lang w:val="en-US" w:eastAsia="zh-CN"/>
              </w:rPr>
              <w:t>100分</w:t>
            </w:r>
          </w:p>
        </w:tc>
      </w:tr>
    </w:tbl>
    <w:p w14:paraId="2C68CA6B">
      <w:pPr>
        <w:pStyle w:val="61"/>
        <w:rPr>
          <w:rFonts w:hint="eastAsia" w:ascii="宋体" w:hAnsi="宋体" w:eastAsia="宋体" w:cs="宋体"/>
        </w:rPr>
      </w:pPr>
    </w:p>
    <w:p w14:paraId="72EA4A52">
      <w:pPr>
        <w:tabs>
          <w:tab w:val="left" w:pos="0"/>
        </w:tabs>
        <w:adjustRightInd w:val="0"/>
        <w:snapToGrid w:val="0"/>
        <w:ind w:firstLine="462" w:firstLineChars="220"/>
        <w:rPr>
          <w:rFonts w:hint="eastAsia" w:ascii="宋体" w:hAnsi="宋体" w:eastAsia="宋体" w:cs="宋体"/>
          <w:szCs w:val="21"/>
        </w:rPr>
      </w:pPr>
      <w:r>
        <w:rPr>
          <w:rFonts w:hint="eastAsia" w:ascii="宋体" w:hAnsi="宋体" w:eastAsia="宋体" w:cs="宋体"/>
        </w:rPr>
        <w:t>说明：</w:t>
      </w:r>
    </w:p>
    <w:p w14:paraId="2880265F">
      <w:pPr>
        <w:keepNext w:val="0"/>
        <w:keepLines w:val="0"/>
        <w:pageBreakBefore w:val="0"/>
        <w:widowControl w:val="0"/>
        <w:tabs>
          <w:tab w:val="left" w:pos="0"/>
        </w:tabs>
        <w:kinsoku/>
        <w:wordWrap/>
        <w:overflowPunct/>
        <w:topLinePunct w:val="0"/>
        <w:bidi w:val="0"/>
        <w:adjustRightInd w:val="0"/>
        <w:snapToGrid w:val="0"/>
        <w:spacing w:line="360" w:lineRule="auto"/>
        <w:ind w:firstLine="525" w:firstLineChars="25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以上所提到的相关证明文件等均须提供复印件并加盖公章。</w:t>
      </w:r>
    </w:p>
    <w:p w14:paraId="7A7A9960">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若供应商提供虚假资料，一经查实作</w:t>
      </w:r>
      <w:r>
        <w:rPr>
          <w:rFonts w:hint="eastAsia" w:ascii="宋体" w:hAnsi="宋体" w:cs="宋体"/>
          <w:lang w:eastAsia="zh-CN"/>
        </w:rPr>
        <w:t>无效响应</w:t>
      </w:r>
      <w:r>
        <w:rPr>
          <w:rFonts w:hint="eastAsia" w:ascii="宋体" w:hAnsi="宋体" w:eastAsia="宋体" w:cs="宋体"/>
        </w:rPr>
        <w:t>处理，并向相关主管部门汇报。</w:t>
      </w:r>
    </w:p>
    <w:p w14:paraId="4A01B102">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3</w:t>
      </w:r>
      <w:r>
        <w:rPr>
          <w:rFonts w:hint="eastAsia" w:ascii="宋体" w:hAnsi="宋体" w:eastAsia="宋体" w:cs="宋体"/>
        </w:rPr>
        <w:t>、磋商小组将对通过资格审查的有效</w:t>
      </w:r>
      <w:r>
        <w:rPr>
          <w:rFonts w:hint="eastAsia" w:ascii="宋体" w:hAnsi="宋体" w:cs="宋体"/>
          <w:lang w:eastAsia="zh-CN"/>
        </w:rPr>
        <w:t>供应商</w:t>
      </w:r>
      <w:r>
        <w:rPr>
          <w:rFonts w:hint="eastAsia" w:ascii="宋体" w:hAnsi="宋体" w:eastAsia="宋体" w:cs="宋体"/>
        </w:rPr>
        <w:t>进行抽签或随机确定各单位的磋商顺序，然后由磋商小组所有成员集中与单一</w:t>
      </w:r>
      <w:r>
        <w:rPr>
          <w:rFonts w:hint="eastAsia" w:ascii="宋体" w:hAnsi="宋体" w:cs="宋体"/>
          <w:lang w:eastAsia="zh-CN"/>
        </w:rPr>
        <w:t>供应商</w:t>
      </w:r>
      <w:r>
        <w:rPr>
          <w:rFonts w:hint="eastAsia" w:ascii="宋体" w:hAnsi="宋体" w:eastAsia="宋体" w:cs="宋体"/>
        </w:rPr>
        <w:t>逐一进行磋商，磋商承诺及书面报价均须由</w:t>
      </w:r>
      <w:r>
        <w:rPr>
          <w:rFonts w:hint="eastAsia" w:ascii="宋体" w:hAnsi="宋体" w:cs="宋体"/>
          <w:lang w:eastAsia="zh-CN"/>
        </w:rPr>
        <w:t>法定代表人（单位负责人）</w:t>
      </w:r>
      <w:r>
        <w:rPr>
          <w:rFonts w:hint="eastAsia" w:ascii="宋体" w:hAnsi="宋体" w:eastAsia="宋体" w:cs="宋体"/>
        </w:rPr>
        <w:t>或其授权代表签字确认。</w:t>
      </w:r>
    </w:p>
    <w:p w14:paraId="02D3E4F0">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4</w:t>
      </w:r>
      <w:r>
        <w:rPr>
          <w:rFonts w:hint="eastAsia" w:ascii="宋体" w:hAnsi="宋体" w:eastAsia="宋体" w:cs="宋体"/>
        </w:rPr>
        <w:t>、每次评分计算保留2位小数（百分比亦取2位小数），第三位小数四舍五入。</w:t>
      </w:r>
    </w:p>
    <w:p w14:paraId="4E3699AE">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5</w:t>
      </w:r>
      <w:r>
        <w:rPr>
          <w:rFonts w:hint="eastAsia" w:ascii="宋体" w:hAnsi="宋体" w:eastAsia="宋体" w:cs="宋体"/>
        </w:rPr>
        <w:t>、有下列情况之一者单项评分为无效分，评委须作出解释，并重新打分：</w:t>
      </w:r>
    </w:p>
    <w:p w14:paraId="0D476557">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5</w:t>
      </w:r>
      <w:r>
        <w:rPr>
          <w:rFonts w:hint="eastAsia" w:ascii="宋体" w:hAnsi="宋体" w:eastAsia="宋体" w:cs="宋体"/>
        </w:rPr>
        <w:t>.1评分高出规定最高分或低于规定最低分的；</w:t>
      </w:r>
    </w:p>
    <w:p w14:paraId="2079D95F">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5</w:t>
      </w:r>
      <w:r>
        <w:rPr>
          <w:rFonts w:hint="eastAsia" w:ascii="宋体" w:hAnsi="宋体" w:eastAsia="宋体" w:cs="宋体"/>
        </w:rPr>
        <w:t>.2一个计分内容有2个或2个以上计分的；</w:t>
      </w:r>
    </w:p>
    <w:p w14:paraId="050B6457">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5</w:t>
      </w:r>
      <w:r>
        <w:rPr>
          <w:rFonts w:hint="eastAsia" w:ascii="宋体" w:hAnsi="宋体" w:eastAsia="宋体" w:cs="宋体"/>
        </w:rPr>
        <w:t>.3无记分；</w:t>
      </w:r>
    </w:p>
    <w:p w14:paraId="00648D29">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b/>
          <w:sz w:val="32"/>
          <w:szCs w:val="32"/>
        </w:rPr>
      </w:pPr>
      <w:r>
        <w:rPr>
          <w:rFonts w:hint="eastAsia" w:ascii="宋体" w:hAnsi="宋体" w:cs="宋体"/>
          <w:lang w:val="en-US" w:eastAsia="zh-CN"/>
        </w:rPr>
        <w:t>5</w:t>
      </w:r>
      <w:r>
        <w:rPr>
          <w:rFonts w:hint="eastAsia" w:ascii="宋体" w:hAnsi="宋体" w:eastAsia="宋体" w:cs="宋体"/>
        </w:rPr>
        <w:t>.4其它明显不合理记分。</w:t>
      </w:r>
    </w:p>
    <w:p w14:paraId="5C8E34FA">
      <w:pPr>
        <w:jc w:val="center"/>
        <w:rPr>
          <w:rFonts w:hint="eastAsia" w:ascii="宋体" w:hAnsi="宋体" w:eastAsia="宋体" w:cs="宋体"/>
        </w:rPr>
      </w:pPr>
    </w:p>
    <w:p w14:paraId="67B9C2BC">
      <w:pPr>
        <w:pStyle w:val="47"/>
        <w:rPr>
          <w:rFonts w:hint="eastAsia" w:ascii="宋体" w:hAnsi="宋体" w:eastAsia="宋体" w:cs="宋体"/>
        </w:rPr>
      </w:pPr>
    </w:p>
    <w:p w14:paraId="63E27532">
      <w:pPr>
        <w:adjustRightInd w:val="0"/>
        <w:snapToGrid w:val="0"/>
        <w:spacing w:line="360" w:lineRule="auto"/>
        <w:rPr>
          <w:rFonts w:hint="eastAsia" w:ascii="宋体" w:hAnsi="宋体" w:eastAsia="宋体" w:cs="宋体"/>
          <w:b/>
          <w:szCs w:val="21"/>
        </w:rPr>
        <w:sectPr>
          <w:pgSz w:w="11906" w:h="16838"/>
          <w:pgMar w:top="1020" w:right="1361" w:bottom="1020" w:left="1361" w:header="851" w:footer="992" w:gutter="0"/>
          <w:pgNumType w:fmt="decimal"/>
          <w:cols w:space="720" w:num="1"/>
          <w:docGrid w:type="lines" w:linePitch="312" w:charSpace="0"/>
        </w:sectPr>
      </w:pPr>
    </w:p>
    <w:p w14:paraId="682ED9A1">
      <w:pPr>
        <w:adjustRightInd w:val="0"/>
        <w:snapToGrid w:val="0"/>
        <w:spacing w:line="360" w:lineRule="auto"/>
        <w:jc w:val="center"/>
        <w:outlineLvl w:val="1"/>
        <w:rPr>
          <w:rFonts w:hint="eastAsia" w:ascii="宋体" w:hAnsi="宋体" w:eastAsia="宋体" w:cs="宋体"/>
          <w:b/>
          <w:bCs/>
          <w:sz w:val="28"/>
          <w:szCs w:val="28"/>
        </w:rPr>
      </w:pPr>
      <w:bookmarkStart w:id="8" w:name="_Toc12180"/>
      <w:bookmarkStart w:id="9" w:name="_Toc25071"/>
      <w:bookmarkStart w:id="10" w:name="_Toc11933132"/>
      <w:r>
        <w:rPr>
          <w:rFonts w:hint="eastAsia" w:ascii="宋体" w:hAnsi="宋体" w:eastAsia="宋体" w:cs="宋体"/>
          <w:b/>
          <w:bCs/>
          <w:sz w:val="28"/>
          <w:szCs w:val="28"/>
        </w:rPr>
        <w:t>磋商须知正文</w:t>
      </w:r>
      <w:bookmarkEnd w:id="8"/>
      <w:bookmarkEnd w:id="9"/>
      <w:bookmarkEnd w:id="10"/>
    </w:p>
    <w:p w14:paraId="5540E20F">
      <w:pPr>
        <w:adjustRightInd w:val="0"/>
        <w:snapToGrid w:val="0"/>
        <w:spacing w:line="360" w:lineRule="auto"/>
        <w:outlineLvl w:val="2"/>
        <w:rPr>
          <w:rFonts w:hint="eastAsia" w:ascii="宋体" w:hAnsi="宋体" w:eastAsia="宋体" w:cs="宋体"/>
          <w:sz w:val="24"/>
        </w:rPr>
      </w:pPr>
      <w:bookmarkStart w:id="11" w:name="_Toc3159"/>
      <w:bookmarkStart w:id="12" w:name="_Toc11933133"/>
      <w:bookmarkStart w:id="13" w:name="_Toc6914"/>
      <w:r>
        <w:rPr>
          <w:rFonts w:hint="eastAsia" w:ascii="宋体" w:hAnsi="宋体" w:eastAsia="宋体" w:cs="宋体"/>
          <w:sz w:val="24"/>
        </w:rPr>
        <w:t>一、说明</w:t>
      </w:r>
      <w:bookmarkEnd w:id="11"/>
      <w:bookmarkEnd w:id="12"/>
      <w:bookmarkEnd w:id="13"/>
    </w:p>
    <w:p w14:paraId="62F14E33">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1.适用范围</w:t>
      </w:r>
    </w:p>
    <w:p w14:paraId="3F5DAED4">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1.1 本磋商文件仅适用于磋商须知前附表(以下简称</w:t>
      </w:r>
      <w:r>
        <w:rPr>
          <w:rFonts w:hint="eastAsia" w:ascii="宋体" w:hAnsi="宋体" w:eastAsia="宋体" w:cs="宋体"/>
          <w:b/>
          <w:szCs w:val="21"/>
        </w:rPr>
        <w:t>磋商须知前附表)</w:t>
      </w:r>
      <w:r>
        <w:rPr>
          <w:rFonts w:hint="eastAsia" w:ascii="宋体" w:hAnsi="宋体" w:eastAsia="宋体" w:cs="宋体"/>
          <w:szCs w:val="21"/>
        </w:rPr>
        <w:t>中所叙述的</w:t>
      </w:r>
      <w:r>
        <w:rPr>
          <w:rFonts w:hint="eastAsia" w:ascii="宋体" w:hAnsi="宋体" w:cs="宋体"/>
          <w:szCs w:val="21"/>
          <w:lang w:eastAsia="zh-CN"/>
        </w:rPr>
        <w:t>招标项目</w:t>
      </w:r>
      <w:r>
        <w:rPr>
          <w:rFonts w:hint="eastAsia" w:ascii="宋体" w:hAnsi="宋体" w:eastAsia="宋体" w:cs="宋体"/>
          <w:szCs w:val="21"/>
        </w:rPr>
        <w:t>。</w:t>
      </w:r>
    </w:p>
    <w:p w14:paraId="5B261034">
      <w:pPr>
        <w:pStyle w:val="13"/>
        <w:rPr>
          <w:rFonts w:hint="eastAsia" w:ascii="宋体" w:hAnsi="宋体" w:eastAsia="宋体" w:cs="宋体"/>
        </w:rPr>
      </w:pPr>
      <w:r>
        <w:rPr>
          <w:rFonts w:hint="eastAsia" w:ascii="宋体" w:hAnsi="宋体" w:eastAsia="宋体" w:cs="宋体"/>
        </w:rPr>
        <w:t>1.2</w:t>
      </w:r>
      <w:r>
        <w:rPr>
          <w:rFonts w:hint="eastAsia" w:ascii="宋体" w:hAnsi="宋体" w:eastAsia="宋体" w:cs="宋体"/>
          <w:b/>
          <w:szCs w:val="21"/>
        </w:rPr>
        <w:t>【磋商须知前附表】</w:t>
      </w:r>
      <w:r>
        <w:rPr>
          <w:rFonts w:hint="eastAsia" w:ascii="宋体" w:hAnsi="宋体" w:eastAsia="宋体" w:cs="宋体"/>
          <w:szCs w:val="21"/>
        </w:rPr>
        <w:t>规定</w:t>
      </w:r>
      <w:r>
        <w:rPr>
          <w:rFonts w:hint="eastAsia" w:ascii="宋体" w:hAnsi="宋体" w:cs="宋体"/>
          <w:szCs w:val="21"/>
          <w:lang w:eastAsia="zh-CN"/>
        </w:rPr>
        <w:t>招标项目</w:t>
      </w:r>
      <w:r>
        <w:rPr>
          <w:rFonts w:hint="eastAsia" w:ascii="宋体" w:hAnsi="宋体" w:eastAsia="宋体" w:cs="宋体"/>
          <w:szCs w:val="21"/>
        </w:rPr>
        <w:t>专门面向中小企业采购的，如</w:t>
      </w:r>
      <w:r>
        <w:rPr>
          <w:rFonts w:hint="eastAsia" w:ascii="宋体" w:hAnsi="宋体" w:cs="宋体"/>
          <w:szCs w:val="21"/>
          <w:lang w:eastAsia="zh-CN"/>
        </w:rPr>
        <w:t>供应商</w:t>
      </w:r>
      <w:r>
        <w:rPr>
          <w:rFonts w:hint="eastAsia" w:ascii="宋体" w:hAnsi="宋体" w:eastAsia="宋体" w:cs="宋体"/>
          <w:szCs w:val="21"/>
        </w:rPr>
        <w:t>为非中小微企业，其</w:t>
      </w:r>
      <w:r>
        <w:rPr>
          <w:rFonts w:hint="eastAsia" w:ascii="宋体" w:hAnsi="宋体" w:eastAsia="宋体" w:cs="宋体"/>
          <w:b/>
          <w:szCs w:val="21"/>
        </w:rPr>
        <w:t>投标无效</w:t>
      </w:r>
      <w:r>
        <w:rPr>
          <w:rFonts w:hint="eastAsia" w:ascii="宋体" w:hAnsi="宋体" w:eastAsia="宋体" w:cs="宋体"/>
          <w:szCs w:val="21"/>
        </w:rPr>
        <w:t>。</w:t>
      </w:r>
    </w:p>
    <w:p w14:paraId="0352FB6D">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2.定义</w:t>
      </w:r>
    </w:p>
    <w:p w14:paraId="30F71DBF">
      <w:pPr>
        <w:adjustRightInd w:val="0"/>
        <w:snapToGrid w:val="0"/>
        <w:spacing w:line="360" w:lineRule="auto"/>
        <w:ind w:firstLine="420" w:firstLineChars="200"/>
        <w:rPr>
          <w:rFonts w:hint="eastAsia" w:ascii="宋体" w:hAnsi="宋体" w:eastAsia="宋体" w:cs="宋体"/>
          <w:b/>
          <w:szCs w:val="21"/>
        </w:rPr>
      </w:pPr>
      <w:r>
        <w:rPr>
          <w:rFonts w:hint="eastAsia" w:ascii="宋体" w:hAnsi="宋体" w:eastAsia="宋体" w:cs="宋体"/>
          <w:szCs w:val="21"/>
        </w:rPr>
        <w:t>2.1 “招标人”是指依法进行政府采购的国家机关、事业单位、团体组织。本次政府采购的招标人名称、地址、电话、联系人见</w:t>
      </w:r>
      <w:r>
        <w:rPr>
          <w:rFonts w:hint="eastAsia" w:ascii="宋体" w:hAnsi="宋体" w:eastAsia="宋体" w:cs="宋体"/>
          <w:b/>
          <w:szCs w:val="21"/>
        </w:rPr>
        <w:t>磋商须知前附表</w:t>
      </w:r>
      <w:r>
        <w:rPr>
          <w:rFonts w:hint="eastAsia" w:ascii="宋体" w:hAnsi="宋体" w:eastAsia="宋体" w:cs="宋体"/>
          <w:szCs w:val="21"/>
        </w:rPr>
        <w:t>。</w:t>
      </w:r>
    </w:p>
    <w:p w14:paraId="3078D8A6">
      <w:pPr>
        <w:adjustRightInd w:val="0"/>
        <w:snapToGrid w:val="0"/>
        <w:spacing w:line="360" w:lineRule="auto"/>
        <w:ind w:firstLine="420" w:firstLineChars="200"/>
        <w:rPr>
          <w:rFonts w:hint="eastAsia" w:ascii="宋体" w:hAnsi="宋体" w:eastAsia="宋体" w:cs="宋体"/>
          <w:b/>
          <w:szCs w:val="21"/>
        </w:rPr>
      </w:pPr>
      <w:r>
        <w:rPr>
          <w:rFonts w:hint="eastAsia" w:ascii="宋体" w:hAnsi="宋体" w:eastAsia="宋体" w:cs="宋体"/>
          <w:szCs w:val="21"/>
        </w:rPr>
        <w:t>2.2 “</w:t>
      </w:r>
      <w:r>
        <w:rPr>
          <w:rFonts w:hint="eastAsia" w:ascii="宋体" w:hAnsi="宋体" w:cs="宋体"/>
          <w:szCs w:val="21"/>
          <w:lang w:eastAsia="zh-CN"/>
        </w:rPr>
        <w:t>招标代理机构</w:t>
      </w:r>
      <w:r>
        <w:rPr>
          <w:rFonts w:hint="eastAsia" w:ascii="宋体" w:hAnsi="宋体" w:eastAsia="宋体" w:cs="宋体"/>
          <w:szCs w:val="21"/>
        </w:rPr>
        <w:t>”是指接受招标人委托，代理</w:t>
      </w:r>
      <w:r>
        <w:rPr>
          <w:rFonts w:hint="eastAsia" w:ascii="宋体" w:hAnsi="宋体" w:cs="宋体"/>
          <w:szCs w:val="21"/>
          <w:lang w:eastAsia="zh-CN"/>
        </w:rPr>
        <w:t>招标项目</w:t>
      </w:r>
      <w:r>
        <w:rPr>
          <w:rFonts w:hint="eastAsia" w:ascii="宋体" w:hAnsi="宋体" w:eastAsia="宋体" w:cs="宋体"/>
          <w:szCs w:val="21"/>
        </w:rPr>
        <w:t>的集中采购机构和其他</w:t>
      </w:r>
      <w:r>
        <w:rPr>
          <w:rFonts w:hint="eastAsia" w:ascii="宋体" w:hAnsi="宋体" w:cs="宋体"/>
          <w:szCs w:val="21"/>
          <w:lang w:eastAsia="zh-CN"/>
        </w:rPr>
        <w:t>招标代理机构</w:t>
      </w:r>
      <w:r>
        <w:rPr>
          <w:rFonts w:hint="eastAsia" w:ascii="宋体" w:hAnsi="宋体" w:eastAsia="宋体" w:cs="宋体"/>
          <w:szCs w:val="21"/>
        </w:rPr>
        <w:t>。本次政府采购的</w:t>
      </w:r>
      <w:r>
        <w:rPr>
          <w:rFonts w:hint="eastAsia" w:ascii="宋体" w:hAnsi="宋体" w:cs="宋体"/>
          <w:szCs w:val="21"/>
          <w:lang w:eastAsia="zh-CN"/>
        </w:rPr>
        <w:t>招标代理机构</w:t>
      </w:r>
      <w:r>
        <w:rPr>
          <w:rFonts w:hint="eastAsia" w:ascii="宋体" w:hAnsi="宋体" w:eastAsia="宋体" w:cs="宋体"/>
          <w:szCs w:val="21"/>
        </w:rPr>
        <w:t>名称、地址、电话、联系人见</w:t>
      </w:r>
      <w:r>
        <w:rPr>
          <w:rFonts w:hint="eastAsia" w:ascii="宋体" w:hAnsi="宋体" w:eastAsia="宋体" w:cs="宋体"/>
          <w:b/>
          <w:szCs w:val="21"/>
        </w:rPr>
        <w:t>磋商须知前附表。</w:t>
      </w:r>
    </w:p>
    <w:p w14:paraId="686CAFB3">
      <w:pPr>
        <w:adjustRightInd w:val="0"/>
        <w:snapToGrid w:val="0"/>
        <w:spacing w:line="360" w:lineRule="auto"/>
        <w:ind w:firstLine="420" w:firstLineChars="200"/>
        <w:rPr>
          <w:rFonts w:hint="eastAsia" w:ascii="宋体" w:hAnsi="宋体" w:eastAsia="宋体" w:cs="宋体"/>
          <w:bCs/>
          <w:kern w:val="36"/>
          <w:szCs w:val="21"/>
        </w:rPr>
      </w:pPr>
      <w:r>
        <w:rPr>
          <w:rFonts w:hint="eastAsia" w:ascii="宋体" w:hAnsi="宋体" w:eastAsia="宋体" w:cs="宋体"/>
          <w:szCs w:val="21"/>
        </w:rPr>
        <w:t>2.3 “供应商”是指响应磋商文件要求、参加竞争性磋商采购的法人、其他组织或者自然人。本次</w:t>
      </w:r>
      <w:r>
        <w:rPr>
          <w:rFonts w:hint="eastAsia" w:ascii="宋体" w:hAnsi="宋体" w:eastAsia="宋体" w:cs="宋体"/>
          <w:kern w:val="0"/>
          <w:szCs w:val="21"/>
        </w:rPr>
        <w:t>邀请</w:t>
      </w:r>
      <w:r>
        <w:rPr>
          <w:rFonts w:hint="eastAsia" w:ascii="宋体" w:hAnsi="宋体" w:eastAsia="宋体" w:cs="宋体"/>
          <w:szCs w:val="21"/>
        </w:rPr>
        <w:t>的</w:t>
      </w:r>
      <w:r>
        <w:rPr>
          <w:rFonts w:hint="eastAsia" w:ascii="宋体" w:hAnsi="宋体" w:eastAsia="宋体" w:cs="宋体"/>
          <w:kern w:val="0"/>
          <w:szCs w:val="21"/>
        </w:rPr>
        <w:t>供应商通过</w:t>
      </w:r>
      <w:r>
        <w:rPr>
          <w:rFonts w:hint="eastAsia" w:ascii="宋体" w:hAnsi="宋体" w:eastAsia="宋体" w:cs="宋体"/>
          <w:b/>
          <w:szCs w:val="21"/>
        </w:rPr>
        <w:t>磋商须知前附表</w:t>
      </w:r>
      <w:r>
        <w:rPr>
          <w:rFonts w:hint="eastAsia" w:ascii="宋体" w:hAnsi="宋体" w:eastAsia="宋体" w:cs="宋体"/>
          <w:szCs w:val="21"/>
        </w:rPr>
        <w:t>所述方式</w:t>
      </w:r>
      <w:r>
        <w:rPr>
          <w:rFonts w:hint="eastAsia" w:ascii="宋体" w:hAnsi="宋体" w:eastAsia="宋体" w:cs="宋体"/>
          <w:kern w:val="0"/>
          <w:szCs w:val="21"/>
        </w:rPr>
        <w:t>，邀请符合资格条件的供应商提交响应文件（含资格证明资料），参与竞争性磋商采购活动。</w:t>
      </w:r>
    </w:p>
    <w:p w14:paraId="1CCAA85A">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szCs w:val="21"/>
        </w:rPr>
        <w:t>2.4 “磋商小组”是指</w:t>
      </w:r>
      <w:r>
        <w:rPr>
          <w:rFonts w:hint="eastAsia" w:ascii="宋体" w:hAnsi="宋体" w:eastAsia="宋体" w:cs="宋体"/>
          <w:kern w:val="0"/>
          <w:szCs w:val="21"/>
        </w:rPr>
        <w:t>依据财政部</w:t>
      </w:r>
      <w:r>
        <w:rPr>
          <w:rFonts w:hint="eastAsia" w:ascii="宋体" w:hAnsi="宋体" w:eastAsia="宋体" w:cs="宋体"/>
          <w:bCs/>
          <w:kern w:val="36"/>
          <w:szCs w:val="21"/>
        </w:rPr>
        <w:t>《政府采购竞争性磋商招标方式管理暂行办法》有关规定组建，依法依规</w:t>
      </w:r>
      <w:r>
        <w:rPr>
          <w:rFonts w:hint="eastAsia" w:ascii="宋体" w:hAnsi="宋体" w:eastAsia="宋体" w:cs="宋体"/>
          <w:kern w:val="0"/>
          <w:szCs w:val="21"/>
        </w:rPr>
        <w:t>履行其职责和义务的机构。</w:t>
      </w:r>
    </w:p>
    <w:p w14:paraId="00698D80">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2.5 “货物”是指各种形态和种类的物品，包括原资料、燃料、设备、产品等，详见《政府采购品目分类目录》。</w:t>
      </w:r>
    </w:p>
    <w:p w14:paraId="7C72682C">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2.6 “工程”是指建设工程，包括建筑物和构筑物的新建、改建、扩建、装修、拆除、修缮等，详见《政府采购品目分类目录》。</w:t>
      </w:r>
    </w:p>
    <w:p w14:paraId="4F34DFBB">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2.7 “服务”是指除货物和工程以外的其他政府采购对象，详见《政府采购品目分类目录》(</w:t>
      </w:r>
      <w:r>
        <w:rPr>
          <w:rStyle w:val="51"/>
          <w:rFonts w:hint="eastAsia" w:ascii="宋体" w:hAnsi="宋体" w:eastAsia="宋体" w:cs="宋体"/>
          <w:b w:val="0"/>
        </w:rPr>
        <w:t>财库</w:t>
      </w:r>
      <w:r>
        <w:rPr>
          <w:rStyle w:val="51"/>
          <w:rFonts w:hint="eastAsia" w:ascii="宋体" w:hAnsi="宋体" w:cs="宋体"/>
          <w:b w:val="0"/>
          <w:lang w:eastAsia="zh-CN"/>
        </w:rPr>
        <w:t>〔2013〕189号</w:t>
      </w:r>
      <w:r>
        <w:rPr>
          <w:rFonts w:hint="eastAsia" w:ascii="宋体" w:hAnsi="宋体" w:eastAsia="宋体" w:cs="宋体"/>
          <w:szCs w:val="21"/>
        </w:rPr>
        <w:t>)。</w:t>
      </w:r>
    </w:p>
    <w:p w14:paraId="50A2709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kern w:val="0"/>
          <w:szCs w:val="21"/>
        </w:rPr>
        <w:t>2.8</w:t>
      </w:r>
      <w:r>
        <w:rPr>
          <w:rFonts w:hint="eastAsia" w:ascii="宋体" w:hAnsi="宋体" w:eastAsia="宋体" w:cs="宋体"/>
          <w:szCs w:val="21"/>
        </w:rPr>
        <w:t xml:space="preserve"> “节能产品”或者“环保产品”是指财政部发布的《节能产品政府采购清单》或者《环境标志产品政府采购清单》的产品，“两型产品”是指湖南省财政厅发布的《湖南省两型产品政府采购目录》的产品。</w:t>
      </w:r>
    </w:p>
    <w:p w14:paraId="0EF4DF7D">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szCs w:val="21"/>
        </w:rPr>
        <w:t>2.9</w:t>
      </w:r>
      <w:r>
        <w:rPr>
          <w:rFonts w:hint="eastAsia" w:ascii="宋体" w:hAnsi="宋体" w:eastAsia="宋体" w:cs="宋体"/>
          <w:kern w:val="0"/>
          <w:szCs w:val="21"/>
        </w:rPr>
        <w:t xml:space="preserve"> “进口产品”是指通过中国海关报关验放进入中国境内且产自关境外的产品，详见《关于政府采购进口产品管理有关问题的通知》。</w:t>
      </w:r>
    </w:p>
    <w:p w14:paraId="5947CEE5">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3.供应商的资格要求</w:t>
      </w:r>
    </w:p>
    <w:p w14:paraId="7976F14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3.1 供应商应当符合</w:t>
      </w:r>
      <w:r>
        <w:rPr>
          <w:rFonts w:hint="eastAsia" w:ascii="宋体" w:hAnsi="宋体" w:eastAsia="宋体" w:cs="宋体"/>
          <w:b/>
          <w:szCs w:val="21"/>
        </w:rPr>
        <w:t>磋商须知前附表</w:t>
      </w:r>
      <w:r>
        <w:rPr>
          <w:rFonts w:hint="eastAsia" w:ascii="宋体" w:hAnsi="宋体" w:eastAsia="宋体" w:cs="宋体"/>
          <w:szCs w:val="21"/>
        </w:rPr>
        <w:t>中规定的资格条件要求。</w:t>
      </w:r>
    </w:p>
    <w:p w14:paraId="4782FAC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3.2供应商</w:t>
      </w:r>
      <w:r>
        <w:rPr>
          <w:rFonts w:hint="eastAsia" w:ascii="宋体" w:hAnsi="宋体" w:eastAsia="宋体" w:cs="宋体"/>
        </w:rPr>
        <w:t>为联合体形式的</w:t>
      </w:r>
      <w:r>
        <w:rPr>
          <w:rFonts w:hint="eastAsia" w:ascii="宋体" w:hAnsi="宋体" w:eastAsia="宋体" w:cs="宋体"/>
          <w:szCs w:val="21"/>
        </w:rPr>
        <w:t xml:space="preserve">，除应满足本章第3.1款资格条件要求及第3.3款规定外，还应遵守以下规定： </w:t>
      </w:r>
    </w:p>
    <w:p w14:paraId="05D4951B">
      <w:pPr>
        <w:adjustRightInd w:val="0"/>
        <w:snapToGrid w:val="0"/>
        <w:spacing w:line="360" w:lineRule="auto"/>
        <w:ind w:firstLine="420" w:firstLineChars="200"/>
        <w:jc w:val="left"/>
        <w:rPr>
          <w:rFonts w:hint="eastAsia" w:ascii="宋体" w:hAnsi="宋体" w:eastAsia="宋体" w:cs="宋体"/>
          <w:kern w:val="0"/>
          <w:szCs w:val="21"/>
          <w:lang w:val="zh-CN"/>
        </w:rPr>
      </w:pPr>
      <w:r>
        <w:rPr>
          <w:rFonts w:hint="eastAsia" w:ascii="宋体" w:hAnsi="宋体" w:eastAsia="宋体" w:cs="宋体"/>
          <w:kern w:val="0"/>
          <w:szCs w:val="21"/>
          <w:lang w:val="zh-CN"/>
        </w:rPr>
        <w:t>（1）联合体各方应按磋商文件提供的格式签订联合体协议书，明确联合体牵头人和各方权利义务(含承担工作及工作量比例)；</w:t>
      </w:r>
    </w:p>
    <w:p w14:paraId="62718B8A">
      <w:pPr>
        <w:adjustRightInd w:val="0"/>
        <w:snapToGrid w:val="0"/>
        <w:spacing w:line="360" w:lineRule="auto"/>
        <w:ind w:firstLine="420" w:firstLineChars="200"/>
        <w:jc w:val="left"/>
        <w:rPr>
          <w:rFonts w:hint="eastAsia" w:ascii="宋体" w:hAnsi="宋体" w:eastAsia="宋体" w:cs="宋体"/>
          <w:kern w:val="0"/>
          <w:szCs w:val="21"/>
          <w:lang w:val="zh-CN"/>
        </w:rPr>
      </w:pPr>
      <w:r>
        <w:rPr>
          <w:rFonts w:hint="eastAsia" w:ascii="宋体" w:hAnsi="宋体" w:eastAsia="宋体" w:cs="宋体"/>
          <w:kern w:val="0"/>
          <w:szCs w:val="21"/>
          <w:lang w:val="zh-CN"/>
        </w:rPr>
        <w:t>（2）联合体中有同类资质的供应商按照联合体分工承担相同工作的，应当按照资质等级较低的供应商确定资质等级；</w:t>
      </w:r>
    </w:p>
    <w:p w14:paraId="0D303D3C">
      <w:pPr>
        <w:adjustRightInd w:val="0"/>
        <w:snapToGrid w:val="0"/>
        <w:spacing w:line="360" w:lineRule="auto"/>
        <w:ind w:firstLine="420" w:firstLineChars="200"/>
        <w:jc w:val="left"/>
        <w:rPr>
          <w:rFonts w:hint="eastAsia" w:ascii="宋体" w:hAnsi="宋体" w:eastAsia="宋体" w:cs="宋体"/>
          <w:kern w:val="0"/>
          <w:szCs w:val="21"/>
          <w:lang w:val="zh-CN"/>
        </w:rPr>
      </w:pPr>
      <w:r>
        <w:rPr>
          <w:rFonts w:hint="eastAsia" w:ascii="宋体" w:hAnsi="宋体" w:eastAsia="宋体" w:cs="宋体"/>
          <w:kern w:val="0"/>
          <w:szCs w:val="21"/>
          <w:lang w:val="zh-CN"/>
        </w:rPr>
        <w:t>（3）以联合体形式参加</w:t>
      </w:r>
      <w:r>
        <w:rPr>
          <w:rFonts w:hint="eastAsia" w:ascii="宋体" w:hAnsi="宋体" w:cs="宋体"/>
          <w:kern w:val="0"/>
          <w:szCs w:val="21"/>
          <w:lang w:val="zh-CN"/>
        </w:rPr>
        <w:t>招标活动</w:t>
      </w:r>
      <w:r>
        <w:rPr>
          <w:rFonts w:hint="eastAsia" w:ascii="宋体" w:hAnsi="宋体" w:eastAsia="宋体" w:cs="宋体"/>
          <w:kern w:val="0"/>
          <w:szCs w:val="21"/>
          <w:lang w:val="zh-CN"/>
        </w:rPr>
        <w:t>的，联合体各方不得再单独参加或者与其他供应商另外组成联合体参加同一合同项下的</w:t>
      </w:r>
      <w:r>
        <w:rPr>
          <w:rFonts w:hint="eastAsia" w:ascii="宋体" w:hAnsi="宋体" w:cs="宋体"/>
          <w:kern w:val="0"/>
          <w:szCs w:val="21"/>
          <w:lang w:val="zh-CN"/>
        </w:rPr>
        <w:t>招标活动</w:t>
      </w:r>
      <w:r>
        <w:rPr>
          <w:rFonts w:hint="eastAsia" w:ascii="宋体" w:hAnsi="宋体" w:eastAsia="宋体" w:cs="宋体"/>
          <w:kern w:val="0"/>
          <w:szCs w:val="21"/>
          <w:lang w:val="zh-CN"/>
        </w:rPr>
        <w:t>。</w:t>
      </w:r>
    </w:p>
    <w:p w14:paraId="5B2B7F6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3.3 供应商不得存在下列情形之一：</w:t>
      </w:r>
    </w:p>
    <w:p w14:paraId="3BE031AE">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（l）与招标人、</w:t>
      </w:r>
      <w:r>
        <w:rPr>
          <w:rFonts w:hint="eastAsia" w:ascii="宋体" w:hAnsi="宋体" w:cs="宋体"/>
          <w:szCs w:val="21"/>
          <w:lang w:eastAsia="zh-CN"/>
        </w:rPr>
        <w:t>招标代理机构</w:t>
      </w:r>
      <w:r>
        <w:rPr>
          <w:rFonts w:hint="eastAsia" w:ascii="宋体" w:hAnsi="宋体" w:eastAsia="宋体" w:cs="宋体"/>
          <w:szCs w:val="21"/>
        </w:rPr>
        <w:t>存在</w:t>
      </w:r>
      <w:r>
        <w:rPr>
          <w:rFonts w:hint="eastAsia" w:ascii="宋体" w:hAnsi="宋体" w:eastAsia="宋体" w:cs="宋体"/>
          <w:bCs/>
          <w:szCs w:val="21"/>
        </w:rPr>
        <w:t>隶属关系或者其他利害关系</w:t>
      </w:r>
      <w:r>
        <w:rPr>
          <w:rFonts w:hint="eastAsia" w:ascii="宋体" w:hAnsi="宋体" w:eastAsia="宋体" w:cs="宋体"/>
          <w:szCs w:val="21"/>
        </w:rPr>
        <w:t>。</w:t>
      </w:r>
    </w:p>
    <w:p w14:paraId="13531A60">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（2）与其他供应商的</w:t>
      </w:r>
      <w:r>
        <w:rPr>
          <w:rFonts w:hint="eastAsia" w:ascii="宋体" w:hAnsi="宋体" w:cs="宋体"/>
          <w:szCs w:val="21"/>
          <w:lang w:eastAsia="zh-CN"/>
        </w:rPr>
        <w:t>法定代表人（单位负责人）</w:t>
      </w:r>
      <w:r>
        <w:rPr>
          <w:rFonts w:hint="eastAsia" w:ascii="宋体" w:hAnsi="宋体" w:eastAsia="宋体" w:cs="宋体"/>
          <w:szCs w:val="21"/>
        </w:rPr>
        <w:t>（或者负责人）为同一人，或者与其他供应商存在直接控股、管理关系。</w:t>
      </w:r>
    </w:p>
    <w:p w14:paraId="7CAF286E">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bCs/>
          <w:szCs w:val="21"/>
        </w:rPr>
        <w:t>受到刑事处罚，或者受到200万元以上的罚款、责令停产停业、在一至三年内禁止参加</w:t>
      </w:r>
      <w:r>
        <w:rPr>
          <w:rFonts w:hint="eastAsia" w:ascii="宋体" w:hAnsi="宋体" w:cs="宋体"/>
          <w:bCs/>
          <w:szCs w:val="21"/>
          <w:lang w:eastAsia="zh-CN"/>
        </w:rPr>
        <w:t>招标活动</w:t>
      </w:r>
      <w:r>
        <w:rPr>
          <w:rFonts w:hint="eastAsia" w:ascii="宋体" w:hAnsi="宋体" w:eastAsia="宋体" w:cs="宋体"/>
          <w:bCs/>
          <w:szCs w:val="21"/>
        </w:rPr>
        <w:t>、暂扣或者吊销许可证、暂扣或者吊销执照等情形之一的行政处罚，或者存在</w:t>
      </w:r>
      <w:r>
        <w:rPr>
          <w:rFonts w:hint="eastAsia" w:ascii="宋体" w:hAnsi="宋体" w:eastAsia="宋体" w:cs="宋体"/>
          <w:szCs w:val="21"/>
        </w:rPr>
        <w:t>财政部门认定的其他重大违法记录。</w:t>
      </w:r>
    </w:p>
    <w:p w14:paraId="6B7660AF">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 xml:space="preserve">4.参与磋商的费用 </w:t>
      </w:r>
    </w:p>
    <w:p w14:paraId="4D0A860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4.1 无论磋商的结果如何，供应商应自行承担所有与竞争性磋商采购活动有关的全部费用。</w:t>
      </w:r>
    </w:p>
    <w:p w14:paraId="38CBAFBC">
      <w:pPr>
        <w:pStyle w:val="26"/>
        <w:adjustRightInd w:val="0"/>
        <w:snapToGrid w:val="0"/>
        <w:spacing w:line="360" w:lineRule="auto"/>
        <w:rPr>
          <w:rFonts w:hint="eastAsia" w:ascii="宋体" w:hAnsi="宋体" w:eastAsia="宋体" w:cs="宋体"/>
          <w:b/>
          <w:bCs/>
        </w:rPr>
      </w:pPr>
      <w:r>
        <w:rPr>
          <w:rFonts w:hint="eastAsia" w:ascii="宋体" w:hAnsi="宋体" w:eastAsia="宋体" w:cs="宋体"/>
          <w:b/>
        </w:rPr>
        <w:t>5．</w:t>
      </w:r>
      <w:r>
        <w:rPr>
          <w:rFonts w:hint="eastAsia" w:ascii="宋体" w:hAnsi="宋体" w:eastAsia="宋体" w:cs="宋体"/>
          <w:b/>
          <w:bCs/>
        </w:rPr>
        <w:t>授权委托</w:t>
      </w:r>
    </w:p>
    <w:p w14:paraId="3B3FCA55">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5.1供应商代表为供应商</w:t>
      </w:r>
      <w:r>
        <w:rPr>
          <w:rFonts w:hint="eastAsia" w:hAnsi="宋体" w:cs="宋体"/>
          <w:lang w:eastAsia="zh-CN"/>
        </w:rPr>
        <w:t>法定代表人（单位负责人）</w:t>
      </w:r>
      <w:r>
        <w:rPr>
          <w:rFonts w:hint="eastAsia" w:ascii="宋体" w:hAnsi="宋体" w:eastAsia="宋体" w:cs="宋体"/>
        </w:rPr>
        <w:t>的，应持有</w:t>
      </w:r>
      <w:r>
        <w:rPr>
          <w:rFonts w:hint="eastAsia" w:hAnsi="宋体" w:cs="宋体"/>
          <w:lang w:eastAsia="zh-CN"/>
        </w:rPr>
        <w:t>法定代表人（单位负责人）</w:t>
      </w:r>
      <w:r>
        <w:rPr>
          <w:rFonts w:hint="eastAsia" w:ascii="宋体" w:hAnsi="宋体" w:eastAsia="宋体" w:cs="宋体"/>
        </w:rPr>
        <w:t>身份证明。供应商代表不是供应商</w:t>
      </w:r>
      <w:r>
        <w:rPr>
          <w:rFonts w:hint="eastAsia" w:hAnsi="宋体" w:cs="宋体"/>
          <w:lang w:eastAsia="zh-CN"/>
        </w:rPr>
        <w:t>法定代表人（单位负责人）</w:t>
      </w:r>
      <w:r>
        <w:rPr>
          <w:rFonts w:hint="eastAsia" w:ascii="宋体" w:hAnsi="宋体" w:eastAsia="宋体" w:cs="宋体"/>
        </w:rPr>
        <w:t>的，应持有</w:t>
      </w:r>
      <w:r>
        <w:rPr>
          <w:rFonts w:hint="eastAsia" w:hAnsi="宋体" w:cs="宋体"/>
          <w:lang w:eastAsia="zh-CN"/>
        </w:rPr>
        <w:t>法定代表人（单位负责人）</w:t>
      </w:r>
      <w:r>
        <w:rPr>
          <w:rFonts w:hint="eastAsia" w:ascii="宋体" w:hAnsi="宋体" w:eastAsia="宋体" w:cs="宋体"/>
        </w:rPr>
        <w:t>授权书，并附</w:t>
      </w:r>
      <w:r>
        <w:rPr>
          <w:rFonts w:hint="eastAsia" w:hAnsi="宋体" w:cs="宋体"/>
          <w:lang w:eastAsia="zh-CN"/>
        </w:rPr>
        <w:t>法定代表人（单位负责人）</w:t>
      </w:r>
      <w:r>
        <w:rPr>
          <w:rFonts w:hint="eastAsia" w:ascii="宋体" w:hAnsi="宋体" w:eastAsia="宋体" w:cs="宋体"/>
        </w:rPr>
        <w:t>身份证明。请供应商的法人代表（或授权代表）凭法人证明（或授权委托书原件）及身份证原件准时参加磋商会议，否则，其磋商响应文件将被拒绝。</w:t>
      </w:r>
    </w:p>
    <w:p w14:paraId="5276EFF3">
      <w:pPr>
        <w:pStyle w:val="26"/>
        <w:adjustRightInd w:val="0"/>
        <w:snapToGrid w:val="0"/>
        <w:spacing w:line="360" w:lineRule="auto"/>
        <w:rPr>
          <w:rFonts w:hint="eastAsia" w:ascii="宋体" w:hAnsi="宋体" w:eastAsia="宋体" w:cs="宋体"/>
          <w:b/>
        </w:rPr>
      </w:pPr>
      <w:r>
        <w:rPr>
          <w:rFonts w:hint="eastAsia" w:ascii="宋体" w:hAnsi="宋体" w:eastAsia="宋体" w:cs="宋体"/>
          <w:b/>
        </w:rPr>
        <w:t>6．联合体形式</w:t>
      </w:r>
    </w:p>
    <w:p w14:paraId="15C3CA17">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6.1除</w:t>
      </w:r>
      <w:r>
        <w:rPr>
          <w:rFonts w:hint="eastAsia" w:ascii="宋体" w:hAnsi="宋体" w:eastAsia="宋体" w:cs="宋体"/>
          <w:b/>
        </w:rPr>
        <w:t>磋商须知前附表</w:t>
      </w:r>
      <w:r>
        <w:rPr>
          <w:rFonts w:hint="eastAsia" w:ascii="宋体" w:hAnsi="宋体" w:eastAsia="宋体" w:cs="宋体"/>
        </w:rPr>
        <w:t>中另有规定，本次磋商采购不接受为联合体形式的供应商。</w:t>
      </w:r>
    </w:p>
    <w:p w14:paraId="11BBC67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6.2供应商</w:t>
      </w:r>
      <w:r>
        <w:rPr>
          <w:rFonts w:hint="eastAsia" w:ascii="宋体" w:hAnsi="宋体" w:eastAsia="宋体" w:cs="宋体"/>
        </w:rPr>
        <w:t>为联合体形式的</w:t>
      </w:r>
      <w:r>
        <w:rPr>
          <w:rFonts w:hint="eastAsia" w:ascii="宋体" w:hAnsi="宋体" w:eastAsia="宋体" w:cs="宋体"/>
          <w:szCs w:val="21"/>
        </w:rPr>
        <w:t>，除应符合本章第3条规定外，还应遵守以下规定：</w:t>
      </w:r>
    </w:p>
    <w:p w14:paraId="2FAEACE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（l）联合体各方必须签订联合体协议书，明确联合体牵头人和各方的义务、工作、合同工作量比例；</w:t>
      </w:r>
    </w:p>
    <w:p w14:paraId="04C8FEA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（2）联合体各方均应当符合本章第3.1</w:t>
      </w:r>
      <w:r>
        <w:rPr>
          <w:rFonts w:hint="eastAsia" w:ascii="宋体" w:hAnsi="宋体" w:eastAsia="宋体" w:cs="宋体"/>
          <w:kern w:val="0"/>
          <w:szCs w:val="21"/>
          <w:lang w:val="zh-CN"/>
        </w:rPr>
        <w:t>款</w:t>
      </w:r>
      <w:r>
        <w:rPr>
          <w:rFonts w:hint="eastAsia" w:ascii="宋体" w:hAnsi="宋体" w:eastAsia="宋体" w:cs="宋体"/>
          <w:szCs w:val="21"/>
        </w:rPr>
        <w:t>规定的供应商基本资格条件；</w:t>
      </w:r>
    </w:p>
    <w:p w14:paraId="26AD974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rPr>
        <w:t>除</w:t>
      </w:r>
      <w:r>
        <w:rPr>
          <w:rFonts w:hint="eastAsia" w:ascii="宋体" w:hAnsi="宋体" w:eastAsia="宋体" w:cs="宋体"/>
          <w:b/>
        </w:rPr>
        <w:t>磋商须知前附表</w:t>
      </w:r>
      <w:r>
        <w:rPr>
          <w:rFonts w:hint="eastAsia" w:ascii="宋体" w:hAnsi="宋体" w:eastAsia="宋体" w:cs="宋体"/>
        </w:rPr>
        <w:t>中另有规定，</w:t>
      </w:r>
      <w:r>
        <w:rPr>
          <w:rFonts w:hint="eastAsia" w:ascii="宋体" w:hAnsi="宋体" w:eastAsia="宋体" w:cs="宋体"/>
          <w:szCs w:val="21"/>
        </w:rPr>
        <w:t>联合体各方中至少有一方应当符合本章第3.1</w:t>
      </w:r>
      <w:r>
        <w:rPr>
          <w:rFonts w:hint="eastAsia" w:ascii="宋体" w:hAnsi="宋体" w:eastAsia="宋体" w:cs="宋体"/>
          <w:kern w:val="0"/>
          <w:szCs w:val="21"/>
          <w:lang w:val="zh-CN"/>
        </w:rPr>
        <w:t>款</w:t>
      </w:r>
      <w:r>
        <w:rPr>
          <w:rFonts w:hint="eastAsia" w:ascii="宋体" w:hAnsi="宋体" w:eastAsia="宋体" w:cs="宋体"/>
          <w:szCs w:val="21"/>
        </w:rPr>
        <w:t>规定的供应商特定资格条件；</w:t>
      </w:r>
    </w:p>
    <w:p w14:paraId="25BE9C60">
      <w:pPr>
        <w:adjustRightInd w:val="0"/>
        <w:snapToGrid w:val="0"/>
        <w:spacing w:line="360" w:lineRule="auto"/>
        <w:ind w:firstLine="420" w:firstLineChars="200"/>
        <w:jc w:val="left"/>
        <w:rPr>
          <w:rFonts w:hint="eastAsia" w:ascii="宋体" w:hAnsi="宋体" w:eastAsia="宋体" w:cs="宋体"/>
          <w:kern w:val="0"/>
          <w:szCs w:val="21"/>
          <w:lang w:val="zh-CN"/>
        </w:rPr>
      </w:pPr>
      <w:r>
        <w:rPr>
          <w:rFonts w:hint="eastAsia" w:ascii="宋体" w:hAnsi="宋体" w:eastAsia="宋体" w:cs="宋体"/>
          <w:szCs w:val="21"/>
        </w:rPr>
        <w:t>（4）</w:t>
      </w:r>
      <w:r>
        <w:rPr>
          <w:rFonts w:hint="eastAsia" w:ascii="宋体" w:hAnsi="宋体" w:eastAsia="宋体" w:cs="宋体"/>
          <w:kern w:val="0"/>
          <w:szCs w:val="21"/>
          <w:lang w:val="zh-CN"/>
        </w:rPr>
        <w:t>联合体各方不得再单独或与其他供应商组成新的联合体参加同一项目的采购活动。</w:t>
      </w:r>
    </w:p>
    <w:p w14:paraId="103282DE">
      <w:pPr>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7.现场勘察</w:t>
      </w:r>
    </w:p>
    <w:p w14:paraId="51AFF7D2">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7.1供应商应按</w:t>
      </w:r>
      <w:r>
        <w:rPr>
          <w:rFonts w:hint="eastAsia" w:ascii="宋体" w:hAnsi="宋体" w:eastAsia="宋体" w:cs="宋体"/>
          <w:b/>
        </w:rPr>
        <w:t>磋商须知前附表</w:t>
      </w:r>
      <w:r>
        <w:rPr>
          <w:rFonts w:hint="eastAsia" w:ascii="宋体" w:hAnsi="宋体" w:eastAsia="宋体" w:cs="宋体"/>
        </w:rPr>
        <w:t>中规定</w:t>
      </w:r>
      <w:r>
        <w:rPr>
          <w:rFonts w:hint="eastAsia" w:ascii="宋体" w:hAnsi="宋体" w:eastAsia="宋体" w:cs="宋体"/>
          <w:szCs w:val="21"/>
        </w:rPr>
        <w:t>对</w:t>
      </w:r>
      <w:r>
        <w:rPr>
          <w:rFonts w:hint="eastAsia" w:ascii="宋体" w:hAnsi="宋体" w:cs="宋体"/>
          <w:szCs w:val="21"/>
          <w:lang w:eastAsia="zh-CN"/>
        </w:rPr>
        <w:t>招标项目</w:t>
      </w:r>
      <w:r>
        <w:rPr>
          <w:rFonts w:hint="eastAsia" w:ascii="宋体" w:hAnsi="宋体" w:eastAsia="宋体" w:cs="宋体"/>
          <w:szCs w:val="21"/>
        </w:rPr>
        <w:t>现场和周围环境的现场考察。</w:t>
      </w:r>
    </w:p>
    <w:p w14:paraId="4F8436C0">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7.2勘察现场的费用由供应商自己承担，勘察期间所发生的人身伤害及财产损失由供应商自己负责。</w:t>
      </w:r>
    </w:p>
    <w:p w14:paraId="650A7226">
      <w:pPr>
        <w:adjustRightInd w:val="0"/>
        <w:snapToGrid w:val="0"/>
        <w:spacing w:line="360" w:lineRule="auto"/>
        <w:ind w:firstLine="420" w:firstLineChars="200"/>
        <w:jc w:val="left"/>
        <w:rPr>
          <w:rFonts w:hint="eastAsia" w:ascii="宋体" w:hAnsi="宋体" w:eastAsia="宋体" w:cs="宋体"/>
          <w:b/>
          <w:szCs w:val="21"/>
        </w:rPr>
      </w:pPr>
      <w:r>
        <w:rPr>
          <w:rFonts w:hint="eastAsia" w:ascii="宋体" w:hAnsi="宋体" w:eastAsia="宋体" w:cs="宋体"/>
          <w:szCs w:val="21"/>
        </w:rPr>
        <w:t>7.3招标人不对供应商据此而做出的推论、理解和结论负责。一旦成交，供应商不得以任何借口，提出额外补偿，或延长合同期限的要求。</w:t>
      </w:r>
    </w:p>
    <w:p w14:paraId="5C296706">
      <w:pPr>
        <w:adjustRightInd w:val="0"/>
        <w:snapToGrid w:val="0"/>
        <w:spacing w:line="360" w:lineRule="auto"/>
        <w:ind w:left="902" w:hanging="902" w:hangingChars="376"/>
        <w:outlineLvl w:val="2"/>
        <w:rPr>
          <w:rFonts w:hint="eastAsia" w:ascii="宋体" w:hAnsi="宋体" w:eastAsia="宋体" w:cs="宋体"/>
          <w:sz w:val="24"/>
        </w:rPr>
      </w:pPr>
      <w:bookmarkStart w:id="14" w:name="_Toc11933134"/>
      <w:bookmarkStart w:id="15" w:name="_Toc3400"/>
      <w:bookmarkStart w:id="16" w:name="_Toc3815"/>
      <w:r>
        <w:rPr>
          <w:rFonts w:hint="eastAsia" w:ascii="宋体" w:hAnsi="宋体" w:eastAsia="宋体" w:cs="宋体"/>
          <w:sz w:val="24"/>
        </w:rPr>
        <w:t>二、磋商文件</w:t>
      </w:r>
      <w:bookmarkEnd w:id="14"/>
      <w:bookmarkEnd w:id="15"/>
      <w:bookmarkEnd w:id="16"/>
    </w:p>
    <w:p w14:paraId="200E6775">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10．磋商文件的组成</w:t>
      </w:r>
    </w:p>
    <w:p w14:paraId="69419E45">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10.1 磋商文件由下列文件组成：</w:t>
      </w:r>
    </w:p>
    <w:p w14:paraId="7E2775E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第一章 磋商邀请</w:t>
      </w:r>
    </w:p>
    <w:p w14:paraId="2311AD1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第二章 磋商须知</w:t>
      </w:r>
    </w:p>
    <w:p w14:paraId="08C4DA44">
      <w:pPr>
        <w:pStyle w:val="26"/>
        <w:adjustRightInd w:val="0"/>
        <w:snapToGrid w:val="0"/>
        <w:spacing w:line="360" w:lineRule="auto"/>
        <w:ind w:firstLine="420" w:firstLineChars="200"/>
        <w:rPr>
          <w:rFonts w:hint="eastAsia" w:ascii="宋体" w:hAnsi="宋体" w:eastAsia="宋体" w:cs="宋体"/>
          <w:lang w:eastAsia="zh-CN"/>
        </w:rPr>
      </w:pPr>
      <w:r>
        <w:rPr>
          <w:rFonts w:hint="eastAsia" w:ascii="宋体" w:hAnsi="宋体" w:eastAsia="宋体" w:cs="宋体"/>
        </w:rPr>
        <w:t xml:space="preserve">第三章 </w:t>
      </w:r>
      <w:r>
        <w:rPr>
          <w:rFonts w:hint="eastAsia" w:hAnsi="宋体" w:cs="宋体"/>
          <w:lang w:eastAsia="zh-CN"/>
        </w:rPr>
        <w:t>招标要求</w:t>
      </w:r>
    </w:p>
    <w:p w14:paraId="343C9B65">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第四章 响应文件组成</w:t>
      </w:r>
    </w:p>
    <w:p w14:paraId="0D37A397">
      <w:pPr>
        <w:pStyle w:val="26"/>
        <w:adjustRightInd w:val="0"/>
        <w:snapToGrid w:val="0"/>
        <w:spacing w:line="360" w:lineRule="auto"/>
        <w:ind w:firstLine="420" w:firstLineChars="200"/>
        <w:rPr>
          <w:rFonts w:hint="eastAsia" w:ascii="宋体" w:hAnsi="宋体" w:eastAsia="宋体" w:cs="宋体"/>
          <w:kern w:val="0"/>
        </w:rPr>
      </w:pPr>
      <w:r>
        <w:rPr>
          <w:rFonts w:hint="eastAsia" w:ascii="宋体" w:hAnsi="宋体" w:eastAsia="宋体" w:cs="宋体"/>
        </w:rPr>
        <w:t>10.2</w:t>
      </w:r>
      <w:r>
        <w:rPr>
          <w:rFonts w:hint="eastAsia" w:ascii="宋体" w:hAnsi="宋体" w:eastAsia="宋体" w:cs="宋体"/>
          <w:kern w:val="0"/>
        </w:rPr>
        <w:t>磋商小组根据与供应商磋商情况可能实质性变动的内容，包括采购需求中的技术、服务要求以及合同条款，</w:t>
      </w:r>
      <w:r>
        <w:rPr>
          <w:rFonts w:hint="eastAsia" w:ascii="宋体" w:hAnsi="宋体" w:eastAsia="宋体" w:cs="宋体"/>
        </w:rPr>
        <w:t>在</w:t>
      </w:r>
      <w:r>
        <w:rPr>
          <w:rFonts w:hint="eastAsia" w:ascii="宋体" w:hAnsi="宋体" w:eastAsia="宋体" w:cs="宋体"/>
          <w:b/>
        </w:rPr>
        <w:t>磋商须知前附表</w:t>
      </w:r>
      <w:r>
        <w:rPr>
          <w:rFonts w:hint="eastAsia" w:ascii="宋体" w:hAnsi="宋体" w:eastAsia="宋体" w:cs="宋体"/>
        </w:rPr>
        <w:t>中明确。</w:t>
      </w:r>
    </w:p>
    <w:p w14:paraId="7F603C7D">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rPr>
        <w:t>10.3</w:t>
      </w:r>
      <w:r>
        <w:rPr>
          <w:rFonts w:hint="eastAsia" w:ascii="宋体" w:hAnsi="宋体" w:eastAsia="宋体" w:cs="宋体"/>
          <w:szCs w:val="21"/>
        </w:rPr>
        <w:t>供应商应仔细阅读</w:t>
      </w:r>
      <w:r>
        <w:rPr>
          <w:rFonts w:hint="eastAsia" w:ascii="宋体" w:hAnsi="宋体" w:eastAsia="宋体" w:cs="宋体"/>
          <w:bCs/>
          <w:szCs w:val="21"/>
        </w:rPr>
        <w:t>磋商</w:t>
      </w:r>
      <w:r>
        <w:rPr>
          <w:rFonts w:hint="eastAsia" w:ascii="宋体" w:hAnsi="宋体" w:eastAsia="宋体" w:cs="宋体"/>
          <w:szCs w:val="21"/>
        </w:rPr>
        <w:t>文件的全部内容，按照</w:t>
      </w:r>
      <w:r>
        <w:rPr>
          <w:rFonts w:hint="eastAsia" w:ascii="宋体" w:hAnsi="宋体" w:eastAsia="宋体" w:cs="宋体"/>
          <w:bCs/>
          <w:szCs w:val="21"/>
        </w:rPr>
        <w:t>磋商</w:t>
      </w:r>
      <w:r>
        <w:rPr>
          <w:rFonts w:hint="eastAsia" w:ascii="宋体" w:hAnsi="宋体" w:eastAsia="宋体" w:cs="宋体"/>
          <w:szCs w:val="21"/>
        </w:rPr>
        <w:t>文件要求编制响应文件。任何对</w:t>
      </w:r>
      <w:r>
        <w:rPr>
          <w:rFonts w:hint="eastAsia" w:ascii="宋体" w:hAnsi="宋体" w:eastAsia="宋体" w:cs="宋体"/>
          <w:bCs/>
          <w:szCs w:val="21"/>
        </w:rPr>
        <w:t>磋商</w:t>
      </w:r>
      <w:r>
        <w:rPr>
          <w:rFonts w:hint="eastAsia" w:ascii="宋体" w:hAnsi="宋体" w:eastAsia="宋体" w:cs="宋体"/>
          <w:szCs w:val="21"/>
        </w:rPr>
        <w:t>文件的忽略或误解不能作为响应文件存在缺陷或瑕疵的理由，其风险由供应商承担。</w:t>
      </w:r>
    </w:p>
    <w:p w14:paraId="25BC4578">
      <w:pPr>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11.磋商文件的提供期限</w:t>
      </w:r>
    </w:p>
    <w:p w14:paraId="5D35443C">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11.1磋商文件的提供期限自开始发出之日起不得少于5个工作日。具体提供期限见</w:t>
      </w:r>
      <w:r>
        <w:rPr>
          <w:rFonts w:hint="eastAsia" w:ascii="宋体" w:hAnsi="宋体" w:eastAsia="宋体" w:cs="宋体"/>
          <w:b/>
          <w:szCs w:val="21"/>
        </w:rPr>
        <w:t>磋商文件前附表</w:t>
      </w:r>
      <w:r>
        <w:rPr>
          <w:rFonts w:hint="eastAsia" w:ascii="宋体" w:hAnsi="宋体" w:eastAsia="宋体" w:cs="宋体"/>
          <w:szCs w:val="21"/>
        </w:rPr>
        <w:t>。</w:t>
      </w:r>
    </w:p>
    <w:p w14:paraId="1B50CB87">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11.2供应商应持</w:t>
      </w:r>
      <w:r>
        <w:rPr>
          <w:rFonts w:hint="eastAsia" w:ascii="宋体" w:hAnsi="宋体" w:eastAsia="宋体" w:cs="宋体"/>
          <w:b/>
          <w:szCs w:val="21"/>
        </w:rPr>
        <w:t>磋商文件前附表</w:t>
      </w:r>
      <w:r>
        <w:rPr>
          <w:rFonts w:hint="eastAsia" w:ascii="宋体" w:hAnsi="宋体" w:eastAsia="宋体" w:cs="宋体"/>
          <w:szCs w:val="21"/>
        </w:rPr>
        <w:t>规定的资料领取或购买磋商文件。</w:t>
      </w:r>
    </w:p>
    <w:p w14:paraId="436E1957">
      <w:pPr>
        <w:pStyle w:val="26"/>
        <w:adjustRightInd w:val="0"/>
        <w:snapToGrid w:val="0"/>
        <w:spacing w:line="360" w:lineRule="auto"/>
        <w:rPr>
          <w:rFonts w:hint="eastAsia" w:ascii="宋体" w:hAnsi="宋体" w:eastAsia="宋体" w:cs="宋体"/>
        </w:rPr>
      </w:pPr>
      <w:r>
        <w:rPr>
          <w:rFonts w:hint="eastAsia" w:ascii="宋体" w:hAnsi="宋体" w:eastAsia="宋体" w:cs="宋体"/>
          <w:b/>
        </w:rPr>
        <w:t>12.</w:t>
      </w:r>
      <w:r>
        <w:rPr>
          <w:rFonts w:hint="eastAsia" w:ascii="宋体" w:hAnsi="宋体" w:eastAsia="宋体" w:cs="宋体"/>
          <w:b/>
          <w:kern w:val="0"/>
        </w:rPr>
        <w:t>提交首次响应文件</w:t>
      </w:r>
      <w:r>
        <w:rPr>
          <w:rFonts w:hint="eastAsia" w:ascii="宋体" w:hAnsi="宋体" w:eastAsia="宋体" w:cs="宋体"/>
          <w:b/>
        </w:rPr>
        <w:t>的</w:t>
      </w:r>
      <w:r>
        <w:rPr>
          <w:rFonts w:hint="eastAsia" w:ascii="宋体" w:hAnsi="宋体" w:eastAsia="宋体" w:cs="宋体"/>
          <w:b/>
          <w:kern w:val="0"/>
        </w:rPr>
        <w:t>截止</w:t>
      </w:r>
      <w:r>
        <w:rPr>
          <w:rFonts w:hint="eastAsia" w:ascii="宋体" w:hAnsi="宋体" w:eastAsia="宋体" w:cs="宋体"/>
          <w:b/>
        </w:rPr>
        <w:t>时间</w:t>
      </w:r>
    </w:p>
    <w:p w14:paraId="011543A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12.1</w:t>
      </w:r>
      <w:r>
        <w:rPr>
          <w:rFonts w:hint="eastAsia" w:ascii="宋体" w:hAnsi="宋体" w:eastAsia="宋体" w:cs="宋体"/>
          <w:kern w:val="0"/>
        </w:rPr>
        <w:t>供应商提交首次响应文件截止</w:t>
      </w:r>
      <w:r>
        <w:rPr>
          <w:rFonts w:hint="eastAsia" w:ascii="宋体" w:hAnsi="宋体" w:eastAsia="宋体" w:cs="宋体"/>
        </w:rPr>
        <w:t>时间见</w:t>
      </w:r>
      <w:r>
        <w:rPr>
          <w:rFonts w:hint="eastAsia" w:ascii="宋体" w:hAnsi="宋体" w:eastAsia="宋体" w:cs="宋体"/>
          <w:b/>
        </w:rPr>
        <w:t>磋商须知前附表</w:t>
      </w:r>
      <w:r>
        <w:rPr>
          <w:rFonts w:hint="eastAsia" w:ascii="宋体" w:hAnsi="宋体" w:eastAsia="宋体" w:cs="宋体"/>
        </w:rPr>
        <w:t>。</w:t>
      </w:r>
    </w:p>
    <w:p w14:paraId="016B9D5F">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13.磋商文件的澄清</w:t>
      </w:r>
      <w:r>
        <w:rPr>
          <w:rFonts w:hint="eastAsia" w:ascii="宋体" w:hAnsi="宋体" w:eastAsia="宋体" w:cs="宋体"/>
          <w:b/>
          <w:kern w:val="0"/>
          <w:szCs w:val="21"/>
          <w:lang w:val="zh-CN"/>
        </w:rPr>
        <w:t>或者</w:t>
      </w:r>
      <w:r>
        <w:rPr>
          <w:rFonts w:hint="eastAsia" w:ascii="宋体" w:hAnsi="宋体" w:eastAsia="宋体" w:cs="宋体"/>
          <w:b/>
          <w:bCs/>
          <w:szCs w:val="21"/>
        </w:rPr>
        <w:t>修改</w:t>
      </w:r>
    </w:p>
    <w:p w14:paraId="1BF511C7">
      <w:pPr>
        <w:adjustRightInd w:val="0"/>
        <w:snapToGrid w:val="0"/>
        <w:spacing w:line="360" w:lineRule="auto"/>
        <w:ind w:right="-105" w:rightChars="-50" w:firstLine="420" w:firstLineChars="200"/>
        <w:rPr>
          <w:rFonts w:hint="eastAsia" w:ascii="宋体" w:hAnsi="宋体" w:eastAsia="宋体" w:cs="宋体"/>
          <w:kern w:val="0"/>
          <w:szCs w:val="21"/>
        </w:rPr>
      </w:pPr>
      <w:r>
        <w:rPr>
          <w:rFonts w:hint="eastAsia" w:ascii="宋体" w:hAnsi="宋体" w:eastAsia="宋体" w:cs="宋体"/>
          <w:szCs w:val="21"/>
        </w:rPr>
        <w:t>13.1在</w:t>
      </w:r>
      <w:r>
        <w:rPr>
          <w:rFonts w:hint="eastAsia" w:ascii="宋体" w:hAnsi="宋体" w:eastAsia="宋体" w:cs="宋体"/>
          <w:kern w:val="0"/>
          <w:szCs w:val="21"/>
        </w:rPr>
        <w:t>提交首次响应文件截止之日前，招标人、</w:t>
      </w:r>
      <w:r>
        <w:rPr>
          <w:rFonts w:hint="eastAsia" w:ascii="宋体" w:hAnsi="宋体" w:cs="宋体"/>
          <w:kern w:val="0"/>
          <w:szCs w:val="21"/>
          <w:lang w:eastAsia="zh-CN"/>
        </w:rPr>
        <w:t>招标代理机构</w:t>
      </w:r>
      <w:r>
        <w:rPr>
          <w:rFonts w:hint="eastAsia" w:ascii="宋体" w:hAnsi="宋体" w:eastAsia="宋体" w:cs="宋体"/>
          <w:kern w:val="0"/>
          <w:szCs w:val="21"/>
        </w:rPr>
        <w:t xml:space="preserve">可以对已发出的磋商文件进行必要的澄清或者修改。 </w:t>
      </w:r>
    </w:p>
    <w:p w14:paraId="7E9EE25E">
      <w:pPr>
        <w:adjustRightInd w:val="0"/>
        <w:snapToGrid w:val="0"/>
        <w:spacing w:line="360" w:lineRule="auto"/>
        <w:ind w:right="-105" w:rightChars="-50" w:firstLine="420" w:firstLineChars="200"/>
        <w:rPr>
          <w:rFonts w:hint="eastAsia" w:ascii="宋体" w:hAnsi="宋体" w:eastAsia="宋体" w:cs="宋体"/>
          <w:kern w:val="0"/>
          <w:szCs w:val="21"/>
        </w:rPr>
      </w:pPr>
      <w:r>
        <w:rPr>
          <w:rFonts w:hint="eastAsia" w:ascii="宋体" w:hAnsi="宋体" w:eastAsia="宋体" w:cs="宋体"/>
          <w:szCs w:val="21"/>
        </w:rPr>
        <w:t>13.2</w:t>
      </w:r>
      <w:r>
        <w:rPr>
          <w:rFonts w:hint="eastAsia" w:ascii="宋体" w:hAnsi="宋体" w:eastAsia="宋体" w:cs="宋体"/>
          <w:kern w:val="0"/>
          <w:szCs w:val="21"/>
        </w:rPr>
        <w:t>澄清或者修改的内容可能影响响应文件编制的，招标人、</w:t>
      </w:r>
      <w:r>
        <w:rPr>
          <w:rFonts w:hint="eastAsia" w:ascii="宋体" w:hAnsi="宋体" w:cs="宋体"/>
          <w:kern w:val="0"/>
          <w:szCs w:val="21"/>
          <w:lang w:eastAsia="zh-CN"/>
        </w:rPr>
        <w:t>招标代理机构</w:t>
      </w:r>
      <w:r>
        <w:rPr>
          <w:rFonts w:hint="eastAsia" w:ascii="宋体" w:hAnsi="宋体" w:eastAsia="宋体" w:cs="宋体"/>
          <w:kern w:val="0"/>
          <w:szCs w:val="21"/>
        </w:rPr>
        <w:t>应当在提交首次响应文件截止之日3个工作日前，以书面形式通知所有接收磋商文件的供应商，不足3个工作日的，顺延供应商提交首次响应文件截止时间。</w:t>
      </w:r>
    </w:p>
    <w:p w14:paraId="68E9704F">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13.2</w:t>
      </w:r>
      <w:r>
        <w:rPr>
          <w:rFonts w:hint="eastAsia" w:ascii="宋体" w:hAnsi="宋体" w:eastAsia="宋体" w:cs="宋体"/>
          <w:kern w:val="0"/>
        </w:rPr>
        <w:t>提交首次响应文件截止时间前对磋商文件澄清或者修改内容，为磋商文件的组成部分。</w:t>
      </w:r>
    </w:p>
    <w:p w14:paraId="57D2C605">
      <w:pPr>
        <w:adjustRightInd w:val="0"/>
        <w:snapToGrid w:val="0"/>
        <w:spacing w:line="360" w:lineRule="auto"/>
        <w:ind w:left="902" w:hanging="902" w:hangingChars="376"/>
        <w:outlineLvl w:val="2"/>
        <w:rPr>
          <w:rFonts w:hint="eastAsia" w:ascii="宋体" w:hAnsi="宋体" w:eastAsia="宋体" w:cs="宋体"/>
          <w:sz w:val="24"/>
        </w:rPr>
      </w:pPr>
      <w:bookmarkStart w:id="17" w:name="_Toc11933135"/>
      <w:bookmarkStart w:id="18" w:name="_Toc599"/>
      <w:bookmarkStart w:id="19" w:name="_Toc3431"/>
      <w:r>
        <w:rPr>
          <w:rFonts w:hint="eastAsia" w:ascii="宋体" w:hAnsi="宋体" w:eastAsia="宋体" w:cs="宋体"/>
          <w:sz w:val="24"/>
        </w:rPr>
        <w:t>三、响应文件</w:t>
      </w:r>
      <w:bookmarkEnd w:id="17"/>
      <w:bookmarkEnd w:id="18"/>
      <w:bookmarkEnd w:id="19"/>
    </w:p>
    <w:p w14:paraId="1D29F452">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14.一般要求</w:t>
      </w:r>
    </w:p>
    <w:p w14:paraId="28C327C0">
      <w:pPr>
        <w:adjustRightInd w:val="0"/>
        <w:snapToGrid w:val="0"/>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14.1 供应商应仔细阅读磋商文件的所有内容，按磋商文件的要求编制响应文件，并保证所提供的全部资料的真实性，以使其响应文件对磋商文件做出实质性的响应。</w:t>
      </w:r>
    </w:p>
    <w:p w14:paraId="52D4E33A">
      <w:pPr>
        <w:adjustRightInd w:val="0"/>
        <w:snapToGrid w:val="0"/>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 xml:space="preserve">14.2 </w:t>
      </w:r>
      <w:r>
        <w:rPr>
          <w:rFonts w:hint="eastAsia" w:ascii="宋体" w:hAnsi="宋体" w:eastAsia="宋体" w:cs="宋体"/>
          <w:szCs w:val="21"/>
        </w:rPr>
        <w:t>供应商提交的响应文件及供应商与招标人或</w:t>
      </w:r>
      <w:r>
        <w:rPr>
          <w:rFonts w:hint="eastAsia" w:ascii="宋体" w:hAnsi="宋体" w:cs="宋体"/>
          <w:szCs w:val="21"/>
          <w:lang w:eastAsia="zh-CN"/>
        </w:rPr>
        <w:t>招标代理机构</w:t>
      </w:r>
      <w:r>
        <w:rPr>
          <w:rFonts w:hint="eastAsia" w:ascii="宋体" w:hAnsi="宋体" w:eastAsia="宋体" w:cs="宋体"/>
          <w:szCs w:val="21"/>
        </w:rPr>
        <w:t>、磋商小组就有关磋商的所有来往函电均使用中文。供应商可以提交其它语言的资料，但应附中文注释，在有差异时以中文为准。</w:t>
      </w:r>
    </w:p>
    <w:p w14:paraId="192AAD5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bCs/>
        </w:rPr>
        <w:t xml:space="preserve">14.3 </w:t>
      </w:r>
      <w:r>
        <w:rPr>
          <w:rFonts w:hint="eastAsia" w:ascii="宋体" w:hAnsi="宋体" w:eastAsia="宋体" w:cs="宋体"/>
        </w:rPr>
        <w:t>计量单位应使用我国法定计量单位，未列明时应默认为我国法定计量单位。</w:t>
      </w:r>
    </w:p>
    <w:p w14:paraId="3E8F4C6D">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14.4 响应文件应采用书面形式，电报、传真、电子邮件形式的响应文件概不接受。</w:t>
      </w:r>
    </w:p>
    <w:p w14:paraId="7419AB27">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14.5 供应商应按磋商文件中提供的响应文件格式填写。</w:t>
      </w:r>
    </w:p>
    <w:p w14:paraId="0D590308">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15.</w:t>
      </w:r>
      <w:r>
        <w:rPr>
          <w:rFonts w:hint="eastAsia" w:ascii="宋体" w:hAnsi="宋体" w:eastAsia="宋体" w:cs="宋体"/>
          <w:b/>
          <w:szCs w:val="21"/>
        </w:rPr>
        <w:t>响应文件</w:t>
      </w:r>
      <w:r>
        <w:rPr>
          <w:rFonts w:hint="eastAsia" w:ascii="宋体" w:hAnsi="宋体" w:eastAsia="宋体" w:cs="宋体"/>
          <w:b/>
          <w:bCs/>
          <w:szCs w:val="21"/>
        </w:rPr>
        <w:t>的组成</w:t>
      </w:r>
    </w:p>
    <w:p w14:paraId="5AC028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15.1 响应文件包括下列内容：</w:t>
      </w:r>
    </w:p>
    <w:p w14:paraId="5AB6CBCF">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（1）磋商响应声明</w:t>
      </w:r>
    </w:p>
    <w:p w14:paraId="616F8F4D">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2</w:t>
      </w:r>
      <w:r>
        <w:rPr>
          <w:rFonts w:hint="eastAsia" w:ascii="宋体" w:hAnsi="宋体" w:eastAsia="宋体" w:cs="宋体"/>
        </w:rPr>
        <w:t>）供应商的资格证明文件</w:t>
      </w:r>
    </w:p>
    <w:p w14:paraId="01FAD83B">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3</w:t>
      </w:r>
      <w:r>
        <w:rPr>
          <w:rFonts w:hint="eastAsia" w:ascii="宋体" w:hAnsi="宋体" w:eastAsia="宋体" w:cs="宋体"/>
        </w:rPr>
        <w:t>）</w:t>
      </w:r>
      <w:r>
        <w:rPr>
          <w:rFonts w:hint="eastAsia" w:ascii="宋体" w:hAnsi="宋体" w:eastAsia="宋体" w:cs="宋体"/>
          <w:lang w:eastAsia="zh-CN"/>
        </w:rPr>
        <w:t>服务</w:t>
      </w:r>
      <w:r>
        <w:rPr>
          <w:rFonts w:hint="eastAsia" w:ascii="宋体" w:hAnsi="宋体" w:eastAsia="宋体" w:cs="宋体"/>
        </w:rPr>
        <w:t>方案</w:t>
      </w:r>
    </w:p>
    <w:p w14:paraId="7E4F46A3">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）技术/商务响应与偏离表</w:t>
      </w:r>
    </w:p>
    <w:p w14:paraId="322E8857">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5</w:t>
      </w:r>
      <w:r>
        <w:rPr>
          <w:rFonts w:hint="eastAsia" w:ascii="宋体" w:hAnsi="宋体" w:eastAsia="宋体" w:cs="宋体"/>
        </w:rPr>
        <w:t>）报价一览表及报价文件</w:t>
      </w:r>
    </w:p>
    <w:p w14:paraId="519C210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6</w:t>
      </w:r>
      <w:r>
        <w:rPr>
          <w:rFonts w:hint="eastAsia" w:ascii="宋体" w:hAnsi="宋体" w:eastAsia="宋体" w:cs="宋体"/>
        </w:rPr>
        <w:t>）供应商认为需提供的其他资料</w:t>
      </w:r>
    </w:p>
    <w:p w14:paraId="5857F50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7</w:t>
      </w:r>
      <w:r>
        <w:rPr>
          <w:rFonts w:hint="eastAsia" w:ascii="宋体" w:hAnsi="宋体" w:eastAsia="宋体" w:cs="宋体"/>
        </w:rPr>
        <w:t>）最后报价</w:t>
      </w:r>
    </w:p>
    <w:p w14:paraId="0A62C4CA">
      <w:pPr>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15.2在磋商过程中，</w:t>
      </w:r>
      <w:r>
        <w:rPr>
          <w:rFonts w:hint="eastAsia" w:ascii="宋体" w:hAnsi="宋体" w:eastAsia="宋体" w:cs="宋体"/>
          <w:szCs w:val="21"/>
        </w:rPr>
        <w:t>供应商</w:t>
      </w:r>
      <w:r>
        <w:rPr>
          <w:rFonts w:hint="eastAsia" w:ascii="宋体" w:hAnsi="宋体" w:eastAsia="宋体" w:cs="宋体"/>
        </w:rPr>
        <w:t>根据</w:t>
      </w:r>
      <w:r>
        <w:rPr>
          <w:rFonts w:hint="eastAsia" w:ascii="宋体" w:hAnsi="宋体" w:eastAsia="宋体" w:cs="宋体"/>
          <w:kern w:val="0"/>
          <w:szCs w:val="21"/>
        </w:rPr>
        <w:t>磋商小组</w:t>
      </w:r>
      <w:r>
        <w:rPr>
          <w:rFonts w:hint="eastAsia" w:ascii="宋体" w:hAnsi="宋体" w:eastAsia="宋体" w:cs="宋体"/>
          <w:bCs/>
          <w:szCs w:val="21"/>
        </w:rPr>
        <w:t>书面形式要求</w:t>
      </w:r>
      <w:r>
        <w:rPr>
          <w:rFonts w:hint="eastAsia" w:ascii="宋体" w:hAnsi="宋体" w:eastAsia="宋体" w:cs="宋体"/>
          <w:kern w:val="0"/>
          <w:szCs w:val="21"/>
        </w:rPr>
        <w:t>提交的</w:t>
      </w:r>
      <w:r>
        <w:rPr>
          <w:rFonts w:hint="eastAsia" w:ascii="宋体" w:hAnsi="宋体" w:eastAsia="宋体" w:cs="宋体"/>
        </w:rPr>
        <w:t>最后报价(或者</w:t>
      </w:r>
      <w:r>
        <w:rPr>
          <w:rFonts w:hint="eastAsia" w:ascii="宋体" w:hAnsi="宋体" w:eastAsia="宋体" w:cs="宋体"/>
          <w:bCs/>
          <w:szCs w:val="21"/>
        </w:rPr>
        <w:t>重</w:t>
      </w:r>
      <w:r>
        <w:rPr>
          <w:rFonts w:hint="eastAsia" w:ascii="宋体" w:hAnsi="宋体" w:eastAsia="宋体" w:cs="宋体"/>
          <w:kern w:val="0"/>
          <w:szCs w:val="21"/>
        </w:rPr>
        <w:t>新提交的响应文件和</w:t>
      </w:r>
      <w:r>
        <w:rPr>
          <w:rFonts w:hint="eastAsia" w:ascii="宋体" w:hAnsi="宋体" w:eastAsia="宋体" w:cs="宋体"/>
        </w:rPr>
        <w:t>最后报价)是</w:t>
      </w:r>
      <w:r>
        <w:rPr>
          <w:rFonts w:hint="eastAsia" w:ascii="宋体" w:hAnsi="宋体" w:eastAsia="宋体" w:cs="宋体"/>
          <w:szCs w:val="21"/>
        </w:rPr>
        <w:t>响应文件</w:t>
      </w:r>
      <w:r>
        <w:rPr>
          <w:rFonts w:hint="eastAsia" w:ascii="宋体" w:hAnsi="宋体" w:eastAsia="宋体" w:cs="宋体"/>
        </w:rPr>
        <w:t>的有效组成部分。</w:t>
      </w:r>
    </w:p>
    <w:p w14:paraId="5349F794">
      <w:pPr>
        <w:adjustRightInd w:val="0"/>
        <w:snapToGrid w:val="0"/>
        <w:spacing w:line="360" w:lineRule="auto"/>
        <w:ind w:firstLine="420" w:firstLineChars="200"/>
        <w:rPr>
          <w:rFonts w:hint="eastAsia" w:ascii="宋体" w:hAnsi="宋体" w:eastAsia="宋体" w:cs="宋体"/>
          <w:b/>
        </w:rPr>
      </w:pPr>
      <w:r>
        <w:rPr>
          <w:rFonts w:hint="eastAsia" w:ascii="宋体" w:hAnsi="宋体" w:eastAsia="宋体" w:cs="宋体"/>
        </w:rPr>
        <w:t>15.3</w:t>
      </w:r>
      <w:r>
        <w:rPr>
          <w:rFonts w:hint="eastAsia" w:ascii="宋体" w:hAnsi="宋体" w:eastAsia="宋体" w:cs="宋体"/>
          <w:kern w:val="0"/>
          <w:szCs w:val="21"/>
        </w:rPr>
        <w:t>磋商文件规定可能发生实质性变动的，供应商应当在</w:t>
      </w:r>
      <w:r>
        <w:rPr>
          <w:rFonts w:hint="eastAsia" w:ascii="宋体" w:hAnsi="宋体" w:eastAsia="宋体" w:cs="宋体"/>
        </w:rPr>
        <w:t>《技术/商务响应与偏离表》中对应内容注明。</w:t>
      </w:r>
    </w:p>
    <w:p w14:paraId="7E267689">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rPr>
        <w:t>15.4</w:t>
      </w:r>
      <w:r>
        <w:rPr>
          <w:rFonts w:hint="eastAsia" w:ascii="宋体" w:hAnsi="宋体" w:eastAsia="宋体" w:cs="宋体"/>
          <w:szCs w:val="21"/>
        </w:rPr>
        <w:t>根据《</w:t>
      </w:r>
      <w:r>
        <w:rPr>
          <w:rFonts w:hint="eastAsia" w:ascii="宋体" w:hAnsi="宋体" w:cs="宋体"/>
          <w:szCs w:val="21"/>
          <w:lang w:eastAsia="zh-CN"/>
        </w:rPr>
        <w:t>中华人民共和国政府采购法</w:t>
      </w:r>
      <w:r>
        <w:rPr>
          <w:rFonts w:hint="eastAsia" w:ascii="宋体" w:hAnsi="宋体" w:eastAsia="宋体" w:cs="宋体"/>
          <w:szCs w:val="21"/>
        </w:rPr>
        <w:t>》第四十二条的规定，供应商无论成交与否，其响应文件不予退还。</w:t>
      </w:r>
    </w:p>
    <w:p w14:paraId="5CA028D4">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16.报价</w:t>
      </w:r>
    </w:p>
    <w:p w14:paraId="20DCC64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16.1</w:t>
      </w:r>
      <w:r>
        <w:rPr>
          <w:rFonts w:hint="eastAsia" w:ascii="宋体" w:hAnsi="宋体" w:eastAsia="宋体" w:cs="宋体"/>
        </w:rPr>
        <w:t>除非招标人对磋商文件予以修改，</w:t>
      </w:r>
      <w:r>
        <w:rPr>
          <w:rFonts w:hint="eastAsia" w:ascii="宋体" w:hAnsi="宋体" w:eastAsia="宋体" w:cs="宋体"/>
          <w:szCs w:val="21"/>
        </w:rPr>
        <w:t>供应商应当根据磋商文件要求和范围，</w:t>
      </w:r>
      <w:r>
        <w:rPr>
          <w:rFonts w:hint="eastAsia" w:ascii="宋体" w:hAnsi="宋体" w:eastAsia="宋体" w:cs="宋体"/>
        </w:rPr>
        <w:t>按招标人提供的工程量清单中列出的工程项目和工程量填报单价和合价</w:t>
      </w:r>
      <w:r>
        <w:rPr>
          <w:rFonts w:hint="eastAsia" w:ascii="宋体" w:hAnsi="宋体" w:eastAsia="宋体" w:cs="宋体"/>
          <w:szCs w:val="21"/>
        </w:rPr>
        <w:t>，以元为单位，保留小数点后两位。</w:t>
      </w:r>
    </w:p>
    <w:p w14:paraId="54AAF8D3">
      <w:pPr>
        <w:pStyle w:val="92"/>
        <w:adjustRightInd w:val="0"/>
        <w:snapToGrid w:val="0"/>
        <w:spacing w:line="360" w:lineRule="auto"/>
        <w:ind w:firstLine="420" w:firstLineChars="200"/>
        <w:rPr>
          <w:rFonts w:hint="eastAsia" w:ascii="宋体" w:hAnsi="宋体" w:eastAsia="宋体" w:cs="宋体"/>
          <w:snapToGrid w:val="0"/>
        </w:rPr>
      </w:pPr>
      <w:r>
        <w:rPr>
          <w:rFonts w:hint="eastAsia" w:ascii="宋体" w:hAnsi="宋体" w:eastAsia="宋体" w:cs="宋体"/>
        </w:rPr>
        <w:t>16.2供应商应按第五章 响应文件组成格式填写。</w:t>
      </w:r>
    </w:p>
    <w:p w14:paraId="0F7A0772">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szCs w:val="24"/>
        </w:rPr>
        <w:t>16.3 招标人不接受有任何选择的报价。最低报价不能作为成交的保证。</w:t>
      </w:r>
    </w:p>
    <w:p w14:paraId="0AF514CD">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 xml:space="preserve">16.4 </w:t>
      </w:r>
      <w:r>
        <w:rPr>
          <w:rFonts w:hint="eastAsia" w:ascii="宋体" w:hAnsi="宋体" w:eastAsia="宋体" w:cs="宋体"/>
          <w:kern w:val="0"/>
          <w:lang w:val="zh-CN"/>
        </w:rPr>
        <w:t>供应商</w:t>
      </w:r>
      <w:r>
        <w:rPr>
          <w:rFonts w:hint="eastAsia" w:ascii="宋体" w:hAnsi="宋体" w:eastAsia="宋体" w:cs="宋体"/>
        </w:rPr>
        <w:t>的报价不得超过预算控制价，投资估算价或其计算方法见</w:t>
      </w:r>
      <w:r>
        <w:rPr>
          <w:rFonts w:hint="eastAsia" w:ascii="宋体" w:hAnsi="宋体" w:eastAsia="宋体" w:cs="宋体"/>
          <w:b/>
        </w:rPr>
        <w:t>磋商须知前附表</w:t>
      </w:r>
      <w:r>
        <w:rPr>
          <w:rFonts w:hint="eastAsia" w:ascii="宋体" w:hAnsi="宋体" w:eastAsia="宋体" w:cs="宋体"/>
        </w:rPr>
        <w:t>。</w:t>
      </w:r>
    </w:p>
    <w:p w14:paraId="03C6D096">
      <w:pPr>
        <w:pStyle w:val="26"/>
        <w:adjustRightInd w:val="0"/>
        <w:snapToGrid w:val="0"/>
        <w:spacing w:line="360" w:lineRule="auto"/>
        <w:rPr>
          <w:rFonts w:hint="eastAsia" w:ascii="宋体" w:hAnsi="宋体" w:eastAsia="宋体" w:cs="宋体"/>
          <w:b/>
        </w:rPr>
      </w:pPr>
      <w:r>
        <w:rPr>
          <w:rFonts w:hint="eastAsia" w:ascii="宋体" w:hAnsi="宋体" w:eastAsia="宋体" w:cs="宋体"/>
          <w:b/>
        </w:rPr>
        <w:t>17.供应商符合磋商文件规定的证明文件</w:t>
      </w:r>
    </w:p>
    <w:p w14:paraId="25BB00B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17.1供应商应提交满足本章第3.1款规定的资格条件要求的证明文件,该证明文件作为响应文件的一部分。</w:t>
      </w:r>
    </w:p>
    <w:p w14:paraId="1796414A">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17.2如果供应商为联合体，则应提交联合体各方资格证明文件、联合体协议。否则，在评审时将其视为无效响应。</w:t>
      </w:r>
    </w:p>
    <w:p w14:paraId="75F3C283">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17.3 除</w:t>
      </w:r>
      <w:r>
        <w:rPr>
          <w:rFonts w:hint="eastAsia" w:ascii="宋体" w:hAnsi="宋体" w:eastAsia="宋体" w:cs="宋体"/>
          <w:b/>
          <w:szCs w:val="21"/>
        </w:rPr>
        <w:t>磋商须知前附表</w:t>
      </w:r>
      <w:r>
        <w:rPr>
          <w:rFonts w:hint="eastAsia" w:ascii="宋体" w:hAnsi="宋体" w:eastAsia="宋体" w:cs="宋体"/>
          <w:szCs w:val="21"/>
        </w:rPr>
        <w:t>另有规定外，供应商提供的货物及服务不是供应商制造或拥有的，则必须提供经销、或代理采购货物、或采购货物提供售后服务的证明文件。（本条不适用于本次采购）</w:t>
      </w:r>
    </w:p>
    <w:p w14:paraId="1315142B">
      <w:pPr>
        <w:adjustRightInd w:val="0"/>
        <w:snapToGrid w:val="0"/>
        <w:spacing w:beforeLines="50" w:line="360" w:lineRule="auto"/>
        <w:jc w:val="left"/>
        <w:rPr>
          <w:rFonts w:hint="eastAsia" w:ascii="宋体" w:hAnsi="宋体" w:eastAsia="宋体" w:cs="宋体"/>
          <w:b/>
          <w:szCs w:val="21"/>
        </w:rPr>
      </w:pPr>
      <w:r>
        <w:rPr>
          <w:rFonts w:hint="eastAsia" w:ascii="宋体" w:hAnsi="宋体" w:eastAsia="宋体" w:cs="宋体"/>
          <w:b/>
          <w:szCs w:val="21"/>
        </w:rPr>
        <w:t>18．样品提供</w:t>
      </w:r>
    </w:p>
    <w:p w14:paraId="79100B60">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 xml:space="preserve">18.1 </w:t>
      </w:r>
      <w:r>
        <w:rPr>
          <w:rFonts w:hint="eastAsia" w:ascii="宋体" w:hAnsi="宋体" w:eastAsia="宋体" w:cs="宋体"/>
          <w:b/>
        </w:rPr>
        <w:t>磋商须知前附表</w:t>
      </w:r>
      <w:r>
        <w:rPr>
          <w:rFonts w:hint="eastAsia" w:ascii="宋体" w:hAnsi="宋体" w:eastAsia="宋体" w:cs="宋体"/>
          <w:szCs w:val="21"/>
        </w:rPr>
        <w:t>规定</w:t>
      </w:r>
      <w:r>
        <w:rPr>
          <w:rFonts w:hint="eastAsia" w:ascii="宋体" w:hAnsi="宋体" w:eastAsia="宋体" w:cs="宋体"/>
          <w:bCs/>
        </w:rPr>
        <w:t>供应商</w:t>
      </w:r>
      <w:r>
        <w:rPr>
          <w:rFonts w:hint="eastAsia" w:ascii="宋体" w:hAnsi="宋体" w:eastAsia="宋体" w:cs="宋体"/>
          <w:szCs w:val="21"/>
        </w:rPr>
        <w:t>在</w:t>
      </w:r>
      <w:r>
        <w:rPr>
          <w:rFonts w:hint="eastAsia" w:ascii="宋体" w:hAnsi="宋体" w:eastAsia="宋体" w:cs="宋体"/>
        </w:rPr>
        <w:t>磋商</w:t>
      </w:r>
      <w:r>
        <w:rPr>
          <w:rFonts w:hint="eastAsia" w:ascii="宋体" w:hAnsi="宋体" w:eastAsia="宋体" w:cs="宋体"/>
          <w:szCs w:val="21"/>
        </w:rPr>
        <w:t>时提供样品的，</w:t>
      </w:r>
      <w:r>
        <w:rPr>
          <w:rFonts w:hint="eastAsia" w:ascii="宋体" w:hAnsi="宋体" w:eastAsia="宋体" w:cs="宋体"/>
          <w:bCs/>
        </w:rPr>
        <w:t>供应商</w:t>
      </w:r>
      <w:r>
        <w:rPr>
          <w:rFonts w:hint="eastAsia" w:ascii="宋体" w:hAnsi="宋体" w:eastAsia="宋体" w:cs="宋体"/>
          <w:szCs w:val="21"/>
        </w:rPr>
        <w:t>有以下情形之一的，在评审时将其视为无效响应。</w:t>
      </w:r>
    </w:p>
    <w:p w14:paraId="5837ED43">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（1）未在</w:t>
      </w:r>
      <w:r>
        <w:rPr>
          <w:rFonts w:hint="eastAsia" w:ascii="宋体" w:hAnsi="宋体" w:eastAsia="宋体" w:cs="宋体"/>
          <w:b/>
        </w:rPr>
        <w:t>磋商须知前附表</w:t>
      </w:r>
      <w:r>
        <w:rPr>
          <w:rFonts w:hint="eastAsia" w:ascii="宋体" w:hAnsi="宋体" w:eastAsia="宋体" w:cs="宋体"/>
          <w:szCs w:val="21"/>
        </w:rPr>
        <w:t>规定的提交时间、地点提交的；</w:t>
      </w:r>
    </w:p>
    <w:p w14:paraId="62A4FB67">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bCs/>
        </w:rPr>
        <w:t>供应商</w:t>
      </w:r>
      <w:r>
        <w:rPr>
          <w:rFonts w:hint="eastAsia" w:ascii="宋体" w:hAnsi="宋体" w:eastAsia="宋体" w:cs="宋体"/>
          <w:szCs w:val="21"/>
        </w:rPr>
        <w:t>提供的样品与响应文件中提供样品的型号、规格不一致的。</w:t>
      </w:r>
    </w:p>
    <w:p w14:paraId="57EEF6F9">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19.磋商保证金</w:t>
      </w:r>
    </w:p>
    <w:p w14:paraId="2E1F59CE">
      <w:pPr>
        <w:pStyle w:val="26"/>
        <w:adjustRightInd w:val="0"/>
        <w:snapToGrid w:val="0"/>
        <w:spacing w:line="360" w:lineRule="auto"/>
        <w:ind w:firstLine="420" w:firstLineChars="200"/>
        <w:rPr>
          <w:rFonts w:hint="eastAsia" w:ascii="宋体" w:hAnsi="宋体" w:eastAsia="宋体" w:cs="宋体"/>
          <w:bCs/>
        </w:rPr>
      </w:pPr>
      <w:r>
        <w:rPr>
          <w:rFonts w:hint="eastAsia" w:ascii="宋体" w:hAnsi="宋体" w:eastAsia="宋体" w:cs="宋体"/>
        </w:rPr>
        <w:t>19.1</w:t>
      </w:r>
      <w:r>
        <w:rPr>
          <w:rFonts w:hint="eastAsia" w:ascii="宋体" w:hAnsi="宋体" w:eastAsia="宋体" w:cs="宋体"/>
          <w:b/>
        </w:rPr>
        <w:t>磋商须知前附表</w:t>
      </w:r>
      <w:r>
        <w:rPr>
          <w:rFonts w:hint="eastAsia" w:ascii="宋体" w:hAnsi="宋体" w:eastAsia="宋体" w:cs="宋体"/>
        </w:rPr>
        <w:t>规定交纳磋商</w:t>
      </w:r>
      <w:r>
        <w:rPr>
          <w:rFonts w:hint="eastAsia" w:ascii="宋体" w:hAnsi="宋体" w:eastAsia="宋体" w:cs="宋体"/>
          <w:bCs/>
        </w:rPr>
        <w:t>保证金的</w:t>
      </w:r>
      <w:r>
        <w:rPr>
          <w:rFonts w:hint="eastAsia" w:ascii="宋体" w:hAnsi="宋体" w:eastAsia="宋体" w:cs="宋体"/>
        </w:rPr>
        <w:t>，应按</w:t>
      </w:r>
      <w:r>
        <w:rPr>
          <w:rFonts w:hint="eastAsia" w:ascii="宋体" w:hAnsi="宋体" w:eastAsia="宋体" w:cs="宋体"/>
          <w:b/>
        </w:rPr>
        <w:t>磋商须知前附表</w:t>
      </w:r>
      <w:r>
        <w:rPr>
          <w:rFonts w:hint="eastAsia" w:ascii="宋体" w:hAnsi="宋体" w:eastAsia="宋体" w:cs="宋体"/>
        </w:rPr>
        <w:t>规定的磋商</w:t>
      </w:r>
      <w:r>
        <w:rPr>
          <w:rFonts w:hint="eastAsia" w:ascii="宋体" w:hAnsi="宋体" w:eastAsia="宋体" w:cs="宋体"/>
          <w:bCs/>
        </w:rPr>
        <w:t>保证金形式交纳，不得以现金方式交纳</w:t>
      </w:r>
      <w:r>
        <w:rPr>
          <w:rFonts w:hint="eastAsia" w:ascii="宋体" w:hAnsi="宋体" w:eastAsia="宋体" w:cs="宋体"/>
        </w:rPr>
        <w:t>，在</w:t>
      </w:r>
      <w:r>
        <w:rPr>
          <w:rFonts w:hint="eastAsia" w:ascii="宋体" w:hAnsi="宋体" w:eastAsia="宋体" w:cs="宋体"/>
          <w:kern w:val="0"/>
        </w:rPr>
        <w:t>提交首次响应文件截止时间</w:t>
      </w:r>
      <w:r>
        <w:rPr>
          <w:rFonts w:hint="eastAsia" w:ascii="宋体" w:hAnsi="宋体" w:eastAsia="宋体" w:cs="宋体"/>
        </w:rPr>
        <w:t>前，</w:t>
      </w:r>
      <w:r>
        <w:rPr>
          <w:rFonts w:hint="eastAsia" w:ascii="宋体" w:hAnsi="宋体" w:eastAsia="宋体" w:cs="宋体"/>
          <w:bCs/>
        </w:rPr>
        <w:t>磋商保证金交纳不超过</w:t>
      </w:r>
      <w:r>
        <w:rPr>
          <w:rFonts w:hint="eastAsia" w:ascii="宋体" w:hAnsi="宋体" w:eastAsia="宋体" w:cs="宋体"/>
          <w:kern w:val="0"/>
          <w:lang w:val="zh-CN"/>
        </w:rPr>
        <w:t>投资估算价2﹪</w:t>
      </w:r>
      <w:r>
        <w:rPr>
          <w:rFonts w:hint="eastAsia" w:ascii="宋体" w:hAnsi="宋体" w:eastAsia="宋体" w:cs="宋体"/>
          <w:bCs/>
        </w:rPr>
        <w:t>的磋商保证金(数额采用四舍五入，计算至元)</w:t>
      </w:r>
      <w:r>
        <w:rPr>
          <w:rFonts w:hint="eastAsia" w:ascii="宋体" w:hAnsi="宋体" w:eastAsia="宋体" w:cs="宋体"/>
        </w:rPr>
        <w:t>。磋商</w:t>
      </w:r>
      <w:r>
        <w:rPr>
          <w:rFonts w:hint="eastAsia" w:ascii="宋体" w:hAnsi="宋体" w:eastAsia="宋体" w:cs="宋体"/>
          <w:bCs/>
        </w:rPr>
        <w:t>保证金有效期应当与</w:t>
      </w:r>
      <w:r>
        <w:rPr>
          <w:rFonts w:hint="eastAsia" w:ascii="宋体" w:hAnsi="宋体" w:eastAsia="宋体" w:cs="宋体"/>
        </w:rPr>
        <w:t>本章第20.1</w:t>
      </w:r>
      <w:r>
        <w:rPr>
          <w:rFonts w:hint="eastAsia" w:ascii="宋体" w:hAnsi="宋体" w:eastAsia="宋体" w:cs="宋体"/>
          <w:kern w:val="0"/>
          <w:lang w:val="zh-CN"/>
        </w:rPr>
        <w:t>款</w:t>
      </w:r>
      <w:r>
        <w:rPr>
          <w:rFonts w:hint="eastAsia" w:ascii="宋体" w:hAnsi="宋体" w:eastAsia="宋体" w:cs="宋体"/>
        </w:rPr>
        <w:t>规定的</w:t>
      </w:r>
      <w:r>
        <w:rPr>
          <w:rFonts w:hint="eastAsia" w:ascii="宋体" w:hAnsi="宋体" w:eastAsia="宋体" w:cs="宋体"/>
          <w:bCs/>
        </w:rPr>
        <w:t>响应文件有效期一致。</w:t>
      </w:r>
    </w:p>
    <w:p w14:paraId="31DF50FC">
      <w:pPr>
        <w:adjustRightInd w:val="0"/>
        <w:snapToGrid w:val="0"/>
        <w:spacing w:line="360" w:lineRule="auto"/>
        <w:ind w:firstLine="420" w:firstLineChars="200"/>
        <w:rPr>
          <w:rFonts w:hint="eastAsia" w:ascii="宋体" w:hAnsi="宋体" w:eastAsia="宋体" w:cs="宋体"/>
          <w:b/>
          <w:szCs w:val="21"/>
        </w:rPr>
      </w:pPr>
      <w:r>
        <w:rPr>
          <w:rFonts w:hint="eastAsia" w:ascii="宋体" w:hAnsi="宋体" w:eastAsia="宋体" w:cs="宋体"/>
          <w:szCs w:val="21"/>
        </w:rPr>
        <w:t>19.2</w:t>
      </w:r>
      <w:r>
        <w:rPr>
          <w:rFonts w:hint="eastAsia" w:ascii="宋体" w:hAnsi="宋体" w:eastAsia="宋体" w:cs="宋体"/>
          <w:kern w:val="0"/>
          <w:szCs w:val="21"/>
          <w:lang w:val="zh-CN"/>
        </w:rPr>
        <w:t>供应商为联合体的，可以由联合体中的一方或者共同交纳磋商保证金，其交纳的磋商保证金，对联合体各方均具有约束力。</w:t>
      </w:r>
    </w:p>
    <w:p w14:paraId="6983275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19.3供应商未按照磋商文件要求提交磋商保证金的，响应无效。</w:t>
      </w:r>
    </w:p>
    <w:p w14:paraId="4E501385">
      <w:pPr>
        <w:pStyle w:val="26"/>
        <w:tabs>
          <w:tab w:val="left" w:pos="6300"/>
        </w:tabs>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19.4</w:t>
      </w:r>
      <w:r>
        <w:rPr>
          <w:rFonts w:hint="eastAsia" w:hAnsi="宋体" w:cs="宋体"/>
          <w:lang w:eastAsia="zh-CN"/>
        </w:rPr>
        <w:t>招标代理机构</w:t>
      </w:r>
      <w:r>
        <w:rPr>
          <w:rFonts w:hint="eastAsia" w:ascii="宋体" w:hAnsi="宋体" w:eastAsia="宋体" w:cs="宋体"/>
        </w:rPr>
        <w:t>在成交通知书发出后5个工作日内退还未成交供应商的磋商保证金；在采购合同签定后5个工作日内退还成交供应商的磋商保证金，但因供应商自身原因导致无法及时退还的除外。</w:t>
      </w:r>
    </w:p>
    <w:p w14:paraId="3C6DDFFD">
      <w:pPr>
        <w:pStyle w:val="26"/>
        <w:adjustRightInd w:val="0"/>
        <w:snapToGrid w:val="0"/>
        <w:spacing w:line="360" w:lineRule="auto"/>
        <w:ind w:firstLine="420" w:firstLineChars="200"/>
        <w:rPr>
          <w:rFonts w:hint="eastAsia" w:ascii="宋体" w:hAnsi="宋体" w:eastAsia="宋体" w:cs="宋体"/>
          <w:kern w:val="0"/>
        </w:rPr>
      </w:pPr>
      <w:r>
        <w:rPr>
          <w:rFonts w:hint="eastAsia" w:ascii="宋体" w:hAnsi="宋体" w:eastAsia="宋体" w:cs="宋体"/>
        </w:rPr>
        <w:t xml:space="preserve">19.5 </w:t>
      </w:r>
      <w:r>
        <w:rPr>
          <w:rFonts w:hint="eastAsia" w:ascii="宋体" w:hAnsi="宋体" w:eastAsia="宋体" w:cs="宋体"/>
          <w:kern w:val="0"/>
        </w:rPr>
        <w:t>有下列情形之一的，磋商保证金不予退还，并上缴本级财政国库：</w:t>
      </w:r>
    </w:p>
    <w:p w14:paraId="4679A297">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（1）供应商在提交首次响应文件截止时间后撤回响应文件的；</w:t>
      </w:r>
    </w:p>
    <w:p w14:paraId="4F785723">
      <w:pPr>
        <w:widowControl/>
        <w:adjustRightInd w:val="0"/>
        <w:snapToGrid w:val="0"/>
        <w:spacing w:line="360" w:lineRule="auto"/>
        <w:ind w:firstLine="420" w:firstLineChars="200"/>
        <w:jc w:val="left"/>
        <w:rPr>
          <w:rFonts w:hint="eastAsia" w:ascii="宋体" w:hAnsi="宋体" w:eastAsia="宋体" w:cs="宋体"/>
          <w:kern w:val="0"/>
        </w:rPr>
      </w:pPr>
      <w:r>
        <w:rPr>
          <w:rFonts w:hint="eastAsia" w:ascii="宋体" w:hAnsi="宋体" w:eastAsia="宋体" w:cs="宋体"/>
          <w:kern w:val="0"/>
        </w:rPr>
        <w:t>（2）供应商在响应文件中提供虚假资料的；</w:t>
      </w:r>
    </w:p>
    <w:p w14:paraId="2C294855">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rPr>
        <w:t>（3）</w:t>
      </w:r>
      <w:r>
        <w:rPr>
          <w:rFonts w:hint="eastAsia" w:ascii="宋体" w:hAnsi="宋体" w:eastAsia="宋体" w:cs="宋体"/>
        </w:rPr>
        <w:t>确定成交结果后，无正当理由放弃成交资格的；</w:t>
      </w:r>
    </w:p>
    <w:p w14:paraId="304871AD">
      <w:pPr>
        <w:widowControl/>
        <w:adjustRightInd w:val="0"/>
        <w:snapToGrid w:val="0"/>
        <w:spacing w:line="360" w:lineRule="auto"/>
        <w:ind w:firstLine="525" w:firstLineChars="250"/>
        <w:jc w:val="left"/>
        <w:rPr>
          <w:rFonts w:hint="eastAsia" w:ascii="宋体" w:hAnsi="宋体" w:eastAsia="宋体" w:cs="宋体"/>
          <w:kern w:val="0"/>
          <w:szCs w:val="21"/>
        </w:rPr>
      </w:pPr>
      <w:r>
        <w:rPr>
          <w:rFonts w:hint="eastAsia" w:ascii="宋体" w:hAnsi="宋体" w:eastAsia="宋体" w:cs="宋体"/>
          <w:kern w:val="0"/>
          <w:szCs w:val="21"/>
        </w:rPr>
        <w:t>(4) 除因不可抗力或磋商文件认可的情形以外，成交供应商不与招标人签订合同的；</w:t>
      </w:r>
    </w:p>
    <w:p w14:paraId="559843DD">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（5）供应商与招标人、其他供应商或者</w:t>
      </w:r>
      <w:r>
        <w:rPr>
          <w:rFonts w:hint="eastAsia" w:ascii="宋体" w:hAnsi="宋体" w:cs="宋体"/>
          <w:kern w:val="0"/>
          <w:szCs w:val="21"/>
          <w:lang w:eastAsia="zh-CN"/>
        </w:rPr>
        <w:t>招标代理机构</w:t>
      </w:r>
      <w:r>
        <w:rPr>
          <w:rFonts w:hint="eastAsia" w:ascii="宋体" w:hAnsi="宋体" w:eastAsia="宋体" w:cs="宋体"/>
          <w:kern w:val="0"/>
          <w:szCs w:val="21"/>
        </w:rPr>
        <w:t>恶意串通的；</w:t>
      </w:r>
    </w:p>
    <w:p w14:paraId="7BD0821F">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（6）磋商文件规定的其他情形。</w:t>
      </w:r>
    </w:p>
    <w:p w14:paraId="794A50B0">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20.</w:t>
      </w:r>
      <w:r>
        <w:rPr>
          <w:rFonts w:hint="eastAsia" w:ascii="宋体" w:hAnsi="宋体" w:eastAsia="宋体" w:cs="宋体"/>
          <w:b/>
        </w:rPr>
        <w:t>响应文件</w:t>
      </w:r>
      <w:r>
        <w:rPr>
          <w:rFonts w:hint="eastAsia" w:ascii="宋体" w:hAnsi="宋体" w:eastAsia="宋体" w:cs="宋体"/>
          <w:b/>
          <w:szCs w:val="21"/>
        </w:rPr>
        <w:t>有效期</w:t>
      </w:r>
    </w:p>
    <w:p w14:paraId="6F6403B9">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20.1响应文件</w:t>
      </w:r>
      <w:r>
        <w:rPr>
          <w:rFonts w:hint="eastAsia" w:ascii="宋体" w:hAnsi="宋体" w:eastAsia="宋体" w:cs="宋体"/>
          <w:szCs w:val="21"/>
        </w:rPr>
        <w:t>有效期见</w:t>
      </w:r>
      <w:r>
        <w:rPr>
          <w:rFonts w:hint="eastAsia" w:ascii="宋体" w:hAnsi="宋体" w:eastAsia="宋体" w:cs="宋体"/>
          <w:b/>
        </w:rPr>
        <w:t>磋商须知前附表</w:t>
      </w:r>
      <w:r>
        <w:rPr>
          <w:rFonts w:hint="eastAsia" w:ascii="宋体" w:hAnsi="宋体" w:eastAsia="宋体" w:cs="宋体"/>
          <w:szCs w:val="21"/>
        </w:rPr>
        <w:t>，在此期间</w:t>
      </w:r>
      <w:r>
        <w:rPr>
          <w:rFonts w:hint="eastAsia" w:ascii="宋体" w:hAnsi="宋体" w:eastAsia="宋体" w:cs="宋体"/>
        </w:rPr>
        <w:t>响应</w:t>
      </w:r>
      <w:r>
        <w:rPr>
          <w:rFonts w:hint="eastAsia" w:ascii="宋体" w:hAnsi="宋体" w:eastAsia="宋体" w:cs="宋体"/>
          <w:szCs w:val="21"/>
        </w:rPr>
        <w:t>文件对供应商具有法律约束力，</w:t>
      </w:r>
      <w:r>
        <w:rPr>
          <w:rFonts w:hint="eastAsia" w:ascii="宋体" w:hAnsi="宋体" w:eastAsia="宋体" w:cs="宋体"/>
        </w:rPr>
        <w:t>从</w:t>
      </w:r>
      <w:r>
        <w:rPr>
          <w:rFonts w:hint="eastAsia" w:ascii="宋体" w:hAnsi="宋体" w:eastAsia="宋体" w:cs="宋体"/>
          <w:kern w:val="0"/>
          <w:szCs w:val="21"/>
        </w:rPr>
        <w:t>提交首次响应文件截止时间</w:t>
      </w:r>
      <w:r>
        <w:rPr>
          <w:rFonts w:hint="eastAsia" w:ascii="宋体" w:hAnsi="宋体" w:eastAsia="宋体" w:cs="宋体"/>
        </w:rPr>
        <w:t>之日起计算。响应文件有效期不足的将被视为无效响应。</w:t>
      </w:r>
    </w:p>
    <w:p w14:paraId="11B62B44">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21.响应文件的签署及规定</w:t>
      </w:r>
    </w:p>
    <w:p w14:paraId="57617AF3">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21.1响应文件的正本和副本应装订成册，正本一份，副本份数见</w:t>
      </w:r>
      <w:r>
        <w:rPr>
          <w:rFonts w:hint="eastAsia" w:ascii="宋体" w:hAnsi="宋体" w:eastAsia="宋体" w:cs="宋体"/>
          <w:b/>
        </w:rPr>
        <w:t>磋商须知前附表，</w:t>
      </w:r>
      <w:r>
        <w:rPr>
          <w:rFonts w:hint="eastAsia" w:ascii="宋体" w:hAnsi="宋体" w:eastAsia="宋体" w:cs="宋体"/>
        </w:rPr>
        <w:t>正本和副本的封面上应标记“正本”或“副本”的字样，当正本和副本有差异时，以正本为准。</w:t>
      </w:r>
    </w:p>
    <w:p w14:paraId="2368E2BF">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21.2 响应文件正本和副本应按磋商文件要求签章处盖单位章和由</w:t>
      </w:r>
      <w:r>
        <w:rPr>
          <w:rFonts w:hint="eastAsia" w:hAnsi="宋体" w:cs="宋体"/>
          <w:lang w:eastAsia="zh-CN"/>
        </w:rPr>
        <w:t>法定代表人（单位负责人）</w:t>
      </w:r>
      <w:r>
        <w:rPr>
          <w:rFonts w:hint="eastAsia" w:ascii="宋体" w:hAnsi="宋体" w:eastAsia="宋体" w:cs="宋体"/>
        </w:rPr>
        <w:t>或其委托代理人签字；任何加行、涂改、增删，应有</w:t>
      </w:r>
      <w:r>
        <w:rPr>
          <w:rFonts w:hint="eastAsia" w:hAnsi="宋体" w:cs="宋体"/>
          <w:lang w:eastAsia="zh-CN"/>
        </w:rPr>
        <w:t>法定代表人（单位负责人）</w:t>
      </w:r>
      <w:r>
        <w:rPr>
          <w:rFonts w:hint="eastAsia" w:ascii="宋体" w:hAnsi="宋体" w:eastAsia="宋体" w:cs="宋体"/>
        </w:rPr>
        <w:t>或其委托代理人在旁边签字。否则，将导致响应文件无效。</w:t>
      </w:r>
    </w:p>
    <w:p w14:paraId="63B1C21A">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21.3 在磋商过程中，供应商按磋商文件规定和磋商小组要求</w:t>
      </w:r>
      <w:r>
        <w:rPr>
          <w:rFonts w:hint="eastAsia" w:ascii="宋体" w:hAnsi="宋体" w:eastAsia="宋体" w:cs="宋体"/>
          <w:kern w:val="0"/>
        </w:rPr>
        <w:t>提交的</w:t>
      </w:r>
      <w:r>
        <w:rPr>
          <w:rFonts w:hint="eastAsia" w:ascii="宋体" w:hAnsi="宋体" w:eastAsia="宋体" w:cs="宋体"/>
        </w:rPr>
        <w:t>最后报价(或者</w:t>
      </w:r>
      <w:r>
        <w:rPr>
          <w:rFonts w:hint="eastAsia" w:ascii="宋体" w:hAnsi="宋体" w:eastAsia="宋体" w:cs="宋体"/>
          <w:bCs/>
        </w:rPr>
        <w:t>重</w:t>
      </w:r>
      <w:r>
        <w:rPr>
          <w:rFonts w:hint="eastAsia" w:ascii="宋体" w:hAnsi="宋体" w:eastAsia="宋体" w:cs="宋体"/>
          <w:kern w:val="0"/>
        </w:rPr>
        <w:t>新提交的响应文件和</w:t>
      </w:r>
      <w:r>
        <w:rPr>
          <w:rFonts w:hint="eastAsia" w:ascii="宋体" w:hAnsi="宋体" w:eastAsia="宋体" w:cs="宋体"/>
        </w:rPr>
        <w:t>最后报价)，一式两份，可打印或用不退色墨水书写，但需经</w:t>
      </w:r>
      <w:r>
        <w:rPr>
          <w:rFonts w:hint="eastAsia" w:hAnsi="宋体" w:cs="宋体"/>
          <w:lang w:eastAsia="zh-CN"/>
        </w:rPr>
        <w:t>法定代表人（单位负责人）</w:t>
      </w:r>
      <w:r>
        <w:rPr>
          <w:rFonts w:hint="eastAsia" w:ascii="宋体" w:hAnsi="宋体" w:eastAsia="宋体" w:cs="宋体"/>
        </w:rPr>
        <w:t>或其委托代理人签字，</w:t>
      </w:r>
      <w:r>
        <w:rPr>
          <w:rFonts w:hint="eastAsia" w:ascii="宋体" w:hAnsi="宋体" w:eastAsia="宋体" w:cs="宋体"/>
          <w:kern w:val="0"/>
        </w:rPr>
        <w:t>或者加盖供应商单位章</w:t>
      </w:r>
      <w:r>
        <w:rPr>
          <w:rFonts w:hint="eastAsia" w:ascii="宋体" w:hAnsi="宋体" w:eastAsia="宋体" w:cs="宋体"/>
        </w:rPr>
        <w:t>。否则，将导致响应文件无效。</w:t>
      </w:r>
    </w:p>
    <w:p w14:paraId="5856B945">
      <w:pPr>
        <w:adjustRightInd w:val="0"/>
        <w:snapToGrid w:val="0"/>
        <w:spacing w:line="360" w:lineRule="auto"/>
        <w:outlineLvl w:val="2"/>
        <w:rPr>
          <w:rFonts w:hint="eastAsia" w:ascii="宋体" w:hAnsi="宋体" w:eastAsia="宋体" w:cs="宋体"/>
          <w:sz w:val="24"/>
        </w:rPr>
      </w:pPr>
      <w:bookmarkStart w:id="20" w:name="_Toc9630"/>
      <w:bookmarkStart w:id="21" w:name="_Toc11933136"/>
      <w:bookmarkStart w:id="22" w:name="_Toc14821"/>
      <w:r>
        <w:rPr>
          <w:rFonts w:hint="eastAsia" w:ascii="宋体" w:hAnsi="宋体" w:eastAsia="宋体" w:cs="宋体"/>
          <w:sz w:val="24"/>
        </w:rPr>
        <w:t>四、响应文件的递交</w:t>
      </w:r>
      <w:bookmarkEnd w:id="20"/>
      <w:bookmarkEnd w:id="21"/>
      <w:bookmarkEnd w:id="22"/>
    </w:p>
    <w:p w14:paraId="717BFA58">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22.</w:t>
      </w:r>
      <w:r>
        <w:rPr>
          <w:rFonts w:hint="eastAsia" w:ascii="宋体" w:hAnsi="宋体" w:eastAsia="宋体" w:cs="宋体"/>
          <w:b/>
          <w:szCs w:val="21"/>
        </w:rPr>
        <w:t>响应文件</w:t>
      </w:r>
      <w:r>
        <w:rPr>
          <w:rFonts w:hint="eastAsia" w:ascii="宋体" w:hAnsi="宋体" w:eastAsia="宋体" w:cs="宋体"/>
          <w:b/>
          <w:bCs/>
          <w:szCs w:val="21"/>
        </w:rPr>
        <w:t>的密封和标记</w:t>
      </w:r>
    </w:p>
    <w:p w14:paraId="4209D9A7">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22.1响应文件应密封包装，加贴封条，并在封套的封口处盖供应商单位章或者由</w:t>
      </w:r>
      <w:r>
        <w:rPr>
          <w:rFonts w:hint="eastAsia" w:hAnsi="宋体" w:cs="宋体"/>
          <w:lang w:eastAsia="zh-CN"/>
        </w:rPr>
        <w:t>法定代表人（单位负责人）</w:t>
      </w:r>
      <w:r>
        <w:rPr>
          <w:rFonts w:hint="eastAsia" w:ascii="宋体" w:hAnsi="宋体" w:eastAsia="宋体" w:cs="宋体"/>
        </w:rPr>
        <w:t>或其委托代理人签字。</w:t>
      </w:r>
    </w:p>
    <w:p w14:paraId="02EC6C0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22.2响应文件封套上应写明的内容见</w:t>
      </w:r>
      <w:r>
        <w:rPr>
          <w:rFonts w:hint="eastAsia" w:ascii="宋体" w:hAnsi="宋体" w:eastAsia="宋体" w:cs="宋体"/>
          <w:b/>
          <w:szCs w:val="21"/>
        </w:rPr>
        <w:t>磋商须知前附表。</w:t>
      </w:r>
    </w:p>
    <w:p w14:paraId="4B1A472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22.3响应文件如果未按上述规定密封和加写标记，招标人或</w:t>
      </w:r>
      <w:r>
        <w:rPr>
          <w:rFonts w:hint="eastAsia" w:ascii="宋体" w:hAnsi="宋体" w:cs="宋体"/>
          <w:szCs w:val="21"/>
          <w:lang w:eastAsia="zh-CN"/>
        </w:rPr>
        <w:t>招标代理机构</w:t>
      </w:r>
      <w:r>
        <w:rPr>
          <w:rFonts w:hint="eastAsia" w:ascii="宋体" w:hAnsi="宋体" w:eastAsia="宋体" w:cs="宋体"/>
          <w:szCs w:val="21"/>
        </w:rPr>
        <w:t>将拒绝接收。</w:t>
      </w:r>
    </w:p>
    <w:p w14:paraId="3C9E3FE5">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23.响应文件的</w:t>
      </w:r>
      <w:r>
        <w:rPr>
          <w:rFonts w:hint="eastAsia" w:ascii="宋体" w:hAnsi="宋体" w:eastAsia="宋体" w:cs="宋体"/>
          <w:b/>
          <w:kern w:val="0"/>
          <w:szCs w:val="21"/>
          <w:lang w:val="zh-CN"/>
        </w:rPr>
        <w:t>补充、修改或者撤回</w:t>
      </w:r>
    </w:p>
    <w:p w14:paraId="59E00B5E">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23.1</w:t>
      </w:r>
      <w:r>
        <w:rPr>
          <w:rFonts w:hint="eastAsia" w:ascii="宋体" w:hAnsi="宋体" w:eastAsia="宋体" w:cs="宋体"/>
          <w:kern w:val="0"/>
        </w:rPr>
        <w:t>供应商在提交首次响应文件截止时间前，可以对所提交的首次响应文件进行补充、修改或者撤回，并书面通知招标人、</w:t>
      </w:r>
      <w:r>
        <w:rPr>
          <w:rFonts w:hint="eastAsia" w:hAnsi="宋体" w:cs="宋体"/>
          <w:kern w:val="0"/>
          <w:lang w:eastAsia="zh-CN"/>
        </w:rPr>
        <w:t>招标代理机构</w:t>
      </w:r>
      <w:r>
        <w:rPr>
          <w:rFonts w:hint="eastAsia" w:ascii="宋体" w:hAnsi="宋体" w:eastAsia="宋体" w:cs="宋体"/>
          <w:kern w:val="0"/>
        </w:rPr>
        <w:t>。</w:t>
      </w:r>
      <w:r>
        <w:rPr>
          <w:rFonts w:hint="eastAsia" w:ascii="宋体" w:hAnsi="宋体" w:eastAsia="宋体" w:cs="宋体"/>
        </w:rPr>
        <w:t>该通知应有供应商</w:t>
      </w:r>
      <w:r>
        <w:rPr>
          <w:rFonts w:hint="eastAsia" w:hAnsi="宋体" w:cs="宋体"/>
          <w:lang w:eastAsia="zh-CN"/>
        </w:rPr>
        <w:t>法定代表人（单位负责人）</w:t>
      </w:r>
      <w:r>
        <w:rPr>
          <w:rFonts w:hint="eastAsia" w:ascii="宋体" w:hAnsi="宋体" w:eastAsia="宋体" w:cs="宋体"/>
        </w:rPr>
        <w:t>或其委托代理人签字。</w:t>
      </w:r>
    </w:p>
    <w:p w14:paraId="76B1FEF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23.2</w:t>
      </w:r>
      <w:r>
        <w:rPr>
          <w:rFonts w:hint="eastAsia" w:ascii="宋体" w:hAnsi="宋体" w:eastAsia="宋体" w:cs="宋体"/>
          <w:kern w:val="0"/>
          <w:lang w:val="zh-CN"/>
        </w:rPr>
        <w:t>补充、修改的内容与响应文件不一致时，以补充、修改的内容为准。</w:t>
      </w:r>
    </w:p>
    <w:p w14:paraId="50895B6B">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24.响应文件的递交与接收</w:t>
      </w:r>
    </w:p>
    <w:p w14:paraId="38FCAF0A">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24.1 供应商应在</w:t>
      </w:r>
      <w:r>
        <w:rPr>
          <w:rFonts w:hint="eastAsia" w:ascii="宋体" w:hAnsi="宋体" w:eastAsia="宋体" w:cs="宋体"/>
          <w:kern w:val="0"/>
          <w:szCs w:val="21"/>
        </w:rPr>
        <w:t>提交首次响应文件截止时间</w:t>
      </w:r>
      <w:r>
        <w:rPr>
          <w:rFonts w:hint="eastAsia" w:ascii="宋体" w:hAnsi="宋体" w:eastAsia="宋体" w:cs="宋体"/>
          <w:szCs w:val="21"/>
        </w:rPr>
        <w:t>前，将响应文件送达</w:t>
      </w:r>
      <w:r>
        <w:rPr>
          <w:rFonts w:hint="eastAsia" w:ascii="宋体" w:hAnsi="宋体" w:eastAsia="宋体" w:cs="宋体"/>
          <w:b/>
          <w:szCs w:val="21"/>
        </w:rPr>
        <w:t>磋商须知前附表</w:t>
      </w:r>
      <w:r>
        <w:rPr>
          <w:rFonts w:hint="eastAsia" w:ascii="宋体" w:hAnsi="宋体" w:eastAsia="宋体" w:cs="宋体"/>
          <w:szCs w:val="21"/>
        </w:rPr>
        <w:t>中指定的地点。</w:t>
      </w:r>
      <w:r>
        <w:rPr>
          <w:rFonts w:hint="eastAsia" w:ascii="宋体" w:hAnsi="宋体" w:eastAsia="宋体" w:cs="宋体"/>
          <w:kern w:val="0"/>
        </w:rPr>
        <w:t>在截止时间后送达的响应文件，招标人、</w:t>
      </w:r>
      <w:r>
        <w:rPr>
          <w:rFonts w:hint="eastAsia" w:ascii="宋体" w:hAnsi="宋体" w:cs="宋体"/>
          <w:kern w:val="0"/>
          <w:lang w:eastAsia="zh-CN"/>
        </w:rPr>
        <w:t>招标代理机构</w:t>
      </w:r>
      <w:r>
        <w:rPr>
          <w:rFonts w:hint="eastAsia" w:ascii="宋体" w:hAnsi="宋体" w:eastAsia="宋体" w:cs="宋体"/>
          <w:kern w:val="0"/>
        </w:rPr>
        <w:t>或者磋商小组应当拒收。</w:t>
      </w:r>
    </w:p>
    <w:p w14:paraId="470AA59E">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24.2</w:t>
      </w:r>
      <w:r>
        <w:rPr>
          <w:rFonts w:hint="eastAsia" w:ascii="宋体" w:hAnsi="宋体" w:eastAsia="宋体" w:cs="宋体"/>
          <w:kern w:val="0"/>
        </w:rPr>
        <w:t>在提交首次响应文件截止时间后，</w:t>
      </w:r>
      <w:r>
        <w:rPr>
          <w:rFonts w:hint="eastAsia" w:ascii="宋体" w:hAnsi="宋体" w:eastAsia="宋体" w:cs="宋体"/>
        </w:rPr>
        <w:t>由</w:t>
      </w:r>
      <w:r>
        <w:rPr>
          <w:rFonts w:hint="eastAsia" w:ascii="宋体" w:hAnsi="宋体" w:eastAsia="宋体" w:cs="宋体"/>
          <w:bCs/>
        </w:rPr>
        <w:t>供应商代表</w:t>
      </w:r>
      <w:r>
        <w:rPr>
          <w:rFonts w:hint="eastAsia" w:ascii="宋体" w:hAnsi="宋体" w:eastAsia="宋体" w:cs="宋体"/>
        </w:rPr>
        <w:t>当场查验</w:t>
      </w:r>
      <w:r>
        <w:rPr>
          <w:rFonts w:hint="eastAsia" w:ascii="宋体" w:hAnsi="宋体" w:eastAsia="宋体" w:cs="宋体"/>
          <w:bCs/>
        </w:rPr>
        <w:t>响应文件</w:t>
      </w:r>
      <w:r>
        <w:rPr>
          <w:rFonts w:hint="eastAsia" w:ascii="宋体" w:hAnsi="宋体" w:eastAsia="宋体" w:cs="宋体"/>
        </w:rPr>
        <w:t>的密封状况，招标人或</w:t>
      </w:r>
      <w:r>
        <w:rPr>
          <w:rFonts w:hint="eastAsia" w:hAnsi="宋体" w:cs="宋体"/>
          <w:bCs/>
          <w:lang w:eastAsia="zh-CN"/>
        </w:rPr>
        <w:t>招标代理机构</w:t>
      </w:r>
      <w:r>
        <w:rPr>
          <w:rFonts w:hint="eastAsia" w:ascii="宋体" w:hAnsi="宋体" w:eastAsia="宋体" w:cs="宋体"/>
        </w:rPr>
        <w:t>不当场拆封</w:t>
      </w:r>
      <w:r>
        <w:rPr>
          <w:rFonts w:hint="eastAsia" w:ascii="宋体" w:hAnsi="宋体" w:eastAsia="宋体" w:cs="宋体"/>
          <w:bCs/>
        </w:rPr>
        <w:t>响应文件</w:t>
      </w:r>
      <w:r>
        <w:rPr>
          <w:rFonts w:hint="eastAsia" w:ascii="宋体" w:hAnsi="宋体" w:eastAsia="宋体" w:cs="宋体"/>
        </w:rPr>
        <w:t>。</w:t>
      </w:r>
    </w:p>
    <w:p w14:paraId="78D4CA7E">
      <w:pPr>
        <w:adjustRightInd w:val="0"/>
        <w:snapToGrid w:val="0"/>
        <w:spacing w:line="360" w:lineRule="auto"/>
        <w:outlineLvl w:val="2"/>
        <w:rPr>
          <w:rFonts w:hint="eastAsia" w:ascii="宋体" w:hAnsi="宋体" w:eastAsia="宋体" w:cs="宋体"/>
          <w:sz w:val="24"/>
        </w:rPr>
      </w:pPr>
      <w:bookmarkStart w:id="23" w:name="_Toc19659"/>
      <w:bookmarkStart w:id="24" w:name="_Toc11933137"/>
      <w:bookmarkStart w:id="25" w:name="_Toc16949"/>
      <w:r>
        <w:rPr>
          <w:rFonts w:hint="eastAsia" w:ascii="宋体" w:hAnsi="宋体" w:eastAsia="宋体" w:cs="宋体"/>
          <w:sz w:val="24"/>
        </w:rPr>
        <w:t>五、响应文件的磋商与评审</w:t>
      </w:r>
      <w:bookmarkEnd w:id="23"/>
      <w:bookmarkEnd w:id="24"/>
      <w:bookmarkEnd w:id="25"/>
    </w:p>
    <w:p w14:paraId="0C4F4D7B">
      <w:pPr>
        <w:tabs>
          <w:tab w:val="left" w:pos="0"/>
        </w:tabs>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25.磋商程序及磋商小组</w:t>
      </w:r>
    </w:p>
    <w:p w14:paraId="5727BA28">
      <w:pPr>
        <w:widowControl/>
        <w:adjustRightInd w:val="0"/>
        <w:snapToGrid w:val="0"/>
        <w:spacing w:line="360" w:lineRule="auto"/>
        <w:ind w:firstLine="420"/>
        <w:jc w:val="left"/>
        <w:rPr>
          <w:rFonts w:hint="eastAsia" w:ascii="宋体" w:hAnsi="宋体" w:eastAsia="宋体" w:cs="宋体"/>
          <w:bCs/>
          <w:szCs w:val="21"/>
        </w:rPr>
      </w:pPr>
      <w:r>
        <w:rPr>
          <w:rFonts w:hint="eastAsia" w:ascii="宋体" w:hAnsi="宋体" w:eastAsia="宋体" w:cs="宋体"/>
          <w:kern w:val="0"/>
          <w:szCs w:val="21"/>
        </w:rPr>
        <w:t>25.1磋商程序：响应文件审查、磋商（包括澄清）、响应文件评审、</w:t>
      </w:r>
      <w:r>
        <w:rPr>
          <w:rFonts w:hint="eastAsia" w:ascii="宋体" w:hAnsi="宋体" w:eastAsia="宋体" w:cs="宋体"/>
          <w:bCs/>
          <w:szCs w:val="21"/>
        </w:rPr>
        <w:t>提出成交供应商。其中，</w:t>
      </w:r>
      <w:r>
        <w:rPr>
          <w:rFonts w:hint="eastAsia" w:ascii="宋体" w:hAnsi="宋体" w:eastAsia="宋体" w:cs="宋体"/>
          <w:kern w:val="0"/>
          <w:szCs w:val="21"/>
        </w:rPr>
        <w:t>磋商按</w:t>
      </w:r>
      <w:r>
        <w:rPr>
          <w:rFonts w:hint="eastAsia" w:ascii="宋体" w:hAnsi="宋体" w:eastAsia="宋体" w:cs="宋体"/>
          <w:szCs w:val="21"/>
        </w:rPr>
        <w:t>本章</w:t>
      </w:r>
      <w:r>
        <w:rPr>
          <w:rFonts w:hint="eastAsia" w:ascii="宋体" w:hAnsi="宋体" w:eastAsia="宋体" w:cs="宋体"/>
        </w:rPr>
        <w:t>第30.1</w:t>
      </w:r>
      <w:r>
        <w:rPr>
          <w:rFonts w:hint="eastAsia" w:ascii="宋体" w:hAnsi="宋体" w:eastAsia="宋体" w:cs="宋体"/>
          <w:kern w:val="0"/>
          <w:szCs w:val="21"/>
          <w:lang w:val="zh-CN"/>
        </w:rPr>
        <w:t>款或者</w:t>
      </w:r>
      <w:r>
        <w:rPr>
          <w:rFonts w:hint="eastAsia" w:ascii="宋体" w:hAnsi="宋体" w:eastAsia="宋体" w:cs="宋体"/>
        </w:rPr>
        <w:t>第30.2</w:t>
      </w:r>
      <w:r>
        <w:rPr>
          <w:rFonts w:hint="eastAsia" w:ascii="宋体" w:hAnsi="宋体" w:eastAsia="宋体" w:cs="宋体"/>
          <w:kern w:val="0"/>
          <w:szCs w:val="21"/>
          <w:lang w:val="zh-CN"/>
        </w:rPr>
        <w:t>款</w:t>
      </w:r>
      <w:r>
        <w:rPr>
          <w:rFonts w:hint="eastAsia" w:ascii="宋体" w:hAnsi="宋体" w:eastAsia="宋体" w:cs="宋体"/>
        </w:rPr>
        <w:t>情形</w:t>
      </w:r>
      <w:r>
        <w:rPr>
          <w:rFonts w:hint="eastAsia" w:ascii="宋体" w:hAnsi="宋体" w:eastAsia="宋体" w:cs="宋体"/>
          <w:bCs/>
          <w:szCs w:val="21"/>
        </w:rPr>
        <w:t>进行。</w:t>
      </w:r>
    </w:p>
    <w:p w14:paraId="5CEEC6A7">
      <w:pPr>
        <w:widowControl/>
        <w:adjustRightInd w:val="0"/>
        <w:snapToGrid w:val="0"/>
        <w:spacing w:line="360" w:lineRule="auto"/>
        <w:ind w:firstLine="420"/>
        <w:jc w:val="left"/>
        <w:rPr>
          <w:rFonts w:hint="eastAsia" w:ascii="宋体" w:hAnsi="宋体" w:eastAsia="宋体" w:cs="宋体"/>
          <w:bCs/>
          <w:szCs w:val="21"/>
        </w:rPr>
      </w:pPr>
      <w:r>
        <w:rPr>
          <w:rFonts w:hint="eastAsia" w:ascii="宋体" w:hAnsi="宋体" w:eastAsia="宋体" w:cs="宋体"/>
          <w:bCs/>
          <w:szCs w:val="21"/>
        </w:rPr>
        <w:t>25.2磋商小组依法组建，社会专家在政府采购监督部门管理的专家库中随机抽取产生。</w:t>
      </w:r>
    </w:p>
    <w:p w14:paraId="1DB9409F">
      <w:pPr>
        <w:widowControl/>
        <w:adjustRightInd w:val="0"/>
        <w:snapToGrid w:val="0"/>
        <w:spacing w:line="360" w:lineRule="auto"/>
        <w:rPr>
          <w:rFonts w:hint="eastAsia" w:ascii="宋体" w:hAnsi="宋体" w:eastAsia="宋体" w:cs="宋体"/>
          <w:b/>
          <w:szCs w:val="21"/>
        </w:rPr>
      </w:pPr>
      <w:r>
        <w:rPr>
          <w:rFonts w:hint="eastAsia" w:ascii="宋体" w:hAnsi="宋体" w:eastAsia="宋体" w:cs="宋体"/>
          <w:b/>
          <w:kern w:val="0"/>
          <w:szCs w:val="21"/>
        </w:rPr>
        <w:t>26.响应文件审查</w:t>
      </w:r>
    </w:p>
    <w:p w14:paraId="7E8E22C8">
      <w:pPr>
        <w:adjustRightInd w:val="0"/>
        <w:snapToGrid w:val="0"/>
        <w:spacing w:beforeLines="50" w:line="360" w:lineRule="auto"/>
        <w:ind w:firstLine="420" w:firstLineChars="200"/>
        <w:rPr>
          <w:rFonts w:hint="eastAsia" w:ascii="宋体" w:hAnsi="宋体" w:eastAsia="宋体" w:cs="宋体"/>
          <w:szCs w:val="21"/>
        </w:rPr>
      </w:pPr>
      <w:r>
        <w:rPr>
          <w:rFonts w:hint="eastAsia" w:ascii="宋体" w:hAnsi="宋体" w:eastAsia="宋体" w:cs="宋体"/>
          <w:szCs w:val="21"/>
        </w:rPr>
        <w:t>26.1 资格性审查：根据本章第3.1项规定的供应商资格条件要求，对</w:t>
      </w:r>
      <w:r>
        <w:rPr>
          <w:rFonts w:hint="eastAsia" w:ascii="宋体" w:hAnsi="宋体" w:eastAsia="宋体" w:cs="宋体"/>
        </w:rPr>
        <w:t>响应</w:t>
      </w:r>
      <w:r>
        <w:rPr>
          <w:rFonts w:hint="eastAsia" w:ascii="宋体" w:hAnsi="宋体" w:eastAsia="宋体" w:cs="宋体"/>
          <w:szCs w:val="21"/>
        </w:rPr>
        <w:t>文件的资格证明等进行审查，以确定供应商是否具备磋商资格条件。</w:t>
      </w:r>
    </w:p>
    <w:p w14:paraId="4EB57FF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26.2符合性审查: 对响应文件(包括首次提交的响应文件、重新提交的响应文件)的有效性、完整性和响应程度进行审查，以确定是否对磋商文件的实质性要求作出响应。</w:t>
      </w:r>
    </w:p>
    <w:p w14:paraId="78EAA2B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26.3响应文件审查结束后，磋商小组所有成员集中与单一供应商分别进行磋商，并给予所有参加磋商的供应商平等的磋商机会。供应商应派其</w:t>
      </w:r>
      <w:r>
        <w:rPr>
          <w:rFonts w:hint="eastAsia" w:ascii="宋体" w:hAnsi="宋体" w:cs="宋体"/>
          <w:szCs w:val="21"/>
          <w:lang w:eastAsia="zh-CN"/>
        </w:rPr>
        <w:t>法定代表人（单位负责人）</w:t>
      </w:r>
      <w:r>
        <w:rPr>
          <w:rFonts w:hint="eastAsia" w:ascii="宋体" w:hAnsi="宋体" w:eastAsia="宋体" w:cs="宋体"/>
          <w:szCs w:val="21"/>
        </w:rPr>
        <w:t>或委托代理人参加磋商。</w:t>
      </w:r>
    </w:p>
    <w:p w14:paraId="4A213E01">
      <w:pPr>
        <w:pStyle w:val="26"/>
        <w:adjustRightInd w:val="0"/>
        <w:snapToGrid w:val="0"/>
        <w:spacing w:line="360" w:lineRule="auto"/>
        <w:rPr>
          <w:rFonts w:hint="eastAsia" w:ascii="宋体" w:hAnsi="宋体" w:eastAsia="宋体" w:cs="宋体"/>
          <w:b/>
          <w:kern w:val="0"/>
        </w:rPr>
      </w:pPr>
      <w:r>
        <w:rPr>
          <w:rFonts w:hint="eastAsia" w:ascii="宋体" w:hAnsi="宋体" w:eastAsia="宋体" w:cs="宋体"/>
          <w:b/>
          <w:kern w:val="0"/>
        </w:rPr>
        <w:t>27.实质性响应</w:t>
      </w:r>
    </w:p>
    <w:p w14:paraId="790F7BB3">
      <w:pPr>
        <w:pStyle w:val="26"/>
        <w:adjustRightInd w:val="0"/>
        <w:snapToGrid w:val="0"/>
        <w:spacing w:line="360" w:lineRule="auto"/>
        <w:ind w:firstLine="420" w:firstLineChars="200"/>
        <w:rPr>
          <w:rFonts w:hint="eastAsia" w:ascii="宋体" w:hAnsi="宋体" w:eastAsia="宋体" w:cs="宋体"/>
          <w:kern w:val="0"/>
          <w:u w:val="single"/>
        </w:rPr>
      </w:pPr>
      <w:r>
        <w:rPr>
          <w:rFonts w:hint="eastAsia" w:ascii="宋体" w:hAnsi="宋体" w:eastAsia="宋体" w:cs="宋体"/>
          <w:kern w:val="0"/>
        </w:rPr>
        <w:t>27.1</w:t>
      </w:r>
      <w:r>
        <w:rPr>
          <w:rFonts w:hint="eastAsia" w:ascii="宋体" w:hAnsi="宋体" w:eastAsia="宋体" w:cs="宋体"/>
        </w:rPr>
        <w:t>实质性响应是指响应文件(包括首次响应文件、重新提交的响应文件)与磋商文件要求的所有条款、条件和规格相符，没有偏离。偏离指不满足、或不响应磋商文件的要求。</w:t>
      </w:r>
    </w:p>
    <w:p w14:paraId="428FFF38">
      <w:pPr>
        <w:tabs>
          <w:tab w:val="left" w:pos="0"/>
          <w:tab w:val="left" w:pos="7560"/>
          <w:tab w:val="left" w:pos="7740"/>
          <w:tab w:val="left" w:pos="7920"/>
        </w:tabs>
        <w:adjustRightInd w:val="0"/>
        <w:snapToGrid w:val="0"/>
        <w:spacing w:line="360" w:lineRule="auto"/>
        <w:ind w:right="23" w:rightChars="11" w:firstLine="420" w:firstLineChars="200"/>
        <w:rPr>
          <w:rFonts w:hint="eastAsia" w:ascii="宋体" w:hAnsi="宋体" w:eastAsia="宋体" w:cs="宋体"/>
          <w:szCs w:val="21"/>
        </w:rPr>
      </w:pPr>
      <w:r>
        <w:rPr>
          <w:rFonts w:hint="eastAsia" w:ascii="宋体" w:hAnsi="宋体" w:eastAsia="宋体" w:cs="宋体"/>
          <w:szCs w:val="21"/>
        </w:rPr>
        <w:t>27.2</w:t>
      </w:r>
      <w:r>
        <w:rPr>
          <w:rFonts w:hint="eastAsia" w:ascii="宋体" w:hAnsi="宋体" w:eastAsia="宋体" w:cs="宋体"/>
        </w:rPr>
        <w:t>响应文件是否实质性响应磋商文件要求由磋商小组依据磋商文件规定认定。</w:t>
      </w:r>
      <w:r>
        <w:rPr>
          <w:rFonts w:hint="eastAsia" w:ascii="宋体" w:hAnsi="宋体" w:eastAsia="宋体" w:cs="宋体"/>
          <w:kern w:val="0"/>
          <w:szCs w:val="21"/>
        </w:rPr>
        <w:t>磋商小组</w:t>
      </w:r>
      <w:r>
        <w:rPr>
          <w:rFonts w:hint="eastAsia" w:ascii="宋体" w:hAnsi="宋体" w:eastAsia="宋体" w:cs="宋体"/>
          <w:szCs w:val="21"/>
        </w:rPr>
        <w:t>决定</w:t>
      </w:r>
      <w:r>
        <w:rPr>
          <w:rFonts w:hint="eastAsia" w:ascii="宋体" w:hAnsi="宋体" w:eastAsia="宋体" w:cs="宋体"/>
        </w:rPr>
        <w:t>响应文件</w:t>
      </w:r>
      <w:r>
        <w:rPr>
          <w:rFonts w:hint="eastAsia" w:ascii="宋体" w:hAnsi="宋体" w:eastAsia="宋体" w:cs="宋体"/>
          <w:szCs w:val="21"/>
        </w:rPr>
        <w:t>的响应性只根据</w:t>
      </w:r>
      <w:r>
        <w:rPr>
          <w:rFonts w:hint="eastAsia" w:ascii="宋体" w:hAnsi="宋体" w:eastAsia="宋体" w:cs="宋体"/>
        </w:rPr>
        <w:t>响应文件</w:t>
      </w:r>
      <w:r>
        <w:rPr>
          <w:rFonts w:hint="eastAsia" w:ascii="宋体" w:hAnsi="宋体" w:eastAsia="宋体" w:cs="宋体"/>
          <w:szCs w:val="21"/>
        </w:rPr>
        <w:t>本身的真实无误的内容，而不依据外部的证据。</w:t>
      </w:r>
    </w:p>
    <w:p w14:paraId="3738E9C9">
      <w:pPr>
        <w:pStyle w:val="26"/>
        <w:adjustRightInd w:val="0"/>
        <w:snapToGrid w:val="0"/>
        <w:spacing w:line="360" w:lineRule="auto"/>
        <w:rPr>
          <w:rFonts w:hint="eastAsia" w:ascii="宋体" w:hAnsi="宋体" w:eastAsia="宋体" w:cs="宋体"/>
          <w:b/>
          <w:kern w:val="0"/>
        </w:rPr>
      </w:pPr>
      <w:r>
        <w:rPr>
          <w:rFonts w:hint="eastAsia" w:ascii="宋体" w:hAnsi="宋体" w:eastAsia="宋体" w:cs="宋体"/>
          <w:b/>
          <w:kern w:val="0"/>
        </w:rPr>
        <w:t xml:space="preserve">28.无效响应 </w:t>
      </w:r>
    </w:p>
    <w:p w14:paraId="2E412035">
      <w:pPr>
        <w:pStyle w:val="26"/>
        <w:adjustRightInd w:val="0"/>
        <w:snapToGrid w:val="0"/>
        <w:spacing w:line="360" w:lineRule="auto"/>
        <w:ind w:firstLine="411" w:firstLineChars="196"/>
        <w:rPr>
          <w:rFonts w:hint="eastAsia" w:ascii="宋体" w:hAnsi="宋体" w:eastAsia="宋体" w:cs="宋体"/>
          <w:b/>
          <w:kern w:val="0"/>
        </w:rPr>
      </w:pPr>
      <w:r>
        <w:rPr>
          <w:rFonts w:hint="eastAsia" w:ascii="宋体" w:hAnsi="宋体" w:eastAsia="宋体" w:cs="宋体"/>
          <w:kern w:val="0"/>
        </w:rPr>
        <w:t>28.1</w:t>
      </w:r>
      <w:r>
        <w:rPr>
          <w:rFonts w:hint="eastAsia" w:ascii="宋体" w:hAnsi="宋体" w:eastAsia="宋体" w:cs="宋体"/>
        </w:rPr>
        <w:t>磋商小组在对资格性和符合性进行审查时，有下列情况之一的，属无效响应，</w:t>
      </w:r>
      <w:r>
        <w:rPr>
          <w:rFonts w:hint="eastAsia" w:ascii="宋体" w:hAnsi="宋体" w:eastAsia="宋体" w:cs="宋体"/>
          <w:kern w:val="0"/>
        </w:rPr>
        <w:t>磋商小组应当告知有关供应商</w:t>
      </w:r>
      <w:r>
        <w:rPr>
          <w:rFonts w:hint="eastAsia" w:ascii="宋体" w:hAnsi="宋体" w:eastAsia="宋体" w:cs="宋体"/>
        </w:rPr>
        <w:t>：</w:t>
      </w:r>
    </w:p>
    <w:p w14:paraId="0452AB3F">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（1）供应商不具备本章第3.1款规定的供应商资格条件要求，或存在本章第3.3款情形的；</w:t>
      </w:r>
    </w:p>
    <w:p w14:paraId="6042732C">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（2）联合体不符合本章第3.2款规定的；</w:t>
      </w:r>
    </w:p>
    <w:p w14:paraId="145638F9">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（3）应交未交磋商保证金或金额不足、磋商保证金缴纳形式不符合磋商文件要求的；</w:t>
      </w:r>
    </w:p>
    <w:p w14:paraId="6E84E3AF">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（4）响应文件未按照磋商文件要求签署、盖章的；</w:t>
      </w:r>
    </w:p>
    <w:p w14:paraId="49E64D63">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（4）响应文件不满足本章第27.1款规定的实质性要求的；</w:t>
      </w:r>
    </w:p>
    <w:p w14:paraId="62E23197">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（5）报价超过投资预算价及招标控制价的；</w:t>
      </w:r>
    </w:p>
    <w:p w14:paraId="01D1FF54">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（6）响应文件有效期不足的；</w:t>
      </w:r>
    </w:p>
    <w:p w14:paraId="2990E073">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（7）响应文件不符合法律、规章、规范性文件和磋商文件规定及要求的。</w:t>
      </w:r>
    </w:p>
    <w:p w14:paraId="6AED99FB">
      <w:pPr>
        <w:widowControl/>
        <w:adjustRightInd w:val="0"/>
        <w:snapToGrid w:val="0"/>
        <w:spacing w:line="360" w:lineRule="auto"/>
        <w:jc w:val="left"/>
        <w:rPr>
          <w:rFonts w:hint="eastAsia" w:ascii="宋体" w:hAnsi="宋体" w:eastAsia="宋体" w:cs="宋体"/>
          <w:b/>
          <w:kern w:val="0"/>
          <w:szCs w:val="21"/>
        </w:rPr>
      </w:pPr>
      <w:r>
        <w:rPr>
          <w:rFonts w:hint="eastAsia" w:ascii="宋体" w:hAnsi="宋体" w:eastAsia="宋体" w:cs="宋体"/>
          <w:b/>
          <w:kern w:val="0"/>
          <w:szCs w:val="21"/>
        </w:rPr>
        <w:t>29.澄清</w:t>
      </w:r>
    </w:p>
    <w:p w14:paraId="45ACBD25">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29.1 磋商小组在对响应文件的有效性、完整性和对磋商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w:t>
      </w:r>
      <w:r>
        <w:rPr>
          <w:rFonts w:hint="eastAsia" w:ascii="宋体" w:hAnsi="宋体" w:cs="宋体"/>
          <w:kern w:val="0"/>
          <w:szCs w:val="21"/>
          <w:lang w:eastAsia="zh-CN"/>
        </w:rPr>
        <w:t>法定代表人（单位负责人）</w:t>
      </w:r>
      <w:r>
        <w:rPr>
          <w:rFonts w:hint="eastAsia" w:ascii="宋体" w:hAnsi="宋体" w:eastAsia="宋体" w:cs="宋体"/>
          <w:kern w:val="0"/>
          <w:szCs w:val="21"/>
        </w:rPr>
        <w:t>或其委托代理人签字或者加盖公章。供应商的澄清、说明或者更正不得超出响应文件的范围或者改变响应文件的实质性内容。</w:t>
      </w:r>
    </w:p>
    <w:p w14:paraId="6D7117AA">
      <w:pPr>
        <w:widowControl/>
        <w:adjustRightInd w:val="0"/>
        <w:snapToGrid w:val="0"/>
        <w:spacing w:line="360" w:lineRule="auto"/>
        <w:jc w:val="left"/>
        <w:rPr>
          <w:rFonts w:hint="eastAsia" w:ascii="宋体" w:hAnsi="宋体" w:eastAsia="宋体" w:cs="宋体"/>
          <w:kern w:val="0"/>
          <w:szCs w:val="21"/>
        </w:rPr>
      </w:pPr>
      <w:r>
        <w:rPr>
          <w:rFonts w:hint="eastAsia" w:ascii="宋体" w:hAnsi="宋体" w:eastAsia="宋体" w:cs="宋体"/>
          <w:kern w:val="0"/>
          <w:szCs w:val="21"/>
        </w:rPr>
        <w:t>29.2最后报价计算错误修正的原则：最后报价的大写金额和小写金额不一致的，以大写金额为准；总价金额与按分项报价汇总金额不一致的，以分项报价金额计算结果为准；分项报价金额小数点有明显错位的，应以总价为准，并修改分项报价。</w:t>
      </w:r>
    </w:p>
    <w:p w14:paraId="503E7AB3">
      <w:pPr>
        <w:widowControl/>
        <w:adjustRightInd w:val="0"/>
        <w:snapToGrid w:val="0"/>
        <w:spacing w:line="360" w:lineRule="auto"/>
        <w:jc w:val="left"/>
        <w:rPr>
          <w:rFonts w:hint="eastAsia" w:ascii="宋体" w:hAnsi="宋体" w:eastAsia="宋体" w:cs="宋体"/>
          <w:b/>
          <w:kern w:val="0"/>
          <w:szCs w:val="21"/>
        </w:rPr>
      </w:pPr>
      <w:r>
        <w:rPr>
          <w:rFonts w:hint="eastAsia" w:ascii="宋体" w:hAnsi="宋体" w:eastAsia="宋体" w:cs="宋体"/>
          <w:b/>
          <w:kern w:val="0"/>
          <w:szCs w:val="21"/>
        </w:rPr>
        <w:t>30.磋商</w:t>
      </w:r>
    </w:p>
    <w:p w14:paraId="2BE664CF">
      <w:pPr>
        <w:widowControl/>
        <w:adjustRightInd w:val="0"/>
        <w:snapToGrid w:val="0"/>
        <w:spacing w:line="360" w:lineRule="auto"/>
        <w:ind w:firstLine="420"/>
        <w:jc w:val="left"/>
        <w:rPr>
          <w:rFonts w:hint="eastAsia" w:ascii="宋体" w:hAnsi="宋体" w:eastAsia="宋体" w:cs="宋体"/>
          <w:kern w:val="0"/>
          <w:szCs w:val="21"/>
          <w:lang w:val="zh-CN"/>
        </w:rPr>
      </w:pPr>
      <w:r>
        <w:rPr>
          <w:rFonts w:hint="eastAsia" w:ascii="宋体" w:hAnsi="宋体" w:eastAsia="宋体" w:cs="宋体"/>
          <w:kern w:val="0"/>
          <w:szCs w:val="21"/>
        </w:rPr>
        <w:t>30.1</w:t>
      </w:r>
      <w:r>
        <w:rPr>
          <w:rFonts w:hint="eastAsia" w:ascii="宋体" w:hAnsi="宋体" w:eastAsia="宋体" w:cs="宋体"/>
        </w:rPr>
        <w:t>本章第10.2项</w:t>
      </w:r>
      <w:r>
        <w:rPr>
          <w:rFonts w:hint="eastAsia" w:ascii="宋体" w:hAnsi="宋体" w:eastAsia="宋体" w:cs="宋体"/>
          <w:kern w:val="0"/>
          <w:szCs w:val="21"/>
        </w:rPr>
        <w:t>未明确磋商文件实质性变动内容的，或者磋商文件明确了可能发生实质性变动内容，但在磋商过程中，</w:t>
      </w:r>
      <w:r>
        <w:rPr>
          <w:rFonts w:hint="eastAsia" w:ascii="宋体" w:hAnsi="宋体" w:eastAsia="宋体" w:cs="宋体"/>
          <w:bCs/>
          <w:szCs w:val="21"/>
        </w:rPr>
        <w:t>磋商小组</w:t>
      </w:r>
      <w:r>
        <w:rPr>
          <w:rFonts w:hint="eastAsia" w:ascii="宋体" w:hAnsi="宋体" w:eastAsia="宋体" w:cs="宋体"/>
          <w:kern w:val="0"/>
          <w:szCs w:val="21"/>
        </w:rPr>
        <w:t>根据磋商情况</w:t>
      </w:r>
      <w:r>
        <w:rPr>
          <w:rFonts w:hint="eastAsia" w:ascii="宋体" w:hAnsi="宋体" w:eastAsia="宋体" w:cs="宋体"/>
          <w:bCs/>
          <w:szCs w:val="21"/>
        </w:rPr>
        <w:t>认为</w:t>
      </w:r>
      <w:r>
        <w:rPr>
          <w:rFonts w:hint="eastAsia" w:ascii="宋体" w:hAnsi="宋体" w:eastAsia="宋体" w:cs="宋体"/>
          <w:kern w:val="0"/>
          <w:szCs w:val="21"/>
        </w:rPr>
        <w:t>磋商文件无需发生实质性变动的，磋商小组应当直接与响应文件审查合格的供应商就价格组织多轮磋商。</w:t>
      </w:r>
    </w:p>
    <w:p w14:paraId="183CA63E">
      <w:pPr>
        <w:widowControl/>
        <w:tabs>
          <w:tab w:val="left" w:pos="1080"/>
          <w:tab w:val="left" w:pos="1260"/>
        </w:tabs>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（1）磋商结束后，磋商小组应当要求所有继续参加磋商的供应商在磋商小组规定时间内提交最后报价。</w:t>
      </w:r>
    </w:p>
    <w:p w14:paraId="2D2A6AD1">
      <w:pPr>
        <w:widowControl/>
        <w:tabs>
          <w:tab w:val="left" w:pos="1080"/>
          <w:tab w:val="left" w:pos="1260"/>
        </w:tabs>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（2）磋商文件明确可能发生实质性变动，但在磋商过程中</w:t>
      </w:r>
      <w:r>
        <w:rPr>
          <w:rFonts w:hint="eastAsia" w:ascii="宋体" w:hAnsi="宋体" w:eastAsia="宋体" w:cs="宋体"/>
          <w:bCs/>
          <w:szCs w:val="21"/>
        </w:rPr>
        <w:t>磋商小组</w:t>
      </w:r>
      <w:r>
        <w:rPr>
          <w:rFonts w:hint="eastAsia" w:ascii="宋体" w:hAnsi="宋体" w:eastAsia="宋体" w:cs="宋体"/>
          <w:kern w:val="0"/>
          <w:szCs w:val="21"/>
        </w:rPr>
        <w:t>根据磋商情况</w:t>
      </w:r>
      <w:r>
        <w:rPr>
          <w:rFonts w:hint="eastAsia" w:ascii="宋体" w:hAnsi="宋体" w:eastAsia="宋体" w:cs="宋体"/>
          <w:bCs/>
          <w:szCs w:val="21"/>
        </w:rPr>
        <w:t>认为</w:t>
      </w:r>
      <w:r>
        <w:rPr>
          <w:rFonts w:hint="eastAsia" w:ascii="宋体" w:hAnsi="宋体" w:eastAsia="宋体" w:cs="宋体"/>
          <w:kern w:val="0"/>
          <w:szCs w:val="21"/>
        </w:rPr>
        <w:t>磋商文件无需发生实质性变动的，磋商小组不另行通知。</w:t>
      </w:r>
    </w:p>
    <w:p w14:paraId="25694957">
      <w:pPr>
        <w:widowControl/>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30.2</w:t>
      </w:r>
      <w:r>
        <w:rPr>
          <w:rFonts w:hint="eastAsia" w:ascii="宋体" w:hAnsi="宋体" w:eastAsia="宋体" w:cs="宋体"/>
        </w:rPr>
        <w:t>本章第10.2</w:t>
      </w:r>
      <w:r>
        <w:rPr>
          <w:rFonts w:hint="eastAsia" w:ascii="宋体" w:hAnsi="宋体" w:eastAsia="宋体" w:cs="宋体"/>
          <w:kern w:val="0"/>
          <w:szCs w:val="21"/>
          <w:lang w:val="zh-CN"/>
        </w:rPr>
        <w:t>款</w:t>
      </w:r>
      <w:r>
        <w:rPr>
          <w:rFonts w:hint="eastAsia" w:ascii="宋体" w:hAnsi="宋体" w:eastAsia="宋体" w:cs="宋体"/>
          <w:kern w:val="0"/>
          <w:szCs w:val="21"/>
        </w:rPr>
        <w:t>明确磋商文件实质性变动内容的，</w:t>
      </w:r>
      <w:r>
        <w:rPr>
          <w:rFonts w:hint="eastAsia" w:ascii="宋体" w:hAnsi="宋体" w:eastAsia="宋体" w:cs="宋体"/>
          <w:bCs/>
          <w:szCs w:val="21"/>
        </w:rPr>
        <w:t>磋商小组</w:t>
      </w:r>
      <w:r>
        <w:rPr>
          <w:rFonts w:hint="eastAsia" w:ascii="宋体" w:hAnsi="宋体" w:eastAsia="宋体" w:cs="宋体"/>
          <w:kern w:val="0"/>
          <w:szCs w:val="21"/>
        </w:rPr>
        <w:t>可以组织多轮磋商。</w:t>
      </w:r>
      <w:r>
        <w:rPr>
          <w:rFonts w:hint="eastAsia" w:ascii="宋体" w:hAnsi="宋体" w:eastAsia="宋体" w:cs="宋体"/>
          <w:bCs/>
          <w:szCs w:val="21"/>
        </w:rPr>
        <w:t>在每一轮磋商中，磋商小组</w:t>
      </w:r>
      <w:r>
        <w:rPr>
          <w:rFonts w:hint="eastAsia" w:ascii="宋体" w:hAnsi="宋体" w:eastAsia="宋体" w:cs="宋体"/>
          <w:kern w:val="0"/>
          <w:szCs w:val="21"/>
        </w:rPr>
        <w:t>可以根据磋商文件规定和磋商情况，</w:t>
      </w:r>
      <w:r>
        <w:rPr>
          <w:rFonts w:hint="eastAsia" w:ascii="宋体" w:hAnsi="宋体" w:eastAsia="宋体" w:cs="宋体"/>
          <w:bCs/>
          <w:szCs w:val="21"/>
        </w:rPr>
        <w:t>对磋商文件的</w:t>
      </w:r>
      <w:r>
        <w:rPr>
          <w:rFonts w:hint="eastAsia" w:ascii="宋体" w:hAnsi="宋体" w:eastAsia="宋体" w:cs="宋体"/>
          <w:kern w:val="0"/>
          <w:szCs w:val="21"/>
        </w:rPr>
        <w:t>采购需求中的技术、服务要求以及合同草案条款</w:t>
      </w:r>
      <w:r>
        <w:rPr>
          <w:rFonts w:hint="eastAsia" w:ascii="宋体" w:hAnsi="宋体" w:eastAsia="宋体" w:cs="宋体"/>
          <w:bCs/>
          <w:szCs w:val="21"/>
        </w:rPr>
        <w:t>作实质性变动(磋商文件的实质性变动内容为磋商文件的组成部分)，并以书面形式要求</w:t>
      </w:r>
      <w:r>
        <w:rPr>
          <w:rFonts w:hint="eastAsia" w:ascii="宋体" w:hAnsi="宋体" w:eastAsia="宋体" w:cs="宋体"/>
          <w:kern w:val="0"/>
          <w:szCs w:val="21"/>
        </w:rPr>
        <w:t>响应文件审查合格</w:t>
      </w:r>
      <w:r>
        <w:rPr>
          <w:rFonts w:hint="eastAsia" w:ascii="宋体" w:hAnsi="宋体" w:eastAsia="宋体" w:cs="宋体"/>
          <w:bCs/>
          <w:szCs w:val="21"/>
        </w:rPr>
        <w:t>的供应商，在规定的</w:t>
      </w:r>
      <w:r>
        <w:rPr>
          <w:rFonts w:hint="eastAsia" w:ascii="宋体" w:hAnsi="宋体" w:eastAsia="宋体" w:cs="宋体"/>
          <w:kern w:val="0"/>
          <w:szCs w:val="21"/>
        </w:rPr>
        <w:t>截止时间前</w:t>
      </w:r>
      <w:r>
        <w:rPr>
          <w:rFonts w:hint="eastAsia" w:ascii="宋体" w:hAnsi="宋体" w:eastAsia="宋体" w:cs="宋体"/>
          <w:bCs/>
          <w:szCs w:val="21"/>
        </w:rPr>
        <w:t>重</w:t>
      </w:r>
      <w:r>
        <w:rPr>
          <w:rFonts w:hint="eastAsia" w:ascii="宋体" w:hAnsi="宋体" w:eastAsia="宋体" w:cs="宋体"/>
          <w:kern w:val="0"/>
          <w:szCs w:val="21"/>
        </w:rPr>
        <w:t>新提交响应文件</w:t>
      </w:r>
      <w:r>
        <w:rPr>
          <w:rFonts w:hint="eastAsia" w:ascii="宋体" w:hAnsi="宋体" w:eastAsia="宋体" w:cs="宋体"/>
          <w:bCs/>
          <w:szCs w:val="21"/>
        </w:rPr>
        <w:t>。</w:t>
      </w:r>
      <w:r>
        <w:rPr>
          <w:rFonts w:hint="eastAsia" w:ascii="宋体" w:hAnsi="宋体" w:eastAsia="宋体" w:cs="宋体"/>
          <w:kern w:val="0"/>
          <w:szCs w:val="21"/>
        </w:rPr>
        <w:t>磋商小组应当</w:t>
      </w:r>
      <w:r>
        <w:rPr>
          <w:rFonts w:hint="eastAsia" w:ascii="宋体" w:hAnsi="宋体" w:eastAsia="宋体" w:cs="宋体"/>
          <w:szCs w:val="21"/>
        </w:rPr>
        <w:t>根据本章第26.2</w:t>
      </w:r>
      <w:r>
        <w:rPr>
          <w:rFonts w:hint="eastAsia" w:ascii="宋体" w:hAnsi="宋体" w:eastAsia="宋体" w:cs="宋体"/>
          <w:kern w:val="0"/>
          <w:szCs w:val="21"/>
          <w:lang w:val="zh-CN"/>
        </w:rPr>
        <w:t>款</w:t>
      </w:r>
      <w:r>
        <w:rPr>
          <w:rFonts w:hint="eastAsia" w:ascii="宋体" w:hAnsi="宋体" w:eastAsia="宋体" w:cs="宋体"/>
          <w:szCs w:val="21"/>
        </w:rPr>
        <w:t>规定</w:t>
      </w:r>
      <w:r>
        <w:rPr>
          <w:rFonts w:hint="eastAsia" w:ascii="宋体" w:hAnsi="宋体" w:eastAsia="宋体" w:cs="宋体"/>
          <w:kern w:val="0"/>
          <w:szCs w:val="21"/>
        </w:rPr>
        <w:t>对供应商重新提交的响应文件进行审查。供应商重新提交的响应文件审查不合格的，不得进入下一轮磋商，也不得要求提交最后报价。</w:t>
      </w:r>
    </w:p>
    <w:p w14:paraId="43E95480">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rPr>
        <w:t>（1）磋商文件能够详细列明采购需求的技术、服务要求的，磋商结束后，磋商小组应当要求所有继续参加磋商的供应商在规定时间内提交最后报价。</w:t>
      </w:r>
    </w:p>
    <w:p w14:paraId="5F346B16">
      <w:pPr>
        <w:widowControl/>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2）磋商文件不能详细列明采购需求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3BA6FB46">
      <w:pPr>
        <w:widowControl/>
        <w:adjustRightInd w:val="0"/>
        <w:snapToGrid w:val="0"/>
        <w:spacing w:line="360" w:lineRule="auto"/>
        <w:ind w:firstLine="420"/>
        <w:jc w:val="left"/>
        <w:rPr>
          <w:rFonts w:hint="eastAsia" w:ascii="宋体" w:hAnsi="宋体" w:eastAsia="宋体" w:cs="宋体"/>
          <w:bCs/>
          <w:szCs w:val="21"/>
        </w:rPr>
      </w:pPr>
      <w:r>
        <w:rPr>
          <w:rFonts w:hint="eastAsia" w:ascii="宋体" w:hAnsi="宋体" w:eastAsia="宋体" w:cs="宋体"/>
          <w:bCs/>
          <w:szCs w:val="21"/>
        </w:rPr>
        <w:t>30.3</w:t>
      </w:r>
      <w:r>
        <w:rPr>
          <w:rFonts w:hint="eastAsia" w:ascii="宋体" w:hAnsi="宋体" w:eastAsia="宋体" w:cs="宋体"/>
          <w:bCs/>
        </w:rPr>
        <w:t>重</w:t>
      </w:r>
      <w:r>
        <w:rPr>
          <w:rFonts w:hint="eastAsia" w:ascii="宋体" w:hAnsi="宋体" w:eastAsia="宋体" w:cs="宋体"/>
          <w:kern w:val="0"/>
        </w:rPr>
        <w:t>新提交的响应文件</w:t>
      </w:r>
      <w:r>
        <w:rPr>
          <w:rFonts w:hint="eastAsia" w:ascii="宋体" w:hAnsi="宋体" w:eastAsia="宋体" w:cs="宋体"/>
        </w:rPr>
        <w:t>或者最后报价应按</w:t>
      </w:r>
      <w:r>
        <w:rPr>
          <w:rFonts w:hint="eastAsia" w:ascii="宋体" w:hAnsi="宋体" w:eastAsia="宋体" w:cs="宋体"/>
          <w:kern w:val="0"/>
          <w:szCs w:val="21"/>
        </w:rPr>
        <w:t>本章第</w:t>
      </w:r>
      <w:r>
        <w:rPr>
          <w:rFonts w:hint="eastAsia" w:ascii="宋体" w:hAnsi="宋体" w:eastAsia="宋体" w:cs="宋体"/>
        </w:rPr>
        <w:t>21.3</w:t>
      </w:r>
      <w:r>
        <w:rPr>
          <w:rFonts w:hint="eastAsia" w:ascii="宋体" w:hAnsi="宋体" w:eastAsia="宋体" w:cs="宋体"/>
          <w:kern w:val="0"/>
          <w:szCs w:val="21"/>
          <w:lang w:val="zh-CN"/>
        </w:rPr>
        <w:t>款</w:t>
      </w:r>
      <w:r>
        <w:rPr>
          <w:rFonts w:hint="eastAsia" w:ascii="宋体" w:hAnsi="宋体" w:eastAsia="宋体" w:cs="宋体"/>
        </w:rPr>
        <w:t>规定，</w:t>
      </w:r>
      <w:r>
        <w:rPr>
          <w:rFonts w:hint="eastAsia" w:ascii="宋体" w:hAnsi="宋体" w:eastAsia="宋体" w:cs="宋体"/>
          <w:kern w:val="0"/>
          <w:szCs w:val="21"/>
        </w:rPr>
        <w:t>由其</w:t>
      </w:r>
      <w:r>
        <w:rPr>
          <w:rFonts w:hint="eastAsia" w:ascii="宋体" w:hAnsi="宋体" w:cs="宋体"/>
          <w:kern w:val="0"/>
          <w:szCs w:val="21"/>
          <w:lang w:eastAsia="zh-CN"/>
        </w:rPr>
        <w:t>法定代表人（单位负责人）</w:t>
      </w:r>
      <w:r>
        <w:rPr>
          <w:rFonts w:hint="eastAsia" w:ascii="宋体" w:hAnsi="宋体" w:eastAsia="宋体" w:cs="宋体"/>
          <w:kern w:val="0"/>
          <w:szCs w:val="21"/>
        </w:rPr>
        <w:t>或其委托代理人签字或者加盖</w:t>
      </w:r>
      <w:r>
        <w:rPr>
          <w:rFonts w:hint="eastAsia" w:ascii="宋体" w:hAnsi="宋体" w:eastAsia="宋体" w:cs="宋体"/>
          <w:kern w:val="0"/>
        </w:rPr>
        <w:t>供应商单位</w:t>
      </w:r>
      <w:r>
        <w:rPr>
          <w:rFonts w:hint="eastAsia" w:ascii="宋体" w:hAnsi="宋体" w:eastAsia="宋体" w:cs="宋体"/>
          <w:kern w:val="0"/>
          <w:szCs w:val="21"/>
        </w:rPr>
        <w:t>章，在规定时间内密封递交给磋商小组</w:t>
      </w:r>
      <w:r>
        <w:rPr>
          <w:rFonts w:hint="eastAsia" w:ascii="宋体" w:hAnsi="宋体" w:eastAsia="宋体" w:cs="宋体"/>
          <w:bCs/>
          <w:szCs w:val="21"/>
        </w:rPr>
        <w:t>。</w:t>
      </w:r>
    </w:p>
    <w:p w14:paraId="032FD286">
      <w:pPr>
        <w:widowControl/>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30.4</w:t>
      </w:r>
      <w:r>
        <w:rPr>
          <w:rFonts w:hint="eastAsia" w:ascii="宋体" w:hAnsi="宋体" w:eastAsia="宋体" w:cs="宋体"/>
          <w:kern w:val="0"/>
          <w:szCs w:val="21"/>
          <w:lang w:val="zh-CN"/>
        </w:rPr>
        <w:t>供应商的</w:t>
      </w:r>
      <w:r>
        <w:rPr>
          <w:rFonts w:hint="eastAsia" w:ascii="宋体" w:hAnsi="宋体" w:eastAsia="宋体" w:cs="宋体"/>
          <w:bCs/>
          <w:szCs w:val="21"/>
        </w:rPr>
        <w:t>最</w:t>
      </w:r>
      <w:r>
        <w:rPr>
          <w:rFonts w:hint="eastAsia" w:ascii="宋体" w:hAnsi="宋体" w:eastAsia="宋体" w:cs="宋体"/>
          <w:kern w:val="0"/>
          <w:szCs w:val="21"/>
          <w:lang w:val="zh-CN"/>
        </w:rPr>
        <w:t>后</w:t>
      </w:r>
      <w:r>
        <w:rPr>
          <w:rFonts w:hint="eastAsia" w:ascii="宋体" w:hAnsi="宋体" w:eastAsia="宋体" w:cs="宋体"/>
          <w:bCs/>
          <w:szCs w:val="21"/>
        </w:rPr>
        <w:t>报价及</w:t>
      </w:r>
      <w:r>
        <w:rPr>
          <w:rFonts w:hint="eastAsia" w:ascii="宋体" w:hAnsi="宋体" w:eastAsia="宋体" w:cs="宋体"/>
          <w:kern w:val="0"/>
          <w:szCs w:val="21"/>
        </w:rPr>
        <w:t>政府采购政策规定的价格扣除情况，磋商小组应召集所有参加最后报价的供应商当场开封</w:t>
      </w:r>
      <w:r>
        <w:rPr>
          <w:rFonts w:hint="eastAsia" w:ascii="宋体" w:hAnsi="宋体" w:eastAsia="宋体" w:cs="宋体"/>
          <w:bCs/>
          <w:szCs w:val="21"/>
        </w:rPr>
        <w:t>公布，并由供应商代表签字确认。</w:t>
      </w:r>
    </w:p>
    <w:p w14:paraId="0AEAAE34">
      <w:pPr>
        <w:widowControl/>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30.5提交首次响应文件的供应商，在提交最后报价之前，可以根据磋商情况退出磋商，</w:t>
      </w:r>
      <w:r>
        <w:rPr>
          <w:rFonts w:hint="eastAsia" w:ascii="宋体" w:hAnsi="宋体" w:eastAsia="宋体" w:cs="宋体"/>
          <w:kern w:val="0"/>
        </w:rPr>
        <w:t>并书面通知</w:t>
      </w:r>
      <w:r>
        <w:rPr>
          <w:rFonts w:hint="eastAsia" w:ascii="宋体" w:hAnsi="宋体" w:cs="宋体"/>
          <w:kern w:val="0"/>
          <w:lang w:eastAsia="zh-CN"/>
        </w:rPr>
        <w:t>招标代理机构</w:t>
      </w:r>
      <w:r>
        <w:rPr>
          <w:rFonts w:hint="eastAsia" w:ascii="宋体" w:hAnsi="宋体" w:eastAsia="宋体" w:cs="宋体"/>
          <w:kern w:val="0"/>
        </w:rPr>
        <w:t>或者磋商小组。</w:t>
      </w:r>
      <w:r>
        <w:rPr>
          <w:rFonts w:hint="eastAsia" w:ascii="宋体" w:hAnsi="宋体" w:eastAsia="宋体" w:cs="宋体"/>
        </w:rPr>
        <w:t>该通知由供应商</w:t>
      </w:r>
      <w:r>
        <w:rPr>
          <w:rFonts w:hint="eastAsia" w:ascii="宋体" w:hAnsi="宋体" w:cs="宋体"/>
          <w:lang w:eastAsia="zh-CN"/>
        </w:rPr>
        <w:t>法定代表人（单位负责人）</w:t>
      </w:r>
      <w:r>
        <w:rPr>
          <w:rFonts w:hint="eastAsia" w:ascii="宋体" w:hAnsi="宋体" w:eastAsia="宋体" w:cs="宋体"/>
        </w:rPr>
        <w:t>或其委托代理人签字。</w:t>
      </w:r>
      <w:r>
        <w:rPr>
          <w:rFonts w:hint="eastAsia" w:ascii="宋体" w:hAnsi="宋体" w:cs="宋体"/>
          <w:kern w:val="0"/>
          <w:szCs w:val="21"/>
          <w:lang w:eastAsia="zh-CN"/>
        </w:rPr>
        <w:t>招标代理机构</w:t>
      </w:r>
      <w:r>
        <w:rPr>
          <w:rFonts w:hint="eastAsia" w:ascii="宋体" w:hAnsi="宋体" w:eastAsia="宋体" w:cs="宋体"/>
          <w:kern w:val="0"/>
        </w:rPr>
        <w:t>按</w:t>
      </w:r>
      <w:r>
        <w:rPr>
          <w:rFonts w:hint="eastAsia" w:ascii="宋体" w:hAnsi="宋体" w:eastAsia="宋体" w:cs="宋体"/>
          <w:kern w:val="0"/>
          <w:szCs w:val="21"/>
        </w:rPr>
        <w:t>本章第</w:t>
      </w:r>
      <w:r>
        <w:rPr>
          <w:rFonts w:hint="eastAsia" w:ascii="宋体" w:hAnsi="宋体" w:eastAsia="宋体" w:cs="宋体"/>
        </w:rPr>
        <w:t>19.4</w:t>
      </w:r>
      <w:r>
        <w:rPr>
          <w:rFonts w:hint="eastAsia" w:ascii="宋体" w:hAnsi="宋体" w:eastAsia="宋体" w:cs="宋体"/>
          <w:kern w:val="0"/>
          <w:szCs w:val="21"/>
          <w:lang w:val="zh-CN"/>
        </w:rPr>
        <w:t>款</w:t>
      </w:r>
      <w:r>
        <w:rPr>
          <w:rFonts w:hint="eastAsia" w:ascii="宋体" w:hAnsi="宋体" w:eastAsia="宋体" w:cs="宋体"/>
        </w:rPr>
        <w:t>规定</w:t>
      </w:r>
      <w:r>
        <w:rPr>
          <w:rFonts w:hint="eastAsia" w:ascii="宋体" w:hAnsi="宋体" w:eastAsia="宋体" w:cs="宋体"/>
          <w:kern w:val="0"/>
          <w:szCs w:val="21"/>
        </w:rPr>
        <w:t>退还退出磋商的供应商的磋商保证金。</w:t>
      </w:r>
    </w:p>
    <w:p w14:paraId="2B388EBA">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bCs/>
          <w:szCs w:val="21"/>
        </w:rPr>
        <w:t>30.6</w:t>
      </w:r>
      <w:r>
        <w:rPr>
          <w:rFonts w:hint="eastAsia" w:ascii="宋体" w:hAnsi="宋体" w:eastAsia="宋体" w:cs="宋体"/>
          <w:kern w:val="0"/>
          <w:szCs w:val="21"/>
        </w:rPr>
        <w:t>提交首次响应文件的供应商，未按磋商文件规定及磋商小组要求提交最后报价(或者</w:t>
      </w:r>
      <w:r>
        <w:rPr>
          <w:rFonts w:hint="eastAsia" w:ascii="宋体" w:hAnsi="宋体" w:eastAsia="宋体" w:cs="宋体"/>
          <w:bCs/>
          <w:szCs w:val="21"/>
        </w:rPr>
        <w:t>重</w:t>
      </w:r>
      <w:r>
        <w:rPr>
          <w:rFonts w:hint="eastAsia" w:ascii="宋体" w:hAnsi="宋体" w:eastAsia="宋体" w:cs="宋体"/>
          <w:kern w:val="0"/>
          <w:szCs w:val="21"/>
        </w:rPr>
        <w:t>新提交的响应文件和最后报价)，且又</w:t>
      </w:r>
      <w:r>
        <w:rPr>
          <w:rFonts w:hint="eastAsia" w:ascii="宋体" w:hAnsi="宋体" w:eastAsia="宋体" w:cs="宋体"/>
          <w:kern w:val="0"/>
        </w:rPr>
        <w:t>未按</w:t>
      </w:r>
      <w:r>
        <w:rPr>
          <w:rFonts w:hint="eastAsia" w:ascii="宋体" w:hAnsi="宋体" w:eastAsia="宋体" w:cs="宋体"/>
          <w:kern w:val="0"/>
          <w:szCs w:val="21"/>
        </w:rPr>
        <w:t>本章第</w:t>
      </w:r>
      <w:r>
        <w:rPr>
          <w:rFonts w:hint="eastAsia" w:ascii="宋体" w:hAnsi="宋体" w:eastAsia="宋体" w:cs="宋体"/>
        </w:rPr>
        <w:t>30.5</w:t>
      </w:r>
      <w:r>
        <w:rPr>
          <w:rFonts w:hint="eastAsia" w:ascii="宋体" w:hAnsi="宋体" w:eastAsia="宋体" w:cs="宋体"/>
          <w:kern w:val="0"/>
          <w:szCs w:val="21"/>
          <w:lang w:val="zh-CN"/>
        </w:rPr>
        <w:t>款</w:t>
      </w:r>
      <w:r>
        <w:rPr>
          <w:rFonts w:hint="eastAsia" w:ascii="宋体" w:hAnsi="宋体" w:eastAsia="宋体" w:cs="宋体"/>
        </w:rPr>
        <w:t>规定</w:t>
      </w:r>
      <w:r>
        <w:rPr>
          <w:rFonts w:hint="eastAsia" w:ascii="宋体" w:hAnsi="宋体" w:eastAsia="宋体" w:cs="宋体"/>
          <w:kern w:val="0"/>
          <w:szCs w:val="21"/>
        </w:rPr>
        <w:t>退出磋商的，供应商的磋商保证金不予退还。</w:t>
      </w:r>
    </w:p>
    <w:p w14:paraId="32D4948D">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rPr>
        <w:t>30.7磋商文件在磋商过程中未发生实质性变动的，参加磋商供应商的次轮报价不得高于上轮报价，否则视为无效响应。</w:t>
      </w:r>
    </w:p>
    <w:p w14:paraId="5C5D0AAB">
      <w:pPr>
        <w:widowControl/>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kern w:val="0"/>
          <w:szCs w:val="21"/>
        </w:rPr>
        <w:t>31.响应文件评审</w:t>
      </w:r>
    </w:p>
    <w:p w14:paraId="4B2F2696">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bCs/>
          <w:szCs w:val="21"/>
        </w:rPr>
        <w:t>31.1综合评分法，是指响应文件满足磋商文件全部实质性要求且按评审因素的量化指标评审得分最高的供应商为成交候选供应商的评审方法。本</w:t>
      </w:r>
      <w:r>
        <w:rPr>
          <w:rFonts w:hint="eastAsia" w:ascii="宋体" w:hAnsi="宋体" w:cs="宋体"/>
          <w:bCs/>
          <w:szCs w:val="21"/>
          <w:lang w:eastAsia="zh-CN"/>
        </w:rPr>
        <w:t>招标项目</w:t>
      </w:r>
      <w:r>
        <w:rPr>
          <w:rFonts w:hint="eastAsia" w:ascii="宋体" w:hAnsi="宋体" w:eastAsia="宋体" w:cs="宋体"/>
          <w:bCs/>
          <w:szCs w:val="21"/>
        </w:rPr>
        <w:t>的评审因素和标准见</w:t>
      </w:r>
      <w:r>
        <w:rPr>
          <w:rFonts w:hint="eastAsia" w:ascii="宋体" w:hAnsi="宋体" w:eastAsia="宋体" w:cs="宋体"/>
          <w:b/>
          <w:bCs/>
          <w:szCs w:val="21"/>
        </w:rPr>
        <w:t>磋商须知前附表。</w:t>
      </w:r>
    </w:p>
    <w:p w14:paraId="50F9ACB2">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kern w:val="0"/>
          <w:szCs w:val="21"/>
        </w:rPr>
        <w:t>31.2</w:t>
      </w:r>
      <w:r>
        <w:rPr>
          <w:rFonts w:hint="eastAsia" w:ascii="宋体" w:hAnsi="宋体" w:eastAsia="宋体" w:cs="宋体"/>
          <w:szCs w:val="21"/>
        </w:rPr>
        <w:t>最后报价调整。磋商小组以各供应商最后报价为基础，按照符合政府采购支持中小企业发展的相应条件或提供残疾人福利性单位产品的，对供应商的最后报价进行价格扣除，用扣除后的最后报价计算价格得分，具体价格扣除比例见</w:t>
      </w:r>
      <w:r>
        <w:rPr>
          <w:rFonts w:hint="eastAsia" w:ascii="宋体" w:hAnsi="宋体" w:eastAsia="宋体" w:cs="宋体"/>
          <w:b/>
          <w:szCs w:val="21"/>
        </w:rPr>
        <w:t>磋商须知前附表</w:t>
      </w:r>
      <w:r>
        <w:rPr>
          <w:rFonts w:hint="eastAsia" w:ascii="宋体" w:hAnsi="宋体" w:eastAsia="宋体" w:cs="宋体"/>
          <w:szCs w:val="21"/>
        </w:rPr>
        <w:t>。但残疾人福利性单位属于小型、微型企业的，不重复享受扶持中小企业发展的优惠政策。</w:t>
      </w:r>
    </w:p>
    <w:p w14:paraId="64925CC6">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31.3综合评分法中的价格分采用低价优先法计算，即满足磋商文件要求且经调整后的最后报价最低的供应商的价格为磋商基准价，其价格分为满分。其他供应商的价格分按照下列公式计算：</w:t>
      </w:r>
    </w:p>
    <w:p w14:paraId="0F889A90">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磋商报价得分=（磋商基准价/最后磋商报价）×价格权值×100</w:t>
      </w:r>
    </w:p>
    <w:p w14:paraId="7680F4F7">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项目评审过程中，不得去掉最后报价中的最高报价和最低报价。</w:t>
      </w:r>
    </w:p>
    <w:p w14:paraId="3F6ABCA4">
      <w:pPr>
        <w:widowControl/>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bCs/>
          <w:szCs w:val="21"/>
        </w:rPr>
        <w:t>31.4</w:t>
      </w:r>
      <w:r>
        <w:rPr>
          <w:rFonts w:hint="eastAsia" w:ascii="宋体" w:hAnsi="宋体" w:eastAsia="宋体" w:cs="宋体"/>
          <w:szCs w:val="21"/>
        </w:rPr>
        <w:t>涉及政府采购政策优惠对供应商分值进行调整的，</w:t>
      </w:r>
      <w:r>
        <w:rPr>
          <w:rFonts w:hint="eastAsia" w:ascii="宋体" w:hAnsi="宋体" w:eastAsia="宋体" w:cs="宋体"/>
          <w:bCs/>
          <w:szCs w:val="21"/>
        </w:rPr>
        <w:t>按</w:t>
      </w:r>
      <w:r>
        <w:rPr>
          <w:rFonts w:hint="eastAsia" w:ascii="宋体" w:hAnsi="宋体" w:eastAsia="宋体" w:cs="宋体"/>
          <w:b/>
          <w:szCs w:val="21"/>
        </w:rPr>
        <w:t>磋商须知前附表</w:t>
      </w:r>
      <w:r>
        <w:rPr>
          <w:rFonts w:hint="eastAsia" w:ascii="宋体" w:hAnsi="宋体" w:eastAsia="宋体" w:cs="宋体"/>
          <w:bCs/>
          <w:szCs w:val="21"/>
        </w:rPr>
        <w:t>规定</w:t>
      </w:r>
      <w:r>
        <w:rPr>
          <w:rFonts w:hint="eastAsia" w:ascii="宋体" w:hAnsi="宋体" w:eastAsia="宋体" w:cs="宋体"/>
          <w:szCs w:val="21"/>
        </w:rPr>
        <w:t>调整供应商的技术、商务、价格</w:t>
      </w:r>
      <w:r>
        <w:rPr>
          <w:rFonts w:hint="eastAsia" w:ascii="宋体" w:hAnsi="宋体" w:eastAsia="宋体" w:cs="宋体"/>
          <w:kern w:val="0"/>
          <w:szCs w:val="21"/>
        </w:rPr>
        <w:t>得分或总得分</w:t>
      </w:r>
      <w:r>
        <w:rPr>
          <w:rFonts w:hint="eastAsia" w:ascii="宋体" w:hAnsi="宋体" w:eastAsia="宋体" w:cs="宋体"/>
          <w:szCs w:val="21"/>
        </w:rPr>
        <w:t>。</w:t>
      </w:r>
    </w:p>
    <w:p w14:paraId="61A4F466">
      <w:pPr>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szCs w:val="21"/>
        </w:rPr>
        <w:t>31.5涉及多处或部分获得政府采购政策优惠的，其多处或部分享受政府采购优惠政策的计算方法见</w:t>
      </w:r>
      <w:r>
        <w:rPr>
          <w:rFonts w:hint="eastAsia" w:ascii="宋体" w:hAnsi="宋体" w:eastAsia="宋体" w:cs="宋体"/>
          <w:b/>
          <w:szCs w:val="21"/>
        </w:rPr>
        <w:t>磋商须知前附表</w:t>
      </w:r>
      <w:r>
        <w:rPr>
          <w:rFonts w:hint="eastAsia" w:ascii="宋体" w:hAnsi="宋体" w:eastAsia="宋体" w:cs="宋体"/>
          <w:szCs w:val="21"/>
        </w:rPr>
        <w:t>相关规定。</w:t>
      </w:r>
    </w:p>
    <w:p w14:paraId="628FD72C">
      <w:pPr>
        <w:widowControl/>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kern w:val="0"/>
          <w:szCs w:val="21"/>
        </w:rPr>
        <w:t>31.6</w:t>
      </w:r>
      <w:r>
        <w:rPr>
          <w:rFonts w:hint="eastAsia" w:ascii="宋体" w:hAnsi="宋体" w:eastAsia="宋体" w:cs="宋体"/>
          <w:szCs w:val="21"/>
        </w:rPr>
        <w:t>评审时，磋商小组各成员应当独立对每个供应商的</w:t>
      </w:r>
      <w:r>
        <w:rPr>
          <w:rFonts w:hint="eastAsia" w:ascii="宋体" w:hAnsi="宋体" w:eastAsia="宋体" w:cs="宋体"/>
          <w:bCs/>
          <w:szCs w:val="21"/>
        </w:rPr>
        <w:t>响应文件</w:t>
      </w:r>
      <w:r>
        <w:rPr>
          <w:rFonts w:hint="eastAsia" w:ascii="宋体" w:hAnsi="宋体" w:eastAsia="宋体" w:cs="宋体"/>
          <w:szCs w:val="21"/>
        </w:rPr>
        <w:t>进行评价、评分，并按照政府采购优惠政策对最后报价进行价格扣除和技术、商务、价格加分后，汇总各供应商的总得分。</w:t>
      </w:r>
    </w:p>
    <w:p w14:paraId="1BF2BF23">
      <w:pPr>
        <w:widowControl/>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32</w:t>
      </w:r>
      <w:r>
        <w:rPr>
          <w:rFonts w:hint="eastAsia" w:ascii="宋体" w:hAnsi="宋体" w:eastAsia="宋体" w:cs="宋体"/>
          <w:b/>
          <w:kern w:val="0"/>
          <w:szCs w:val="21"/>
        </w:rPr>
        <w:t>.</w:t>
      </w:r>
      <w:r>
        <w:rPr>
          <w:rFonts w:hint="eastAsia" w:ascii="宋体" w:hAnsi="宋体" w:eastAsia="宋体" w:cs="宋体"/>
          <w:b/>
          <w:bCs/>
          <w:szCs w:val="21"/>
        </w:rPr>
        <w:t>提出成交供应商</w:t>
      </w:r>
    </w:p>
    <w:p w14:paraId="0D39F507">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kern w:val="0"/>
          <w:szCs w:val="21"/>
        </w:rPr>
        <w:t>32.1本项目分包评审。</w:t>
      </w:r>
      <w:r>
        <w:rPr>
          <w:rFonts w:hint="eastAsia" w:ascii="宋体" w:hAnsi="宋体" w:eastAsia="宋体" w:cs="宋体"/>
          <w:bCs/>
          <w:szCs w:val="21"/>
        </w:rPr>
        <w:t>磋商小组应当根据综合评分情况，按照评审得分由高到低顺序推荐3名以上成交候选供应商，并编写评审报告。评审得分相同的，按照最后报价由低到高的顺序推荐。评审得分且最后报价相同的，按照技术指标优劣顺序推荐。符合《政府采购竞争性磋商招标方式管理暂行办法》(财库〔2014〕214号)</w:t>
      </w:r>
      <w:r>
        <w:rPr>
          <w:rFonts w:hint="eastAsia" w:ascii="宋体" w:hAnsi="宋体" w:eastAsia="宋体" w:cs="宋体"/>
          <w:kern w:val="0"/>
          <w:szCs w:val="21"/>
        </w:rPr>
        <w:t>和《财政部关于政府采购竞争性磋商招标方式管理暂行办法有关问题的补充通知》（财库〔2015〕124号）所列“政府购买服务项目（含政府和社会资本合作项目）、市场竞争不充分的科研项目以及需要扶持的科技成果转化项目”情形的，</w:t>
      </w:r>
      <w:r>
        <w:rPr>
          <w:rFonts w:hint="eastAsia" w:ascii="宋体" w:hAnsi="宋体" w:eastAsia="宋体" w:cs="宋体"/>
          <w:bCs/>
          <w:szCs w:val="21"/>
        </w:rPr>
        <w:t>可以推荐2家成交候选供应商。</w:t>
      </w:r>
    </w:p>
    <w:p w14:paraId="4882D468">
      <w:pPr>
        <w:tabs>
          <w:tab w:val="left" w:pos="0"/>
        </w:tabs>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33.确定成交供应商</w:t>
      </w:r>
    </w:p>
    <w:p w14:paraId="70A66C46">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33.1</w:t>
      </w:r>
      <w:r>
        <w:rPr>
          <w:rFonts w:hint="eastAsia" w:ascii="宋体" w:hAnsi="宋体" w:cs="宋体"/>
          <w:kern w:val="0"/>
          <w:szCs w:val="21"/>
          <w:lang w:eastAsia="zh-CN"/>
        </w:rPr>
        <w:t>招标代理机构</w:t>
      </w:r>
      <w:r>
        <w:rPr>
          <w:rFonts w:hint="eastAsia" w:ascii="宋体" w:hAnsi="宋体" w:eastAsia="宋体" w:cs="宋体"/>
          <w:kern w:val="0"/>
          <w:szCs w:val="21"/>
        </w:rPr>
        <w:t>应当在评审结束后2个工作日内将评审报告送招标人确认。</w:t>
      </w:r>
    </w:p>
    <w:p w14:paraId="187AD27A">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33.2招标人应当在收到评审报告后5个工作日内，从评审报告提出的成交候选供应商中，按照排序由高到低的原则确定成交供应商，也可以书面授权磋商小组直接确定成交供应商。</w:t>
      </w:r>
    </w:p>
    <w:p w14:paraId="6A9DCBDA">
      <w:pPr>
        <w:pStyle w:val="26"/>
        <w:adjustRightInd w:val="0"/>
        <w:snapToGrid w:val="0"/>
        <w:spacing w:line="460" w:lineRule="exact"/>
        <w:ind w:firstLine="420" w:firstLineChars="200"/>
        <w:rPr>
          <w:rFonts w:hint="eastAsia" w:ascii="宋体" w:hAnsi="宋体" w:eastAsia="宋体" w:cs="宋体"/>
          <w:b/>
        </w:rPr>
      </w:pPr>
      <w:r>
        <w:rPr>
          <w:rFonts w:hint="eastAsia" w:ascii="宋体" w:hAnsi="宋体" w:eastAsia="宋体" w:cs="宋体"/>
          <w:b/>
        </w:rPr>
        <w:t>34.磋商终止</w:t>
      </w:r>
    </w:p>
    <w:p w14:paraId="3385F1B9">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bCs/>
          <w:szCs w:val="21"/>
        </w:rPr>
        <w:t>34.1</w:t>
      </w:r>
      <w:r>
        <w:rPr>
          <w:rFonts w:hint="eastAsia" w:ascii="宋体" w:hAnsi="宋体" w:eastAsia="宋体" w:cs="宋体"/>
          <w:kern w:val="0"/>
          <w:szCs w:val="21"/>
        </w:rPr>
        <w:t>出现下列情形之一的，招标人或者</w:t>
      </w:r>
      <w:r>
        <w:rPr>
          <w:rFonts w:hint="eastAsia" w:ascii="宋体" w:hAnsi="宋体" w:cs="宋体"/>
          <w:kern w:val="0"/>
          <w:szCs w:val="21"/>
          <w:lang w:eastAsia="zh-CN"/>
        </w:rPr>
        <w:t>招标代理机构</w:t>
      </w:r>
      <w:r>
        <w:rPr>
          <w:rFonts w:hint="eastAsia" w:ascii="宋体" w:hAnsi="宋体" w:eastAsia="宋体" w:cs="宋体"/>
          <w:kern w:val="0"/>
          <w:szCs w:val="21"/>
        </w:rPr>
        <w:t>应当终止竞争性磋商采购活动，</w:t>
      </w:r>
      <w:r>
        <w:rPr>
          <w:rFonts w:hint="eastAsia" w:ascii="宋体" w:hAnsi="宋体" w:eastAsia="宋体" w:cs="宋体"/>
        </w:rPr>
        <w:t>在本章第37.1款指定的媒体上</w:t>
      </w:r>
      <w:r>
        <w:rPr>
          <w:rFonts w:hint="eastAsia" w:ascii="宋体" w:hAnsi="宋体" w:eastAsia="宋体" w:cs="宋体"/>
          <w:kern w:val="0"/>
          <w:szCs w:val="21"/>
        </w:rPr>
        <w:t xml:space="preserve">发布项目终止公告并说明原因，重新开展采购活动： </w:t>
      </w:r>
    </w:p>
    <w:p w14:paraId="56BA1657">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（1）因情况变化，不再符合规定的竞争性磋商招标方式适用情形的；</w:t>
      </w:r>
    </w:p>
    <w:p w14:paraId="6C718576">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（2）出现影响采购公正的违法、违规行为的；</w:t>
      </w:r>
    </w:p>
    <w:p w14:paraId="0EE882AA">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kern w:val="0"/>
          <w:szCs w:val="21"/>
        </w:rPr>
        <w:t>（3）</w:t>
      </w:r>
      <w:r>
        <w:rPr>
          <w:rFonts w:hint="eastAsia" w:ascii="宋体" w:hAnsi="宋体" w:eastAsia="宋体" w:cs="宋体"/>
          <w:bCs/>
          <w:szCs w:val="21"/>
        </w:rPr>
        <w:t>除《政府采购竞争性磋商招标方式管理暂行办法》(财库〔2014〕214号)</w:t>
      </w:r>
      <w:r>
        <w:rPr>
          <w:rFonts w:hint="eastAsia" w:ascii="宋体" w:hAnsi="宋体" w:eastAsia="宋体" w:cs="宋体"/>
          <w:kern w:val="0"/>
          <w:szCs w:val="21"/>
        </w:rPr>
        <w:t xml:space="preserve"> 和《财政部关于政府采购竞争性磋商招标方式管理暂行办法有关问题的补充通知》（财库〔2015〕124号）所列“政府购买服务项目（含政府和社会资本合作项目）、市场竞争不充分的科研项目以及需要扶持的科技成果转化项目”</w:t>
      </w:r>
      <w:r>
        <w:rPr>
          <w:rFonts w:hint="eastAsia" w:ascii="宋体" w:hAnsi="宋体" w:eastAsia="宋体" w:cs="宋体"/>
          <w:bCs/>
          <w:szCs w:val="21"/>
        </w:rPr>
        <w:t>情形外，在采购过程中符合要求的供应商或者报价未超过采购预算的供应商不足3家的；</w:t>
      </w:r>
    </w:p>
    <w:p w14:paraId="39ACF9D3">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kern w:val="0"/>
          <w:szCs w:val="21"/>
        </w:rPr>
        <w:t>（4）因重大变故，采购任务取消的。</w:t>
      </w:r>
    </w:p>
    <w:p w14:paraId="6A943F31">
      <w:pPr>
        <w:widowControl/>
        <w:adjustRightInd w:val="0"/>
        <w:snapToGrid w:val="0"/>
        <w:spacing w:line="460" w:lineRule="exact"/>
        <w:ind w:firstLine="420" w:firstLineChars="200"/>
        <w:rPr>
          <w:rFonts w:hint="eastAsia" w:ascii="宋体" w:hAnsi="宋体" w:eastAsia="宋体" w:cs="宋体"/>
          <w:b/>
          <w:kern w:val="0"/>
          <w:szCs w:val="21"/>
        </w:rPr>
      </w:pPr>
      <w:r>
        <w:rPr>
          <w:rFonts w:hint="eastAsia" w:ascii="宋体" w:hAnsi="宋体" w:eastAsia="宋体" w:cs="宋体"/>
          <w:b/>
          <w:kern w:val="0"/>
          <w:szCs w:val="21"/>
        </w:rPr>
        <w:t>35．重新评审</w:t>
      </w:r>
    </w:p>
    <w:p w14:paraId="644B7DE3">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35.1除资格性检查认定错误、分值汇总计算错误、分项评分超出评分标准范围、客观分评分不一致、经磋商小组一致认定评分畸高、畸低的情形外，招标人或者</w:t>
      </w:r>
      <w:r>
        <w:rPr>
          <w:rFonts w:hint="eastAsia" w:ascii="宋体" w:hAnsi="宋体" w:cs="宋体"/>
          <w:kern w:val="0"/>
          <w:szCs w:val="21"/>
          <w:lang w:eastAsia="zh-CN"/>
        </w:rPr>
        <w:t>招标代理机构</w:t>
      </w:r>
      <w:r>
        <w:rPr>
          <w:rFonts w:hint="eastAsia" w:ascii="宋体" w:hAnsi="宋体" w:eastAsia="宋体" w:cs="宋体"/>
          <w:kern w:val="0"/>
          <w:szCs w:val="21"/>
        </w:rPr>
        <w:t>不得以任何理由组织重新评审。招标人、</w:t>
      </w:r>
      <w:r>
        <w:rPr>
          <w:rFonts w:hint="eastAsia" w:ascii="宋体" w:hAnsi="宋体" w:cs="宋体"/>
          <w:kern w:val="0"/>
          <w:szCs w:val="21"/>
          <w:lang w:eastAsia="zh-CN"/>
        </w:rPr>
        <w:t>招标代理机构</w:t>
      </w:r>
      <w:r>
        <w:rPr>
          <w:rFonts w:hint="eastAsia" w:ascii="宋体" w:hAnsi="宋体" w:eastAsia="宋体" w:cs="宋体"/>
          <w:kern w:val="0"/>
          <w:szCs w:val="21"/>
        </w:rPr>
        <w:t>发现磋商小组未按照磋商文件规定的评审标准进行评审的，应当重新开展采购活动。</w:t>
      </w:r>
    </w:p>
    <w:p w14:paraId="5D362B52">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36.保密及串通行为</w:t>
      </w:r>
    </w:p>
    <w:p w14:paraId="7E62F057">
      <w:pPr>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36.1磋商小组成员以及与评审工作有关的人员不得泄露评审情况以及评审过程中获悉的国家秘密、商业秘密。</w:t>
      </w:r>
    </w:p>
    <w:p w14:paraId="2D55DD3A">
      <w:pPr>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szCs w:val="21"/>
        </w:rPr>
        <w:t>36.2</w:t>
      </w:r>
      <w:r>
        <w:rPr>
          <w:rFonts w:hint="eastAsia" w:ascii="宋体" w:hAnsi="宋体" w:eastAsia="宋体" w:cs="宋体"/>
          <w:kern w:val="0"/>
          <w:szCs w:val="21"/>
        </w:rPr>
        <w:t>供应商</w:t>
      </w:r>
      <w:r>
        <w:rPr>
          <w:rFonts w:hint="eastAsia" w:ascii="宋体" w:hAnsi="宋体" w:eastAsia="宋体" w:cs="宋体"/>
          <w:szCs w:val="21"/>
        </w:rPr>
        <w:t>不得与</w:t>
      </w:r>
      <w:r>
        <w:rPr>
          <w:rFonts w:hint="eastAsia" w:ascii="宋体" w:hAnsi="宋体" w:eastAsia="宋体" w:cs="宋体"/>
          <w:kern w:val="0"/>
          <w:szCs w:val="21"/>
        </w:rPr>
        <w:t>招标人、</w:t>
      </w:r>
      <w:r>
        <w:rPr>
          <w:rFonts w:hint="eastAsia" w:ascii="宋体" w:hAnsi="宋体" w:cs="宋体"/>
          <w:kern w:val="0"/>
          <w:szCs w:val="21"/>
          <w:lang w:eastAsia="zh-CN"/>
        </w:rPr>
        <w:t>招标代理机构</w:t>
      </w:r>
      <w:r>
        <w:rPr>
          <w:rFonts w:hint="eastAsia" w:ascii="宋体" w:hAnsi="宋体" w:eastAsia="宋体" w:cs="宋体"/>
          <w:kern w:val="0"/>
          <w:szCs w:val="21"/>
        </w:rPr>
        <w:t>、其他供应商恶意</w:t>
      </w:r>
      <w:r>
        <w:rPr>
          <w:rFonts w:hint="eastAsia" w:ascii="宋体" w:hAnsi="宋体" w:eastAsia="宋体" w:cs="宋体"/>
          <w:szCs w:val="21"/>
        </w:rPr>
        <w:t>串通；不得向</w:t>
      </w:r>
      <w:r>
        <w:rPr>
          <w:rFonts w:hint="eastAsia" w:ascii="宋体" w:hAnsi="宋体" w:eastAsia="宋体" w:cs="宋体"/>
          <w:kern w:val="0"/>
          <w:szCs w:val="21"/>
        </w:rPr>
        <w:t>招标人、</w:t>
      </w:r>
      <w:r>
        <w:rPr>
          <w:rFonts w:hint="eastAsia" w:ascii="宋体" w:hAnsi="宋体" w:cs="宋体"/>
          <w:kern w:val="0"/>
          <w:szCs w:val="21"/>
          <w:lang w:eastAsia="zh-CN"/>
        </w:rPr>
        <w:t>招标代理机构</w:t>
      </w:r>
      <w:r>
        <w:rPr>
          <w:rFonts w:hint="eastAsia" w:ascii="宋体" w:hAnsi="宋体" w:eastAsia="宋体" w:cs="宋体"/>
          <w:szCs w:val="21"/>
        </w:rPr>
        <w:t>或者磋商小组成员行贿或者提供其他不正当利益；不得提供虚假资料谋取成交；不得以任何方式干扰、影响采购工作。</w:t>
      </w:r>
    </w:p>
    <w:p w14:paraId="0544AD7A">
      <w:pPr>
        <w:pStyle w:val="41"/>
        <w:ind w:firstLine="420" w:firstLineChars="200"/>
        <w:rPr>
          <w:rFonts w:hint="eastAsia" w:ascii="宋体" w:hAnsi="宋体" w:eastAsia="宋体" w:cs="宋体"/>
          <w:color w:val="auto"/>
          <w:lang w:val="zh-CN"/>
        </w:rPr>
      </w:pPr>
      <w:r>
        <w:rPr>
          <w:rFonts w:hint="eastAsia" w:ascii="宋体" w:hAnsi="宋体" w:eastAsia="宋体" w:cs="宋体"/>
          <w:color w:val="auto"/>
        </w:rPr>
        <w:t>36.3</w:t>
      </w:r>
      <w:r>
        <w:rPr>
          <w:rFonts w:hint="eastAsia" w:ascii="宋体" w:hAnsi="宋体" w:eastAsia="宋体" w:cs="宋体"/>
          <w:color w:val="auto"/>
          <w:lang w:val="zh-CN"/>
        </w:rPr>
        <w:t>有下列情形之一的，属于恶意串通，对供应商依照政府采购法第七十七条第一款的规定追究法律责任：</w:t>
      </w:r>
    </w:p>
    <w:p w14:paraId="650B8385">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（一）供应商直接或者间接从招标人或者</w:t>
      </w:r>
      <w:r>
        <w:rPr>
          <w:rFonts w:hint="eastAsia" w:cs="宋体"/>
          <w:color w:val="auto"/>
          <w:lang w:val="zh-CN"/>
        </w:rPr>
        <w:t>招标代理机构</w:t>
      </w:r>
      <w:r>
        <w:rPr>
          <w:rFonts w:hint="eastAsia" w:ascii="宋体" w:hAnsi="宋体" w:eastAsia="宋体" w:cs="宋体"/>
          <w:color w:val="auto"/>
          <w:lang w:val="zh-CN"/>
        </w:rPr>
        <w:t>处获得其他供应商的相关情况并修改其</w:t>
      </w:r>
      <w:r>
        <w:rPr>
          <w:rFonts w:hint="eastAsia" w:cs="宋体"/>
          <w:color w:val="auto"/>
          <w:lang w:val="zh-CN"/>
        </w:rPr>
        <w:t>响应文件</w:t>
      </w:r>
      <w:r>
        <w:rPr>
          <w:rFonts w:hint="eastAsia" w:ascii="宋体" w:hAnsi="宋体" w:eastAsia="宋体" w:cs="宋体"/>
          <w:color w:val="auto"/>
          <w:lang w:val="zh-CN"/>
        </w:rPr>
        <w:t>或者响应文件；</w:t>
      </w:r>
    </w:p>
    <w:p w14:paraId="7C2E4E4B">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（二）供应商按照招标人或者</w:t>
      </w:r>
      <w:r>
        <w:rPr>
          <w:rFonts w:hint="eastAsia" w:cs="宋体"/>
          <w:color w:val="auto"/>
          <w:lang w:val="zh-CN"/>
        </w:rPr>
        <w:t>招标代理机构</w:t>
      </w:r>
      <w:r>
        <w:rPr>
          <w:rFonts w:hint="eastAsia" w:ascii="宋体" w:hAnsi="宋体" w:eastAsia="宋体" w:cs="宋体"/>
          <w:color w:val="auto"/>
          <w:lang w:val="zh-CN"/>
        </w:rPr>
        <w:t>的授意撤换、修改</w:t>
      </w:r>
      <w:r>
        <w:rPr>
          <w:rFonts w:hint="eastAsia" w:cs="宋体"/>
          <w:color w:val="auto"/>
          <w:lang w:val="zh-CN"/>
        </w:rPr>
        <w:t>响应文件</w:t>
      </w:r>
      <w:r>
        <w:rPr>
          <w:rFonts w:hint="eastAsia" w:ascii="宋体" w:hAnsi="宋体" w:eastAsia="宋体" w:cs="宋体"/>
          <w:color w:val="auto"/>
          <w:lang w:val="zh-CN"/>
        </w:rPr>
        <w:t>或者响应文件；</w:t>
      </w:r>
    </w:p>
    <w:p w14:paraId="2C071C0B">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（三）供应商之间协商报价、</w:t>
      </w:r>
      <w:r>
        <w:rPr>
          <w:rFonts w:hint="eastAsia" w:cs="宋体"/>
          <w:color w:val="auto"/>
          <w:lang w:val="zh-CN"/>
        </w:rPr>
        <w:t>服务方案</w:t>
      </w:r>
      <w:r>
        <w:rPr>
          <w:rFonts w:hint="eastAsia" w:ascii="宋体" w:hAnsi="宋体" w:eastAsia="宋体" w:cs="宋体"/>
          <w:color w:val="auto"/>
          <w:lang w:val="zh-CN"/>
        </w:rPr>
        <w:t>等</w:t>
      </w:r>
      <w:r>
        <w:rPr>
          <w:rFonts w:hint="eastAsia" w:cs="宋体"/>
          <w:color w:val="auto"/>
          <w:lang w:val="zh-CN"/>
        </w:rPr>
        <w:t>响应文件</w:t>
      </w:r>
      <w:r>
        <w:rPr>
          <w:rFonts w:hint="eastAsia" w:ascii="宋体" w:hAnsi="宋体" w:eastAsia="宋体" w:cs="宋体"/>
          <w:color w:val="auto"/>
          <w:lang w:val="zh-CN"/>
        </w:rPr>
        <w:t>或者响应文件的实质性内容；</w:t>
      </w:r>
    </w:p>
    <w:p w14:paraId="21A31A97">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（四）属于同一集团、协会、商会等组织成员的供应商按照该组织要求协同参加</w:t>
      </w:r>
      <w:r>
        <w:rPr>
          <w:rFonts w:hint="eastAsia" w:cs="宋体"/>
          <w:color w:val="auto"/>
          <w:lang w:val="zh-CN"/>
        </w:rPr>
        <w:t>招标活动</w:t>
      </w:r>
      <w:r>
        <w:rPr>
          <w:rFonts w:hint="eastAsia" w:ascii="宋体" w:hAnsi="宋体" w:eastAsia="宋体" w:cs="宋体"/>
          <w:color w:val="auto"/>
          <w:lang w:val="zh-CN"/>
        </w:rPr>
        <w:t>；</w:t>
      </w:r>
    </w:p>
    <w:p w14:paraId="36EB849A">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（五）供应商之间事先约定由某一特定供应商中标、成交；</w:t>
      </w:r>
    </w:p>
    <w:p w14:paraId="2D180292">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（六）供应商之间商定部分供应商放弃参加</w:t>
      </w:r>
      <w:r>
        <w:rPr>
          <w:rFonts w:hint="eastAsia" w:cs="宋体"/>
          <w:color w:val="auto"/>
          <w:lang w:val="zh-CN"/>
        </w:rPr>
        <w:t>招标活动</w:t>
      </w:r>
      <w:r>
        <w:rPr>
          <w:rFonts w:hint="eastAsia" w:ascii="宋体" w:hAnsi="宋体" w:eastAsia="宋体" w:cs="宋体"/>
          <w:color w:val="auto"/>
          <w:lang w:val="zh-CN"/>
        </w:rPr>
        <w:t>或者放弃中标、成交；</w:t>
      </w:r>
    </w:p>
    <w:p w14:paraId="6EDB6D6D">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（七）供应商与招标人或者</w:t>
      </w:r>
      <w:r>
        <w:rPr>
          <w:rFonts w:hint="eastAsia" w:cs="宋体"/>
          <w:color w:val="auto"/>
          <w:lang w:val="zh-CN"/>
        </w:rPr>
        <w:t>招标代理机构</w:t>
      </w:r>
      <w:r>
        <w:rPr>
          <w:rFonts w:hint="eastAsia" w:ascii="宋体" w:hAnsi="宋体" w:eastAsia="宋体" w:cs="宋体"/>
          <w:color w:val="auto"/>
          <w:lang w:val="zh-CN"/>
        </w:rPr>
        <w:t>之间、供应商相互之间，为谋求特定供应商中标、成交或者排斥其他供应商的其他串通行为。</w:t>
      </w:r>
    </w:p>
    <w:p w14:paraId="7224C07D">
      <w:pPr>
        <w:adjustRightInd w:val="0"/>
        <w:snapToGrid w:val="0"/>
        <w:spacing w:line="460" w:lineRule="exact"/>
        <w:ind w:firstLine="480" w:firstLineChars="200"/>
        <w:rPr>
          <w:rFonts w:hint="eastAsia" w:ascii="宋体" w:hAnsi="宋体" w:eastAsia="宋体" w:cs="宋体"/>
          <w:b/>
          <w:sz w:val="24"/>
        </w:rPr>
      </w:pPr>
      <w:r>
        <w:rPr>
          <w:rFonts w:hint="eastAsia" w:ascii="宋体" w:hAnsi="宋体" w:eastAsia="宋体" w:cs="宋体"/>
          <w:b/>
          <w:sz w:val="24"/>
        </w:rPr>
        <w:t>六、成交结果信息公布与授予合同</w:t>
      </w:r>
    </w:p>
    <w:p w14:paraId="3E6CB5EB">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37.成交信息的公布</w:t>
      </w:r>
    </w:p>
    <w:p w14:paraId="347D979A">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37.1成交供应商确定后2个工作日内，成交结果信息将在</w:t>
      </w:r>
      <w:r>
        <w:rPr>
          <w:rFonts w:hint="eastAsia" w:ascii="宋体" w:hAnsi="宋体" w:eastAsia="宋体" w:cs="宋体"/>
          <w:b/>
        </w:rPr>
        <w:t>磋商须知前附表</w:t>
      </w:r>
      <w:r>
        <w:rPr>
          <w:rFonts w:hint="eastAsia" w:ascii="宋体" w:hAnsi="宋体" w:eastAsia="宋体" w:cs="宋体"/>
        </w:rPr>
        <w:t>指定的媒体上公布。</w:t>
      </w:r>
    </w:p>
    <w:p w14:paraId="6BB66A70">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38.询问及质疑</w:t>
      </w:r>
    </w:p>
    <w:p w14:paraId="5C869AD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38.1供应商对</w:t>
      </w:r>
      <w:r>
        <w:rPr>
          <w:rFonts w:hint="eastAsia" w:ascii="宋体" w:hAnsi="宋体" w:cs="宋体"/>
          <w:szCs w:val="21"/>
          <w:lang w:eastAsia="zh-CN"/>
        </w:rPr>
        <w:t>招标活动</w:t>
      </w:r>
      <w:r>
        <w:rPr>
          <w:rFonts w:hint="eastAsia" w:ascii="宋体" w:hAnsi="宋体" w:eastAsia="宋体" w:cs="宋体"/>
          <w:szCs w:val="21"/>
        </w:rPr>
        <w:t>事项有疑问的，可以向招标人或</w:t>
      </w:r>
      <w:r>
        <w:rPr>
          <w:rFonts w:hint="eastAsia" w:ascii="宋体" w:hAnsi="宋体" w:cs="宋体"/>
          <w:szCs w:val="21"/>
          <w:lang w:eastAsia="zh-CN"/>
        </w:rPr>
        <w:t>招标代理机构</w:t>
      </w:r>
      <w:r>
        <w:rPr>
          <w:rFonts w:hint="eastAsia" w:ascii="宋体" w:hAnsi="宋体" w:eastAsia="宋体" w:cs="宋体"/>
          <w:szCs w:val="21"/>
        </w:rPr>
        <w:t>提出询问。</w:t>
      </w:r>
    </w:p>
    <w:p w14:paraId="451951C9">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38.2供应商认为采购文件、采购过程、中标或者成交结果使自己的权益受到损害的，可以在知道或者应知其权益受到损害之日起7个工作日内，以书面形式向招标人、</w:t>
      </w:r>
      <w:r>
        <w:rPr>
          <w:rFonts w:hint="eastAsia" w:ascii="宋体" w:hAnsi="宋体" w:cs="宋体"/>
          <w:szCs w:val="21"/>
          <w:lang w:eastAsia="zh-CN"/>
        </w:rPr>
        <w:t>招标代理机构</w:t>
      </w:r>
      <w:r>
        <w:rPr>
          <w:rFonts w:hint="eastAsia" w:ascii="宋体" w:hAnsi="宋体" w:eastAsia="宋体" w:cs="宋体"/>
          <w:szCs w:val="21"/>
        </w:rPr>
        <w:t>提出质疑。</w:t>
      </w:r>
    </w:p>
    <w:p w14:paraId="14CD3408">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38.3</w:t>
      </w:r>
      <w:r>
        <w:rPr>
          <w:rFonts w:hint="eastAsia" w:ascii="宋体" w:hAnsi="宋体" w:cs="宋体"/>
          <w:szCs w:val="21"/>
          <w:lang w:eastAsia="zh-CN"/>
        </w:rPr>
        <w:t>供应商</w:t>
      </w:r>
      <w:r>
        <w:rPr>
          <w:rFonts w:hint="eastAsia" w:ascii="宋体" w:hAnsi="宋体" w:eastAsia="宋体" w:cs="宋体"/>
          <w:szCs w:val="21"/>
        </w:rPr>
        <w:t>若认为采购过程和中标结果使自己的权益受到损害，应当在下列时间内以书面形式向招标人或</w:t>
      </w:r>
      <w:r>
        <w:rPr>
          <w:rFonts w:hint="eastAsia" w:ascii="宋体" w:hAnsi="宋体" w:cs="宋体"/>
          <w:szCs w:val="21"/>
          <w:lang w:eastAsia="zh-CN"/>
        </w:rPr>
        <w:t>招标代理机构</w:t>
      </w:r>
      <w:r>
        <w:rPr>
          <w:rFonts w:hint="eastAsia" w:ascii="宋体" w:hAnsi="宋体" w:eastAsia="宋体" w:cs="宋体"/>
          <w:szCs w:val="21"/>
        </w:rPr>
        <w:t>提出：</w:t>
      </w:r>
    </w:p>
    <w:p w14:paraId="4FBB611C">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（1）对可以质疑的采购文件提出质疑的，为收到采购文件之日起七个工作日内提出；</w:t>
      </w:r>
    </w:p>
    <w:p w14:paraId="25365EB7">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（2）关于采购过程的质疑，应在采购程序环节结束之日起七个工作日内提出。</w:t>
      </w:r>
    </w:p>
    <w:p w14:paraId="628A0D3E">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（3）关于中标结果的质疑，应在中标结果公告期限届满之日起七个工作日内提出。</w:t>
      </w:r>
    </w:p>
    <w:p w14:paraId="04AF3E41">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 xml:space="preserve">38.4 </w:t>
      </w:r>
      <w:r>
        <w:rPr>
          <w:rFonts w:hint="eastAsia" w:hAnsi="宋体" w:cs="宋体"/>
          <w:lang w:eastAsia="zh-CN"/>
        </w:rPr>
        <w:t>供应商</w:t>
      </w:r>
      <w:r>
        <w:rPr>
          <w:rFonts w:hint="eastAsia" w:ascii="宋体" w:hAnsi="宋体" w:eastAsia="宋体" w:cs="宋体"/>
        </w:rPr>
        <w:t>提出质疑的，应提供质疑书原件。招标人或</w:t>
      </w:r>
      <w:r>
        <w:rPr>
          <w:rFonts w:hint="eastAsia" w:hAnsi="宋体" w:cs="宋体"/>
          <w:lang w:eastAsia="zh-CN"/>
        </w:rPr>
        <w:t>招标代理机构</w:t>
      </w:r>
      <w:r>
        <w:rPr>
          <w:rFonts w:hint="eastAsia" w:ascii="宋体" w:hAnsi="宋体" w:eastAsia="宋体" w:cs="宋体"/>
        </w:rPr>
        <w:t>应当向质疑供应商签收回执。</w:t>
      </w:r>
    </w:p>
    <w:p w14:paraId="61106AB4">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38.5 质疑书应当包括下列内容：</w:t>
      </w:r>
    </w:p>
    <w:p w14:paraId="5AF208B8">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（1）质疑供应商的姓名或者名称、地址、邮编、联系人及联系方式；</w:t>
      </w:r>
    </w:p>
    <w:p w14:paraId="4A8964EA">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（2）质疑项目的名称、编号；</w:t>
      </w:r>
    </w:p>
    <w:p w14:paraId="44F62ED7">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（3）具体、明确的质疑事项和与质疑事项相关的请求；</w:t>
      </w:r>
    </w:p>
    <w:p w14:paraId="5053A842">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（4）事实依据。</w:t>
      </w:r>
    </w:p>
    <w:p w14:paraId="1268D87A">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（5）必要的法律依据；</w:t>
      </w:r>
    </w:p>
    <w:p w14:paraId="3F77D54F">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（6）提出质疑的日期。</w:t>
      </w:r>
    </w:p>
    <w:p w14:paraId="09DE03E5">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38.6 质疑书应当由</w:t>
      </w:r>
      <w:r>
        <w:rPr>
          <w:rFonts w:hint="eastAsia" w:hAnsi="宋体" w:cs="宋体"/>
          <w:lang w:eastAsia="zh-CN"/>
        </w:rPr>
        <w:t>供应商法定代表人（单位负责人）</w:t>
      </w:r>
      <w:r>
        <w:rPr>
          <w:rFonts w:hint="eastAsia" w:ascii="宋体" w:hAnsi="宋体" w:eastAsia="宋体" w:cs="宋体"/>
        </w:rPr>
        <w:t>或其授权的代理人签字并加盖</w:t>
      </w:r>
      <w:r>
        <w:rPr>
          <w:rFonts w:hint="eastAsia" w:hAnsi="宋体" w:cs="宋体"/>
          <w:lang w:eastAsia="zh-CN"/>
        </w:rPr>
        <w:t>供应商</w:t>
      </w:r>
      <w:r>
        <w:rPr>
          <w:rFonts w:hint="eastAsia" w:ascii="宋体" w:hAnsi="宋体" w:eastAsia="宋体" w:cs="宋体"/>
        </w:rPr>
        <w:t>公章，质疑书由授权的代理人签字的应附</w:t>
      </w:r>
      <w:r>
        <w:rPr>
          <w:rFonts w:hint="eastAsia" w:hAnsi="宋体" w:cs="宋体"/>
          <w:lang w:eastAsia="zh-CN"/>
        </w:rPr>
        <w:t>供应商法定代表人（单位负责人）</w:t>
      </w:r>
      <w:r>
        <w:rPr>
          <w:rFonts w:hint="eastAsia" w:ascii="宋体" w:hAnsi="宋体" w:eastAsia="宋体" w:cs="宋体"/>
        </w:rPr>
        <w:t>委托授权书。</w:t>
      </w:r>
    </w:p>
    <w:p w14:paraId="677A73AB">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38.7 招标人或</w:t>
      </w:r>
      <w:r>
        <w:rPr>
          <w:rFonts w:hint="eastAsia" w:ascii="宋体" w:hAnsi="宋体" w:cs="宋体"/>
          <w:szCs w:val="21"/>
          <w:lang w:eastAsia="zh-CN"/>
        </w:rPr>
        <w:t>招标代理机构</w:t>
      </w:r>
      <w:r>
        <w:rPr>
          <w:rFonts w:hint="eastAsia" w:ascii="宋体" w:hAnsi="宋体" w:eastAsia="宋体" w:cs="宋体"/>
          <w:szCs w:val="21"/>
        </w:rPr>
        <w:t>将在收到质疑函后7个工作日内作出答复，并以书面形式通知质疑供应商和其他有关供应商。</w:t>
      </w:r>
    </w:p>
    <w:p w14:paraId="291F09F9">
      <w:pPr>
        <w:adjustRightInd w:val="0"/>
        <w:snapToGrid w:val="0"/>
        <w:spacing w:line="360" w:lineRule="auto"/>
        <w:ind w:firstLine="525" w:firstLineChars="250"/>
        <w:jc w:val="left"/>
        <w:rPr>
          <w:rFonts w:hint="eastAsia" w:ascii="宋体" w:hAnsi="宋体" w:eastAsia="宋体" w:cs="宋体"/>
          <w:szCs w:val="21"/>
        </w:rPr>
      </w:pPr>
      <w:r>
        <w:rPr>
          <w:rFonts w:hint="eastAsia" w:ascii="宋体" w:hAnsi="宋体" w:eastAsia="宋体" w:cs="宋体"/>
          <w:szCs w:val="21"/>
        </w:rPr>
        <w:t xml:space="preserve">38.8 </w:t>
      </w:r>
      <w:r>
        <w:rPr>
          <w:rFonts w:hint="eastAsia" w:ascii="宋体" w:hAnsi="宋体" w:cs="宋体"/>
          <w:szCs w:val="21"/>
          <w:lang w:eastAsia="zh-CN"/>
        </w:rPr>
        <w:t>供应商</w:t>
      </w:r>
      <w:r>
        <w:rPr>
          <w:rFonts w:hint="eastAsia" w:ascii="宋体" w:hAnsi="宋体" w:eastAsia="宋体" w:cs="宋体"/>
          <w:szCs w:val="21"/>
        </w:rPr>
        <w:t>对招标人或</w:t>
      </w:r>
      <w:r>
        <w:rPr>
          <w:rFonts w:hint="eastAsia" w:ascii="宋体" w:hAnsi="宋体" w:cs="宋体"/>
          <w:szCs w:val="21"/>
          <w:lang w:eastAsia="zh-CN"/>
        </w:rPr>
        <w:t>招标代理机构</w:t>
      </w:r>
      <w:r>
        <w:rPr>
          <w:rFonts w:hint="eastAsia" w:ascii="宋体" w:hAnsi="宋体" w:eastAsia="宋体" w:cs="宋体"/>
          <w:szCs w:val="21"/>
        </w:rPr>
        <w:t>的答复不满意，或招标人或</w:t>
      </w:r>
      <w:r>
        <w:rPr>
          <w:rFonts w:hint="eastAsia" w:ascii="宋体" w:hAnsi="宋体" w:cs="宋体"/>
          <w:szCs w:val="21"/>
          <w:lang w:eastAsia="zh-CN"/>
        </w:rPr>
        <w:t>招标代理机构</w:t>
      </w:r>
      <w:r>
        <w:rPr>
          <w:rFonts w:hint="eastAsia" w:ascii="宋体" w:hAnsi="宋体" w:eastAsia="宋体" w:cs="宋体"/>
          <w:szCs w:val="21"/>
        </w:rPr>
        <w:t>未在规定的期限作出答复的，可在答复期满后十五个工作日内，按政府采购相关法律法规规章的规定及程序，向同级财政部门提出投诉。</w:t>
      </w:r>
    </w:p>
    <w:p w14:paraId="79ED8321">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39.成交通知</w:t>
      </w:r>
    </w:p>
    <w:p w14:paraId="45BCA4AE">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39.1成交供应商确定后，招标人或</w:t>
      </w:r>
      <w:r>
        <w:rPr>
          <w:rFonts w:hint="eastAsia" w:hAnsi="宋体" w:cs="宋体"/>
          <w:lang w:eastAsia="zh-CN"/>
        </w:rPr>
        <w:t>招标代理机构</w:t>
      </w:r>
      <w:r>
        <w:rPr>
          <w:rFonts w:hint="eastAsia" w:ascii="宋体" w:hAnsi="宋体" w:eastAsia="宋体" w:cs="宋体"/>
        </w:rPr>
        <w:t>将以书面形式向成交供应商发出成交通知书。成交通知书对招标人和成交供应商具有同等法律效力。</w:t>
      </w:r>
    </w:p>
    <w:p w14:paraId="5856D7E6">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39.2 成交通知书是合同文件的组成部分。</w:t>
      </w:r>
    </w:p>
    <w:p w14:paraId="2E0930D1">
      <w:pPr>
        <w:tabs>
          <w:tab w:val="left" w:pos="7560"/>
          <w:tab w:val="left" w:pos="7740"/>
          <w:tab w:val="left" w:pos="7920"/>
        </w:tabs>
        <w:autoSpaceDN w:val="0"/>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kern w:val="0"/>
          <w:szCs w:val="21"/>
        </w:rPr>
        <w:t xml:space="preserve">39.3 </w:t>
      </w:r>
      <w:r>
        <w:rPr>
          <w:rFonts w:hint="eastAsia" w:ascii="宋体" w:hAnsi="宋体" w:eastAsia="宋体" w:cs="宋体"/>
          <w:szCs w:val="21"/>
        </w:rPr>
        <w:t>成交供应商在收到</w:t>
      </w:r>
      <w:r>
        <w:rPr>
          <w:rFonts w:hint="eastAsia" w:ascii="宋体" w:hAnsi="宋体" w:cs="宋体"/>
          <w:szCs w:val="21"/>
          <w:lang w:eastAsia="zh-CN"/>
        </w:rPr>
        <w:t>招标代理机构</w:t>
      </w:r>
      <w:r>
        <w:rPr>
          <w:rFonts w:hint="eastAsia" w:ascii="宋体" w:hAnsi="宋体" w:eastAsia="宋体" w:cs="宋体"/>
          <w:szCs w:val="21"/>
        </w:rPr>
        <w:t>的成交通知书后10日内，应按照</w:t>
      </w:r>
      <w:r>
        <w:rPr>
          <w:rFonts w:hint="eastAsia" w:ascii="宋体" w:hAnsi="宋体" w:eastAsia="宋体" w:cs="宋体"/>
          <w:b/>
          <w:szCs w:val="21"/>
        </w:rPr>
        <w:t>磋商须知前附表</w:t>
      </w:r>
      <w:r>
        <w:rPr>
          <w:rFonts w:hint="eastAsia" w:ascii="宋体" w:hAnsi="宋体" w:eastAsia="宋体" w:cs="宋体"/>
          <w:szCs w:val="21"/>
        </w:rPr>
        <w:t>的规定，向招标人提交履约担保。联合体成交的，履约担保由联合体各方或联合体中牵头人的名义提交。</w:t>
      </w:r>
    </w:p>
    <w:p w14:paraId="42EF92D9">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39.4 成交供应商</w:t>
      </w:r>
      <w:r>
        <w:rPr>
          <w:rFonts w:hint="eastAsia" w:ascii="宋体" w:hAnsi="宋体" w:eastAsia="宋体" w:cs="宋体"/>
          <w:spacing w:val="4"/>
        </w:rPr>
        <w:t>没有按照本章第39.3</w:t>
      </w:r>
      <w:r>
        <w:rPr>
          <w:rFonts w:hint="eastAsia" w:ascii="宋体" w:hAnsi="宋体" w:eastAsia="宋体" w:cs="宋体"/>
          <w:kern w:val="0"/>
          <w:lang w:val="zh-CN"/>
        </w:rPr>
        <w:t>款</w:t>
      </w:r>
      <w:r>
        <w:rPr>
          <w:rFonts w:hint="eastAsia" w:ascii="宋体" w:hAnsi="宋体" w:eastAsia="宋体" w:cs="宋体"/>
          <w:spacing w:val="4"/>
        </w:rPr>
        <w:t>规定</w:t>
      </w:r>
      <w:r>
        <w:rPr>
          <w:rFonts w:hint="eastAsia" w:ascii="宋体" w:hAnsi="宋体" w:eastAsia="宋体" w:cs="宋体"/>
        </w:rPr>
        <w:t>提交履约担保的</w:t>
      </w:r>
      <w:r>
        <w:rPr>
          <w:rFonts w:hint="eastAsia" w:ascii="宋体" w:hAnsi="宋体" w:eastAsia="宋体" w:cs="宋体"/>
          <w:spacing w:val="4"/>
        </w:rPr>
        <w:t>，视为放弃</w:t>
      </w:r>
      <w:r>
        <w:rPr>
          <w:rFonts w:hint="eastAsia" w:ascii="宋体" w:hAnsi="宋体" w:eastAsia="宋体" w:cs="宋体"/>
        </w:rPr>
        <w:t>成交资格</w:t>
      </w:r>
      <w:r>
        <w:rPr>
          <w:rFonts w:hint="eastAsia" w:ascii="宋体" w:hAnsi="宋体" w:eastAsia="宋体" w:cs="宋体"/>
          <w:spacing w:val="4"/>
        </w:rPr>
        <w:t>，</w:t>
      </w:r>
      <w:r>
        <w:rPr>
          <w:rFonts w:hint="eastAsia" w:ascii="宋体" w:hAnsi="宋体" w:eastAsia="宋体" w:cs="宋体"/>
          <w:spacing w:val="2"/>
        </w:rPr>
        <w:t>其保证金不予退还。</w:t>
      </w:r>
    </w:p>
    <w:p w14:paraId="7C2F7981">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40.签订合同</w:t>
      </w:r>
    </w:p>
    <w:p w14:paraId="13E31E1D">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40.1成交供应商应当在成交通知书发出之日起30日内与招标人签订政府采购合同。</w:t>
      </w:r>
    </w:p>
    <w:p w14:paraId="2A41BCE9">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40.2磋商文件、成交供应商的响应文件等均为签订政府采购合同的依据。</w:t>
      </w:r>
    </w:p>
    <w:p w14:paraId="5B0B8081">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40.3 成交供应商应当按照合同约定履行义务。成交供应商不得向他人转让成交项目，也不得将成交项目分包后分别向他人转让。</w:t>
      </w:r>
    </w:p>
    <w:p w14:paraId="66FD9D28">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40.4 成交供应商有下列情形之一的，责令限期改正，情节严重的，列入不良行为记录名单，在1至3年内禁止参加</w:t>
      </w:r>
      <w:r>
        <w:rPr>
          <w:rFonts w:hint="eastAsia" w:hAnsi="宋体" w:cs="宋体"/>
          <w:lang w:eastAsia="zh-CN"/>
        </w:rPr>
        <w:t>招标活动</w:t>
      </w:r>
      <w:r>
        <w:rPr>
          <w:rFonts w:hint="eastAsia" w:ascii="宋体" w:hAnsi="宋体" w:eastAsia="宋体" w:cs="宋体"/>
        </w:rPr>
        <w:t>，并予以通报：</w:t>
      </w:r>
    </w:p>
    <w:p w14:paraId="63CB2FCC">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（一）成交后无正当理由不与招标人签订合同的；</w:t>
      </w:r>
    </w:p>
    <w:p w14:paraId="59206E8D">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（二）未按照采购文件确定的事项签订政府采购合同，或者与招标人另行订立背离合同实质性内容的协议的；</w:t>
      </w:r>
    </w:p>
    <w:p w14:paraId="2B773BAE">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（三）拒绝履行合同义务的；</w:t>
      </w:r>
    </w:p>
    <w:p w14:paraId="3ACC0FB3">
      <w:pPr>
        <w:pStyle w:val="26"/>
        <w:adjustRightInd w:val="0"/>
        <w:snapToGrid w:val="0"/>
        <w:spacing w:line="460" w:lineRule="exact"/>
        <w:ind w:firstLine="420" w:firstLineChars="200"/>
        <w:rPr>
          <w:rFonts w:hint="eastAsia" w:ascii="宋体" w:hAnsi="宋体" w:eastAsia="宋体" w:cs="宋体"/>
          <w:kern w:val="0"/>
        </w:rPr>
      </w:pPr>
      <w:r>
        <w:rPr>
          <w:rFonts w:hint="eastAsia" w:ascii="宋体" w:hAnsi="宋体" w:eastAsia="宋体" w:cs="宋体"/>
        </w:rPr>
        <w:t>（四）</w:t>
      </w:r>
      <w:r>
        <w:rPr>
          <w:rFonts w:hint="eastAsia" w:ascii="宋体" w:hAnsi="宋体" w:eastAsia="宋体" w:cs="宋体"/>
          <w:kern w:val="0"/>
        </w:rPr>
        <w:t>违反法律、规章、规范性文件规定的。</w:t>
      </w:r>
    </w:p>
    <w:p w14:paraId="0F885153">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七、其他规定</w:t>
      </w:r>
    </w:p>
    <w:p w14:paraId="27CA2740">
      <w:pPr>
        <w:adjustRightInd w:val="0"/>
        <w:snapToGrid w:val="0"/>
        <w:spacing w:line="460" w:lineRule="exact"/>
        <w:ind w:firstLine="420" w:firstLineChars="200"/>
        <w:rPr>
          <w:rFonts w:hint="eastAsia" w:ascii="宋体" w:hAnsi="宋体" w:eastAsia="宋体" w:cs="宋体"/>
          <w:b/>
          <w:szCs w:val="21"/>
        </w:rPr>
      </w:pPr>
      <w:r>
        <w:rPr>
          <w:rFonts w:hint="eastAsia" w:ascii="宋体" w:hAnsi="宋体" w:eastAsia="宋体" w:cs="宋体"/>
          <w:b/>
          <w:szCs w:val="21"/>
        </w:rPr>
        <w:t>41.1</w:t>
      </w:r>
      <w:r>
        <w:rPr>
          <w:rFonts w:hint="eastAsia" w:ascii="宋体" w:hAnsi="宋体" w:cs="宋体"/>
          <w:b/>
          <w:szCs w:val="21"/>
          <w:lang w:eastAsia="zh-CN"/>
        </w:rPr>
        <w:t>招标代理</w:t>
      </w:r>
      <w:r>
        <w:rPr>
          <w:rFonts w:hint="eastAsia" w:ascii="宋体" w:hAnsi="宋体" w:eastAsia="宋体" w:cs="宋体"/>
          <w:b/>
          <w:szCs w:val="21"/>
        </w:rPr>
        <w:t>服务费</w:t>
      </w:r>
    </w:p>
    <w:p w14:paraId="1981C376">
      <w:pPr>
        <w:tabs>
          <w:tab w:val="left" w:pos="420"/>
          <w:tab w:val="left" w:pos="7560"/>
          <w:tab w:val="left" w:pos="7740"/>
          <w:tab w:val="left" w:pos="7920"/>
        </w:tabs>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szCs w:val="21"/>
        </w:rPr>
        <w:t>41.1</w:t>
      </w:r>
      <w:r>
        <w:rPr>
          <w:rFonts w:hint="eastAsia" w:ascii="宋体" w:hAnsi="宋体" w:cs="宋体"/>
          <w:szCs w:val="21"/>
          <w:lang w:eastAsia="zh-CN"/>
        </w:rPr>
        <w:t>招标代理机构</w:t>
      </w:r>
      <w:r>
        <w:rPr>
          <w:rFonts w:hint="eastAsia" w:ascii="宋体" w:hAnsi="宋体" w:eastAsia="宋体" w:cs="宋体"/>
          <w:szCs w:val="21"/>
        </w:rPr>
        <w:t>应按</w:t>
      </w:r>
      <w:r>
        <w:rPr>
          <w:rFonts w:hint="eastAsia" w:ascii="宋体" w:hAnsi="宋体" w:eastAsia="宋体" w:cs="宋体"/>
          <w:b/>
          <w:szCs w:val="21"/>
        </w:rPr>
        <w:t>磋商须知前附表</w:t>
      </w:r>
      <w:r>
        <w:rPr>
          <w:rFonts w:hint="eastAsia" w:ascii="宋体" w:hAnsi="宋体" w:eastAsia="宋体" w:cs="宋体"/>
          <w:szCs w:val="21"/>
        </w:rPr>
        <w:t>规定收取</w:t>
      </w:r>
      <w:r>
        <w:rPr>
          <w:rFonts w:hint="eastAsia" w:ascii="宋体" w:hAnsi="宋体" w:cs="宋体"/>
          <w:szCs w:val="21"/>
          <w:lang w:eastAsia="zh-CN"/>
        </w:rPr>
        <w:t>招标代理</w:t>
      </w:r>
      <w:r>
        <w:rPr>
          <w:rFonts w:hint="eastAsia" w:ascii="宋体" w:hAnsi="宋体" w:eastAsia="宋体" w:cs="宋体"/>
          <w:szCs w:val="21"/>
        </w:rPr>
        <w:t>服务费。</w:t>
      </w:r>
    </w:p>
    <w:p w14:paraId="07113FF3">
      <w:pPr>
        <w:tabs>
          <w:tab w:val="left" w:pos="420"/>
          <w:tab w:val="left" w:pos="7560"/>
          <w:tab w:val="left" w:pos="7740"/>
          <w:tab w:val="left" w:pos="7920"/>
        </w:tabs>
        <w:adjustRightInd w:val="0"/>
        <w:snapToGrid w:val="0"/>
        <w:spacing w:line="460" w:lineRule="exact"/>
        <w:ind w:firstLine="420" w:firstLineChars="200"/>
        <w:rPr>
          <w:rFonts w:hint="eastAsia" w:ascii="宋体" w:hAnsi="宋体" w:eastAsia="宋体" w:cs="宋体"/>
          <w:b/>
        </w:rPr>
      </w:pPr>
      <w:r>
        <w:rPr>
          <w:rFonts w:hint="eastAsia" w:ascii="宋体" w:hAnsi="宋体" w:eastAsia="宋体" w:cs="宋体"/>
          <w:b/>
          <w:szCs w:val="21"/>
        </w:rPr>
        <w:t>42.</w:t>
      </w:r>
      <w:r>
        <w:rPr>
          <w:rFonts w:hint="eastAsia" w:ascii="宋体" w:hAnsi="宋体" w:eastAsia="宋体" w:cs="宋体"/>
          <w:b/>
        </w:rPr>
        <w:t xml:space="preserve"> 其他规定</w:t>
      </w:r>
    </w:p>
    <w:p w14:paraId="7134F0EE">
      <w:pPr>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rPr>
        <w:t>42.1</w:t>
      </w:r>
      <w:r>
        <w:rPr>
          <w:rFonts w:hint="eastAsia" w:ascii="宋体" w:hAnsi="宋体" w:eastAsia="宋体" w:cs="宋体"/>
          <w:szCs w:val="21"/>
        </w:rPr>
        <w:t>磋商文件</w:t>
      </w:r>
      <w:r>
        <w:rPr>
          <w:rFonts w:hint="eastAsia" w:ascii="宋体" w:hAnsi="宋体" w:eastAsia="宋体" w:cs="宋体"/>
        </w:rPr>
        <w:t>的其他规定</w:t>
      </w:r>
      <w:r>
        <w:rPr>
          <w:rFonts w:hint="eastAsia" w:ascii="宋体" w:hAnsi="宋体" w:eastAsia="宋体" w:cs="宋体"/>
          <w:szCs w:val="21"/>
        </w:rPr>
        <w:t>见</w:t>
      </w:r>
      <w:r>
        <w:rPr>
          <w:rFonts w:hint="eastAsia" w:ascii="宋体" w:hAnsi="宋体" w:eastAsia="宋体" w:cs="宋体"/>
          <w:b/>
          <w:szCs w:val="21"/>
        </w:rPr>
        <w:t>磋商须知前附表</w:t>
      </w:r>
      <w:r>
        <w:rPr>
          <w:rFonts w:hint="eastAsia" w:ascii="宋体" w:hAnsi="宋体" w:eastAsia="宋体" w:cs="宋体"/>
          <w:szCs w:val="21"/>
        </w:rPr>
        <w:t>。</w:t>
      </w:r>
    </w:p>
    <w:p w14:paraId="36F02031">
      <w:pPr>
        <w:widowControl/>
        <w:jc w:val="left"/>
        <w:rPr>
          <w:rFonts w:hint="eastAsia" w:ascii="宋体" w:hAnsi="宋体" w:eastAsia="宋体" w:cs="宋体"/>
          <w:b/>
          <w:sz w:val="32"/>
          <w:szCs w:val="32"/>
        </w:rPr>
      </w:pPr>
      <w:r>
        <w:rPr>
          <w:rFonts w:hint="eastAsia" w:ascii="宋体" w:hAnsi="宋体" w:eastAsia="宋体" w:cs="宋体"/>
          <w:b/>
          <w:sz w:val="32"/>
          <w:szCs w:val="32"/>
        </w:rPr>
        <w:br w:type="page"/>
      </w:r>
    </w:p>
    <w:p w14:paraId="640C290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sz w:val="32"/>
          <w:szCs w:val="32"/>
        </w:rPr>
      </w:pPr>
      <w:bookmarkStart w:id="26" w:name="_Toc11933142"/>
      <w:bookmarkStart w:id="27" w:name="_Toc21059"/>
      <w:bookmarkStart w:id="28" w:name="_Toc7063"/>
      <w:r>
        <w:rPr>
          <w:rFonts w:hint="eastAsia" w:ascii="宋体" w:hAnsi="宋体" w:eastAsia="宋体" w:cs="宋体"/>
          <w:b/>
          <w:bCs/>
          <w:sz w:val="32"/>
          <w:szCs w:val="32"/>
        </w:rPr>
        <w:t>第</w:t>
      </w:r>
      <w:r>
        <w:rPr>
          <w:rFonts w:hint="eastAsia" w:ascii="宋体" w:hAnsi="宋体" w:cs="宋体"/>
          <w:b/>
          <w:bCs/>
          <w:sz w:val="32"/>
          <w:szCs w:val="32"/>
          <w:lang w:eastAsia="zh-CN"/>
        </w:rPr>
        <w:t>三</w:t>
      </w:r>
      <w:r>
        <w:rPr>
          <w:rFonts w:hint="eastAsia" w:ascii="宋体" w:hAnsi="宋体" w:eastAsia="宋体" w:cs="宋体"/>
          <w:b/>
          <w:bCs/>
          <w:sz w:val="32"/>
          <w:szCs w:val="32"/>
        </w:rPr>
        <w:t xml:space="preserve">章 </w:t>
      </w:r>
      <w:bookmarkEnd w:id="26"/>
      <w:bookmarkEnd w:id="27"/>
      <w:r>
        <w:rPr>
          <w:rFonts w:hint="eastAsia" w:ascii="宋体" w:hAnsi="宋体" w:eastAsia="宋体" w:cs="宋体"/>
          <w:b/>
          <w:sz w:val="32"/>
          <w:szCs w:val="32"/>
        </w:rPr>
        <w:t>招标要求</w:t>
      </w:r>
      <w:bookmarkEnd w:id="28"/>
    </w:p>
    <w:p w14:paraId="0D1BC6C2">
      <w:pPr>
        <w:adjustRightInd w:val="0"/>
        <w:snapToGrid w:val="0"/>
        <w:spacing w:line="360" w:lineRule="auto"/>
        <w:ind w:firstLine="480" w:firstLineChars="200"/>
        <w:rPr>
          <w:rFonts w:hint="eastAsia" w:ascii="宋体" w:hAnsi="宋体" w:eastAsia="宋体" w:cs="宋体"/>
          <w:b/>
          <w:color w:val="000000"/>
          <w:sz w:val="24"/>
          <w:szCs w:val="24"/>
          <w:lang w:eastAsia="zh-CN"/>
        </w:rPr>
      </w:pPr>
      <w:r>
        <w:rPr>
          <w:rFonts w:hint="eastAsia" w:ascii="宋体" w:hAnsi="宋体" w:cs="宋体"/>
          <w:b/>
          <w:color w:val="000000"/>
          <w:sz w:val="24"/>
          <w:szCs w:val="24"/>
        </w:rPr>
        <w:t>一、项目名称：</w:t>
      </w:r>
      <w:r>
        <w:rPr>
          <w:rFonts w:hint="eastAsia" w:ascii="宋体" w:hAnsi="宋体" w:cs="宋体"/>
          <w:bCs/>
          <w:color w:val="000000"/>
          <w:sz w:val="24"/>
          <w:szCs w:val="24"/>
          <w:lang w:eastAsia="zh-CN"/>
        </w:rPr>
        <w:t>湘潭县2024年高标准农田建设项目初步验收第三方技术服务单位遴选</w:t>
      </w:r>
    </w:p>
    <w:p w14:paraId="5ED799FF">
      <w:pPr>
        <w:adjustRightInd w:val="0"/>
        <w:snapToGrid w:val="0"/>
        <w:spacing w:line="360" w:lineRule="auto"/>
        <w:ind w:firstLine="480" w:firstLineChars="200"/>
        <w:rPr>
          <w:rFonts w:hint="eastAsia" w:ascii="宋体" w:hAnsi="宋体" w:cs="宋体"/>
          <w:b/>
          <w:color w:val="000000"/>
          <w:sz w:val="24"/>
          <w:szCs w:val="24"/>
        </w:rPr>
      </w:pPr>
      <w:r>
        <w:rPr>
          <w:rFonts w:hint="eastAsia" w:ascii="宋体" w:hAnsi="宋体" w:cs="宋体"/>
          <w:b/>
          <w:color w:val="000000"/>
          <w:sz w:val="24"/>
          <w:szCs w:val="24"/>
        </w:rPr>
        <w:t>二、预算金额：</w:t>
      </w:r>
      <w:r>
        <w:rPr>
          <w:rFonts w:hint="eastAsia" w:ascii="宋体" w:hAnsi="宋体" w:cs="宋体"/>
          <w:b/>
          <w:color w:val="000000"/>
          <w:sz w:val="24"/>
          <w:szCs w:val="24"/>
          <w:lang w:eastAsia="zh-CN"/>
        </w:rPr>
        <w:t>300000.00</w:t>
      </w:r>
      <w:r>
        <w:rPr>
          <w:rFonts w:hint="eastAsia" w:ascii="宋体" w:hAnsi="宋体" w:cs="宋体"/>
          <w:b/>
          <w:color w:val="000000"/>
          <w:sz w:val="24"/>
          <w:szCs w:val="24"/>
        </w:rPr>
        <w:t>元（竞价人的报价不能高于预算金额，报价高于预算金额的，视为无效报价）</w:t>
      </w:r>
    </w:p>
    <w:p w14:paraId="2CA91DA9">
      <w:pPr>
        <w:adjustRightInd w:val="0"/>
        <w:snapToGrid w:val="0"/>
        <w:spacing w:line="360" w:lineRule="auto"/>
        <w:ind w:firstLine="480" w:firstLineChars="200"/>
        <w:rPr>
          <w:rFonts w:hint="eastAsia" w:ascii="宋体" w:hAnsi="宋体" w:cs="宋体"/>
          <w:b/>
          <w:color w:val="000000"/>
          <w:sz w:val="24"/>
          <w:szCs w:val="24"/>
        </w:rPr>
      </w:pPr>
      <w:r>
        <w:rPr>
          <w:rFonts w:hint="eastAsia" w:ascii="宋体" w:hAnsi="宋体" w:cs="宋体"/>
          <w:b/>
          <w:color w:val="000000"/>
          <w:sz w:val="24"/>
          <w:szCs w:val="24"/>
        </w:rPr>
        <w:t>三、项目基本情况：</w:t>
      </w:r>
    </w:p>
    <w:p w14:paraId="1C8B74B9">
      <w:pPr>
        <w:adjustRightInd w:val="0"/>
        <w:snapToGrid w:val="0"/>
        <w:spacing w:line="360" w:lineRule="auto"/>
        <w:ind w:firstLine="480" w:firstLineChars="2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基本情况：湘潭县2024年度高标准农田建设项目建设任务已基本完工，为客观掌握高标准农田建设成效和扎实做好自评工作，根据省农业农村厅《湖南省高标准农田建设项目验收规程》文件要求我县将对2024年度高标准农田建设项目进行县级初步验收。</w:t>
      </w:r>
    </w:p>
    <w:p w14:paraId="2F9B7452">
      <w:pPr>
        <w:adjustRightInd w:val="0"/>
        <w:snapToGrid w:val="0"/>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lang w:val="en-US" w:eastAsia="zh-CN"/>
        </w:rPr>
        <w:t>2.</w:t>
      </w:r>
      <w:r>
        <w:rPr>
          <w:rFonts w:hint="eastAsia" w:ascii="宋体" w:hAnsi="宋体" w:cs="宋体"/>
          <w:bCs/>
          <w:color w:val="000000"/>
          <w:sz w:val="24"/>
          <w:szCs w:val="24"/>
          <w:lang w:eastAsia="zh-CN"/>
        </w:rPr>
        <w:t>验收条件</w:t>
      </w:r>
      <w:r>
        <w:rPr>
          <w:rFonts w:hint="eastAsia" w:ascii="宋体" w:hAnsi="宋体" w:eastAsia="宋体" w:cs="宋体"/>
          <w:bCs/>
          <w:color w:val="000000"/>
          <w:sz w:val="24"/>
          <w:szCs w:val="24"/>
          <w:lang w:eastAsia="zh-CN"/>
        </w:rPr>
        <w:t>：</w:t>
      </w:r>
    </w:p>
    <w:p w14:paraId="75FBB68B">
      <w:pPr>
        <w:adjustRightInd w:val="0"/>
        <w:snapToGrid w:val="0"/>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lang w:eastAsia="zh-CN"/>
        </w:rPr>
        <w:t>（</w:t>
      </w:r>
      <w:r>
        <w:rPr>
          <w:rFonts w:hint="eastAsia" w:ascii="宋体" w:hAnsi="宋体" w:cs="宋体"/>
          <w:bCs/>
          <w:color w:val="000000"/>
          <w:sz w:val="24"/>
          <w:szCs w:val="24"/>
          <w:lang w:val="en-US" w:eastAsia="zh-CN"/>
        </w:rPr>
        <w:t>1</w:t>
      </w:r>
      <w:r>
        <w:rPr>
          <w:rFonts w:hint="eastAsia" w:ascii="宋体" w:hAnsi="宋体" w:cs="宋体"/>
          <w:bCs/>
          <w:color w:val="000000"/>
          <w:sz w:val="24"/>
          <w:szCs w:val="24"/>
          <w:lang w:eastAsia="zh-CN"/>
        </w:rPr>
        <w:t>）</w:t>
      </w:r>
      <w:r>
        <w:rPr>
          <w:rFonts w:hint="eastAsia" w:ascii="宋体" w:hAnsi="宋体" w:eastAsia="宋体" w:cs="宋体"/>
          <w:bCs/>
          <w:color w:val="000000"/>
          <w:sz w:val="24"/>
          <w:szCs w:val="24"/>
          <w:lang w:eastAsia="zh-CN"/>
        </w:rPr>
        <w:t>项目建设任务全部完成并已扫尾，各分部分项工程已经通过甲方代表、现场监理以及全过程造价咨询单位现场计量并验收合格</w:t>
      </w:r>
      <w:r>
        <w:rPr>
          <w:rFonts w:hint="eastAsia" w:ascii="宋体" w:hAnsi="宋体" w:cs="宋体"/>
          <w:bCs/>
          <w:color w:val="000000"/>
          <w:sz w:val="24"/>
          <w:szCs w:val="24"/>
          <w:lang w:eastAsia="zh-CN"/>
        </w:rPr>
        <w:t>；</w:t>
      </w:r>
    </w:p>
    <w:p w14:paraId="23019240">
      <w:pPr>
        <w:adjustRightInd w:val="0"/>
        <w:snapToGrid w:val="0"/>
        <w:spacing w:line="360" w:lineRule="auto"/>
        <w:ind w:firstLine="480" w:firstLineChars="200"/>
        <w:rPr>
          <w:rFonts w:hint="eastAsia" w:ascii="宋体" w:hAnsi="宋体" w:cs="宋体"/>
          <w:bCs/>
          <w:color w:val="000000"/>
          <w:sz w:val="24"/>
          <w:szCs w:val="24"/>
          <w:lang w:eastAsia="zh-CN"/>
        </w:rPr>
      </w:pPr>
      <w:r>
        <w:rPr>
          <w:rFonts w:hint="eastAsia" w:ascii="宋体" w:hAnsi="宋体" w:cs="宋体"/>
          <w:bCs/>
          <w:color w:val="000000"/>
          <w:sz w:val="24"/>
          <w:szCs w:val="24"/>
          <w:lang w:eastAsia="zh-CN"/>
        </w:rPr>
        <w:t>（</w:t>
      </w:r>
      <w:r>
        <w:rPr>
          <w:rFonts w:hint="eastAsia" w:ascii="宋体" w:hAnsi="宋体" w:cs="宋体"/>
          <w:bCs/>
          <w:color w:val="000000"/>
          <w:sz w:val="24"/>
          <w:szCs w:val="24"/>
          <w:lang w:val="en-US" w:eastAsia="zh-CN"/>
        </w:rPr>
        <w:t>2</w:t>
      </w:r>
      <w:r>
        <w:rPr>
          <w:rFonts w:hint="eastAsia" w:ascii="宋体" w:hAnsi="宋体" w:cs="宋体"/>
          <w:bCs/>
          <w:color w:val="000000"/>
          <w:sz w:val="24"/>
          <w:szCs w:val="24"/>
          <w:lang w:eastAsia="zh-CN"/>
        </w:rPr>
        <w:t>）</w:t>
      </w:r>
      <w:r>
        <w:rPr>
          <w:rFonts w:hint="eastAsia" w:ascii="宋体" w:hAnsi="宋体" w:eastAsia="宋体" w:cs="宋体"/>
          <w:bCs/>
          <w:color w:val="000000"/>
          <w:sz w:val="24"/>
          <w:szCs w:val="24"/>
          <w:lang w:eastAsia="zh-CN"/>
        </w:rPr>
        <w:t>项目建设资料完善，竣工结算资料齐全</w:t>
      </w:r>
      <w:r>
        <w:rPr>
          <w:rFonts w:hint="eastAsia" w:ascii="宋体" w:hAnsi="宋体" w:cs="宋体"/>
          <w:bCs/>
          <w:color w:val="000000"/>
          <w:sz w:val="24"/>
          <w:szCs w:val="24"/>
          <w:lang w:eastAsia="zh-CN"/>
        </w:rPr>
        <w:t>；</w:t>
      </w:r>
    </w:p>
    <w:p w14:paraId="6DC2FD22">
      <w:pPr>
        <w:adjustRightInd w:val="0"/>
        <w:snapToGrid w:val="0"/>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lang w:eastAsia="zh-CN"/>
        </w:rPr>
        <w:t>（</w:t>
      </w:r>
      <w:r>
        <w:rPr>
          <w:rFonts w:hint="eastAsia" w:ascii="宋体" w:hAnsi="宋体" w:cs="宋体"/>
          <w:bCs/>
          <w:color w:val="000000"/>
          <w:sz w:val="24"/>
          <w:szCs w:val="24"/>
          <w:lang w:val="en-US" w:eastAsia="zh-CN"/>
        </w:rPr>
        <w:t>3</w:t>
      </w:r>
      <w:r>
        <w:rPr>
          <w:rFonts w:hint="eastAsia" w:ascii="宋体" w:hAnsi="宋体" w:cs="宋体"/>
          <w:bCs/>
          <w:color w:val="000000"/>
          <w:sz w:val="24"/>
          <w:szCs w:val="24"/>
          <w:lang w:eastAsia="zh-CN"/>
        </w:rPr>
        <w:t>）</w:t>
      </w:r>
      <w:r>
        <w:rPr>
          <w:rFonts w:hint="eastAsia" w:ascii="宋体" w:hAnsi="宋体" w:eastAsia="宋体" w:cs="宋体"/>
          <w:bCs/>
          <w:color w:val="000000"/>
          <w:sz w:val="24"/>
          <w:szCs w:val="24"/>
          <w:lang w:eastAsia="zh-CN"/>
        </w:rPr>
        <w:t>提交县级初步验收申请，做好标段自评总结汇报材料并提供所有完成单项工程的数量清单。</w:t>
      </w:r>
    </w:p>
    <w:p w14:paraId="6C8B940B">
      <w:pPr>
        <w:adjustRightInd w:val="0"/>
        <w:snapToGrid w:val="0"/>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lang w:val="en-US" w:eastAsia="zh-CN"/>
        </w:rPr>
        <w:t>3.</w:t>
      </w:r>
      <w:r>
        <w:rPr>
          <w:rFonts w:hint="eastAsia" w:ascii="宋体" w:hAnsi="宋体" w:cs="宋体"/>
          <w:bCs/>
          <w:color w:val="000000"/>
          <w:sz w:val="24"/>
          <w:szCs w:val="24"/>
          <w:lang w:eastAsia="zh-CN"/>
        </w:rPr>
        <w:t>验收时间安排</w:t>
      </w:r>
      <w:r>
        <w:rPr>
          <w:rFonts w:hint="eastAsia" w:ascii="宋体" w:hAnsi="宋体" w:eastAsia="宋体" w:cs="宋体"/>
          <w:bCs/>
          <w:color w:val="000000"/>
          <w:sz w:val="24"/>
          <w:szCs w:val="24"/>
          <w:lang w:eastAsia="zh-CN"/>
        </w:rPr>
        <w:t>：</w:t>
      </w:r>
    </w:p>
    <w:p w14:paraId="0F90E2BC">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验收时间安排表</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7"/>
        <w:gridCol w:w="3000"/>
        <w:gridCol w:w="2516"/>
        <w:gridCol w:w="2763"/>
      </w:tblGrid>
      <w:tr w14:paraId="7EA8F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007" w:type="dxa"/>
            <w:vAlign w:val="center"/>
          </w:tcPr>
          <w:p w14:paraId="6F4B15A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序号</w:t>
            </w:r>
          </w:p>
        </w:tc>
        <w:tc>
          <w:tcPr>
            <w:tcW w:w="3000" w:type="dxa"/>
            <w:vAlign w:val="center"/>
          </w:tcPr>
          <w:p w14:paraId="093976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时间</w:t>
            </w:r>
          </w:p>
        </w:tc>
        <w:tc>
          <w:tcPr>
            <w:tcW w:w="2516" w:type="dxa"/>
            <w:vAlign w:val="center"/>
          </w:tcPr>
          <w:p w14:paraId="0855D5F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验收标段</w:t>
            </w:r>
          </w:p>
        </w:tc>
        <w:tc>
          <w:tcPr>
            <w:tcW w:w="2763" w:type="dxa"/>
            <w:vAlign w:val="center"/>
          </w:tcPr>
          <w:p w14:paraId="1F3431F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备注</w:t>
            </w:r>
          </w:p>
        </w:tc>
      </w:tr>
      <w:tr w14:paraId="6C938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007" w:type="dxa"/>
            <w:vAlign w:val="center"/>
          </w:tcPr>
          <w:p w14:paraId="4E52782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1</w:t>
            </w:r>
          </w:p>
        </w:tc>
        <w:tc>
          <w:tcPr>
            <w:tcW w:w="3000" w:type="dxa"/>
            <w:vAlign w:val="center"/>
          </w:tcPr>
          <w:p w14:paraId="5F64523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cs="宋体"/>
                <w:bCs/>
                <w:color w:val="000000"/>
                <w:sz w:val="21"/>
                <w:szCs w:val="21"/>
                <w:vertAlign w:val="baseline"/>
                <w:lang w:val="en-US" w:eastAsia="zh-CN"/>
              </w:rPr>
              <w:t>5</w:t>
            </w:r>
            <w:r>
              <w:rPr>
                <w:rFonts w:hint="eastAsia" w:ascii="宋体" w:hAnsi="宋体" w:eastAsia="宋体" w:cs="宋体"/>
                <w:bCs/>
                <w:color w:val="000000"/>
                <w:sz w:val="21"/>
                <w:szCs w:val="21"/>
                <w:vertAlign w:val="baseline"/>
                <w:lang w:val="en-US" w:eastAsia="zh-CN"/>
              </w:rPr>
              <w:t>月</w:t>
            </w:r>
            <w:r>
              <w:rPr>
                <w:rFonts w:hint="eastAsia" w:ascii="宋体" w:hAnsi="宋体" w:cs="宋体"/>
                <w:bCs/>
                <w:color w:val="000000"/>
                <w:sz w:val="21"/>
                <w:szCs w:val="21"/>
                <w:vertAlign w:val="baseline"/>
                <w:lang w:val="en-US" w:eastAsia="zh-CN"/>
              </w:rPr>
              <w:t>6</w:t>
            </w:r>
            <w:r>
              <w:rPr>
                <w:rFonts w:hint="eastAsia" w:ascii="宋体" w:hAnsi="宋体" w:eastAsia="宋体" w:cs="宋体"/>
                <w:bCs/>
                <w:color w:val="000000"/>
                <w:sz w:val="21"/>
                <w:szCs w:val="21"/>
                <w:vertAlign w:val="baseline"/>
                <w:lang w:val="en-US" w:eastAsia="zh-CN"/>
              </w:rPr>
              <w:t>日-</w:t>
            </w:r>
            <w:r>
              <w:rPr>
                <w:rFonts w:hint="eastAsia" w:ascii="宋体" w:hAnsi="宋体" w:cs="宋体"/>
                <w:bCs/>
                <w:color w:val="000000"/>
                <w:sz w:val="21"/>
                <w:szCs w:val="21"/>
                <w:vertAlign w:val="baseline"/>
                <w:lang w:val="en-US" w:eastAsia="zh-CN"/>
              </w:rPr>
              <w:t>6</w:t>
            </w:r>
            <w:r>
              <w:rPr>
                <w:rFonts w:hint="eastAsia" w:ascii="宋体" w:hAnsi="宋体" w:eastAsia="宋体" w:cs="宋体"/>
                <w:bCs/>
                <w:color w:val="000000"/>
                <w:sz w:val="21"/>
                <w:szCs w:val="21"/>
                <w:vertAlign w:val="baseline"/>
                <w:lang w:val="en-US" w:eastAsia="zh-CN"/>
              </w:rPr>
              <w:t>月</w:t>
            </w:r>
            <w:r>
              <w:rPr>
                <w:rFonts w:hint="eastAsia" w:ascii="宋体" w:hAnsi="宋体" w:cs="宋体"/>
                <w:bCs/>
                <w:color w:val="000000"/>
                <w:sz w:val="21"/>
                <w:szCs w:val="21"/>
                <w:vertAlign w:val="baseline"/>
                <w:lang w:val="en-US" w:eastAsia="zh-CN"/>
              </w:rPr>
              <w:t>11</w:t>
            </w:r>
            <w:r>
              <w:rPr>
                <w:rFonts w:hint="eastAsia" w:ascii="宋体" w:hAnsi="宋体" w:eastAsia="宋体" w:cs="宋体"/>
                <w:bCs/>
                <w:color w:val="000000"/>
                <w:sz w:val="21"/>
                <w:szCs w:val="21"/>
                <w:vertAlign w:val="baseline"/>
                <w:lang w:val="en-US" w:eastAsia="zh-CN"/>
              </w:rPr>
              <w:t>日</w:t>
            </w:r>
          </w:p>
        </w:tc>
        <w:tc>
          <w:tcPr>
            <w:tcW w:w="2516" w:type="dxa"/>
            <w:vAlign w:val="center"/>
          </w:tcPr>
          <w:p w14:paraId="6739AB1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eastAsia="宋体" w:cs="宋体"/>
                <w:bCs/>
                <w:color w:val="000000"/>
                <w:sz w:val="21"/>
                <w:szCs w:val="21"/>
                <w:vertAlign w:val="baseline"/>
                <w:lang w:val="en-US" w:eastAsia="zh-CN"/>
              </w:rPr>
              <w:t>所有施工标段</w:t>
            </w:r>
          </w:p>
        </w:tc>
        <w:tc>
          <w:tcPr>
            <w:tcW w:w="2763" w:type="dxa"/>
            <w:vAlign w:val="center"/>
          </w:tcPr>
          <w:p w14:paraId="200A13F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eastAsia="宋体" w:cs="宋体"/>
                <w:bCs/>
                <w:color w:val="000000"/>
                <w:sz w:val="21"/>
                <w:szCs w:val="21"/>
                <w:vertAlign w:val="baseline"/>
                <w:lang w:val="en-US" w:eastAsia="zh-CN"/>
              </w:rPr>
              <w:t>外业复核、内业整理</w:t>
            </w:r>
          </w:p>
        </w:tc>
      </w:tr>
      <w:tr w14:paraId="154DF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007" w:type="dxa"/>
            <w:vAlign w:val="center"/>
          </w:tcPr>
          <w:p w14:paraId="1E1B4B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2</w:t>
            </w:r>
          </w:p>
        </w:tc>
        <w:tc>
          <w:tcPr>
            <w:tcW w:w="3000" w:type="dxa"/>
            <w:vAlign w:val="center"/>
          </w:tcPr>
          <w:p w14:paraId="0A0CA3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cs="宋体"/>
                <w:bCs/>
                <w:color w:val="000000"/>
                <w:sz w:val="21"/>
                <w:szCs w:val="21"/>
                <w:vertAlign w:val="baseline"/>
                <w:lang w:val="en-US" w:eastAsia="zh-CN"/>
              </w:rPr>
              <w:t>6</w:t>
            </w:r>
            <w:r>
              <w:rPr>
                <w:rFonts w:hint="eastAsia" w:ascii="宋体" w:hAnsi="宋体" w:eastAsia="宋体" w:cs="宋体"/>
                <w:bCs/>
                <w:color w:val="000000"/>
                <w:sz w:val="21"/>
                <w:szCs w:val="21"/>
                <w:vertAlign w:val="baseline"/>
                <w:lang w:val="en-US" w:eastAsia="zh-CN"/>
              </w:rPr>
              <w:t>月</w:t>
            </w:r>
            <w:r>
              <w:rPr>
                <w:rFonts w:hint="eastAsia" w:ascii="宋体" w:hAnsi="宋体" w:cs="宋体"/>
                <w:bCs/>
                <w:color w:val="000000"/>
                <w:sz w:val="21"/>
                <w:szCs w:val="21"/>
                <w:vertAlign w:val="baseline"/>
                <w:lang w:val="en-US" w:eastAsia="zh-CN"/>
              </w:rPr>
              <w:t>12</w:t>
            </w:r>
            <w:r>
              <w:rPr>
                <w:rFonts w:hint="eastAsia" w:ascii="宋体" w:hAnsi="宋体" w:eastAsia="宋体" w:cs="宋体"/>
                <w:bCs/>
                <w:color w:val="000000"/>
                <w:sz w:val="21"/>
                <w:szCs w:val="21"/>
                <w:vertAlign w:val="baseline"/>
                <w:lang w:val="en-US" w:eastAsia="zh-CN"/>
              </w:rPr>
              <w:t>日上午</w:t>
            </w:r>
          </w:p>
        </w:tc>
        <w:tc>
          <w:tcPr>
            <w:tcW w:w="2516" w:type="dxa"/>
            <w:vAlign w:val="center"/>
          </w:tcPr>
          <w:p w14:paraId="70748E1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eastAsia="宋体" w:cs="宋体"/>
                <w:bCs/>
                <w:color w:val="000000"/>
                <w:sz w:val="21"/>
                <w:szCs w:val="21"/>
                <w:vertAlign w:val="baseline"/>
                <w:lang w:val="en-US" w:eastAsia="zh-CN"/>
              </w:rPr>
              <w:t>1-15、33 标段</w:t>
            </w:r>
          </w:p>
        </w:tc>
        <w:tc>
          <w:tcPr>
            <w:tcW w:w="2763" w:type="dxa"/>
            <w:vAlign w:val="center"/>
          </w:tcPr>
          <w:p w14:paraId="4E0D81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eastAsia="宋体" w:cs="宋体"/>
                <w:bCs/>
                <w:color w:val="000000"/>
                <w:sz w:val="21"/>
                <w:szCs w:val="21"/>
                <w:vertAlign w:val="baseline"/>
                <w:lang w:val="en-US" w:eastAsia="zh-CN"/>
              </w:rPr>
              <w:t>国债标段</w:t>
            </w:r>
          </w:p>
        </w:tc>
      </w:tr>
      <w:tr w14:paraId="641D9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007" w:type="dxa"/>
            <w:vAlign w:val="center"/>
          </w:tcPr>
          <w:p w14:paraId="750DF1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3</w:t>
            </w:r>
          </w:p>
        </w:tc>
        <w:tc>
          <w:tcPr>
            <w:tcW w:w="3000" w:type="dxa"/>
            <w:vAlign w:val="center"/>
          </w:tcPr>
          <w:p w14:paraId="54F181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cs="宋体"/>
                <w:bCs/>
                <w:color w:val="000000"/>
                <w:sz w:val="21"/>
                <w:szCs w:val="21"/>
                <w:vertAlign w:val="baseline"/>
                <w:lang w:val="en-US" w:eastAsia="zh-CN"/>
              </w:rPr>
              <w:t>6</w:t>
            </w:r>
            <w:r>
              <w:rPr>
                <w:rFonts w:hint="eastAsia" w:ascii="宋体" w:hAnsi="宋体" w:eastAsia="宋体" w:cs="宋体"/>
                <w:bCs/>
                <w:color w:val="000000"/>
                <w:sz w:val="21"/>
                <w:szCs w:val="21"/>
                <w:vertAlign w:val="baseline"/>
                <w:lang w:val="en-US" w:eastAsia="zh-CN"/>
              </w:rPr>
              <w:t>月</w:t>
            </w:r>
            <w:r>
              <w:rPr>
                <w:rFonts w:hint="eastAsia" w:ascii="宋体" w:hAnsi="宋体" w:cs="宋体"/>
                <w:bCs/>
                <w:color w:val="000000"/>
                <w:sz w:val="21"/>
                <w:szCs w:val="21"/>
                <w:vertAlign w:val="baseline"/>
                <w:lang w:val="en-US" w:eastAsia="zh-CN"/>
              </w:rPr>
              <w:t>12</w:t>
            </w:r>
            <w:r>
              <w:rPr>
                <w:rFonts w:hint="eastAsia" w:ascii="宋体" w:hAnsi="宋体" w:eastAsia="宋体" w:cs="宋体"/>
                <w:bCs/>
                <w:color w:val="000000"/>
                <w:sz w:val="21"/>
                <w:szCs w:val="21"/>
                <w:vertAlign w:val="baseline"/>
                <w:lang w:val="en-US" w:eastAsia="zh-CN"/>
              </w:rPr>
              <w:t>日下午</w:t>
            </w:r>
          </w:p>
        </w:tc>
        <w:tc>
          <w:tcPr>
            <w:tcW w:w="2516" w:type="dxa"/>
            <w:vAlign w:val="center"/>
          </w:tcPr>
          <w:p w14:paraId="77D7910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eastAsia="宋体" w:cs="宋体"/>
                <w:bCs/>
                <w:color w:val="000000"/>
                <w:sz w:val="21"/>
                <w:szCs w:val="21"/>
                <w:vertAlign w:val="baseline"/>
                <w:lang w:val="en-US" w:eastAsia="zh-CN"/>
              </w:rPr>
              <w:t>28-32、34-39标段</w:t>
            </w:r>
          </w:p>
        </w:tc>
        <w:tc>
          <w:tcPr>
            <w:tcW w:w="2763" w:type="dxa"/>
            <w:vAlign w:val="center"/>
          </w:tcPr>
          <w:p w14:paraId="58CDF66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eastAsia="宋体" w:cs="宋体"/>
                <w:bCs/>
                <w:color w:val="000000"/>
                <w:sz w:val="21"/>
                <w:szCs w:val="21"/>
                <w:vertAlign w:val="baseline"/>
                <w:lang w:val="en-US" w:eastAsia="zh-CN"/>
              </w:rPr>
              <w:t>省级配套、中央预内标段</w:t>
            </w:r>
          </w:p>
        </w:tc>
      </w:tr>
      <w:tr w14:paraId="40677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007" w:type="dxa"/>
            <w:vAlign w:val="center"/>
          </w:tcPr>
          <w:p w14:paraId="03605B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4</w:t>
            </w:r>
          </w:p>
        </w:tc>
        <w:tc>
          <w:tcPr>
            <w:tcW w:w="3000" w:type="dxa"/>
            <w:vAlign w:val="center"/>
          </w:tcPr>
          <w:p w14:paraId="3E483F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cs="宋体"/>
                <w:bCs/>
                <w:color w:val="000000"/>
                <w:sz w:val="21"/>
                <w:szCs w:val="21"/>
                <w:vertAlign w:val="baseline"/>
                <w:lang w:val="en-US" w:eastAsia="zh-CN"/>
              </w:rPr>
              <w:t>6</w:t>
            </w:r>
            <w:r>
              <w:rPr>
                <w:rFonts w:hint="eastAsia" w:ascii="宋体" w:hAnsi="宋体" w:eastAsia="宋体" w:cs="宋体"/>
                <w:bCs/>
                <w:color w:val="000000"/>
                <w:sz w:val="21"/>
                <w:szCs w:val="21"/>
                <w:vertAlign w:val="baseline"/>
                <w:lang w:val="en-US" w:eastAsia="zh-CN"/>
              </w:rPr>
              <w:t>月</w:t>
            </w:r>
            <w:r>
              <w:rPr>
                <w:rFonts w:hint="eastAsia" w:ascii="宋体" w:hAnsi="宋体" w:cs="宋体"/>
                <w:bCs/>
                <w:color w:val="000000"/>
                <w:sz w:val="21"/>
                <w:szCs w:val="21"/>
                <w:vertAlign w:val="baseline"/>
                <w:lang w:val="en-US" w:eastAsia="zh-CN"/>
              </w:rPr>
              <w:t>13</w:t>
            </w:r>
            <w:r>
              <w:rPr>
                <w:rFonts w:hint="eastAsia" w:ascii="宋体" w:hAnsi="宋体" w:eastAsia="宋体" w:cs="宋体"/>
                <w:bCs/>
                <w:color w:val="000000"/>
                <w:sz w:val="21"/>
                <w:szCs w:val="21"/>
                <w:vertAlign w:val="baseline"/>
                <w:lang w:val="en-US" w:eastAsia="zh-CN"/>
              </w:rPr>
              <w:t>日上午</w:t>
            </w:r>
          </w:p>
        </w:tc>
        <w:tc>
          <w:tcPr>
            <w:tcW w:w="2516" w:type="dxa"/>
            <w:vAlign w:val="center"/>
          </w:tcPr>
          <w:p w14:paraId="45C264E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eastAsia="宋体" w:cs="宋体"/>
                <w:bCs/>
                <w:color w:val="000000"/>
                <w:sz w:val="21"/>
                <w:szCs w:val="21"/>
                <w:vertAlign w:val="baseline"/>
                <w:lang w:val="en-US" w:eastAsia="zh-CN"/>
              </w:rPr>
              <w:t>投贷联动标段</w:t>
            </w:r>
          </w:p>
        </w:tc>
        <w:tc>
          <w:tcPr>
            <w:tcW w:w="2763" w:type="dxa"/>
            <w:vAlign w:val="center"/>
          </w:tcPr>
          <w:p w14:paraId="406F68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1"/>
                <w:szCs w:val="21"/>
                <w:vertAlign w:val="baseline"/>
                <w:lang w:val="en-US" w:eastAsia="zh-CN"/>
              </w:rPr>
            </w:pPr>
            <w:r>
              <w:rPr>
                <w:rFonts w:hint="eastAsia" w:ascii="宋体" w:hAnsi="宋体" w:eastAsia="宋体" w:cs="宋体"/>
                <w:bCs/>
                <w:color w:val="000000"/>
                <w:sz w:val="21"/>
                <w:szCs w:val="21"/>
                <w:vertAlign w:val="baseline"/>
                <w:lang w:val="en-US" w:eastAsia="zh-CN"/>
              </w:rPr>
              <w:t>国债、中央预内</w:t>
            </w:r>
          </w:p>
        </w:tc>
      </w:tr>
      <w:tr w14:paraId="1AF29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007" w:type="dxa"/>
            <w:vAlign w:val="center"/>
          </w:tcPr>
          <w:p w14:paraId="2D6AD7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sz w:val="24"/>
                <w:szCs w:val="24"/>
                <w:vertAlign w:val="baseline"/>
                <w:lang w:val="en-US" w:eastAsia="zh-CN"/>
              </w:rPr>
            </w:pPr>
            <w:r>
              <w:rPr>
                <w:rFonts w:hint="eastAsia" w:ascii="宋体" w:hAnsi="宋体" w:cs="宋体"/>
                <w:bCs/>
                <w:color w:val="000000"/>
                <w:sz w:val="24"/>
                <w:szCs w:val="24"/>
                <w:vertAlign w:val="baseline"/>
                <w:lang w:val="en-US" w:eastAsia="zh-CN"/>
              </w:rPr>
              <w:t>备注</w:t>
            </w:r>
          </w:p>
        </w:tc>
        <w:tc>
          <w:tcPr>
            <w:tcW w:w="8279" w:type="dxa"/>
            <w:gridSpan w:val="3"/>
            <w:vAlign w:val="center"/>
          </w:tcPr>
          <w:p w14:paraId="78279D2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Cs/>
                <w:color w:val="000000"/>
                <w:sz w:val="24"/>
                <w:szCs w:val="24"/>
                <w:vertAlign w:val="baseline"/>
                <w:lang w:val="en-US" w:eastAsia="zh-CN"/>
              </w:rPr>
            </w:pPr>
            <w:r>
              <w:rPr>
                <w:rFonts w:hint="eastAsia" w:ascii="宋体" w:hAnsi="宋体" w:eastAsia="宋体" w:cs="宋体"/>
                <w:bCs/>
                <w:color w:val="000000"/>
                <w:sz w:val="24"/>
                <w:szCs w:val="24"/>
                <w:vertAlign w:val="baseline"/>
                <w:lang w:val="en-US" w:eastAsia="zh-CN"/>
              </w:rPr>
              <w:t>时间如有异动，以实际通知为准。</w:t>
            </w:r>
          </w:p>
        </w:tc>
      </w:tr>
    </w:tbl>
    <w:p w14:paraId="52DBDACB">
      <w:pPr>
        <w:keepNext w:val="0"/>
        <w:keepLines w:val="0"/>
        <w:pageBreakBefore w:val="0"/>
        <w:widowControl w:val="0"/>
        <w:kinsoku/>
        <w:wordWrap/>
        <w:overflowPunct/>
        <w:topLinePunct w:val="0"/>
        <w:autoSpaceDE/>
        <w:autoSpaceDN/>
        <w:bidi w:val="0"/>
        <w:adjustRightInd w:val="0"/>
        <w:snapToGrid w:val="0"/>
        <w:spacing w:before="166" w:beforeLines="50" w:line="360" w:lineRule="auto"/>
        <w:ind w:firstLine="480" w:firstLineChars="200"/>
        <w:textAlignment w:val="auto"/>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lang w:val="en-US" w:eastAsia="zh-CN"/>
        </w:rPr>
        <w:t>4.</w:t>
      </w:r>
      <w:r>
        <w:rPr>
          <w:rFonts w:hint="eastAsia" w:ascii="宋体" w:hAnsi="宋体" w:cs="宋体"/>
          <w:bCs/>
          <w:color w:val="000000"/>
          <w:sz w:val="24"/>
          <w:szCs w:val="24"/>
          <w:lang w:eastAsia="zh-CN"/>
        </w:rPr>
        <w:t>质量标准</w:t>
      </w:r>
      <w:r>
        <w:rPr>
          <w:rFonts w:hint="eastAsia" w:ascii="宋体" w:hAnsi="宋体" w:eastAsia="宋体" w:cs="宋体"/>
          <w:bCs/>
          <w:color w:val="000000"/>
          <w:sz w:val="24"/>
          <w:szCs w:val="24"/>
          <w:lang w:eastAsia="zh-CN"/>
        </w:rPr>
        <w:t>：</w:t>
      </w:r>
      <w:r>
        <w:rPr>
          <w:rFonts w:hint="eastAsia" w:ascii="宋体" w:hAnsi="宋体" w:eastAsia="宋体" w:cs="宋体"/>
          <w:bCs/>
          <w:color w:val="000000"/>
          <w:sz w:val="24"/>
          <w:szCs w:val="24"/>
          <w:lang w:val="en-US" w:eastAsia="zh-CN"/>
        </w:rPr>
        <w:t>根据省农业农村厅《湖南省高标准农田建设项目验收规程》文件</w:t>
      </w:r>
      <w:r>
        <w:rPr>
          <w:rFonts w:hint="eastAsia" w:ascii="宋体" w:hAnsi="宋体" w:cs="宋体"/>
          <w:bCs/>
          <w:color w:val="000000"/>
          <w:sz w:val="24"/>
          <w:szCs w:val="24"/>
          <w:lang w:val="en-US" w:eastAsia="zh-CN"/>
        </w:rPr>
        <w:t>要求</w:t>
      </w:r>
      <w:r>
        <w:rPr>
          <w:rFonts w:hint="eastAsia" w:ascii="宋体" w:hAnsi="宋体" w:eastAsia="宋体" w:cs="宋体"/>
          <w:bCs/>
          <w:color w:val="000000"/>
          <w:sz w:val="24"/>
          <w:szCs w:val="24"/>
          <w:lang w:eastAsia="zh-CN"/>
        </w:rPr>
        <w:t>。</w:t>
      </w:r>
    </w:p>
    <w:p w14:paraId="6AF91CCE">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35"/>
        <w:textAlignment w:val="auto"/>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四、验收</w:t>
      </w:r>
      <w:r>
        <w:rPr>
          <w:rFonts w:hint="eastAsia" w:ascii="宋体" w:hAnsi="宋体" w:cs="宋体"/>
          <w:b/>
          <w:sz w:val="24"/>
          <w:szCs w:val="24"/>
          <w:highlight w:val="none"/>
          <w:lang w:val="en-US" w:eastAsia="zh-CN"/>
        </w:rPr>
        <w:t>方法及要求</w:t>
      </w:r>
    </w:p>
    <w:p w14:paraId="49C843FC">
      <w:pPr>
        <w:pStyle w:val="62"/>
        <w:spacing w:line="360" w:lineRule="auto"/>
        <w:rPr>
          <w:rFonts w:hint="eastAsia" w:ascii="宋体" w:hAnsi="宋体" w:eastAsia="宋体" w:cs="宋体"/>
        </w:rPr>
      </w:pPr>
      <w:r>
        <w:rPr>
          <w:rFonts w:hint="eastAsia" w:ascii="宋体" w:hAnsi="宋体" w:eastAsia="宋体" w:cs="宋体"/>
          <w:sz w:val="24"/>
          <w:szCs w:val="24"/>
        </w:rPr>
        <w:t>对2024年度高标准农田建设所有标段举牌验收工程量进行(开仓)复核，其中长度采用滚轮测量仪测量，厚度采用电钻打孔(必要的时候取芯)。并对项目实施全过程资料按照省厅验收规程进行整理归档并出具县级初步验收报告。</w:t>
      </w:r>
      <w:r>
        <w:rPr>
          <w:rFonts w:hint="eastAsia" w:ascii="宋体" w:hAnsi="宋体" w:eastAsia="宋体" w:cs="宋体"/>
          <w:sz w:val="24"/>
          <w:szCs w:val="24"/>
        </w:rPr>
        <w:br w:type="page"/>
      </w:r>
      <w:bookmarkStart w:id="29" w:name="_Toc2565"/>
    </w:p>
    <w:p w14:paraId="7F243D9C">
      <w:pPr>
        <w:spacing w:line="360" w:lineRule="exact"/>
        <w:jc w:val="center"/>
        <w:outlineLvl w:val="0"/>
        <w:rPr>
          <w:rFonts w:hint="eastAsia" w:ascii="宋体" w:hAnsi="宋体" w:eastAsia="宋体" w:cs="宋体"/>
          <w:b/>
          <w:bCs/>
          <w:sz w:val="32"/>
          <w:szCs w:val="32"/>
        </w:rPr>
      </w:pPr>
      <w:bookmarkStart w:id="30" w:name="_Toc31406"/>
      <w:r>
        <w:rPr>
          <w:rFonts w:hint="eastAsia" w:ascii="宋体" w:hAnsi="宋体" w:eastAsia="宋体" w:cs="宋体"/>
          <w:b/>
          <w:bCs/>
          <w:sz w:val="32"/>
          <w:szCs w:val="32"/>
        </w:rPr>
        <w:t>第五章 响应文件组成</w:t>
      </w:r>
      <w:bookmarkEnd w:id="29"/>
      <w:bookmarkEnd w:id="30"/>
    </w:p>
    <w:p w14:paraId="1E5D781F">
      <w:pPr>
        <w:spacing w:line="360" w:lineRule="exact"/>
        <w:rPr>
          <w:rFonts w:hint="eastAsia" w:ascii="宋体" w:hAnsi="宋体" w:eastAsia="宋体" w:cs="宋体"/>
        </w:rPr>
      </w:pPr>
    </w:p>
    <w:p w14:paraId="5F7D6041">
      <w:pPr>
        <w:spacing w:line="400" w:lineRule="exact"/>
        <w:jc w:val="center"/>
        <w:rPr>
          <w:rFonts w:hint="eastAsia" w:ascii="宋体" w:hAnsi="宋体" w:eastAsia="宋体" w:cs="宋体"/>
          <w:b/>
          <w:bCs/>
          <w:szCs w:val="21"/>
        </w:rPr>
      </w:pPr>
    </w:p>
    <w:p w14:paraId="63B552FF">
      <w:pPr>
        <w:spacing w:line="360" w:lineRule="auto"/>
        <w:rPr>
          <w:rFonts w:hint="eastAsia" w:ascii="宋体" w:hAnsi="宋体" w:eastAsia="宋体" w:cs="宋体"/>
          <w:szCs w:val="21"/>
        </w:rPr>
      </w:pPr>
      <w:r>
        <w:rPr>
          <w:rFonts w:hint="eastAsia" w:ascii="宋体" w:hAnsi="宋体" w:eastAsia="宋体" w:cs="宋体"/>
          <w:szCs w:val="21"/>
        </w:rPr>
        <w:t>供应商的响应文件应包含以下部分：</w:t>
      </w:r>
    </w:p>
    <w:p w14:paraId="5E6BB6F7">
      <w:pPr>
        <w:spacing w:line="360" w:lineRule="auto"/>
        <w:rPr>
          <w:rFonts w:hint="eastAsia" w:ascii="宋体" w:hAnsi="宋体" w:eastAsia="宋体" w:cs="宋体"/>
          <w:b/>
          <w:bCs/>
          <w:szCs w:val="21"/>
        </w:rPr>
      </w:pPr>
      <w:r>
        <w:rPr>
          <w:rFonts w:hint="eastAsia" w:ascii="宋体" w:hAnsi="宋体" w:eastAsia="宋体" w:cs="宋体"/>
          <w:b/>
          <w:bCs/>
          <w:szCs w:val="21"/>
        </w:rPr>
        <w:t>一、磋商响应声明</w:t>
      </w:r>
    </w:p>
    <w:p w14:paraId="658A1BF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附件1：</w:t>
      </w:r>
      <w:r>
        <w:rPr>
          <w:rFonts w:hint="eastAsia" w:ascii="宋体" w:hAnsi="宋体" w:cs="宋体"/>
          <w:szCs w:val="21"/>
          <w:lang w:eastAsia="zh-CN"/>
        </w:rPr>
        <w:t>法定代表人（单位负责人）</w:t>
      </w:r>
      <w:r>
        <w:rPr>
          <w:rFonts w:hint="eastAsia" w:ascii="宋体" w:hAnsi="宋体" w:eastAsia="宋体" w:cs="宋体"/>
          <w:szCs w:val="21"/>
        </w:rPr>
        <w:t>身份证明(</w:t>
      </w:r>
      <w:r>
        <w:rPr>
          <w:rFonts w:hint="eastAsia" w:ascii="宋体" w:hAnsi="宋体" w:cs="宋体"/>
          <w:szCs w:val="21"/>
          <w:lang w:eastAsia="zh-CN"/>
        </w:rPr>
        <w:t>法定代表人（单位负责人）</w:t>
      </w:r>
      <w:r>
        <w:rPr>
          <w:rFonts w:hint="eastAsia" w:ascii="宋体" w:hAnsi="宋体" w:eastAsia="宋体" w:cs="宋体"/>
          <w:szCs w:val="21"/>
        </w:rPr>
        <w:t>参加磋商)</w:t>
      </w:r>
    </w:p>
    <w:p w14:paraId="479EEA92">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附件2：</w:t>
      </w:r>
      <w:r>
        <w:rPr>
          <w:rFonts w:hint="eastAsia" w:ascii="宋体" w:hAnsi="宋体" w:cs="宋体"/>
          <w:szCs w:val="21"/>
          <w:lang w:eastAsia="zh-CN"/>
        </w:rPr>
        <w:t>法定代表人（单位负责人）</w:t>
      </w:r>
      <w:r>
        <w:rPr>
          <w:rFonts w:hint="eastAsia" w:ascii="宋体" w:hAnsi="宋体" w:eastAsia="宋体" w:cs="宋体"/>
          <w:szCs w:val="21"/>
        </w:rPr>
        <w:t>授权书(委托代理人参加磋商)</w:t>
      </w:r>
    </w:p>
    <w:p w14:paraId="5D2C3E9C">
      <w:pPr>
        <w:spacing w:line="360" w:lineRule="auto"/>
        <w:rPr>
          <w:rFonts w:hint="eastAsia" w:ascii="宋体" w:hAnsi="宋体" w:eastAsia="宋体" w:cs="宋体"/>
          <w:b/>
          <w:bCs/>
          <w:szCs w:val="21"/>
        </w:rPr>
      </w:pPr>
      <w:r>
        <w:rPr>
          <w:rFonts w:hint="eastAsia" w:ascii="宋体" w:hAnsi="宋体" w:eastAsia="宋体" w:cs="宋体"/>
          <w:b/>
          <w:bCs/>
          <w:szCs w:val="21"/>
          <w:lang w:eastAsia="zh-CN"/>
        </w:rPr>
        <w:t>二</w:t>
      </w:r>
      <w:r>
        <w:rPr>
          <w:rFonts w:hint="eastAsia" w:ascii="宋体" w:hAnsi="宋体" w:eastAsia="宋体" w:cs="宋体"/>
          <w:b/>
          <w:bCs/>
          <w:szCs w:val="21"/>
        </w:rPr>
        <w:t>、供应商的资格证明资料</w:t>
      </w:r>
    </w:p>
    <w:p w14:paraId="09B4DF3E">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附件3：供应商基本情况表</w:t>
      </w:r>
    </w:p>
    <w:p w14:paraId="0C2E9A7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附件4：磋商文件规定的资格条件证明资料</w:t>
      </w:r>
    </w:p>
    <w:p w14:paraId="003DC403">
      <w:pPr>
        <w:spacing w:line="360" w:lineRule="auto"/>
        <w:rPr>
          <w:rFonts w:hint="eastAsia" w:ascii="宋体" w:hAnsi="宋体" w:eastAsia="宋体" w:cs="宋体"/>
          <w:b/>
          <w:bCs/>
          <w:szCs w:val="21"/>
        </w:rPr>
      </w:pPr>
      <w:r>
        <w:rPr>
          <w:rFonts w:hint="eastAsia" w:ascii="宋体" w:hAnsi="宋体" w:eastAsia="宋体" w:cs="宋体"/>
          <w:b/>
          <w:bCs/>
          <w:szCs w:val="21"/>
          <w:lang w:eastAsia="zh-CN"/>
        </w:rPr>
        <w:t>三</w:t>
      </w:r>
      <w:r>
        <w:rPr>
          <w:rFonts w:hint="eastAsia" w:ascii="宋体" w:hAnsi="宋体" w:eastAsia="宋体" w:cs="宋体"/>
          <w:b/>
          <w:bCs/>
          <w:szCs w:val="21"/>
        </w:rPr>
        <w:t>、</w:t>
      </w:r>
      <w:r>
        <w:rPr>
          <w:rFonts w:hint="eastAsia" w:ascii="宋体" w:hAnsi="宋体" w:cs="宋体"/>
          <w:b/>
          <w:bCs/>
          <w:szCs w:val="21"/>
          <w:lang w:eastAsia="zh-CN"/>
        </w:rPr>
        <w:t>服务</w:t>
      </w:r>
      <w:r>
        <w:rPr>
          <w:rFonts w:hint="eastAsia" w:ascii="宋体" w:hAnsi="宋体" w:eastAsia="宋体" w:cs="宋体"/>
          <w:b/>
          <w:bCs/>
          <w:szCs w:val="21"/>
        </w:rPr>
        <w:t>方案</w:t>
      </w:r>
    </w:p>
    <w:p w14:paraId="040A5A9A">
      <w:pPr>
        <w:spacing w:line="360" w:lineRule="auto"/>
        <w:rPr>
          <w:rFonts w:hint="eastAsia" w:ascii="宋体" w:hAnsi="宋体" w:eastAsia="宋体" w:cs="宋体"/>
          <w:b/>
          <w:bCs/>
          <w:szCs w:val="21"/>
        </w:rPr>
      </w:pPr>
      <w:r>
        <w:rPr>
          <w:rFonts w:hint="eastAsia" w:ascii="宋体" w:hAnsi="宋体" w:eastAsia="宋体" w:cs="宋体"/>
          <w:b/>
          <w:bCs/>
          <w:szCs w:val="21"/>
          <w:lang w:eastAsia="zh-CN"/>
        </w:rPr>
        <w:t>四</w:t>
      </w:r>
      <w:r>
        <w:rPr>
          <w:rFonts w:hint="eastAsia" w:ascii="宋体" w:hAnsi="宋体" w:eastAsia="宋体" w:cs="宋体"/>
          <w:b/>
          <w:bCs/>
          <w:szCs w:val="21"/>
        </w:rPr>
        <w:t>、技术/商务响应与偏离表</w:t>
      </w:r>
    </w:p>
    <w:p w14:paraId="08A73F7B">
      <w:pPr>
        <w:spacing w:line="360" w:lineRule="auto"/>
        <w:rPr>
          <w:rFonts w:hint="eastAsia" w:ascii="宋体" w:hAnsi="宋体" w:eastAsia="宋体" w:cs="宋体"/>
          <w:b/>
          <w:bCs/>
          <w:szCs w:val="21"/>
        </w:rPr>
      </w:pPr>
      <w:r>
        <w:rPr>
          <w:rFonts w:hint="eastAsia" w:ascii="宋体" w:hAnsi="宋体" w:eastAsia="宋体" w:cs="宋体"/>
          <w:b/>
          <w:bCs/>
          <w:szCs w:val="21"/>
          <w:lang w:eastAsia="zh-CN"/>
        </w:rPr>
        <w:t>五</w:t>
      </w:r>
      <w:r>
        <w:rPr>
          <w:rFonts w:hint="eastAsia" w:ascii="宋体" w:hAnsi="宋体" w:eastAsia="宋体" w:cs="宋体"/>
          <w:b/>
          <w:bCs/>
          <w:szCs w:val="21"/>
        </w:rPr>
        <w:t>、报价一览表</w:t>
      </w:r>
    </w:p>
    <w:p w14:paraId="0E4E50EE">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附件5：报价一览表</w:t>
      </w:r>
    </w:p>
    <w:p w14:paraId="4B162DBD">
      <w:pPr>
        <w:spacing w:line="360" w:lineRule="auto"/>
        <w:rPr>
          <w:rFonts w:hint="eastAsia" w:ascii="宋体" w:hAnsi="宋体" w:eastAsia="宋体" w:cs="宋体"/>
          <w:b/>
          <w:bCs/>
          <w:szCs w:val="21"/>
        </w:rPr>
      </w:pPr>
      <w:r>
        <w:rPr>
          <w:rFonts w:hint="eastAsia" w:ascii="宋体" w:hAnsi="宋体" w:eastAsia="宋体" w:cs="宋体"/>
          <w:b/>
          <w:bCs/>
          <w:szCs w:val="21"/>
          <w:lang w:eastAsia="zh-CN"/>
        </w:rPr>
        <w:t>六</w:t>
      </w:r>
      <w:r>
        <w:rPr>
          <w:rFonts w:hint="eastAsia" w:ascii="宋体" w:hAnsi="宋体" w:eastAsia="宋体" w:cs="宋体"/>
          <w:b/>
          <w:bCs/>
          <w:szCs w:val="21"/>
        </w:rPr>
        <w:t>、供应商认为需提供的其它资料</w:t>
      </w:r>
    </w:p>
    <w:p w14:paraId="7FA4AE1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w:t>
      </w:r>
      <w:r>
        <w:rPr>
          <w:rFonts w:hint="eastAsia" w:ascii="宋体" w:hAnsi="宋体" w:cs="宋体"/>
          <w:szCs w:val="21"/>
          <w:lang w:val="en-US" w:eastAsia="zh-CN"/>
        </w:rPr>
        <w:t>6</w:t>
      </w:r>
      <w:r>
        <w:rPr>
          <w:rFonts w:hint="eastAsia" w:ascii="宋体" w:hAnsi="宋体" w:eastAsia="宋体" w:cs="宋体"/>
          <w:szCs w:val="21"/>
        </w:rPr>
        <w:t>：</w:t>
      </w:r>
      <w:r>
        <w:rPr>
          <w:rFonts w:hint="eastAsia" w:ascii="宋体" w:hAnsi="宋体" w:eastAsia="宋体" w:cs="宋体"/>
          <w:szCs w:val="21"/>
          <w:lang w:eastAsia="zh-CN"/>
        </w:rPr>
        <w:t>类似业绩</w:t>
      </w:r>
      <w:r>
        <w:rPr>
          <w:rFonts w:hint="eastAsia" w:ascii="宋体" w:hAnsi="宋体" w:eastAsia="宋体" w:cs="宋体"/>
          <w:szCs w:val="21"/>
        </w:rPr>
        <w:t>表</w:t>
      </w:r>
    </w:p>
    <w:p w14:paraId="28245056">
      <w:pPr>
        <w:spacing w:line="360" w:lineRule="auto"/>
        <w:rPr>
          <w:rFonts w:hint="eastAsia" w:ascii="宋体" w:hAnsi="宋体" w:eastAsia="宋体" w:cs="宋体"/>
          <w:b/>
          <w:bCs/>
          <w:szCs w:val="21"/>
        </w:rPr>
      </w:pPr>
      <w:r>
        <w:rPr>
          <w:rFonts w:hint="eastAsia" w:ascii="宋体" w:hAnsi="宋体" w:eastAsia="宋体" w:cs="宋体"/>
          <w:b/>
          <w:bCs/>
          <w:szCs w:val="21"/>
          <w:lang w:eastAsia="zh-CN"/>
        </w:rPr>
        <w:t>七</w:t>
      </w:r>
      <w:r>
        <w:rPr>
          <w:rFonts w:hint="eastAsia" w:ascii="宋体" w:hAnsi="宋体" w:eastAsia="宋体" w:cs="宋体"/>
          <w:b/>
          <w:bCs/>
          <w:szCs w:val="21"/>
        </w:rPr>
        <w:t>、最后报价</w:t>
      </w:r>
    </w:p>
    <w:p w14:paraId="24B76066">
      <w:pPr>
        <w:pStyle w:val="4"/>
        <w:jc w:val="center"/>
        <w:rPr>
          <w:rFonts w:hint="eastAsia" w:ascii="宋体" w:hAnsi="宋体" w:eastAsia="宋体" w:cs="宋体"/>
          <w:sz w:val="28"/>
          <w:szCs w:val="36"/>
        </w:rPr>
      </w:pPr>
      <w:bookmarkStart w:id="31" w:name="_Toc10923"/>
      <w:r>
        <w:rPr>
          <w:rFonts w:hint="eastAsia" w:ascii="宋体" w:hAnsi="宋体" w:eastAsia="宋体" w:cs="宋体"/>
          <w:sz w:val="28"/>
          <w:szCs w:val="36"/>
        </w:rPr>
        <w:br w:type="page"/>
      </w:r>
      <w:bookmarkStart w:id="32" w:name="_Toc29090"/>
      <w:r>
        <w:rPr>
          <w:rFonts w:hint="eastAsia" w:ascii="宋体" w:hAnsi="宋体" w:eastAsia="宋体" w:cs="宋体"/>
          <w:sz w:val="28"/>
          <w:szCs w:val="36"/>
        </w:rPr>
        <w:t>一、磋商响应声明</w:t>
      </w:r>
      <w:bookmarkEnd w:id="31"/>
      <w:bookmarkEnd w:id="32"/>
    </w:p>
    <w:p w14:paraId="1AE6C532">
      <w:pPr>
        <w:adjustRightInd w:val="0"/>
        <w:snapToGrid w:val="0"/>
        <w:spacing w:line="360" w:lineRule="auto"/>
        <w:rPr>
          <w:rFonts w:hint="eastAsia" w:ascii="宋体" w:hAnsi="宋体" w:eastAsia="宋体" w:cs="宋体"/>
          <w:sz w:val="24"/>
        </w:rPr>
      </w:pPr>
    </w:p>
    <w:p w14:paraId="58DB6499">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致</w:t>
      </w:r>
      <w:r>
        <w:rPr>
          <w:rFonts w:hint="eastAsia" w:ascii="宋体" w:hAnsi="宋体" w:eastAsia="宋体" w:cs="宋体"/>
          <w:szCs w:val="21"/>
          <w:u w:val="single"/>
        </w:rPr>
        <w:t xml:space="preserve">            </w:t>
      </w:r>
      <w:r>
        <w:rPr>
          <w:rFonts w:hint="eastAsia" w:ascii="宋体" w:hAnsi="宋体" w:eastAsia="宋体" w:cs="宋体"/>
          <w:szCs w:val="21"/>
        </w:rPr>
        <w:t xml:space="preserve"> (</w:t>
      </w:r>
      <w:r>
        <w:rPr>
          <w:rFonts w:hint="eastAsia" w:ascii="宋体" w:hAnsi="宋体" w:cs="宋体"/>
          <w:szCs w:val="21"/>
          <w:lang w:eastAsia="zh-CN"/>
        </w:rPr>
        <w:t>招标人</w:t>
      </w:r>
      <w:r>
        <w:rPr>
          <w:rFonts w:hint="eastAsia" w:ascii="宋体" w:hAnsi="宋体" w:eastAsia="宋体" w:cs="宋体"/>
          <w:szCs w:val="21"/>
        </w:rPr>
        <w:t>或</w:t>
      </w:r>
      <w:r>
        <w:rPr>
          <w:rFonts w:hint="eastAsia" w:ascii="宋体" w:hAnsi="宋体" w:cs="宋体"/>
          <w:szCs w:val="21"/>
          <w:lang w:eastAsia="zh-CN"/>
        </w:rPr>
        <w:t>招标代理机构</w:t>
      </w:r>
      <w:r>
        <w:rPr>
          <w:rFonts w:hint="eastAsia" w:ascii="宋体" w:hAnsi="宋体" w:eastAsia="宋体" w:cs="宋体"/>
          <w:szCs w:val="21"/>
        </w:rPr>
        <w:t>)：</w:t>
      </w:r>
    </w:p>
    <w:p w14:paraId="4FFC2BFB">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我方已仔细研究了</w:t>
      </w:r>
      <w:r>
        <w:rPr>
          <w:rFonts w:hint="eastAsia" w:ascii="宋体" w:hAnsi="宋体" w:eastAsia="宋体" w:cs="宋体"/>
          <w:szCs w:val="21"/>
          <w:u w:val="single"/>
        </w:rPr>
        <w:t xml:space="preserve">                 (</w:t>
      </w:r>
      <w:r>
        <w:rPr>
          <w:rFonts w:hint="eastAsia" w:ascii="宋体" w:hAnsi="宋体" w:eastAsia="宋体" w:cs="宋体"/>
          <w:szCs w:val="21"/>
        </w:rPr>
        <w:t>项目名称)的竞争性磋商文件（</w:t>
      </w:r>
      <w:r>
        <w:rPr>
          <w:rFonts w:hint="eastAsia" w:ascii="宋体" w:hAnsi="宋体" w:cs="宋体"/>
          <w:szCs w:val="21"/>
          <w:lang w:eastAsia="zh-CN"/>
        </w:rPr>
        <w:t>招标代理</w:t>
      </w:r>
      <w:r>
        <w:rPr>
          <w:rFonts w:hint="eastAsia" w:ascii="宋体" w:hAnsi="宋体" w:eastAsia="宋体" w:cs="宋体"/>
          <w:szCs w:val="21"/>
        </w:rPr>
        <w:t>编号：</w:t>
      </w:r>
      <w:r>
        <w:rPr>
          <w:rFonts w:hint="eastAsia" w:ascii="宋体" w:hAnsi="宋体" w:eastAsia="宋体" w:cs="宋体"/>
          <w:szCs w:val="21"/>
          <w:u w:val="single"/>
        </w:rPr>
        <w:t xml:space="preserve">           </w:t>
      </w:r>
      <w:r>
        <w:rPr>
          <w:rFonts w:hint="eastAsia" w:ascii="宋体" w:hAnsi="宋体" w:eastAsia="宋体" w:cs="宋体"/>
          <w:szCs w:val="21"/>
        </w:rPr>
        <w:t>）的全部内容，</w:t>
      </w:r>
      <w:r>
        <w:rPr>
          <w:rFonts w:hint="eastAsia" w:ascii="宋体" w:hAnsi="宋体" w:eastAsia="宋体" w:cs="宋体"/>
        </w:rPr>
        <w:t>知悉参加竞争性磋商的风险，我方承诺接受磋商文件的全部条款且无任何异议。</w:t>
      </w:r>
    </w:p>
    <w:p w14:paraId="3D67A70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一、我方同意在磋商文件中规定的提交首次响应文件截止时间起</w:t>
      </w:r>
      <w:r>
        <w:rPr>
          <w:rFonts w:hint="eastAsia" w:ascii="宋体" w:hAnsi="宋体" w:eastAsia="宋体" w:cs="宋体"/>
          <w:u w:val="single"/>
        </w:rPr>
        <w:t xml:space="preserve">    </w:t>
      </w:r>
      <w:r>
        <w:rPr>
          <w:rFonts w:hint="eastAsia" w:ascii="宋体" w:hAnsi="宋体" w:eastAsia="宋体" w:cs="宋体"/>
        </w:rPr>
        <w:t>日内(响应文件有效期)遵守本响应文件中的承诺且在此期限期满之前均具有法律约束力。</w:t>
      </w:r>
    </w:p>
    <w:p w14:paraId="6ADDD4B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二、我方提交响应文件正本一份和副本一式</w:t>
      </w:r>
      <w:r>
        <w:rPr>
          <w:rFonts w:hint="eastAsia" w:ascii="宋体" w:hAnsi="宋体" w:eastAsia="宋体" w:cs="宋体"/>
          <w:u w:val="single"/>
        </w:rPr>
        <w:t xml:space="preserve">     </w:t>
      </w:r>
      <w:r>
        <w:rPr>
          <w:rFonts w:hint="eastAsia" w:ascii="宋体" w:hAnsi="宋体" w:eastAsia="宋体" w:cs="宋体"/>
        </w:rPr>
        <w:t>份，并保证响应文件提供的数据和资料全部内容真实、合法、准确和完整，我们对此负责，并愿承担由此引起的法律责任。</w:t>
      </w:r>
    </w:p>
    <w:p w14:paraId="6F7FD32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三、我方愿意向贵方提供任何与本项采购有关的数据、情况和技术资料。若贵方需要，我方愿意提供我方作出的一切承诺的证明资料。</w:t>
      </w:r>
    </w:p>
    <w:p w14:paraId="6237FA6E">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四、我方愿意按磋商文件规定和磋商小组要求重新提交响应文件和最后报价。</w:t>
      </w:r>
    </w:p>
    <w:p w14:paraId="2B69BBB7">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五、我方承诺遵守《中华人民共和国政府采购法》的有关规定，保证在获得成交资格后，按照磋商文件确定的事项签订政府采购合同，履行双方所签订的合同，并承担合同规定的责任和义务。</w:t>
      </w:r>
    </w:p>
    <w:p w14:paraId="7E4C2E8A">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rPr>
        <w:t>六、</w:t>
      </w:r>
      <w:r>
        <w:rPr>
          <w:rFonts w:hint="eastAsia" w:ascii="宋体" w:hAnsi="宋体" w:eastAsia="宋体" w:cs="宋体"/>
          <w:color w:val="000000"/>
        </w:rPr>
        <w:t xml:space="preserve">我方在此声明： </w:t>
      </w:r>
    </w:p>
    <w:p w14:paraId="5E8CA217">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（一）我方与</w:t>
      </w:r>
      <w:r>
        <w:rPr>
          <w:rFonts w:hint="eastAsia" w:hAnsi="宋体" w:cs="宋体"/>
          <w:color w:val="000000"/>
          <w:lang w:eastAsia="zh-CN"/>
        </w:rPr>
        <w:t>招标人</w:t>
      </w:r>
      <w:r>
        <w:rPr>
          <w:rFonts w:hint="eastAsia" w:ascii="宋体" w:hAnsi="宋体" w:eastAsia="宋体" w:cs="宋体"/>
          <w:color w:val="000000"/>
        </w:rPr>
        <w:t>或</w:t>
      </w:r>
      <w:r>
        <w:rPr>
          <w:rFonts w:hint="eastAsia" w:hAnsi="宋体" w:cs="宋体"/>
          <w:color w:val="000000"/>
          <w:lang w:eastAsia="zh-CN"/>
        </w:rPr>
        <w:t>招标代理机构</w:t>
      </w:r>
      <w:r>
        <w:rPr>
          <w:rFonts w:hint="eastAsia" w:ascii="宋体" w:hAnsi="宋体" w:eastAsia="宋体" w:cs="宋体"/>
          <w:color w:val="000000"/>
        </w:rPr>
        <w:t>不存在隶属关系或者其他利害关系。</w:t>
      </w:r>
    </w:p>
    <w:p w14:paraId="7C75AC5F">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（二）我方与参加本项目的其他供应商不存在控股、关联关系，或者与其他供应商</w:t>
      </w:r>
      <w:r>
        <w:rPr>
          <w:rFonts w:hint="eastAsia" w:hAnsi="宋体" w:cs="宋体"/>
          <w:color w:val="000000"/>
          <w:lang w:eastAsia="zh-CN"/>
        </w:rPr>
        <w:t>法定代表人（单位负责人）</w:t>
      </w:r>
      <w:r>
        <w:rPr>
          <w:rFonts w:hint="eastAsia" w:ascii="宋体" w:hAnsi="宋体" w:eastAsia="宋体" w:cs="宋体"/>
          <w:color w:val="000000"/>
        </w:rPr>
        <w:t>（或者负责人）为同一人。</w:t>
      </w:r>
    </w:p>
    <w:p w14:paraId="372321B7">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（三）我方未为本项目前期准备提供服务。</w:t>
      </w:r>
    </w:p>
    <w:p w14:paraId="3BCDD7C4">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（四）我方承诺（承诺期：成立三年以上的，为提交首次响应文件截止时间前三年内；成立不足三年的，为实际时间）：</w:t>
      </w:r>
    </w:p>
    <w:p w14:paraId="473BA189">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1、我方依法缴纳了各项税费及各项社会保障资金，没有偷税、漏税及欠缴行为。</w:t>
      </w:r>
    </w:p>
    <w:p w14:paraId="4005D9E0">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2、我方在经营活动中没有存在下列重大违法记录：</w:t>
      </w:r>
    </w:p>
    <w:p w14:paraId="46FEF8ED">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(1)受到刑事处罚；</w:t>
      </w:r>
    </w:p>
    <w:p w14:paraId="1BE88CD6">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(2)受到三万元以上的罚款、责令停产停业、在一至三年内禁止参加</w:t>
      </w:r>
      <w:r>
        <w:rPr>
          <w:rFonts w:hint="eastAsia" w:hAnsi="宋体" w:cs="宋体"/>
          <w:color w:val="000000"/>
          <w:lang w:eastAsia="zh-CN"/>
        </w:rPr>
        <w:t>招标活动</w:t>
      </w:r>
      <w:r>
        <w:rPr>
          <w:rFonts w:hint="eastAsia" w:ascii="宋体" w:hAnsi="宋体" w:eastAsia="宋体" w:cs="宋体"/>
          <w:color w:val="000000"/>
        </w:rPr>
        <w:t>、暂扣或者吊销许可证、暂扣或者吊销执照的行政处罚。</w:t>
      </w:r>
    </w:p>
    <w:p w14:paraId="4A9C8E63">
      <w:pPr>
        <w:adjustRightInd w:val="0"/>
        <w:snapToGrid w:val="0"/>
        <w:spacing w:line="360" w:lineRule="auto"/>
        <w:ind w:right="24"/>
        <w:rPr>
          <w:rFonts w:hint="eastAsia" w:ascii="宋体" w:hAnsi="宋体" w:eastAsia="宋体" w:cs="宋体"/>
          <w:szCs w:val="21"/>
        </w:rPr>
      </w:pPr>
      <w:r>
        <w:rPr>
          <w:rFonts w:hint="eastAsia" w:ascii="宋体" w:hAnsi="宋体" w:eastAsia="宋体" w:cs="宋体"/>
          <w:bCs/>
          <w:szCs w:val="21"/>
        </w:rPr>
        <w:t>附件1：</w:t>
      </w:r>
      <w:r>
        <w:rPr>
          <w:rFonts w:hint="eastAsia" w:ascii="宋体" w:hAnsi="宋体" w:cs="宋体"/>
          <w:szCs w:val="21"/>
          <w:lang w:eastAsia="zh-CN"/>
        </w:rPr>
        <w:t>法定代表人（单位负责人）</w:t>
      </w:r>
      <w:r>
        <w:rPr>
          <w:rFonts w:hint="eastAsia" w:ascii="宋体" w:hAnsi="宋体" w:eastAsia="宋体" w:cs="宋体"/>
          <w:szCs w:val="21"/>
        </w:rPr>
        <w:t>身份证明</w:t>
      </w:r>
    </w:p>
    <w:p w14:paraId="50466074">
      <w:pPr>
        <w:adjustRightInd w:val="0"/>
        <w:snapToGrid w:val="0"/>
        <w:spacing w:line="360" w:lineRule="auto"/>
        <w:ind w:right="24"/>
        <w:rPr>
          <w:rFonts w:hint="eastAsia" w:ascii="宋体" w:hAnsi="宋体" w:eastAsia="宋体" w:cs="宋体"/>
          <w:szCs w:val="21"/>
        </w:rPr>
      </w:pPr>
      <w:r>
        <w:rPr>
          <w:rFonts w:hint="eastAsia" w:ascii="宋体" w:hAnsi="宋体" w:eastAsia="宋体" w:cs="宋体"/>
          <w:bCs/>
          <w:szCs w:val="21"/>
        </w:rPr>
        <w:t>附件2</w:t>
      </w:r>
      <w:r>
        <w:rPr>
          <w:rFonts w:hint="eastAsia" w:ascii="宋体" w:hAnsi="宋体" w:eastAsia="宋体" w:cs="宋体"/>
          <w:szCs w:val="21"/>
        </w:rPr>
        <w:t>：</w:t>
      </w:r>
      <w:r>
        <w:rPr>
          <w:rFonts w:hint="eastAsia" w:ascii="宋体" w:hAnsi="宋体" w:cs="宋体"/>
          <w:szCs w:val="21"/>
          <w:lang w:eastAsia="zh-CN"/>
        </w:rPr>
        <w:t>法定代表人（单位负责人）</w:t>
      </w:r>
      <w:r>
        <w:rPr>
          <w:rFonts w:hint="eastAsia" w:ascii="宋体" w:hAnsi="宋体" w:eastAsia="宋体" w:cs="宋体"/>
          <w:szCs w:val="21"/>
        </w:rPr>
        <w:t>授权书</w:t>
      </w:r>
    </w:p>
    <w:p w14:paraId="4EDD0D54">
      <w:pPr>
        <w:pStyle w:val="26"/>
        <w:adjustRightInd w:val="0"/>
        <w:snapToGrid w:val="0"/>
        <w:spacing w:line="360" w:lineRule="auto"/>
        <w:rPr>
          <w:rFonts w:hint="eastAsia" w:ascii="宋体" w:hAnsi="宋体" w:eastAsia="宋体" w:cs="宋体"/>
        </w:rPr>
      </w:pPr>
    </w:p>
    <w:p w14:paraId="3EF1512C">
      <w:pPr>
        <w:pStyle w:val="26"/>
        <w:adjustRightInd w:val="0"/>
        <w:snapToGrid w:val="0"/>
        <w:spacing w:line="360" w:lineRule="auto"/>
        <w:rPr>
          <w:rFonts w:hint="eastAsia" w:ascii="宋体" w:hAnsi="宋体" w:eastAsia="宋体" w:cs="宋体"/>
        </w:rPr>
      </w:pPr>
      <w:r>
        <w:rPr>
          <w:rFonts w:hint="eastAsia" w:ascii="宋体" w:hAnsi="宋体" w:eastAsia="宋体" w:cs="宋体"/>
        </w:rPr>
        <w:t>供应商名称(盖单位章)：</w:t>
      </w:r>
    </w:p>
    <w:p w14:paraId="0685C433">
      <w:pPr>
        <w:adjustRightInd w:val="0"/>
        <w:snapToGrid w:val="0"/>
        <w:spacing w:line="360" w:lineRule="auto"/>
        <w:rPr>
          <w:rFonts w:hint="eastAsia" w:ascii="宋体" w:hAnsi="宋体" w:eastAsia="宋体" w:cs="宋体"/>
          <w:szCs w:val="21"/>
        </w:rPr>
      </w:pPr>
      <w:r>
        <w:rPr>
          <w:rFonts w:hint="eastAsia" w:ascii="宋体" w:hAnsi="宋体" w:cs="宋体"/>
          <w:szCs w:val="21"/>
          <w:lang w:eastAsia="zh-CN"/>
        </w:rPr>
        <w:t>法定代表人（单位负责人）</w:t>
      </w:r>
      <w:r>
        <w:rPr>
          <w:rFonts w:hint="eastAsia" w:ascii="宋体" w:hAnsi="宋体" w:eastAsia="宋体" w:cs="宋体"/>
          <w:szCs w:val="21"/>
        </w:rPr>
        <w:t>或其委托代理人 (签字)：</w:t>
      </w:r>
      <w:r>
        <w:rPr>
          <w:rFonts w:hint="eastAsia" w:ascii="宋体" w:hAnsi="宋体" w:eastAsia="宋体" w:cs="宋体"/>
          <w:szCs w:val="21"/>
          <w:u w:val="single"/>
        </w:rPr>
        <w:t xml:space="preserve">            </w:t>
      </w:r>
    </w:p>
    <w:p w14:paraId="5B76B045">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日     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p w14:paraId="741D35DF">
      <w:pPr>
        <w:widowControl/>
        <w:jc w:val="left"/>
        <w:rPr>
          <w:rFonts w:hint="eastAsia" w:ascii="宋体" w:hAnsi="宋体" w:eastAsia="宋体" w:cs="宋体"/>
          <w:bCs/>
          <w:sz w:val="32"/>
          <w:szCs w:val="32"/>
        </w:rPr>
      </w:pPr>
      <w:r>
        <w:rPr>
          <w:rFonts w:hint="eastAsia" w:ascii="宋体" w:hAnsi="宋体" w:eastAsia="宋体" w:cs="宋体"/>
          <w:bCs/>
          <w:sz w:val="32"/>
          <w:szCs w:val="32"/>
        </w:rPr>
        <w:br w:type="page"/>
      </w:r>
    </w:p>
    <w:p w14:paraId="6763C413">
      <w:pPr>
        <w:adjustRightInd w:val="0"/>
        <w:snapToGrid w:val="0"/>
        <w:spacing w:line="360" w:lineRule="auto"/>
        <w:ind w:right="24"/>
        <w:rPr>
          <w:rFonts w:hint="eastAsia" w:ascii="宋体" w:hAnsi="宋体" w:eastAsia="宋体" w:cs="宋体"/>
          <w:bCs/>
          <w:sz w:val="32"/>
          <w:szCs w:val="32"/>
        </w:rPr>
      </w:pPr>
      <w:r>
        <w:rPr>
          <w:rFonts w:hint="eastAsia" w:ascii="宋体" w:hAnsi="宋体" w:eastAsia="宋体" w:cs="宋体"/>
          <w:bCs/>
          <w:sz w:val="32"/>
          <w:szCs w:val="32"/>
        </w:rPr>
        <w:t>附件1</w:t>
      </w:r>
    </w:p>
    <w:p w14:paraId="28C701B7">
      <w:pPr>
        <w:jc w:val="center"/>
        <w:rPr>
          <w:rFonts w:hint="eastAsia" w:ascii="宋体" w:hAnsi="宋体" w:eastAsia="宋体" w:cs="宋体"/>
          <w:sz w:val="36"/>
          <w:szCs w:val="36"/>
        </w:rPr>
      </w:pPr>
      <w:r>
        <w:rPr>
          <w:rFonts w:hint="eastAsia" w:ascii="宋体" w:hAnsi="宋体" w:cs="宋体"/>
          <w:sz w:val="36"/>
          <w:szCs w:val="36"/>
          <w:lang w:eastAsia="zh-CN"/>
        </w:rPr>
        <w:t>法定代表人（单位负责人）</w:t>
      </w:r>
      <w:r>
        <w:rPr>
          <w:rFonts w:hint="eastAsia" w:ascii="宋体" w:hAnsi="宋体" w:eastAsia="宋体" w:cs="宋体"/>
          <w:sz w:val="36"/>
          <w:szCs w:val="36"/>
        </w:rPr>
        <w:t>身份证明</w:t>
      </w:r>
    </w:p>
    <w:p w14:paraId="4C5CA80A">
      <w:pPr>
        <w:jc w:val="center"/>
        <w:rPr>
          <w:rFonts w:hint="eastAsia" w:ascii="宋体" w:hAnsi="宋体" w:eastAsia="宋体" w:cs="宋体"/>
          <w:sz w:val="36"/>
          <w:szCs w:val="36"/>
        </w:rPr>
      </w:pPr>
      <w:r>
        <w:rPr>
          <w:rFonts w:hint="eastAsia" w:ascii="宋体" w:hAnsi="宋体" w:eastAsia="宋体" w:cs="宋体"/>
          <w:sz w:val="36"/>
          <w:szCs w:val="36"/>
        </w:rPr>
        <w:t>(</w:t>
      </w:r>
      <w:r>
        <w:rPr>
          <w:rFonts w:hint="eastAsia" w:ascii="宋体" w:hAnsi="宋体" w:cs="宋体"/>
          <w:sz w:val="36"/>
          <w:szCs w:val="36"/>
          <w:lang w:eastAsia="zh-CN"/>
        </w:rPr>
        <w:t>法定代表人（单位负责人）</w:t>
      </w:r>
      <w:r>
        <w:rPr>
          <w:rFonts w:hint="eastAsia" w:ascii="宋体" w:hAnsi="宋体" w:eastAsia="宋体" w:cs="宋体"/>
          <w:sz w:val="36"/>
          <w:szCs w:val="36"/>
        </w:rPr>
        <w:t>参加磋商)</w:t>
      </w:r>
    </w:p>
    <w:p w14:paraId="00310FC9">
      <w:pPr>
        <w:snapToGrid w:val="0"/>
        <w:spacing w:line="480" w:lineRule="auto"/>
        <w:rPr>
          <w:rFonts w:hint="eastAsia" w:ascii="宋体" w:hAnsi="宋体" w:eastAsia="宋体" w:cs="宋体"/>
          <w:szCs w:val="21"/>
        </w:rPr>
      </w:pPr>
    </w:p>
    <w:p w14:paraId="593F0C97">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szCs w:val="21"/>
        </w:rPr>
        <w:t>供应商</w:t>
      </w:r>
      <w:r>
        <w:rPr>
          <w:rFonts w:hint="eastAsia" w:ascii="宋体" w:hAnsi="宋体" w:eastAsia="宋体" w:cs="宋体"/>
          <w:kern w:val="0"/>
          <w:szCs w:val="21"/>
        </w:rPr>
        <w:t>名称：</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26C78913">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注册号：</w:t>
      </w:r>
      <w:r>
        <w:rPr>
          <w:rFonts w:hint="eastAsia" w:ascii="宋体" w:hAnsi="宋体" w:eastAsia="宋体" w:cs="宋体"/>
          <w:kern w:val="0"/>
          <w:szCs w:val="21"/>
          <w:u w:val="single"/>
        </w:rPr>
        <w:t xml:space="preserve">                  </w:t>
      </w:r>
    </w:p>
    <w:p w14:paraId="6F25E387">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注册地址：</w:t>
      </w:r>
      <w:r>
        <w:rPr>
          <w:rFonts w:hint="eastAsia" w:ascii="宋体" w:hAnsi="宋体" w:eastAsia="宋体" w:cs="宋体"/>
          <w:kern w:val="0"/>
          <w:szCs w:val="21"/>
          <w:u w:val="single"/>
        </w:rPr>
        <w:t xml:space="preserve">                                    </w:t>
      </w:r>
    </w:p>
    <w:p w14:paraId="2D961F44">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 xml:space="preserve">成立时间： </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年 </w:t>
      </w:r>
      <w:r>
        <w:rPr>
          <w:rFonts w:hint="eastAsia" w:ascii="宋体" w:hAnsi="宋体" w:eastAsia="宋体" w:cs="宋体"/>
          <w:kern w:val="0"/>
          <w:szCs w:val="21"/>
          <w:u w:val="single"/>
        </w:rPr>
        <w:t xml:space="preserve">     </w:t>
      </w:r>
      <w:r>
        <w:rPr>
          <w:rFonts w:hint="eastAsia" w:ascii="宋体" w:hAnsi="宋体" w:eastAsia="宋体" w:cs="宋体"/>
          <w:kern w:val="0"/>
          <w:szCs w:val="21"/>
        </w:rPr>
        <w:t>月</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日</w:t>
      </w:r>
    </w:p>
    <w:p w14:paraId="6891784C">
      <w:pPr>
        <w:autoSpaceDE w:val="0"/>
        <w:autoSpaceDN w:val="0"/>
        <w:adjustRightInd w:val="0"/>
        <w:snapToGrid w:val="0"/>
        <w:spacing w:beforeLines="50" w:line="360" w:lineRule="auto"/>
        <w:jc w:val="left"/>
        <w:rPr>
          <w:rFonts w:hint="eastAsia" w:ascii="宋体" w:hAnsi="宋体" w:eastAsia="宋体" w:cs="宋体"/>
          <w:kern w:val="0"/>
          <w:szCs w:val="21"/>
          <w:u w:val="single"/>
        </w:rPr>
      </w:pPr>
      <w:r>
        <w:rPr>
          <w:rFonts w:hint="eastAsia" w:ascii="宋体" w:hAnsi="宋体" w:eastAsia="宋体" w:cs="宋体"/>
          <w:kern w:val="0"/>
          <w:szCs w:val="21"/>
        </w:rPr>
        <w:t>经营期限：</w:t>
      </w:r>
      <w:r>
        <w:rPr>
          <w:rFonts w:hint="eastAsia" w:ascii="宋体" w:hAnsi="宋体" w:eastAsia="宋体" w:cs="宋体"/>
          <w:kern w:val="0"/>
          <w:szCs w:val="21"/>
          <w:u w:val="single"/>
        </w:rPr>
        <w:t xml:space="preserve">                  </w:t>
      </w:r>
    </w:p>
    <w:p w14:paraId="07BC4D48">
      <w:pPr>
        <w:autoSpaceDE w:val="0"/>
        <w:autoSpaceDN w:val="0"/>
        <w:adjustRightInd w:val="0"/>
        <w:snapToGrid w:val="0"/>
        <w:spacing w:beforeLines="50" w:line="360" w:lineRule="auto"/>
        <w:jc w:val="left"/>
        <w:rPr>
          <w:rFonts w:hint="eastAsia" w:ascii="宋体" w:hAnsi="宋体" w:eastAsia="宋体" w:cs="宋体"/>
          <w:kern w:val="0"/>
          <w:szCs w:val="21"/>
          <w:u w:val="single"/>
        </w:rPr>
      </w:pPr>
      <w:r>
        <w:rPr>
          <w:rFonts w:hint="eastAsia" w:ascii="宋体" w:hAnsi="宋体" w:eastAsia="宋体" w:cs="宋体"/>
          <w:kern w:val="0"/>
          <w:szCs w:val="21"/>
        </w:rPr>
        <w:t>经营范围：主营：</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；兼营：</w:t>
      </w:r>
      <w:r>
        <w:rPr>
          <w:rFonts w:hint="eastAsia" w:ascii="宋体" w:hAnsi="宋体" w:eastAsia="宋体" w:cs="宋体"/>
          <w:kern w:val="0"/>
          <w:szCs w:val="21"/>
          <w:u w:val="single"/>
        </w:rPr>
        <w:t xml:space="preserve">              </w:t>
      </w:r>
    </w:p>
    <w:p w14:paraId="72869287">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姓名：</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性别：</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年龄：</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系</w:t>
      </w:r>
      <w:r>
        <w:rPr>
          <w:rFonts w:hint="eastAsia" w:ascii="宋体" w:hAnsi="宋体" w:eastAsia="宋体" w:cs="宋体"/>
          <w:kern w:val="0"/>
          <w:szCs w:val="21"/>
          <w:u w:val="single"/>
        </w:rPr>
        <w:t xml:space="preserve">      </w:t>
      </w:r>
      <w:r>
        <w:rPr>
          <w:rFonts w:hint="eastAsia" w:ascii="宋体" w:hAnsi="宋体" w:eastAsia="宋体" w:cs="宋体"/>
          <w:kern w:val="0"/>
          <w:szCs w:val="21"/>
        </w:rPr>
        <w:t>（</w:t>
      </w:r>
      <w:r>
        <w:rPr>
          <w:rFonts w:hint="eastAsia" w:ascii="宋体" w:hAnsi="宋体" w:eastAsia="宋体" w:cs="宋体"/>
          <w:szCs w:val="21"/>
        </w:rPr>
        <w:t>供应商</w:t>
      </w:r>
      <w:r>
        <w:rPr>
          <w:rFonts w:hint="eastAsia" w:ascii="宋体" w:hAnsi="宋体" w:eastAsia="宋体" w:cs="宋体"/>
          <w:kern w:val="0"/>
          <w:szCs w:val="21"/>
        </w:rPr>
        <w:t>名称）的</w:t>
      </w:r>
      <w:r>
        <w:rPr>
          <w:rFonts w:hint="eastAsia" w:ascii="宋体" w:hAnsi="宋体" w:cs="宋体"/>
          <w:kern w:val="0"/>
          <w:szCs w:val="21"/>
          <w:lang w:eastAsia="zh-CN"/>
        </w:rPr>
        <w:t>法定代表人（单位负责人）</w:t>
      </w:r>
      <w:r>
        <w:rPr>
          <w:rFonts w:hint="eastAsia" w:ascii="宋体" w:hAnsi="宋体" w:eastAsia="宋体" w:cs="宋体"/>
          <w:kern w:val="0"/>
          <w:szCs w:val="21"/>
        </w:rPr>
        <w:t>。</w:t>
      </w:r>
    </w:p>
    <w:p w14:paraId="199C9CAD">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特此证明。</w:t>
      </w:r>
    </w:p>
    <w:p w14:paraId="24AB4808">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szCs w:val="21"/>
        </w:rPr>
        <w:t>附：</w:t>
      </w:r>
      <w:r>
        <w:rPr>
          <w:rFonts w:hint="eastAsia" w:ascii="宋体" w:hAnsi="宋体" w:cs="宋体"/>
          <w:szCs w:val="21"/>
          <w:lang w:eastAsia="zh-CN"/>
        </w:rPr>
        <w:t>法定代表人（单位负责人）</w:t>
      </w:r>
      <w:r>
        <w:rPr>
          <w:rFonts w:hint="eastAsia" w:ascii="宋体" w:hAnsi="宋体" w:eastAsia="宋体" w:cs="宋体"/>
          <w:szCs w:val="21"/>
        </w:rPr>
        <w:t>身份证复印件</w:t>
      </w:r>
    </w:p>
    <w:p w14:paraId="3CDB725F">
      <w:pPr>
        <w:snapToGrid w:val="0"/>
        <w:spacing w:line="480" w:lineRule="auto"/>
        <w:rPr>
          <w:rFonts w:hint="eastAsia" w:ascii="宋体" w:hAnsi="宋体" w:eastAsia="宋体" w:cs="宋体"/>
          <w:szCs w:val="21"/>
        </w:rPr>
      </w:pPr>
    </w:p>
    <w:p w14:paraId="352B9327">
      <w:pPr>
        <w:snapToGrid w:val="0"/>
        <w:rPr>
          <w:rFonts w:hint="eastAsia" w:ascii="宋体" w:hAnsi="宋体" w:eastAsia="宋体" w:cs="宋体"/>
          <w:szCs w:val="21"/>
        </w:rPr>
      </w:pPr>
    </w:p>
    <w:p w14:paraId="321E6CD9">
      <w:pPr>
        <w:snapToGrid w:val="0"/>
        <w:rPr>
          <w:rFonts w:hint="eastAsia" w:ascii="宋体" w:hAnsi="宋体" w:eastAsia="宋体" w:cs="宋体"/>
          <w:szCs w:val="21"/>
        </w:rPr>
      </w:pPr>
    </w:p>
    <w:p w14:paraId="390DDB30">
      <w:pPr>
        <w:snapToGrid w:val="0"/>
        <w:rPr>
          <w:rFonts w:hint="eastAsia" w:ascii="宋体" w:hAnsi="宋体" w:eastAsia="宋体" w:cs="宋体"/>
          <w:szCs w:val="21"/>
        </w:rPr>
      </w:pPr>
    </w:p>
    <w:p w14:paraId="22337488">
      <w:pPr>
        <w:snapToGrid w:val="0"/>
        <w:rPr>
          <w:rFonts w:hint="eastAsia" w:ascii="宋体" w:hAnsi="宋体" w:eastAsia="宋体" w:cs="宋体"/>
          <w:szCs w:val="21"/>
        </w:rPr>
      </w:pPr>
    </w:p>
    <w:p w14:paraId="2E53F7CC">
      <w:pPr>
        <w:adjustRightInd w:val="0"/>
        <w:snapToGrid w:val="0"/>
        <w:spacing w:line="360" w:lineRule="auto"/>
        <w:rPr>
          <w:rFonts w:hint="eastAsia" w:ascii="宋体" w:hAnsi="宋体" w:eastAsia="宋体" w:cs="宋体"/>
          <w:szCs w:val="21"/>
        </w:rPr>
      </w:pPr>
    </w:p>
    <w:p w14:paraId="2B3605CB">
      <w:pPr>
        <w:adjustRightInd w:val="0"/>
        <w:snapToGrid w:val="0"/>
        <w:spacing w:line="360" w:lineRule="auto"/>
        <w:ind w:right="420"/>
        <w:rPr>
          <w:rFonts w:hint="eastAsia" w:ascii="宋体" w:hAnsi="宋体" w:eastAsia="宋体" w:cs="宋体"/>
          <w:szCs w:val="21"/>
        </w:rPr>
      </w:pPr>
      <w:r>
        <w:rPr>
          <w:rFonts w:hint="eastAsia" w:ascii="宋体" w:hAnsi="宋体" w:eastAsia="宋体" w:cs="宋体"/>
          <w:szCs w:val="21"/>
        </w:rPr>
        <w:t>供应商名称（盖单位章）：</w:t>
      </w:r>
    </w:p>
    <w:p w14:paraId="75F86EDE">
      <w:pPr>
        <w:adjustRightInd w:val="0"/>
        <w:snapToGrid w:val="0"/>
        <w:spacing w:line="360" w:lineRule="auto"/>
        <w:ind w:right="420"/>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 xml:space="preserve">日      </w:t>
      </w:r>
    </w:p>
    <w:p w14:paraId="051B20F6">
      <w:pPr>
        <w:adjustRightInd w:val="0"/>
        <w:snapToGrid w:val="0"/>
        <w:spacing w:beforeLines="50" w:line="360" w:lineRule="auto"/>
        <w:rPr>
          <w:rFonts w:hint="eastAsia" w:ascii="宋体" w:hAnsi="宋体" w:eastAsia="宋体" w:cs="宋体"/>
          <w:szCs w:val="21"/>
        </w:rPr>
      </w:pPr>
    </w:p>
    <w:p w14:paraId="14023F6A">
      <w:pPr>
        <w:adjustRightInd w:val="0"/>
        <w:snapToGrid w:val="0"/>
        <w:spacing w:beforeLines="50" w:line="360" w:lineRule="auto"/>
        <w:rPr>
          <w:rFonts w:hint="eastAsia" w:ascii="宋体" w:hAnsi="宋体" w:eastAsia="宋体" w:cs="宋体"/>
          <w:bCs/>
          <w:color w:val="000000"/>
          <w:sz w:val="30"/>
          <w:szCs w:val="30"/>
        </w:rPr>
      </w:pPr>
    </w:p>
    <w:p w14:paraId="152D0964">
      <w:pPr>
        <w:spacing w:line="360" w:lineRule="exact"/>
        <w:rPr>
          <w:rFonts w:hint="eastAsia" w:ascii="宋体" w:hAnsi="宋体" w:eastAsia="宋体" w:cs="宋体"/>
          <w:b/>
          <w:color w:val="000000"/>
        </w:rPr>
      </w:pPr>
      <w:r>
        <w:rPr>
          <w:rFonts w:hint="eastAsia" w:ascii="宋体" w:hAnsi="宋体" w:eastAsia="宋体" w:cs="宋体"/>
          <w:b/>
          <w:color w:val="000000"/>
          <w:szCs w:val="21"/>
        </w:rPr>
        <w:t>本</w:t>
      </w:r>
      <w:r>
        <w:rPr>
          <w:rFonts w:hint="eastAsia" w:ascii="宋体" w:hAnsi="宋体" w:cs="宋体"/>
          <w:b/>
          <w:color w:val="000000"/>
          <w:szCs w:val="21"/>
          <w:lang w:eastAsia="zh-CN"/>
        </w:rPr>
        <w:t>法定代表人（单位负责人）</w:t>
      </w:r>
      <w:r>
        <w:rPr>
          <w:rFonts w:hint="eastAsia" w:ascii="宋体" w:hAnsi="宋体" w:eastAsia="宋体" w:cs="宋体"/>
          <w:b/>
          <w:color w:val="000000"/>
          <w:szCs w:val="21"/>
        </w:rPr>
        <w:t>身份证明除投标响应文件中提供以外，须单独另备一份与</w:t>
      </w:r>
      <w:r>
        <w:rPr>
          <w:rFonts w:hint="eastAsia" w:ascii="宋体" w:hAnsi="宋体" w:cs="宋体"/>
          <w:b/>
          <w:color w:val="000000"/>
          <w:szCs w:val="21"/>
          <w:lang w:eastAsia="zh-CN"/>
        </w:rPr>
        <w:t>法定代表人（单位负责人）</w:t>
      </w:r>
      <w:r>
        <w:rPr>
          <w:rFonts w:hint="eastAsia" w:ascii="宋体" w:hAnsi="宋体" w:eastAsia="宋体" w:cs="宋体"/>
          <w:b/>
          <w:color w:val="000000"/>
          <w:szCs w:val="21"/>
        </w:rPr>
        <w:t>居民身份证明原件持于手中在开标现场查验。</w:t>
      </w:r>
    </w:p>
    <w:p w14:paraId="52F8CDC3">
      <w:pPr>
        <w:adjustRightInd w:val="0"/>
        <w:snapToGrid w:val="0"/>
        <w:spacing w:beforeLines="50" w:line="360" w:lineRule="auto"/>
        <w:rPr>
          <w:rFonts w:hint="eastAsia" w:ascii="宋体" w:hAnsi="宋体" w:eastAsia="宋体" w:cs="宋体"/>
          <w:szCs w:val="21"/>
        </w:rPr>
      </w:pPr>
    </w:p>
    <w:p w14:paraId="7A74CF60">
      <w:pPr>
        <w:adjustRightInd w:val="0"/>
        <w:snapToGrid w:val="0"/>
        <w:spacing w:beforeLines="50" w:line="360" w:lineRule="auto"/>
        <w:rPr>
          <w:rFonts w:hint="eastAsia" w:ascii="宋体" w:hAnsi="宋体" w:eastAsia="宋体" w:cs="宋体"/>
          <w:sz w:val="32"/>
          <w:szCs w:val="32"/>
        </w:rPr>
      </w:pPr>
      <w:r>
        <w:rPr>
          <w:rFonts w:hint="eastAsia" w:ascii="宋体" w:hAnsi="宋体" w:eastAsia="宋体" w:cs="宋体"/>
          <w:szCs w:val="21"/>
        </w:rPr>
        <w:br w:type="page"/>
      </w:r>
      <w:r>
        <w:rPr>
          <w:rFonts w:hint="eastAsia" w:ascii="宋体" w:hAnsi="宋体" w:eastAsia="宋体" w:cs="宋体"/>
          <w:bCs/>
          <w:sz w:val="32"/>
          <w:szCs w:val="32"/>
        </w:rPr>
        <w:t>附件2</w:t>
      </w:r>
    </w:p>
    <w:p w14:paraId="5B7C56F1">
      <w:pPr>
        <w:jc w:val="center"/>
        <w:rPr>
          <w:rFonts w:hint="eastAsia" w:ascii="宋体" w:hAnsi="宋体" w:eastAsia="宋体" w:cs="宋体"/>
          <w:sz w:val="36"/>
          <w:szCs w:val="36"/>
        </w:rPr>
      </w:pPr>
      <w:r>
        <w:rPr>
          <w:rFonts w:hint="eastAsia" w:ascii="宋体" w:hAnsi="宋体" w:cs="宋体"/>
          <w:sz w:val="36"/>
          <w:szCs w:val="36"/>
          <w:lang w:eastAsia="zh-CN"/>
        </w:rPr>
        <w:t>法定代表人（单位负责人）</w:t>
      </w:r>
      <w:r>
        <w:rPr>
          <w:rFonts w:hint="eastAsia" w:ascii="宋体" w:hAnsi="宋体" w:eastAsia="宋体" w:cs="宋体"/>
          <w:sz w:val="36"/>
          <w:szCs w:val="36"/>
        </w:rPr>
        <w:t>授权书</w:t>
      </w:r>
    </w:p>
    <w:p w14:paraId="328F2B9B">
      <w:pPr>
        <w:jc w:val="center"/>
        <w:rPr>
          <w:rFonts w:hint="eastAsia" w:ascii="宋体" w:hAnsi="宋体" w:eastAsia="宋体" w:cs="宋体"/>
          <w:sz w:val="36"/>
          <w:szCs w:val="36"/>
        </w:rPr>
      </w:pPr>
      <w:r>
        <w:rPr>
          <w:rFonts w:hint="eastAsia" w:ascii="宋体" w:hAnsi="宋体" w:eastAsia="宋体" w:cs="宋体"/>
          <w:sz w:val="36"/>
          <w:szCs w:val="36"/>
        </w:rPr>
        <w:t>(委托代理人参加磋商)</w:t>
      </w:r>
    </w:p>
    <w:p w14:paraId="73B1F66B">
      <w:pPr>
        <w:adjustRightInd w:val="0"/>
        <w:snapToGrid w:val="0"/>
        <w:spacing w:line="360" w:lineRule="auto"/>
        <w:jc w:val="center"/>
        <w:rPr>
          <w:rFonts w:hint="eastAsia" w:ascii="宋体" w:hAnsi="宋体" w:eastAsia="宋体" w:cs="宋体"/>
          <w:b/>
          <w:sz w:val="28"/>
          <w:szCs w:val="28"/>
        </w:rPr>
      </w:pPr>
    </w:p>
    <w:p w14:paraId="2596B48D">
      <w:pPr>
        <w:autoSpaceDE w:val="0"/>
        <w:autoSpaceDN w:val="0"/>
        <w:adjustRightInd w:val="0"/>
        <w:snapToGrid w:val="0"/>
        <w:spacing w:beforeLines="50"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本人</w:t>
      </w:r>
      <w:r>
        <w:rPr>
          <w:rFonts w:hint="eastAsia" w:ascii="宋体" w:hAnsi="宋体" w:eastAsia="宋体" w:cs="宋体"/>
          <w:kern w:val="0"/>
          <w:szCs w:val="21"/>
          <w:u w:val="single"/>
        </w:rPr>
        <w:t xml:space="preserve">          </w:t>
      </w:r>
      <w:r>
        <w:rPr>
          <w:rFonts w:hint="eastAsia" w:ascii="宋体" w:hAnsi="宋体" w:eastAsia="宋体" w:cs="宋体"/>
          <w:kern w:val="0"/>
          <w:szCs w:val="21"/>
        </w:rPr>
        <w:t>（姓名、职务）系</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szCs w:val="21"/>
        </w:rPr>
        <w:t>供应商</w:t>
      </w:r>
      <w:r>
        <w:rPr>
          <w:rFonts w:hint="eastAsia" w:ascii="宋体" w:hAnsi="宋体" w:eastAsia="宋体" w:cs="宋体"/>
          <w:kern w:val="0"/>
          <w:szCs w:val="21"/>
        </w:rPr>
        <w:t>名称）的</w:t>
      </w:r>
      <w:r>
        <w:rPr>
          <w:rFonts w:hint="eastAsia" w:ascii="宋体" w:hAnsi="宋体" w:cs="宋体"/>
          <w:kern w:val="0"/>
          <w:szCs w:val="21"/>
          <w:lang w:eastAsia="zh-CN"/>
        </w:rPr>
        <w:t>法定代表人（单位负责人）</w:t>
      </w:r>
      <w:r>
        <w:rPr>
          <w:rFonts w:hint="eastAsia" w:ascii="宋体" w:hAnsi="宋体" w:eastAsia="宋体" w:cs="宋体"/>
          <w:kern w:val="0"/>
          <w:szCs w:val="21"/>
        </w:rPr>
        <w:t>，现授权</w:t>
      </w:r>
      <w:r>
        <w:rPr>
          <w:rFonts w:hint="eastAsia" w:ascii="宋体" w:hAnsi="宋体" w:eastAsia="宋体" w:cs="宋体"/>
          <w:kern w:val="0"/>
          <w:szCs w:val="21"/>
          <w:u w:val="single"/>
        </w:rPr>
        <w:t xml:space="preserve">          </w:t>
      </w:r>
      <w:r>
        <w:rPr>
          <w:rFonts w:hint="eastAsia" w:ascii="宋体" w:hAnsi="宋体" w:eastAsia="宋体" w:cs="宋体"/>
          <w:kern w:val="0"/>
          <w:szCs w:val="21"/>
        </w:rPr>
        <w:t>（姓名、职务）为我方代理人。代理人根据授权，以我方名义：(1)签署、澄清、补正、修改、撤回、提交</w:t>
      </w:r>
      <w:r>
        <w:rPr>
          <w:rFonts w:hint="eastAsia" w:ascii="宋体" w:hAnsi="宋体" w:eastAsia="宋体" w:cs="宋体"/>
          <w:kern w:val="0"/>
          <w:szCs w:val="21"/>
          <w:u w:val="single"/>
        </w:rPr>
        <w:t xml:space="preserve">                     </w:t>
      </w:r>
      <w:r>
        <w:rPr>
          <w:rFonts w:hint="eastAsia" w:ascii="宋体" w:hAnsi="宋体" w:eastAsia="宋体" w:cs="宋体"/>
          <w:kern w:val="0"/>
          <w:szCs w:val="21"/>
        </w:rPr>
        <w:t>（项目名称、</w:t>
      </w:r>
      <w:r>
        <w:rPr>
          <w:rFonts w:hint="eastAsia" w:ascii="宋体" w:hAnsi="宋体" w:cs="宋体"/>
          <w:kern w:val="0"/>
          <w:szCs w:val="21"/>
          <w:lang w:eastAsia="zh-CN"/>
        </w:rPr>
        <w:t>招标代理</w:t>
      </w:r>
      <w:r>
        <w:rPr>
          <w:rFonts w:hint="eastAsia" w:ascii="宋体" w:hAnsi="宋体" w:eastAsia="宋体" w:cs="宋体"/>
          <w:kern w:val="0"/>
          <w:szCs w:val="21"/>
        </w:rPr>
        <w:t>编号）响应文件；(2)签署并重新提交响应文件及最后报价；(3)</w:t>
      </w:r>
      <w:r>
        <w:rPr>
          <w:rFonts w:hint="eastAsia" w:ascii="宋体" w:hAnsi="宋体" w:eastAsia="宋体" w:cs="宋体"/>
          <w:szCs w:val="21"/>
        </w:rPr>
        <w:t>退出磋商；</w:t>
      </w:r>
      <w:r>
        <w:rPr>
          <w:rFonts w:hint="eastAsia" w:ascii="宋体" w:hAnsi="宋体" w:eastAsia="宋体" w:cs="宋体"/>
          <w:kern w:val="0"/>
          <w:szCs w:val="21"/>
        </w:rPr>
        <w:t>(4)签订合同和处理有关事宜，其法律后果由我方承担。</w:t>
      </w:r>
    </w:p>
    <w:p w14:paraId="7969EF88">
      <w:pPr>
        <w:autoSpaceDE w:val="0"/>
        <w:autoSpaceDN w:val="0"/>
        <w:adjustRightInd w:val="0"/>
        <w:snapToGrid w:val="0"/>
        <w:spacing w:beforeLines="50"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委托期限：</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0465F961">
      <w:pPr>
        <w:spacing w:line="360" w:lineRule="auto"/>
        <w:ind w:firstLine="435"/>
        <w:rPr>
          <w:rFonts w:hint="eastAsia" w:ascii="宋体" w:hAnsi="宋体" w:eastAsia="宋体" w:cs="宋体"/>
          <w:kern w:val="0"/>
          <w:szCs w:val="21"/>
        </w:rPr>
      </w:pPr>
      <w:r>
        <w:rPr>
          <w:rFonts w:hint="eastAsia" w:ascii="宋体" w:hAnsi="宋体" w:eastAsia="宋体" w:cs="宋体"/>
          <w:kern w:val="0"/>
          <w:szCs w:val="21"/>
        </w:rPr>
        <w:t>代理人无转委托权。</w:t>
      </w:r>
    </w:p>
    <w:p w14:paraId="265DD80B">
      <w:pPr>
        <w:spacing w:line="360" w:lineRule="auto"/>
        <w:ind w:firstLine="435"/>
        <w:rPr>
          <w:rFonts w:hint="eastAsia" w:ascii="宋体" w:hAnsi="宋体" w:eastAsia="宋体" w:cs="宋体"/>
          <w:szCs w:val="21"/>
        </w:rPr>
      </w:pPr>
      <w:r>
        <w:rPr>
          <w:rFonts w:hint="eastAsia" w:ascii="宋体" w:hAnsi="宋体" w:eastAsia="宋体" w:cs="宋体"/>
          <w:szCs w:val="21"/>
        </w:rPr>
        <w:t>本授权书于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日签字生效，特此声明。</w:t>
      </w:r>
    </w:p>
    <w:p w14:paraId="450025C0">
      <w:pPr>
        <w:adjustRightInd w:val="0"/>
        <w:snapToGrid w:val="0"/>
        <w:spacing w:beforeLines="50" w:line="360" w:lineRule="auto"/>
        <w:ind w:firstLine="420" w:firstLineChars="200"/>
        <w:rPr>
          <w:rFonts w:hint="eastAsia" w:ascii="宋体" w:hAnsi="宋体" w:eastAsia="宋体" w:cs="宋体"/>
          <w:b/>
          <w:color w:val="000000"/>
          <w:szCs w:val="21"/>
        </w:rPr>
      </w:pPr>
      <w:r>
        <w:rPr>
          <w:rFonts w:hint="eastAsia" w:ascii="宋体" w:hAnsi="宋体" w:eastAsia="宋体" w:cs="宋体"/>
          <w:b/>
          <w:color w:val="000000"/>
          <w:szCs w:val="21"/>
        </w:rPr>
        <w:t>附：委托代理人身份证复印件及</w:t>
      </w:r>
      <w:r>
        <w:rPr>
          <w:rFonts w:hint="eastAsia" w:ascii="宋体" w:hAnsi="宋体" w:cs="宋体"/>
          <w:b/>
          <w:color w:val="000000"/>
          <w:szCs w:val="21"/>
          <w:lang w:eastAsia="zh-CN"/>
        </w:rPr>
        <w:t>法定代表人（单位负责人）</w:t>
      </w:r>
      <w:r>
        <w:rPr>
          <w:rFonts w:hint="eastAsia" w:ascii="宋体" w:hAnsi="宋体" w:eastAsia="宋体" w:cs="宋体"/>
          <w:b/>
          <w:color w:val="000000"/>
          <w:szCs w:val="21"/>
        </w:rPr>
        <w:t>身份证明(附件1，原件)</w:t>
      </w:r>
    </w:p>
    <w:p w14:paraId="4B7C6782">
      <w:pPr>
        <w:adjustRightInd w:val="0"/>
        <w:snapToGrid w:val="0"/>
        <w:spacing w:beforeLines="50" w:line="360" w:lineRule="auto"/>
        <w:ind w:firstLine="420" w:firstLineChars="200"/>
        <w:rPr>
          <w:rFonts w:hint="eastAsia" w:ascii="宋体" w:hAnsi="宋体" w:eastAsia="宋体" w:cs="宋体"/>
          <w:color w:val="000000"/>
          <w:szCs w:val="21"/>
        </w:rPr>
      </w:pPr>
    </w:p>
    <w:p w14:paraId="3EA14224">
      <w:pPr>
        <w:adjustRightInd w:val="0"/>
        <w:snapToGrid w:val="0"/>
        <w:spacing w:line="360" w:lineRule="auto"/>
        <w:ind w:right="420"/>
        <w:rPr>
          <w:rFonts w:hint="eastAsia" w:ascii="宋体" w:hAnsi="宋体" w:eastAsia="宋体" w:cs="宋体"/>
          <w:color w:val="000000"/>
          <w:szCs w:val="21"/>
        </w:rPr>
      </w:pPr>
    </w:p>
    <w:p w14:paraId="1ED43ABB">
      <w:pPr>
        <w:adjustRightInd w:val="0"/>
        <w:snapToGrid w:val="0"/>
        <w:spacing w:line="360" w:lineRule="auto"/>
        <w:ind w:right="420"/>
        <w:rPr>
          <w:rFonts w:hint="eastAsia" w:ascii="宋体" w:hAnsi="宋体" w:eastAsia="宋体" w:cs="宋体"/>
          <w:color w:val="000000"/>
          <w:szCs w:val="21"/>
        </w:rPr>
      </w:pPr>
    </w:p>
    <w:p w14:paraId="0F0115D1">
      <w:pPr>
        <w:adjustRightInd w:val="0"/>
        <w:snapToGrid w:val="0"/>
        <w:spacing w:line="360" w:lineRule="auto"/>
        <w:ind w:right="420"/>
        <w:rPr>
          <w:rFonts w:hint="eastAsia" w:ascii="宋体" w:hAnsi="宋体" w:eastAsia="宋体" w:cs="宋体"/>
          <w:color w:val="000000"/>
          <w:szCs w:val="21"/>
        </w:rPr>
      </w:pPr>
    </w:p>
    <w:p w14:paraId="04EF894E">
      <w:pPr>
        <w:adjustRightInd w:val="0"/>
        <w:snapToGrid w:val="0"/>
        <w:spacing w:line="360" w:lineRule="auto"/>
        <w:ind w:right="420"/>
        <w:rPr>
          <w:rFonts w:hint="eastAsia" w:ascii="宋体" w:hAnsi="宋体" w:eastAsia="宋体" w:cs="宋体"/>
          <w:color w:val="000000"/>
          <w:szCs w:val="21"/>
        </w:rPr>
      </w:pPr>
    </w:p>
    <w:p w14:paraId="5D8E4E67">
      <w:pPr>
        <w:adjustRightInd w:val="0"/>
        <w:snapToGrid w:val="0"/>
        <w:spacing w:line="360" w:lineRule="auto"/>
        <w:ind w:right="420"/>
        <w:rPr>
          <w:rFonts w:hint="eastAsia" w:ascii="宋体" w:hAnsi="宋体" w:eastAsia="宋体" w:cs="宋体"/>
          <w:color w:val="000000"/>
          <w:szCs w:val="21"/>
        </w:rPr>
      </w:pPr>
    </w:p>
    <w:p w14:paraId="312AC52F">
      <w:pPr>
        <w:adjustRightInd w:val="0"/>
        <w:snapToGrid w:val="0"/>
        <w:spacing w:line="360" w:lineRule="auto"/>
        <w:ind w:right="420"/>
        <w:rPr>
          <w:rFonts w:hint="eastAsia" w:ascii="宋体" w:hAnsi="宋体" w:eastAsia="宋体" w:cs="宋体"/>
          <w:color w:val="000000"/>
          <w:szCs w:val="21"/>
        </w:rPr>
      </w:pPr>
    </w:p>
    <w:p w14:paraId="0339366F">
      <w:pPr>
        <w:adjustRightInd w:val="0"/>
        <w:snapToGrid w:val="0"/>
        <w:spacing w:line="360" w:lineRule="auto"/>
        <w:ind w:right="420"/>
        <w:rPr>
          <w:rFonts w:hint="eastAsia" w:ascii="宋体" w:hAnsi="宋体" w:eastAsia="宋体" w:cs="宋体"/>
          <w:color w:val="000000"/>
          <w:szCs w:val="21"/>
        </w:rPr>
      </w:pPr>
    </w:p>
    <w:p w14:paraId="56788816">
      <w:pPr>
        <w:adjustRightInd w:val="0"/>
        <w:snapToGrid w:val="0"/>
        <w:spacing w:line="360" w:lineRule="auto"/>
        <w:ind w:right="420"/>
        <w:rPr>
          <w:rFonts w:hint="eastAsia" w:ascii="宋体" w:hAnsi="宋体" w:eastAsia="宋体" w:cs="宋体"/>
          <w:color w:val="000000"/>
          <w:szCs w:val="21"/>
        </w:rPr>
      </w:pPr>
    </w:p>
    <w:p w14:paraId="4E318D97">
      <w:pPr>
        <w:adjustRightInd w:val="0"/>
        <w:snapToGrid w:val="0"/>
        <w:spacing w:line="360" w:lineRule="auto"/>
        <w:ind w:right="420"/>
        <w:rPr>
          <w:rFonts w:hint="eastAsia" w:ascii="宋体" w:hAnsi="宋体" w:eastAsia="宋体" w:cs="宋体"/>
          <w:color w:val="000000"/>
          <w:szCs w:val="21"/>
        </w:rPr>
      </w:pPr>
      <w:r>
        <w:rPr>
          <w:rFonts w:hint="eastAsia" w:ascii="宋体" w:hAnsi="宋体" w:cs="宋体"/>
          <w:color w:val="000000"/>
          <w:szCs w:val="21"/>
          <w:lang w:eastAsia="zh-CN"/>
        </w:rPr>
        <w:t>法定代表人（单位负责人）</w:t>
      </w:r>
      <w:r>
        <w:rPr>
          <w:rFonts w:hint="eastAsia" w:ascii="宋体" w:hAnsi="宋体" w:eastAsia="宋体" w:cs="宋体"/>
          <w:color w:val="000000"/>
          <w:szCs w:val="21"/>
        </w:rPr>
        <w:t>（签字）：</w:t>
      </w:r>
      <w:r>
        <w:rPr>
          <w:rFonts w:hint="eastAsia" w:ascii="宋体" w:hAnsi="宋体" w:eastAsia="宋体" w:cs="宋体"/>
          <w:color w:val="000000"/>
          <w:szCs w:val="21"/>
          <w:u w:val="single"/>
        </w:rPr>
        <w:t xml:space="preserve">                     </w:t>
      </w:r>
    </w:p>
    <w:p w14:paraId="72C4F8C2">
      <w:pPr>
        <w:adjustRightInd w:val="0"/>
        <w:snapToGrid w:val="0"/>
        <w:spacing w:line="360" w:lineRule="auto"/>
        <w:ind w:right="420"/>
        <w:rPr>
          <w:rFonts w:hint="eastAsia" w:ascii="宋体" w:hAnsi="宋体" w:eastAsia="宋体" w:cs="宋体"/>
          <w:color w:val="000000"/>
          <w:szCs w:val="21"/>
        </w:rPr>
      </w:pPr>
      <w:r>
        <w:rPr>
          <w:rFonts w:hint="eastAsia" w:ascii="宋体" w:hAnsi="宋体" w:eastAsia="宋体" w:cs="宋体"/>
          <w:color w:val="000000"/>
          <w:szCs w:val="21"/>
        </w:rPr>
        <w:t>委托代理人（签字）：</w:t>
      </w:r>
      <w:r>
        <w:rPr>
          <w:rFonts w:hint="eastAsia" w:ascii="宋体" w:hAnsi="宋体" w:eastAsia="宋体" w:cs="宋体"/>
          <w:color w:val="000000"/>
          <w:szCs w:val="21"/>
          <w:u w:val="single"/>
        </w:rPr>
        <w:t xml:space="preserve">                     </w:t>
      </w:r>
    </w:p>
    <w:p w14:paraId="0F9FE7E4">
      <w:pPr>
        <w:adjustRightInd w:val="0"/>
        <w:snapToGrid w:val="0"/>
        <w:spacing w:line="360" w:lineRule="auto"/>
        <w:ind w:right="24"/>
        <w:rPr>
          <w:rFonts w:hint="eastAsia" w:ascii="宋体" w:hAnsi="宋体" w:eastAsia="宋体" w:cs="宋体"/>
          <w:color w:val="000000"/>
          <w:szCs w:val="21"/>
        </w:rPr>
      </w:pPr>
      <w:r>
        <w:rPr>
          <w:rFonts w:hint="eastAsia" w:ascii="宋体" w:hAnsi="宋体" w:eastAsia="宋体" w:cs="宋体"/>
          <w:color w:val="000000"/>
          <w:szCs w:val="21"/>
        </w:rPr>
        <w:t>日期：</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年</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月</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日</w:t>
      </w:r>
    </w:p>
    <w:p w14:paraId="73D95D43">
      <w:pPr>
        <w:adjustRightInd w:val="0"/>
        <w:snapToGrid w:val="0"/>
        <w:spacing w:line="360" w:lineRule="auto"/>
        <w:rPr>
          <w:rFonts w:hint="eastAsia" w:ascii="宋体" w:hAnsi="宋体" w:eastAsia="宋体" w:cs="宋体"/>
          <w:color w:val="000000"/>
          <w:kern w:val="0"/>
          <w:szCs w:val="21"/>
        </w:rPr>
      </w:pPr>
    </w:p>
    <w:p w14:paraId="0D2A5451">
      <w:pPr>
        <w:spacing w:line="360" w:lineRule="exact"/>
        <w:rPr>
          <w:rFonts w:hint="eastAsia" w:ascii="宋体" w:hAnsi="宋体" w:eastAsia="宋体" w:cs="宋体"/>
          <w:b/>
          <w:color w:val="000000"/>
          <w:szCs w:val="21"/>
        </w:rPr>
      </w:pPr>
      <w:r>
        <w:rPr>
          <w:rFonts w:hint="eastAsia" w:ascii="宋体" w:hAnsi="宋体" w:eastAsia="宋体" w:cs="宋体"/>
          <w:b/>
          <w:color w:val="000000"/>
          <w:szCs w:val="21"/>
        </w:rPr>
        <w:t>本授权委托书除投标响应文件中提供以外，须单独另备一份及委托代理人居民身份证原件，并附</w:t>
      </w:r>
      <w:r>
        <w:rPr>
          <w:rFonts w:hint="eastAsia" w:ascii="宋体" w:hAnsi="宋体" w:cs="宋体"/>
          <w:b/>
          <w:color w:val="000000"/>
          <w:szCs w:val="21"/>
          <w:lang w:eastAsia="zh-CN"/>
        </w:rPr>
        <w:t>法定代表人（单位负责人）</w:t>
      </w:r>
      <w:r>
        <w:rPr>
          <w:rFonts w:hint="eastAsia" w:ascii="宋体" w:hAnsi="宋体" w:eastAsia="宋体" w:cs="宋体"/>
          <w:b/>
          <w:color w:val="000000"/>
          <w:szCs w:val="21"/>
        </w:rPr>
        <w:t>身份证明持于手中于开标现场查验。</w:t>
      </w:r>
    </w:p>
    <w:p w14:paraId="5B092817">
      <w:pPr>
        <w:spacing w:line="400" w:lineRule="exact"/>
        <w:jc w:val="center"/>
        <w:rPr>
          <w:rFonts w:hint="eastAsia" w:ascii="宋体" w:hAnsi="宋体" w:eastAsia="宋体" w:cs="宋体"/>
          <w:b/>
          <w:bCs/>
          <w:sz w:val="36"/>
        </w:rPr>
      </w:pPr>
    </w:p>
    <w:p w14:paraId="388A23BC">
      <w:pPr>
        <w:spacing w:line="400" w:lineRule="exact"/>
        <w:jc w:val="center"/>
        <w:rPr>
          <w:rFonts w:hint="eastAsia" w:ascii="宋体" w:hAnsi="宋体" w:eastAsia="宋体" w:cs="宋体"/>
          <w:b/>
          <w:bCs/>
          <w:sz w:val="36"/>
        </w:rPr>
      </w:pPr>
    </w:p>
    <w:p w14:paraId="1C038093">
      <w:pPr>
        <w:spacing w:line="400" w:lineRule="exact"/>
        <w:jc w:val="center"/>
        <w:rPr>
          <w:rFonts w:hint="eastAsia" w:ascii="宋体" w:hAnsi="宋体" w:eastAsia="宋体" w:cs="宋体"/>
          <w:b/>
          <w:bCs/>
          <w:sz w:val="36"/>
        </w:rPr>
      </w:pPr>
    </w:p>
    <w:p w14:paraId="537EC0D7">
      <w:pPr>
        <w:spacing w:line="400" w:lineRule="exact"/>
        <w:jc w:val="center"/>
        <w:rPr>
          <w:rFonts w:hint="eastAsia" w:ascii="宋体" w:hAnsi="宋体" w:eastAsia="宋体" w:cs="宋体"/>
          <w:b/>
          <w:bCs/>
          <w:sz w:val="36"/>
        </w:rPr>
      </w:pPr>
    </w:p>
    <w:p w14:paraId="7D7392B8">
      <w:pPr>
        <w:pStyle w:val="4"/>
        <w:jc w:val="center"/>
        <w:rPr>
          <w:rFonts w:hint="eastAsia" w:ascii="宋体" w:hAnsi="宋体" w:eastAsia="宋体" w:cs="宋体"/>
          <w:sz w:val="28"/>
          <w:szCs w:val="36"/>
        </w:rPr>
      </w:pPr>
      <w:bookmarkStart w:id="33" w:name="_Toc7725"/>
      <w:bookmarkStart w:id="34" w:name="_Toc3657"/>
      <w:r>
        <w:rPr>
          <w:rFonts w:hint="eastAsia" w:ascii="宋体" w:hAnsi="宋体" w:eastAsia="宋体" w:cs="宋体"/>
          <w:sz w:val="28"/>
          <w:szCs w:val="36"/>
          <w:lang w:eastAsia="zh-CN"/>
        </w:rPr>
        <w:t>二</w:t>
      </w:r>
      <w:r>
        <w:rPr>
          <w:rFonts w:hint="eastAsia" w:ascii="宋体" w:hAnsi="宋体" w:eastAsia="宋体" w:cs="宋体"/>
          <w:sz w:val="28"/>
          <w:szCs w:val="36"/>
        </w:rPr>
        <w:t>、供应商的资格证明材料</w:t>
      </w:r>
      <w:bookmarkEnd w:id="33"/>
      <w:bookmarkEnd w:id="34"/>
    </w:p>
    <w:p w14:paraId="0519E57F">
      <w:pPr>
        <w:spacing w:line="480" w:lineRule="exact"/>
        <w:rPr>
          <w:rFonts w:hint="eastAsia" w:ascii="宋体" w:hAnsi="宋体" w:eastAsia="宋体" w:cs="宋体"/>
          <w:sz w:val="32"/>
          <w:szCs w:val="32"/>
        </w:rPr>
      </w:pPr>
      <w:r>
        <w:rPr>
          <w:rFonts w:hint="eastAsia" w:ascii="宋体" w:hAnsi="宋体" w:eastAsia="宋体" w:cs="宋体"/>
          <w:sz w:val="32"/>
          <w:szCs w:val="32"/>
        </w:rPr>
        <w:t>附件3</w:t>
      </w:r>
    </w:p>
    <w:p w14:paraId="747E20C0">
      <w:pPr>
        <w:adjustRightInd w:val="0"/>
        <w:snapToGrid w:val="0"/>
        <w:spacing w:line="360" w:lineRule="auto"/>
        <w:jc w:val="center"/>
        <w:rPr>
          <w:rFonts w:hint="eastAsia" w:ascii="宋体" w:hAnsi="宋体" w:eastAsia="宋体" w:cs="宋体"/>
          <w:sz w:val="36"/>
          <w:szCs w:val="36"/>
        </w:rPr>
      </w:pPr>
      <w:r>
        <w:rPr>
          <w:rFonts w:hint="eastAsia" w:ascii="宋体" w:hAnsi="宋体" w:eastAsia="宋体" w:cs="宋体"/>
          <w:sz w:val="36"/>
          <w:szCs w:val="36"/>
        </w:rPr>
        <w:t>供应商基本情况表</w:t>
      </w:r>
    </w:p>
    <w:p w14:paraId="09E42F40">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盖供应商单位章</w:t>
      </w:r>
    </w:p>
    <w:tbl>
      <w:tblPr>
        <w:tblStyle w:val="48"/>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9"/>
        <w:gridCol w:w="539"/>
        <w:gridCol w:w="362"/>
        <w:gridCol w:w="934"/>
        <w:gridCol w:w="1059"/>
        <w:gridCol w:w="884"/>
        <w:gridCol w:w="1083"/>
        <w:gridCol w:w="1329"/>
        <w:gridCol w:w="2092"/>
        <w:gridCol w:w="9"/>
      </w:tblGrid>
      <w:tr w14:paraId="74C25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620" w:type="dxa"/>
            <w:gridSpan w:val="3"/>
            <w:tcBorders>
              <w:top w:val="double" w:color="auto" w:sz="4" w:space="0"/>
              <w:left w:val="double" w:color="auto" w:sz="4" w:space="0"/>
              <w:bottom w:val="single" w:color="auto" w:sz="6" w:space="0"/>
              <w:right w:val="single" w:color="auto" w:sz="6" w:space="0"/>
            </w:tcBorders>
            <w:vAlign w:val="center"/>
          </w:tcPr>
          <w:p w14:paraId="49511152">
            <w:pPr>
              <w:topLinePunct/>
              <w:spacing w:line="440" w:lineRule="exact"/>
              <w:jc w:val="center"/>
              <w:rPr>
                <w:rFonts w:hint="eastAsia" w:ascii="宋体" w:hAnsi="宋体" w:eastAsia="宋体" w:cs="宋体"/>
                <w:szCs w:val="21"/>
              </w:rPr>
            </w:pPr>
            <w:r>
              <w:rPr>
                <w:rFonts w:hint="eastAsia" w:ascii="宋体" w:hAnsi="宋体" w:eastAsia="宋体" w:cs="宋体"/>
                <w:szCs w:val="21"/>
              </w:rPr>
              <w:t>供应商名称</w:t>
            </w:r>
          </w:p>
        </w:tc>
        <w:tc>
          <w:tcPr>
            <w:tcW w:w="3960" w:type="dxa"/>
            <w:gridSpan w:val="4"/>
            <w:tcBorders>
              <w:top w:val="double" w:color="auto" w:sz="4" w:space="0"/>
              <w:left w:val="single" w:color="auto" w:sz="6" w:space="0"/>
              <w:bottom w:val="single" w:color="auto" w:sz="6" w:space="0"/>
              <w:right w:val="single" w:color="auto" w:sz="6" w:space="0"/>
            </w:tcBorders>
            <w:vAlign w:val="center"/>
          </w:tcPr>
          <w:p w14:paraId="7E6AA53E">
            <w:pPr>
              <w:topLinePunct/>
              <w:spacing w:line="440" w:lineRule="exact"/>
              <w:jc w:val="center"/>
              <w:rPr>
                <w:rFonts w:hint="eastAsia" w:ascii="宋体" w:hAnsi="宋体" w:eastAsia="宋体" w:cs="宋体"/>
                <w:szCs w:val="21"/>
              </w:rPr>
            </w:pPr>
          </w:p>
        </w:tc>
        <w:tc>
          <w:tcPr>
            <w:tcW w:w="1329" w:type="dxa"/>
            <w:tcBorders>
              <w:top w:val="double" w:color="auto" w:sz="4" w:space="0"/>
              <w:left w:val="single" w:color="auto" w:sz="6" w:space="0"/>
              <w:bottom w:val="single" w:color="auto" w:sz="6" w:space="0"/>
              <w:right w:val="single" w:color="auto" w:sz="6" w:space="0"/>
            </w:tcBorders>
            <w:vAlign w:val="center"/>
          </w:tcPr>
          <w:p w14:paraId="7F4144C0">
            <w:pPr>
              <w:topLinePunct/>
              <w:spacing w:line="440" w:lineRule="exact"/>
              <w:jc w:val="center"/>
              <w:rPr>
                <w:rFonts w:hint="eastAsia" w:ascii="宋体" w:hAnsi="宋体" w:eastAsia="宋体" w:cs="宋体"/>
                <w:szCs w:val="21"/>
              </w:rPr>
            </w:pPr>
            <w:r>
              <w:rPr>
                <w:rFonts w:hint="eastAsia" w:ascii="宋体" w:hAnsi="宋体" w:eastAsia="宋体" w:cs="宋体"/>
                <w:szCs w:val="21"/>
              </w:rPr>
              <w:t>法定代表人</w:t>
            </w:r>
          </w:p>
        </w:tc>
        <w:tc>
          <w:tcPr>
            <w:tcW w:w="2101" w:type="dxa"/>
            <w:gridSpan w:val="2"/>
            <w:tcBorders>
              <w:top w:val="double" w:color="auto" w:sz="4" w:space="0"/>
              <w:left w:val="single" w:color="auto" w:sz="6" w:space="0"/>
              <w:bottom w:val="single" w:color="auto" w:sz="6" w:space="0"/>
              <w:right w:val="double" w:color="auto" w:sz="4" w:space="0"/>
            </w:tcBorders>
            <w:vAlign w:val="center"/>
          </w:tcPr>
          <w:p w14:paraId="324DEB4F">
            <w:pPr>
              <w:topLinePunct/>
              <w:spacing w:line="440" w:lineRule="exact"/>
              <w:jc w:val="center"/>
              <w:rPr>
                <w:rFonts w:hint="eastAsia" w:ascii="宋体" w:hAnsi="宋体" w:eastAsia="宋体" w:cs="宋体"/>
                <w:szCs w:val="21"/>
              </w:rPr>
            </w:pPr>
          </w:p>
        </w:tc>
      </w:tr>
      <w:tr w14:paraId="6452CD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trHeight w:val="611"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14:paraId="44DC67D1">
            <w:pPr>
              <w:topLinePunct/>
              <w:spacing w:line="440" w:lineRule="exact"/>
              <w:jc w:val="center"/>
              <w:rPr>
                <w:rFonts w:hint="eastAsia" w:ascii="宋体" w:hAnsi="宋体" w:eastAsia="宋体" w:cs="宋体"/>
                <w:szCs w:val="21"/>
              </w:rPr>
            </w:pPr>
            <w:r>
              <w:rPr>
                <w:rFonts w:hint="eastAsia" w:ascii="宋体" w:hAnsi="宋体" w:eastAsia="宋体" w:cs="宋体"/>
                <w:szCs w:val="21"/>
              </w:rPr>
              <w:t>组织机构代码</w:t>
            </w:r>
          </w:p>
        </w:tc>
        <w:tc>
          <w:tcPr>
            <w:tcW w:w="3960" w:type="dxa"/>
            <w:gridSpan w:val="4"/>
            <w:tcBorders>
              <w:top w:val="single" w:color="auto" w:sz="6" w:space="0"/>
              <w:left w:val="single" w:color="auto" w:sz="6" w:space="0"/>
              <w:bottom w:val="single" w:color="auto" w:sz="6" w:space="0"/>
              <w:right w:val="single" w:color="auto" w:sz="6" w:space="0"/>
            </w:tcBorders>
            <w:vAlign w:val="center"/>
          </w:tcPr>
          <w:p w14:paraId="6CED58B6">
            <w:pPr>
              <w:topLinePunct/>
              <w:spacing w:line="440" w:lineRule="exact"/>
              <w:jc w:val="center"/>
              <w:rPr>
                <w:rFonts w:hint="eastAsia" w:ascii="宋体" w:hAnsi="宋体" w:eastAsia="宋体" w:cs="宋体"/>
                <w:szCs w:val="21"/>
              </w:rPr>
            </w:pPr>
          </w:p>
        </w:tc>
        <w:tc>
          <w:tcPr>
            <w:tcW w:w="1329" w:type="dxa"/>
            <w:tcBorders>
              <w:top w:val="single" w:color="auto" w:sz="6" w:space="0"/>
              <w:left w:val="single" w:color="auto" w:sz="6" w:space="0"/>
              <w:bottom w:val="single" w:color="auto" w:sz="6" w:space="0"/>
              <w:right w:val="single" w:color="auto" w:sz="6" w:space="0"/>
            </w:tcBorders>
            <w:vAlign w:val="center"/>
          </w:tcPr>
          <w:p w14:paraId="6F0C45D3">
            <w:pPr>
              <w:topLinePunct/>
              <w:spacing w:line="440" w:lineRule="exact"/>
              <w:jc w:val="center"/>
              <w:rPr>
                <w:rFonts w:hint="eastAsia" w:ascii="宋体" w:hAnsi="宋体" w:eastAsia="宋体" w:cs="宋体"/>
                <w:szCs w:val="21"/>
              </w:rPr>
            </w:pPr>
            <w:r>
              <w:rPr>
                <w:rFonts w:hint="eastAsia" w:ascii="宋体" w:hAnsi="宋体" w:eastAsia="宋体" w:cs="宋体"/>
                <w:szCs w:val="21"/>
              </w:rPr>
              <w:t>邮政编码</w:t>
            </w:r>
          </w:p>
        </w:tc>
        <w:tc>
          <w:tcPr>
            <w:tcW w:w="2092" w:type="dxa"/>
            <w:tcBorders>
              <w:top w:val="single" w:color="auto" w:sz="6" w:space="0"/>
              <w:left w:val="single" w:color="auto" w:sz="6" w:space="0"/>
              <w:bottom w:val="single" w:color="auto" w:sz="6" w:space="0"/>
              <w:right w:val="double" w:color="auto" w:sz="4" w:space="0"/>
            </w:tcBorders>
            <w:vAlign w:val="center"/>
          </w:tcPr>
          <w:p w14:paraId="09CB2DD3">
            <w:pPr>
              <w:topLinePunct/>
              <w:spacing w:line="440" w:lineRule="exact"/>
              <w:jc w:val="center"/>
              <w:rPr>
                <w:rFonts w:hint="eastAsia" w:ascii="宋体" w:hAnsi="宋体" w:eastAsia="宋体" w:cs="宋体"/>
                <w:szCs w:val="21"/>
              </w:rPr>
            </w:pPr>
          </w:p>
        </w:tc>
      </w:tr>
      <w:tr w14:paraId="2601F6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trHeight w:val="608"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14:paraId="0159A77F">
            <w:pPr>
              <w:topLinePunct/>
              <w:spacing w:line="440" w:lineRule="exact"/>
              <w:jc w:val="center"/>
              <w:rPr>
                <w:rFonts w:hint="eastAsia" w:ascii="宋体" w:hAnsi="宋体" w:eastAsia="宋体" w:cs="宋体"/>
                <w:szCs w:val="21"/>
              </w:rPr>
            </w:pPr>
            <w:r>
              <w:rPr>
                <w:rFonts w:hint="eastAsia" w:ascii="宋体" w:hAnsi="宋体" w:eastAsia="宋体" w:cs="宋体"/>
                <w:szCs w:val="21"/>
              </w:rPr>
              <w:t>委托代理人</w:t>
            </w:r>
          </w:p>
        </w:tc>
        <w:tc>
          <w:tcPr>
            <w:tcW w:w="3960" w:type="dxa"/>
            <w:gridSpan w:val="4"/>
            <w:tcBorders>
              <w:top w:val="single" w:color="auto" w:sz="6" w:space="0"/>
              <w:left w:val="single" w:color="auto" w:sz="6" w:space="0"/>
              <w:bottom w:val="single" w:color="auto" w:sz="6" w:space="0"/>
              <w:right w:val="single" w:color="auto" w:sz="6" w:space="0"/>
            </w:tcBorders>
            <w:vAlign w:val="center"/>
          </w:tcPr>
          <w:p w14:paraId="024ADDEB">
            <w:pPr>
              <w:topLinePunct/>
              <w:spacing w:line="440" w:lineRule="exact"/>
              <w:jc w:val="center"/>
              <w:rPr>
                <w:rFonts w:hint="eastAsia" w:ascii="宋体" w:hAnsi="宋体" w:eastAsia="宋体" w:cs="宋体"/>
                <w:szCs w:val="21"/>
              </w:rPr>
            </w:pPr>
          </w:p>
        </w:tc>
        <w:tc>
          <w:tcPr>
            <w:tcW w:w="1329" w:type="dxa"/>
            <w:tcBorders>
              <w:top w:val="single" w:color="auto" w:sz="6" w:space="0"/>
              <w:left w:val="single" w:color="auto" w:sz="6" w:space="0"/>
              <w:bottom w:val="single" w:color="auto" w:sz="6" w:space="0"/>
              <w:right w:val="single" w:color="auto" w:sz="6" w:space="0"/>
            </w:tcBorders>
            <w:vAlign w:val="center"/>
          </w:tcPr>
          <w:p w14:paraId="23E92E40">
            <w:pPr>
              <w:topLinePunct/>
              <w:spacing w:line="440" w:lineRule="exact"/>
              <w:jc w:val="center"/>
              <w:rPr>
                <w:rFonts w:hint="eastAsia" w:ascii="宋体" w:hAnsi="宋体" w:eastAsia="宋体" w:cs="宋体"/>
                <w:szCs w:val="21"/>
              </w:rPr>
            </w:pPr>
            <w:r>
              <w:rPr>
                <w:rFonts w:hint="eastAsia" w:ascii="宋体" w:hAnsi="宋体" w:eastAsia="宋体" w:cs="宋体"/>
                <w:szCs w:val="21"/>
              </w:rPr>
              <w:t>电子邮箱</w:t>
            </w:r>
          </w:p>
        </w:tc>
        <w:tc>
          <w:tcPr>
            <w:tcW w:w="2092" w:type="dxa"/>
            <w:tcBorders>
              <w:top w:val="single" w:color="auto" w:sz="6" w:space="0"/>
              <w:left w:val="single" w:color="auto" w:sz="6" w:space="0"/>
              <w:bottom w:val="single" w:color="auto" w:sz="6" w:space="0"/>
              <w:right w:val="double" w:color="auto" w:sz="4" w:space="0"/>
            </w:tcBorders>
            <w:vAlign w:val="center"/>
          </w:tcPr>
          <w:p w14:paraId="2FF80AC9">
            <w:pPr>
              <w:topLinePunct/>
              <w:spacing w:line="440" w:lineRule="exact"/>
              <w:jc w:val="center"/>
              <w:rPr>
                <w:rFonts w:hint="eastAsia" w:ascii="宋体" w:hAnsi="宋体" w:eastAsia="宋体" w:cs="宋体"/>
                <w:szCs w:val="21"/>
              </w:rPr>
            </w:pPr>
          </w:p>
        </w:tc>
      </w:tr>
      <w:tr w14:paraId="5746C8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trHeight w:val="608"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14:paraId="302E57AA">
            <w:pPr>
              <w:topLinePunct/>
              <w:spacing w:line="440" w:lineRule="exact"/>
              <w:jc w:val="center"/>
              <w:rPr>
                <w:rFonts w:hint="eastAsia" w:ascii="宋体" w:hAnsi="宋体" w:eastAsia="宋体" w:cs="宋体"/>
                <w:szCs w:val="21"/>
              </w:rPr>
            </w:pPr>
            <w:r>
              <w:rPr>
                <w:rFonts w:hint="eastAsia" w:ascii="宋体" w:hAnsi="宋体" w:eastAsia="宋体" w:cs="宋体"/>
                <w:szCs w:val="21"/>
              </w:rPr>
              <w:t>上年营业收入</w:t>
            </w:r>
          </w:p>
        </w:tc>
        <w:tc>
          <w:tcPr>
            <w:tcW w:w="3960" w:type="dxa"/>
            <w:gridSpan w:val="4"/>
            <w:tcBorders>
              <w:top w:val="single" w:color="auto" w:sz="6" w:space="0"/>
              <w:left w:val="single" w:color="auto" w:sz="6" w:space="0"/>
              <w:bottom w:val="single" w:color="auto" w:sz="6" w:space="0"/>
              <w:right w:val="single" w:color="auto" w:sz="6" w:space="0"/>
            </w:tcBorders>
            <w:vAlign w:val="center"/>
          </w:tcPr>
          <w:p w14:paraId="4CA469D7">
            <w:pPr>
              <w:topLinePunct/>
              <w:spacing w:line="440" w:lineRule="exact"/>
              <w:jc w:val="center"/>
              <w:rPr>
                <w:rFonts w:hint="eastAsia" w:ascii="宋体" w:hAnsi="宋体" w:eastAsia="宋体" w:cs="宋体"/>
                <w:szCs w:val="21"/>
              </w:rPr>
            </w:pPr>
          </w:p>
        </w:tc>
        <w:tc>
          <w:tcPr>
            <w:tcW w:w="1329" w:type="dxa"/>
            <w:tcBorders>
              <w:top w:val="single" w:color="auto" w:sz="6" w:space="0"/>
              <w:left w:val="single" w:color="auto" w:sz="6" w:space="0"/>
              <w:bottom w:val="single" w:color="auto" w:sz="6" w:space="0"/>
              <w:right w:val="single" w:color="auto" w:sz="6" w:space="0"/>
            </w:tcBorders>
            <w:vAlign w:val="center"/>
          </w:tcPr>
          <w:p w14:paraId="334C7984">
            <w:pPr>
              <w:topLinePunct/>
              <w:spacing w:line="440" w:lineRule="exact"/>
              <w:jc w:val="center"/>
              <w:rPr>
                <w:rFonts w:hint="eastAsia" w:ascii="宋体" w:hAnsi="宋体" w:eastAsia="宋体" w:cs="宋体"/>
                <w:szCs w:val="21"/>
              </w:rPr>
            </w:pPr>
            <w:r>
              <w:rPr>
                <w:rFonts w:hint="eastAsia" w:ascii="宋体" w:hAnsi="宋体" w:eastAsia="宋体" w:cs="宋体"/>
                <w:szCs w:val="21"/>
              </w:rPr>
              <w:t>员工总人数</w:t>
            </w:r>
          </w:p>
        </w:tc>
        <w:tc>
          <w:tcPr>
            <w:tcW w:w="2092" w:type="dxa"/>
            <w:tcBorders>
              <w:top w:val="single" w:color="auto" w:sz="6" w:space="0"/>
              <w:left w:val="single" w:color="auto" w:sz="6" w:space="0"/>
              <w:bottom w:val="single" w:color="auto" w:sz="6" w:space="0"/>
              <w:right w:val="double" w:color="auto" w:sz="4" w:space="0"/>
            </w:tcBorders>
            <w:vAlign w:val="center"/>
          </w:tcPr>
          <w:p w14:paraId="7AA488A2">
            <w:pPr>
              <w:topLinePunct/>
              <w:spacing w:line="440" w:lineRule="exact"/>
              <w:jc w:val="center"/>
              <w:rPr>
                <w:rFonts w:hint="eastAsia" w:ascii="宋体" w:hAnsi="宋体" w:eastAsia="宋体" w:cs="宋体"/>
                <w:szCs w:val="21"/>
              </w:rPr>
            </w:pPr>
          </w:p>
        </w:tc>
      </w:tr>
      <w:tr w14:paraId="2408A8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trHeight w:val="624" w:hRule="atLeast"/>
        </w:trPr>
        <w:tc>
          <w:tcPr>
            <w:tcW w:w="719" w:type="dxa"/>
            <w:vMerge w:val="restart"/>
            <w:tcBorders>
              <w:top w:val="single" w:color="auto" w:sz="6" w:space="0"/>
              <w:left w:val="double" w:color="auto" w:sz="4" w:space="0"/>
              <w:bottom w:val="single" w:color="auto" w:sz="6" w:space="0"/>
              <w:right w:val="single" w:color="auto" w:sz="6" w:space="0"/>
            </w:tcBorders>
            <w:vAlign w:val="center"/>
          </w:tcPr>
          <w:p w14:paraId="20A281BB">
            <w:pPr>
              <w:topLinePunct/>
              <w:spacing w:line="440" w:lineRule="exact"/>
              <w:jc w:val="center"/>
              <w:rPr>
                <w:rFonts w:hint="eastAsia" w:ascii="宋体" w:hAnsi="宋体" w:eastAsia="宋体" w:cs="宋体"/>
                <w:szCs w:val="21"/>
              </w:rPr>
            </w:pPr>
            <w:r>
              <w:rPr>
                <w:rFonts w:hint="eastAsia" w:ascii="宋体" w:hAnsi="宋体" w:eastAsia="宋体" w:cs="宋体"/>
                <w:szCs w:val="21"/>
              </w:rPr>
              <w:t>营业执照</w:t>
            </w:r>
          </w:p>
        </w:tc>
        <w:tc>
          <w:tcPr>
            <w:tcW w:w="1835" w:type="dxa"/>
            <w:gridSpan w:val="3"/>
            <w:tcBorders>
              <w:top w:val="single" w:color="auto" w:sz="6" w:space="0"/>
              <w:left w:val="single" w:color="auto" w:sz="6" w:space="0"/>
              <w:bottom w:val="single" w:color="auto" w:sz="6" w:space="0"/>
              <w:right w:val="single" w:color="auto" w:sz="6" w:space="0"/>
            </w:tcBorders>
            <w:vAlign w:val="center"/>
          </w:tcPr>
          <w:p w14:paraId="2FA11AF8">
            <w:pPr>
              <w:topLinePunct/>
              <w:spacing w:line="440" w:lineRule="exact"/>
              <w:jc w:val="center"/>
              <w:rPr>
                <w:rFonts w:hint="eastAsia" w:ascii="宋体" w:hAnsi="宋体" w:eastAsia="宋体" w:cs="宋体"/>
                <w:szCs w:val="21"/>
              </w:rPr>
            </w:pPr>
            <w:r>
              <w:rPr>
                <w:rFonts w:hint="eastAsia" w:ascii="宋体" w:hAnsi="宋体" w:eastAsia="宋体" w:cs="宋体"/>
                <w:szCs w:val="21"/>
              </w:rPr>
              <w:t>注册号码</w:t>
            </w:r>
          </w:p>
        </w:tc>
        <w:tc>
          <w:tcPr>
            <w:tcW w:w="1943" w:type="dxa"/>
            <w:gridSpan w:val="2"/>
            <w:tcBorders>
              <w:top w:val="single" w:color="auto" w:sz="6" w:space="0"/>
              <w:left w:val="single" w:color="auto" w:sz="6" w:space="0"/>
              <w:bottom w:val="single" w:color="auto" w:sz="6" w:space="0"/>
              <w:right w:val="single" w:color="auto" w:sz="6" w:space="0"/>
            </w:tcBorders>
            <w:vAlign w:val="center"/>
          </w:tcPr>
          <w:p w14:paraId="67D706A4">
            <w:pPr>
              <w:topLinePunct/>
              <w:spacing w:line="440" w:lineRule="exact"/>
              <w:jc w:val="center"/>
              <w:rPr>
                <w:rFonts w:hint="eastAsia" w:ascii="宋体" w:hAnsi="宋体" w:eastAsia="宋体" w:cs="宋体"/>
                <w:szCs w:val="21"/>
              </w:rPr>
            </w:pPr>
          </w:p>
        </w:tc>
        <w:tc>
          <w:tcPr>
            <w:tcW w:w="1083" w:type="dxa"/>
            <w:tcBorders>
              <w:top w:val="single" w:color="auto" w:sz="6" w:space="0"/>
              <w:left w:val="single" w:color="auto" w:sz="6" w:space="0"/>
              <w:bottom w:val="single" w:color="auto" w:sz="6" w:space="0"/>
              <w:right w:val="single" w:color="auto" w:sz="6" w:space="0"/>
            </w:tcBorders>
            <w:vAlign w:val="center"/>
          </w:tcPr>
          <w:p w14:paraId="732054F4">
            <w:pPr>
              <w:topLinePunct/>
              <w:spacing w:line="440" w:lineRule="exact"/>
              <w:ind w:left="0" w:leftChars="0" w:firstLine="0" w:firstLineChars="0"/>
              <w:jc w:val="center"/>
              <w:rPr>
                <w:rFonts w:hint="eastAsia" w:ascii="宋体" w:hAnsi="宋体" w:eastAsia="宋体" w:cs="宋体"/>
                <w:szCs w:val="21"/>
              </w:rPr>
            </w:pPr>
            <w:r>
              <w:rPr>
                <w:rFonts w:hint="eastAsia" w:ascii="宋体" w:hAnsi="宋体" w:eastAsia="宋体" w:cs="宋体"/>
                <w:szCs w:val="21"/>
              </w:rPr>
              <w:t>注册地址</w:t>
            </w:r>
          </w:p>
        </w:tc>
        <w:tc>
          <w:tcPr>
            <w:tcW w:w="3421" w:type="dxa"/>
            <w:gridSpan w:val="2"/>
            <w:tcBorders>
              <w:top w:val="single" w:color="auto" w:sz="6" w:space="0"/>
              <w:left w:val="single" w:color="auto" w:sz="6" w:space="0"/>
              <w:bottom w:val="single" w:color="auto" w:sz="6" w:space="0"/>
              <w:right w:val="double" w:color="auto" w:sz="4" w:space="0"/>
            </w:tcBorders>
            <w:vAlign w:val="center"/>
          </w:tcPr>
          <w:p w14:paraId="5E659B8D">
            <w:pPr>
              <w:topLinePunct/>
              <w:spacing w:line="440" w:lineRule="exact"/>
              <w:ind w:firstLine="105" w:firstLineChars="50"/>
              <w:jc w:val="center"/>
              <w:rPr>
                <w:rFonts w:hint="eastAsia" w:ascii="宋体" w:hAnsi="宋体" w:eastAsia="宋体" w:cs="宋体"/>
                <w:szCs w:val="21"/>
              </w:rPr>
            </w:pPr>
          </w:p>
        </w:tc>
      </w:tr>
      <w:tr w14:paraId="3D69EA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14:paraId="557AD30F">
            <w:pPr>
              <w:rPr>
                <w:rFonts w:hint="eastAsia" w:ascii="宋体" w:hAnsi="宋体" w:eastAsia="宋体" w:cs="宋体"/>
              </w:rPr>
            </w:pPr>
          </w:p>
        </w:tc>
        <w:tc>
          <w:tcPr>
            <w:tcW w:w="1835" w:type="dxa"/>
            <w:gridSpan w:val="3"/>
            <w:tcBorders>
              <w:top w:val="single" w:color="auto" w:sz="6" w:space="0"/>
              <w:left w:val="single" w:color="auto" w:sz="6" w:space="0"/>
              <w:bottom w:val="single" w:color="auto" w:sz="6" w:space="0"/>
              <w:right w:val="single" w:color="auto" w:sz="6" w:space="0"/>
            </w:tcBorders>
            <w:vAlign w:val="center"/>
          </w:tcPr>
          <w:p w14:paraId="17D05C38">
            <w:pPr>
              <w:topLinePunct/>
              <w:spacing w:line="440" w:lineRule="exact"/>
              <w:jc w:val="center"/>
              <w:rPr>
                <w:rFonts w:hint="eastAsia" w:ascii="宋体" w:hAnsi="宋体" w:eastAsia="宋体" w:cs="宋体"/>
                <w:szCs w:val="21"/>
              </w:rPr>
            </w:pPr>
            <w:r>
              <w:rPr>
                <w:rFonts w:hint="eastAsia" w:ascii="宋体" w:hAnsi="宋体" w:eastAsia="宋体" w:cs="宋体"/>
                <w:szCs w:val="21"/>
              </w:rPr>
              <w:t>发证机关</w:t>
            </w:r>
          </w:p>
        </w:tc>
        <w:tc>
          <w:tcPr>
            <w:tcW w:w="1943" w:type="dxa"/>
            <w:gridSpan w:val="2"/>
            <w:tcBorders>
              <w:top w:val="single" w:color="auto" w:sz="6" w:space="0"/>
              <w:left w:val="single" w:color="auto" w:sz="6" w:space="0"/>
              <w:bottom w:val="single" w:color="auto" w:sz="6" w:space="0"/>
              <w:right w:val="single" w:color="auto" w:sz="6" w:space="0"/>
            </w:tcBorders>
            <w:vAlign w:val="center"/>
          </w:tcPr>
          <w:p w14:paraId="41DBC3F5">
            <w:pPr>
              <w:topLinePunct/>
              <w:spacing w:line="440" w:lineRule="exact"/>
              <w:jc w:val="center"/>
              <w:rPr>
                <w:rFonts w:hint="eastAsia" w:ascii="宋体" w:hAnsi="宋体" w:eastAsia="宋体" w:cs="宋体"/>
                <w:szCs w:val="21"/>
              </w:rPr>
            </w:pPr>
          </w:p>
        </w:tc>
        <w:tc>
          <w:tcPr>
            <w:tcW w:w="1083" w:type="dxa"/>
            <w:tcBorders>
              <w:top w:val="single" w:color="auto" w:sz="6" w:space="0"/>
              <w:left w:val="single" w:color="auto" w:sz="6" w:space="0"/>
              <w:bottom w:val="single" w:color="auto" w:sz="6" w:space="0"/>
              <w:right w:val="single" w:color="auto" w:sz="6" w:space="0"/>
            </w:tcBorders>
            <w:vAlign w:val="center"/>
          </w:tcPr>
          <w:p w14:paraId="68CCFDCE">
            <w:pPr>
              <w:topLinePunct/>
              <w:spacing w:line="440" w:lineRule="exact"/>
              <w:ind w:left="0" w:leftChars="0" w:firstLine="0" w:firstLineChars="0"/>
              <w:jc w:val="center"/>
              <w:rPr>
                <w:rFonts w:hint="eastAsia" w:ascii="宋体" w:hAnsi="宋体" w:eastAsia="宋体" w:cs="宋体"/>
                <w:szCs w:val="21"/>
              </w:rPr>
            </w:pPr>
            <w:r>
              <w:rPr>
                <w:rFonts w:hint="eastAsia" w:ascii="宋体" w:hAnsi="宋体" w:eastAsia="宋体" w:cs="宋体"/>
                <w:szCs w:val="21"/>
              </w:rPr>
              <w:t>发证日期</w:t>
            </w:r>
          </w:p>
        </w:tc>
        <w:tc>
          <w:tcPr>
            <w:tcW w:w="3430" w:type="dxa"/>
            <w:gridSpan w:val="3"/>
            <w:tcBorders>
              <w:top w:val="single" w:color="auto" w:sz="6" w:space="0"/>
              <w:left w:val="single" w:color="auto" w:sz="6" w:space="0"/>
              <w:bottom w:val="single" w:color="auto" w:sz="6" w:space="0"/>
              <w:right w:val="double" w:color="auto" w:sz="4" w:space="0"/>
            </w:tcBorders>
            <w:vAlign w:val="center"/>
          </w:tcPr>
          <w:p w14:paraId="58608E56">
            <w:pPr>
              <w:topLinePunct/>
              <w:spacing w:line="440" w:lineRule="exact"/>
              <w:ind w:firstLine="105" w:firstLineChars="50"/>
              <w:jc w:val="center"/>
              <w:rPr>
                <w:rFonts w:hint="eastAsia" w:ascii="宋体" w:hAnsi="宋体" w:eastAsia="宋体" w:cs="宋体"/>
                <w:szCs w:val="21"/>
              </w:rPr>
            </w:pPr>
          </w:p>
        </w:tc>
      </w:tr>
      <w:tr w14:paraId="4E3EC8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14:paraId="583CBC87">
            <w:pPr>
              <w:rPr>
                <w:rFonts w:hint="eastAsia" w:ascii="宋体" w:hAnsi="宋体" w:eastAsia="宋体" w:cs="宋体"/>
              </w:rPr>
            </w:pPr>
          </w:p>
        </w:tc>
        <w:tc>
          <w:tcPr>
            <w:tcW w:w="1835" w:type="dxa"/>
            <w:gridSpan w:val="3"/>
            <w:tcBorders>
              <w:top w:val="single" w:color="auto" w:sz="6" w:space="0"/>
              <w:left w:val="single" w:color="auto" w:sz="6" w:space="0"/>
              <w:bottom w:val="single" w:color="auto" w:sz="6" w:space="0"/>
              <w:right w:val="single" w:color="auto" w:sz="6" w:space="0"/>
            </w:tcBorders>
            <w:vAlign w:val="center"/>
          </w:tcPr>
          <w:p w14:paraId="71284C72">
            <w:pPr>
              <w:topLinePunct/>
              <w:spacing w:line="440" w:lineRule="exact"/>
              <w:jc w:val="center"/>
              <w:rPr>
                <w:rFonts w:hint="eastAsia" w:ascii="宋体" w:hAnsi="宋体" w:eastAsia="宋体" w:cs="宋体"/>
                <w:szCs w:val="21"/>
              </w:rPr>
            </w:pPr>
            <w:r>
              <w:rPr>
                <w:rFonts w:hint="eastAsia" w:ascii="宋体" w:hAnsi="宋体" w:eastAsia="宋体" w:cs="宋体"/>
                <w:szCs w:val="21"/>
              </w:rPr>
              <w:t>营业范围（主营）</w:t>
            </w:r>
          </w:p>
        </w:tc>
        <w:tc>
          <w:tcPr>
            <w:tcW w:w="6447" w:type="dxa"/>
            <w:gridSpan w:val="5"/>
            <w:tcBorders>
              <w:top w:val="single" w:color="auto" w:sz="6" w:space="0"/>
              <w:left w:val="single" w:color="auto" w:sz="6" w:space="0"/>
              <w:bottom w:val="single" w:color="auto" w:sz="6" w:space="0"/>
              <w:right w:val="double" w:color="auto" w:sz="4" w:space="0"/>
            </w:tcBorders>
            <w:vAlign w:val="center"/>
          </w:tcPr>
          <w:p w14:paraId="3EF1B31F">
            <w:pPr>
              <w:topLinePunct/>
              <w:spacing w:line="440" w:lineRule="exact"/>
              <w:ind w:firstLine="105" w:firstLineChars="50"/>
              <w:jc w:val="center"/>
              <w:rPr>
                <w:rFonts w:hint="eastAsia" w:ascii="宋体" w:hAnsi="宋体" w:eastAsia="宋体" w:cs="宋体"/>
                <w:szCs w:val="21"/>
              </w:rPr>
            </w:pPr>
          </w:p>
        </w:tc>
      </w:tr>
      <w:tr w14:paraId="363D4F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14:paraId="6819487D">
            <w:pPr>
              <w:rPr>
                <w:rFonts w:hint="eastAsia" w:ascii="宋体" w:hAnsi="宋体" w:eastAsia="宋体" w:cs="宋体"/>
              </w:rPr>
            </w:pPr>
          </w:p>
        </w:tc>
        <w:tc>
          <w:tcPr>
            <w:tcW w:w="1835" w:type="dxa"/>
            <w:gridSpan w:val="3"/>
            <w:tcBorders>
              <w:top w:val="single" w:color="auto" w:sz="6" w:space="0"/>
              <w:left w:val="single" w:color="auto" w:sz="6" w:space="0"/>
              <w:bottom w:val="single" w:color="auto" w:sz="6" w:space="0"/>
              <w:right w:val="single" w:color="auto" w:sz="6" w:space="0"/>
            </w:tcBorders>
            <w:vAlign w:val="center"/>
          </w:tcPr>
          <w:p w14:paraId="4A5E15AC">
            <w:pPr>
              <w:topLinePunct/>
              <w:spacing w:line="440" w:lineRule="exact"/>
              <w:jc w:val="center"/>
              <w:rPr>
                <w:rFonts w:hint="eastAsia" w:ascii="宋体" w:hAnsi="宋体" w:eastAsia="宋体" w:cs="宋体"/>
                <w:szCs w:val="21"/>
              </w:rPr>
            </w:pPr>
            <w:r>
              <w:rPr>
                <w:rFonts w:hint="eastAsia" w:ascii="宋体" w:hAnsi="宋体" w:eastAsia="宋体" w:cs="宋体"/>
                <w:szCs w:val="21"/>
              </w:rPr>
              <w:t>营业范围（兼营）</w:t>
            </w:r>
          </w:p>
        </w:tc>
        <w:tc>
          <w:tcPr>
            <w:tcW w:w="6447" w:type="dxa"/>
            <w:gridSpan w:val="5"/>
            <w:tcBorders>
              <w:top w:val="single" w:color="auto" w:sz="6" w:space="0"/>
              <w:left w:val="single" w:color="auto" w:sz="6" w:space="0"/>
              <w:bottom w:val="single" w:color="auto" w:sz="6" w:space="0"/>
              <w:right w:val="double" w:color="auto" w:sz="4" w:space="0"/>
            </w:tcBorders>
            <w:vAlign w:val="center"/>
          </w:tcPr>
          <w:p w14:paraId="7A13E625">
            <w:pPr>
              <w:topLinePunct/>
              <w:spacing w:line="440" w:lineRule="exact"/>
              <w:ind w:firstLine="105" w:firstLineChars="50"/>
              <w:jc w:val="center"/>
              <w:rPr>
                <w:rFonts w:hint="eastAsia" w:ascii="宋体" w:hAnsi="宋体" w:eastAsia="宋体" w:cs="宋体"/>
                <w:szCs w:val="21"/>
              </w:rPr>
            </w:pPr>
          </w:p>
        </w:tc>
      </w:tr>
      <w:tr w14:paraId="14D2D0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cantSplit/>
          <w:trHeight w:val="658" w:hRule="atLeast"/>
        </w:trPr>
        <w:tc>
          <w:tcPr>
            <w:tcW w:w="2554" w:type="dxa"/>
            <w:gridSpan w:val="4"/>
            <w:tcBorders>
              <w:top w:val="single" w:color="auto" w:sz="6" w:space="0"/>
              <w:left w:val="double" w:color="auto" w:sz="4" w:space="0"/>
              <w:bottom w:val="single" w:color="auto" w:sz="6" w:space="0"/>
              <w:right w:val="single" w:color="auto" w:sz="6" w:space="0"/>
            </w:tcBorders>
            <w:vAlign w:val="center"/>
          </w:tcPr>
          <w:p w14:paraId="38B4459E">
            <w:pPr>
              <w:topLinePunct/>
              <w:spacing w:line="440" w:lineRule="exact"/>
              <w:jc w:val="center"/>
              <w:rPr>
                <w:rFonts w:hint="eastAsia" w:ascii="宋体" w:hAnsi="宋体" w:eastAsia="宋体" w:cs="宋体"/>
                <w:szCs w:val="21"/>
              </w:rPr>
            </w:pPr>
            <w:r>
              <w:rPr>
                <w:rFonts w:hint="eastAsia" w:ascii="宋体" w:hAnsi="宋体" w:eastAsia="宋体" w:cs="宋体"/>
                <w:szCs w:val="21"/>
              </w:rPr>
              <w:t>基本账户开户行</w:t>
            </w:r>
            <w:r>
              <w:rPr>
                <w:rFonts w:hint="eastAsia" w:ascii="宋体" w:hAnsi="宋体" w:cs="宋体"/>
                <w:szCs w:val="21"/>
                <w:lang w:eastAsia="zh-CN"/>
              </w:rPr>
              <w:t>及账号</w:t>
            </w:r>
          </w:p>
        </w:tc>
        <w:tc>
          <w:tcPr>
            <w:tcW w:w="6447" w:type="dxa"/>
            <w:gridSpan w:val="5"/>
            <w:tcBorders>
              <w:top w:val="single" w:color="auto" w:sz="6" w:space="0"/>
              <w:left w:val="single" w:color="auto" w:sz="6" w:space="0"/>
              <w:bottom w:val="single" w:color="auto" w:sz="6" w:space="0"/>
              <w:right w:val="double" w:color="auto" w:sz="4" w:space="0"/>
            </w:tcBorders>
            <w:vAlign w:val="center"/>
          </w:tcPr>
          <w:p w14:paraId="4753A020">
            <w:pPr>
              <w:topLinePunct/>
              <w:spacing w:line="440" w:lineRule="exact"/>
              <w:jc w:val="center"/>
              <w:rPr>
                <w:rFonts w:hint="eastAsia" w:ascii="宋体" w:hAnsi="宋体" w:eastAsia="宋体" w:cs="宋体"/>
                <w:szCs w:val="21"/>
              </w:rPr>
            </w:pPr>
          </w:p>
        </w:tc>
      </w:tr>
      <w:tr w14:paraId="60B980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cantSplit/>
          <w:trHeight w:val="658" w:hRule="atLeast"/>
        </w:trPr>
        <w:tc>
          <w:tcPr>
            <w:tcW w:w="2554" w:type="dxa"/>
            <w:gridSpan w:val="4"/>
            <w:tcBorders>
              <w:top w:val="single" w:color="auto" w:sz="6" w:space="0"/>
              <w:left w:val="double" w:color="auto" w:sz="4" w:space="0"/>
              <w:bottom w:val="single" w:color="auto" w:sz="6" w:space="0"/>
              <w:right w:val="single" w:color="auto" w:sz="6" w:space="0"/>
            </w:tcBorders>
            <w:vAlign w:val="center"/>
          </w:tcPr>
          <w:p w14:paraId="6F0968BF">
            <w:pPr>
              <w:topLinePunct/>
              <w:spacing w:line="440" w:lineRule="exact"/>
              <w:jc w:val="center"/>
              <w:rPr>
                <w:rFonts w:hint="eastAsia" w:ascii="宋体" w:hAnsi="宋体" w:eastAsia="宋体" w:cs="宋体"/>
                <w:szCs w:val="21"/>
              </w:rPr>
            </w:pPr>
            <w:r>
              <w:rPr>
                <w:rFonts w:hint="eastAsia" w:ascii="宋体" w:hAnsi="宋体" w:eastAsia="宋体" w:cs="宋体"/>
                <w:szCs w:val="21"/>
              </w:rPr>
              <w:t>税务登记机关</w:t>
            </w:r>
          </w:p>
        </w:tc>
        <w:tc>
          <w:tcPr>
            <w:tcW w:w="6447" w:type="dxa"/>
            <w:gridSpan w:val="5"/>
            <w:tcBorders>
              <w:top w:val="single" w:color="auto" w:sz="6" w:space="0"/>
              <w:left w:val="single" w:color="auto" w:sz="6" w:space="0"/>
              <w:bottom w:val="single" w:color="auto" w:sz="6" w:space="0"/>
              <w:right w:val="double" w:color="auto" w:sz="4" w:space="0"/>
            </w:tcBorders>
            <w:vAlign w:val="center"/>
          </w:tcPr>
          <w:p w14:paraId="3894BFFF">
            <w:pPr>
              <w:topLinePunct/>
              <w:spacing w:line="440" w:lineRule="exact"/>
              <w:jc w:val="center"/>
              <w:rPr>
                <w:rFonts w:hint="eastAsia" w:ascii="宋体" w:hAnsi="宋体" w:eastAsia="宋体" w:cs="宋体"/>
                <w:szCs w:val="21"/>
              </w:rPr>
            </w:pPr>
          </w:p>
        </w:tc>
      </w:tr>
      <w:tr w14:paraId="5CACB2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cantSplit/>
          <w:trHeight w:val="604"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14:paraId="6DEC04DB">
            <w:pPr>
              <w:topLinePunct/>
              <w:spacing w:line="440" w:lineRule="exact"/>
              <w:jc w:val="center"/>
              <w:rPr>
                <w:rFonts w:hint="eastAsia" w:ascii="宋体" w:hAnsi="宋体" w:eastAsia="宋体" w:cs="宋体"/>
                <w:szCs w:val="21"/>
              </w:rPr>
            </w:pPr>
            <w:r>
              <w:rPr>
                <w:rFonts w:hint="eastAsia" w:ascii="宋体" w:hAnsi="宋体" w:eastAsia="宋体" w:cs="宋体"/>
                <w:szCs w:val="21"/>
              </w:rPr>
              <w:t>资质名称</w:t>
            </w:r>
          </w:p>
        </w:tc>
        <w:tc>
          <w:tcPr>
            <w:tcW w:w="884" w:type="dxa"/>
            <w:tcBorders>
              <w:top w:val="single" w:color="auto" w:sz="6" w:space="0"/>
              <w:left w:val="single" w:color="auto" w:sz="6" w:space="0"/>
              <w:bottom w:val="single" w:color="auto" w:sz="6" w:space="0"/>
              <w:right w:val="single" w:color="auto" w:sz="6" w:space="0"/>
            </w:tcBorders>
            <w:vAlign w:val="center"/>
          </w:tcPr>
          <w:p w14:paraId="2608B814">
            <w:pPr>
              <w:topLinePunct/>
              <w:spacing w:line="440" w:lineRule="exact"/>
              <w:jc w:val="center"/>
              <w:rPr>
                <w:rFonts w:hint="eastAsia" w:ascii="宋体" w:hAnsi="宋体" w:eastAsia="宋体" w:cs="宋体"/>
                <w:szCs w:val="21"/>
              </w:rPr>
            </w:pPr>
            <w:r>
              <w:rPr>
                <w:rFonts w:hint="eastAsia" w:ascii="宋体" w:hAnsi="宋体" w:eastAsia="宋体" w:cs="宋体"/>
                <w:szCs w:val="21"/>
              </w:rPr>
              <w:t>等级</w:t>
            </w:r>
          </w:p>
        </w:tc>
        <w:tc>
          <w:tcPr>
            <w:tcW w:w="1083" w:type="dxa"/>
            <w:tcBorders>
              <w:top w:val="single" w:color="auto" w:sz="6" w:space="0"/>
              <w:left w:val="single" w:color="auto" w:sz="6" w:space="0"/>
              <w:bottom w:val="single" w:color="auto" w:sz="6" w:space="0"/>
              <w:right w:val="single" w:color="auto" w:sz="6" w:space="0"/>
            </w:tcBorders>
            <w:vAlign w:val="center"/>
          </w:tcPr>
          <w:p w14:paraId="22737257">
            <w:pPr>
              <w:topLinePunct/>
              <w:spacing w:line="440" w:lineRule="exact"/>
              <w:jc w:val="center"/>
              <w:rPr>
                <w:rFonts w:hint="eastAsia" w:ascii="宋体" w:hAnsi="宋体" w:eastAsia="宋体" w:cs="宋体"/>
                <w:szCs w:val="21"/>
              </w:rPr>
            </w:pPr>
            <w:r>
              <w:rPr>
                <w:rFonts w:hint="eastAsia" w:ascii="宋体" w:hAnsi="宋体" w:eastAsia="宋体" w:cs="宋体"/>
                <w:szCs w:val="21"/>
              </w:rPr>
              <w:t>发证机关</w:t>
            </w:r>
          </w:p>
        </w:tc>
        <w:tc>
          <w:tcPr>
            <w:tcW w:w="3421" w:type="dxa"/>
            <w:gridSpan w:val="2"/>
            <w:tcBorders>
              <w:top w:val="single" w:color="auto" w:sz="6" w:space="0"/>
              <w:left w:val="single" w:color="auto" w:sz="6" w:space="0"/>
              <w:bottom w:val="single" w:color="auto" w:sz="6" w:space="0"/>
              <w:right w:val="double" w:color="auto" w:sz="4" w:space="0"/>
            </w:tcBorders>
            <w:vAlign w:val="center"/>
          </w:tcPr>
          <w:p w14:paraId="4B5E6D37">
            <w:pPr>
              <w:topLinePunct/>
              <w:spacing w:line="440" w:lineRule="exact"/>
              <w:jc w:val="center"/>
              <w:rPr>
                <w:rFonts w:hint="eastAsia" w:ascii="宋体" w:hAnsi="宋体" w:eastAsia="宋体" w:cs="宋体"/>
                <w:szCs w:val="21"/>
              </w:rPr>
            </w:pPr>
            <w:r>
              <w:rPr>
                <w:rFonts w:hint="eastAsia" w:ascii="宋体" w:hAnsi="宋体" w:eastAsia="宋体" w:cs="宋体"/>
                <w:szCs w:val="21"/>
              </w:rPr>
              <w:t>有效期</w:t>
            </w:r>
          </w:p>
        </w:tc>
      </w:tr>
      <w:tr w14:paraId="3BDAEC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14:paraId="278E3430">
            <w:pPr>
              <w:topLinePunct/>
              <w:spacing w:line="440" w:lineRule="exact"/>
              <w:jc w:val="center"/>
              <w:rPr>
                <w:rFonts w:hint="eastAsia" w:ascii="宋体" w:hAnsi="宋体" w:eastAsia="宋体" w:cs="宋体"/>
                <w:szCs w:val="21"/>
              </w:rPr>
            </w:pPr>
          </w:p>
        </w:tc>
        <w:tc>
          <w:tcPr>
            <w:tcW w:w="884" w:type="dxa"/>
            <w:tcBorders>
              <w:top w:val="single" w:color="auto" w:sz="6" w:space="0"/>
              <w:left w:val="single" w:color="auto" w:sz="6" w:space="0"/>
              <w:bottom w:val="single" w:color="auto" w:sz="6" w:space="0"/>
              <w:right w:val="single" w:color="auto" w:sz="6" w:space="0"/>
            </w:tcBorders>
            <w:vAlign w:val="center"/>
          </w:tcPr>
          <w:p w14:paraId="4C3D68EA">
            <w:pPr>
              <w:topLinePunct/>
              <w:spacing w:line="440" w:lineRule="exact"/>
              <w:jc w:val="center"/>
              <w:rPr>
                <w:rFonts w:hint="eastAsia" w:ascii="宋体" w:hAnsi="宋体" w:eastAsia="宋体" w:cs="宋体"/>
                <w:szCs w:val="21"/>
              </w:rPr>
            </w:pPr>
          </w:p>
        </w:tc>
        <w:tc>
          <w:tcPr>
            <w:tcW w:w="1083" w:type="dxa"/>
            <w:tcBorders>
              <w:top w:val="single" w:color="auto" w:sz="6" w:space="0"/>
              <w:left w:val="single" w:color="auto" w:sz="6" w:space="0"/>
              <w:bottom w:val="single" w:color="auto" w:sz="6" w:space="0"/>
              <w:right w:val="single" w:color="auto" w:sz="6" w:space="0"/>
            </w:tcBorders>
            <w:vAlign w:val="center"/>
          </w:tcPr>
          <w:p w14:paraId="00ECECA3">
            <w:pPr>
              <w:topLinePunct/>
              <w:spacing w:line="440" w:lineRule="exact"/>
              <w:jc w:val="center"/>
              <w:rPr>
                <w:rFonts w:hint="eastAsia" w:ascii="宋体" w:hAnsi="宋体" w:eastAsia="宋体" w:cs="宋体"/>
                <w:szCs w:val="21"/>
              </w:rPr>
            </w:pPr>
          </w:p>
        </w:tc>
        <w:tc>
          <w:tcPr>
            <w:tcW w:w="3421" w:type="dxa"/>
            <w:gridSpan w:val="2"/>
            <w:tcBorders>
              <w:top w:val="single" w:color="auto" w:sz="6" w:space="0"/>
              <w:left w:val="single" w:color="auto" w:sz="6" w:space="0"/>
              <w:bottom w:val="single" w:color="auto" w:sz="6" w:space="0"/>
              <w:right w:val="double" w:color="auto" w:sz="4" w:space="0"/>
            </w:tcBorders>
            <w:vAlign w:val="center"/>
          </w:tcPr>
          <w:p w14:paraId="63A20BAC">
            <w:pPr>
              <w:topLinePunct/>
              <w:spacing w:line="440" w:lineRule="exact"/>
              <w:jc w:val="center"/>
              <w:rPr>
                <w:rFonts w:hint="eastAsia" w:ascii="宋体" w:hAnsi="宋体" w:eastAsia="宋体" w:cs="宋体"/>
                <w:szCs w:val="21"/>
              </w:rPr>
            </w:pPr>
          </w:p>
        </w:tc>
      </w:tr>
      <w:tr w14:paraId="7A4F2B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cantSplit/>
          <w:trHeight w:val="626" w:hRule="atLeast"/>
        </w:trPr>
        <w:tc>
          <w:tcPr>
            <w:tcW w:w="3613" w:type="dxa"/>
            <w:gridSpan w:val="5"/>
            <w:tcBorders>
              <w:top w:val="single" w:color="auto" w:sz="6" w:space="0"/>
              <w:left w:val="double" w:color="auto" w:sz="4" w:space="0"/>
              <w:bottom w:val="single" w:color="auto" w:sz="6" w:space="0"/>
              <w:right w:val="single" w:color="auto" w:sz="6" w:space="0"/>
            </w:tcBorders>
            <w:vAlign w:val="center"/>
          </w:tcPr>
          <w:p w14:paraId="5936BA70">
            <w:pPr>
              <w:topLinePunct/>
              <w:spacing w:line="440" w:lineRule="exact"/>
              <w:jc w:val="center"/>
              <w:rPr>
                <w:rFonts w:hint="eastAsia" w:ascii="宋体" w:hAnsi="宋体" w:eastAsia="宋体" w:cs="宋体"/>
                <w:szCs w:val="21"/>
              </w:rPr>
            </w:pPr>
          </w:p>
        </w:tc>
        <w:tc>
          <w:tcPr>
            <w:tcW w:w="884" w:type="dxa"/>
            <w:tcBorders>
              <w:top w:val="single" w:color="auto" w:sz="6" w:space="0"/>
              <w:left w:val="single" w:color="auto" w:sz="6" w:space="0"/>
              <w:bottom w:val="single" w:color="auto" w:sz="6" w:space="0"/>
              <w:right w:val="single" w:color="auto" w:sz="6" w:space="0"/>
            </w:tcBorders>
            <w:vAlign w:val="center"/>
          </w:tcPr>
          <w:p w14:paraId="4BFEF54C">
            <w:pPr>
              <w:topLinePunct/>
              <w:spacing w:line="440" w:lineRule="exact"/>
              <w:jc w:val="center"/>
              <w:rPr>
                <w:rFonts w:hint="eastAsia" w:ascii="宋体" w:hAnsi="宋体" w:eastAsia="宋体" w:cs="宋体"/>
                <w:szCs w:val="21"/>
              </w:rPr>
            </w:pPr>
          </w:p>
        </w:tc>
        <w:tc>
          <w:tcPr>
            <w:tcW w:w="1083" w:type="dxa"/>
            <w:tcBorders>
              <w:top w:val="single" w:color="auto" w:sz="6" w:space="0"/>
              <w:left w:val="single" w:color="auto" w:sz="6" w:space="0"/>
              <w:bottom w:val="single" w:color="auto" w:sz="6" w:space="0"/>
              <w:right w:val="single" w:color="auto" w:sz="6" w:space="0"/>
            </w:tcBorders>
            <w:vAlign w:val="center"/>
          </w:tcPr>
          <w:p w14:paraId="569109E4">
            <w:pPr>
              <w:topLinePunct/>
              <w:spacing w:line="440" w:lineRule="exact"/>
              <w:jc w:val="center"/>
              <w:rPr>
                <w:rFonts w:hint="eastAsia" w:ascii="宋体" w:hAnsi="宋体" w:eastAsia="宋体" w:cs="宋体"/>
                <w:szCs w:val="21"/>
              </w:rPr>
            </w:pPr>
          </w:p>
        </w:tc>
        <w:tc>
          <w:tcPr>
            <w:tcW w:w="3421" w:type="dxa"/>
            <w:gridSpan w:val="2"/>
            <w:tcBorders>
              <w:top w:val="single" w:color="auto" w:sz="6" w:space="0"/>
              <w:left w:val="single" w:color="auto" w:sz="6" w:space="0"/>
              <w:bottom w:val="single" w:color="auto" w:sz="6" w:space="0"/>
              <w:right w:val="double" w:color="auto" w:sz="4" w:space="0"/>
            </w:tcBorders>
            <w:vAlign w:val="center"/>
          </w:tcPr>
          <w:p w14:paraId="50CD1688">
            <w:pPr>
              <w:topLinePunct/>
              <w:spacing w:line="440" w:lineRule="exact"/>
              <w:jc w:val="center"/>
              <w:rPr>
                <w:rFonts w:hint="eastAsia" w:ascii="宋体" w:hAnsi="宋体" w:eastAsia="宋体" w:cs="宋体"/>
                <w:szCs w:val="21"/>
              </w:rPr>
            </w:pPr>
          </w:p>
        </w:tc>
      </w:tr>
      <w:tr w14:paraId="01E696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9" w:type="dxa"/>
          <w:trHeight w:val="1777" w:hRule="atLeast"/>
        </w:trPr>
        <w:tc>
          <w:tcPr>
            <w:tcW w:w="1258" w:type="dxa"/>
            <w:gridSpan w:val="2"/>
            <w:tcBorders>
              <w:top w:val="single" w:color="auto" w:sz="6" w:space="0"/>
              <w:left w:val="double" w:color="auto" w:sz="4" w:space="0"/>
              <w:bottom w:val="double" w:color="auto" w:sz="4" w:space="0"/>
              <w:right w:val="single" w:color="auto" w:sz="6" w:space="0"/>
            </w:tcBorders>
            <w:vAlign w:val="center"/>
          </w:tcPr>
          <w:p w14:paraId="7FF92416">
            <w:pPr>
              <w:topLinePunct/>
              <w:spacing w:line="440" w:lineRule="exact"/>
              <w:jc w:val="center"/>
              <w:rPr>
                <w:rFonts w:hint="eastAsia" w:ascii="宋体" w:hAnsi="宋体" w:eastAsia="宋体" w:cs="宋体"/>
                <w:szCs w:val="21"/>
              </w:rPr>
            </w:pPr>
            <w:r>
              <w:rPr>
                <w:rFonts w:hint="eastAsia" w:ascii="宋体" w:hAnsi="宋体" w:eastAsia="宋体" w:cs="宋体"/>
                <w:szCs w:val="21"/>
              </w:rPr>
              <w:t>备注</w:t>
            </w:r>
          </w:p>
        </w:tc>
        <w:tc>
          <w:tcPr>
            <w:tcW w:w="7743" w:type="dxa"/>
            <w:gridSpan w:val="7"/>
            <w:tcBorders>
              <w:top w:val="single" w:color="auto" w:sz="6" w:space="0"/>
              <w:left w:val="single" w:color="auto" w:sz="6" w:space="0"/>
              <w:bottom w:val="double" w:color="auto" w:sz="4" w:space="0"/>
              <w:right w:val="double" w:color="auto" w:sz="4" w:space="0"/>
            </w:tcBorders>
            <w:vAlign w:val="center"/>
          </w:tcPr>
          <w:p w14:paraId="3181187F">
            <w:pPr>
              <w:topLinePunct/>
              <w:spacing w:line="440" w:lineRule="exact"/>
              <w:rPr>
                <w:rFonts w:hint="eastAsia" w:ascii="宋体" w:hAnsi="宋体" w:eastAsia="宋体" w:cs="宋体"/>
                <w:szCs w:val="21"/>
              </w:rPr>
            </w:pPr>
            <w:r>
              <w:rPr>
                <w:rFonts w:hint="eastAsia" w:ascii="宋体" w:hAnsi="宋体" w:eastAsia="宋体" w:cs="宋体"/>
                <w:szCs w:val="21"/>
              </w:rPr>
              <w:t>提供营业执照</w:t>
            </w:r>
            <w:bookmarkStart w:id="48" w:name="_GoBack"/>
            <w:r>
              <w:rPr>
                <w:rFonts w:hint="eastAsia" w:ascii="宋体" w:hAnsi="宋体" w:eastAsia="宋体" w:cs="宋体"/>
                <w:szCs w:val="21"/>
              </w:rPr>
              <w:t>(</w:t>
            </w:r>
            <w:bookmarkEnd w:id="48"/>
            <w:r>
              <w:rPr>
                <w:rFonts w:hint="eastAsia" w:ascii="宋体" w:hAnsi="宋体" w:eastAsia="宋体" w:cs="宋体"/>
                <w:szCs w:val="21"/>
              </w:rPr>
              <w:t>副本复印件)</w:t>
            </w:r>
            <w:r>
              <w:rPr>
                <w:rFonts w:hint="eastAsia" w:ascii="宋体" w:hAnsi="宋体" w:eastAsia="宋体" w:cs="宋体"/>
              </w:rPr>
              <w:t>，其他资料按</w:t>
            </w:r>
            <w:r>
              <w:rPr>
                <w:rFonts w:hint="eastAsia" w:ascii="宋体" w:hAnsi="宋体" w:eastAsia="宋体" w:cs="宋体"/>
                <w:b/>
              </w:rPr>
              <w:t>磋商须知前附表</w:t>
            </w:r>
            <w:r>
              <w:rPr>
                <w:rFonts w:hint="eastAsia" w:ascii="宋体" w:hAnsi="宋体" w:eastAsia="宋体" w:cs="宋体"/>
              </w:rPr>
              <w:t>要求提供。</w:t>
            </w:r>
          </w:p>
        </w:tc>
      </w:tr>
    </w:tbl>
    <w:p w14:paraId="2420BEC6">
      <w:pPr>
        <w:pStyle w:val="47"/>
        <w:ind w:firstLine="560"/>
        <w:rPr>
          <w:rFonts w:hint="eastAsia" w:ascii="宋体" w:hAnsi="宋体" w:eastAsia="宋体" w:cs="宋体"/>
          <w:bCs/>
          <w:sz w:val="28"/>
          <w:szCs w:val="28"/>
        </w:rPr>
      </w:pPr>
    </w:p>
    <w:p w14:paraId="03913564">
      <w:pPr>
        <w:rPr>
          <w:rFonts w:hint="eastAsia" w:ascii="宋体" w:hAnsi="宋体" w:eastAsia="宋体" w:cs="宋体"/>
          <w:bCs/>
          <w:sz w:val="28"/>
          <w:szCs w:val="28"/>
        </w:rPr>
      </w:pPr>
      <w:r>
        <w:rPr>
          <w:rFonts w:hint="eastAsia" w:ascii="宋体" w:hAnsi="宋体" w:eastAsia="宋体" w:cs="宋体"/>
          <w:bCs/>
          <w:sz w:val="28"/>
          <w:szCs w:val="28"/>
        </w:rPr>
        <w:br w:type="page"/>
      </w:r>
    </w:p>
    <w:p w14:paraId="67B9C891">
      <w:pPr>
        <w:adjustRightInd w:val="0"/>
        <w:snapToGrid w:val="0"/>
        <w:rPr>
          <w:rFonts w:hint="eastAsia" w:ascii="宋体" w:hAnsi="宋体" w:eastAsia="宋体" w:cs="宋体"/>
          <w:bCs/>
          <w:sz w:val="28"/>
          <w:szCs w:val="28"/>
        </w:rPr>
      </w:pPr>
      <w:r>
        <w:rPr>
          <w:rFonts w:hint="eastAsia" w:ascii="宋体" w:hAnsi="宋体" w:eastAsia="宋体" w:cs="宋体"/>
          <w:bCs/>
          <w:sz w:val="28"/>
          <w:szCs w:val="28"/>
        </w:rPr>
        <w:t>附件4</w:t>
      </w:r>
    </w:p>
    <w:p w14:paraId="7E5BD76D">
      <w:pPr>
        <w:adjustRightInd w:val="0"/>
        <w:snapToGrid w:val="0"/>
        <w:ind w:firstLine="2380" w:firstLineChars="850"/>
        <w:rPr>
          <w:rFonts w:hint="eastAsia" w:ascii="宋体" w:hAnsi="宋体" w:eastAsia="宋体" w:cs="宋体"/>
          <w:bCs/>
          <w:sz w:val="28"/>
          <w:szCs w:val="28"/>
        </w:rPr>
      </w:pPr>
      <w:r>
        <w:rPr>
          <w:rFonts w:hint="eastAsia" w:ascii="宋体" w:hAnsi="宋体" w:eastAsia="宋体" w:cs="宋体"/>
          <w:bCs/>
          <w:sz w:val="28"/>
          <w:szCs w:val="28"/>
        </w:rPr>
        <w:t>磋商文件规定的资格条件证明资料</w:t>
      </w:r>
    </w:p>
    <w:p w14:paraId="2EBF0D31">
      <w:pPr>
        <w:adjustRightInd w:val="0"/>
        <w:snapToGrid w:val="0"/>
        <w:spacing w:line="360" w:lineRule="auto"/>
        <w:ind w:firstLine="420" w:firstLineChars="200"/>
        <w:rPr>
          <w:rFonts w:hint="eastAsia" w:ascii="宋体" w:hAnsi="宋体" w:eastAsia="宋体" w:cs="宋体"/>
          <w:szCs w:val="21"/>
        </w:rPr>
      </w:pPr>
    </w:p>
    <w:p w14:paraId="2A8BAA81">
      <w:pPr>
        <w:adjustRightInd w:val="0"/>
        <w:snapToGrid w:val="0"/>
        <w:spacing w:line="360" w:lineRule="auto"/>
        <w:ind w:firstLine="1785" w:firstLineChars="850"/>
        <w:rPr>
          <w:rFonts w:hint="eastAsia" w:ascii="宋体" w:hAnsi="宋体" w:eastAsia="宋体" w:cs="宋体"/>
          <w:szCs w:val="21"/>
        </w:rPr>
      </w:pPr>
      <w:r>
        <w:rPr>
          <w:rFonts w:hint="eastAsia" w:ascii="宋体" w:hAnsi="宋体" w:eastAsia="宋体" w:cs="宋体"/>
          <w:szCs w:val="21"/>
        </w:rPr>
        <w:t>说明：</w:t>
      </w:r>
      <w:r>
        <w:rPr>
          <w:rFonts w:hint="eastAsia" w:ascii="宋体" w:hAnsi="宋体" w:eastAsia="宋体" w:cs="宋体"/>
          <w:kern w:val="0"/>
          <w:szCs w:val="21"/>
          <w:lang w:val="zh-CN"/>
        </w:rPr>
        <w:t>磋商文件要求的基本资格条件及特殊</w:t>
      </w:r>
      <w:r>
        <w:rPr>
          <w:rFonts w:hint="eastAsia" w:ascii="宋体" w:hAnsi="宋体" w:eastAsia="宋体" w:cs="宋体"/>
          <w:szCs w:val="21"/>
        </w:rPr>
        <w:t>资格条件证明材料。</w:t>
      </w:r>
    </w:p>
    <w:p w14:paraId="7304AC5D">
      <w:pPr>
        <w:spacing w:line="400" w:lineRule="exact"/>
        <w:jc w:val="center"/>
        <w:rPr>
          <w:rFonts w:hint="eastAsia" w:ascii="宋体" w:hAnsi="宋体" w:eastAsia="宋体" w:cs="宋体"/>
          <w:b/>
          <w:bCs/>
          <w:sz w:val="36"/>
        </w:rPr>
      </w:pPr>
    </w:p>
    <w:p w14:paraId="4C134F71">
      <w:pPr>
        <w:spacing w:line="400" w:lineRule="exact"/>
        <w:jc w:val="center"/>
        <w:rPr>
          <w:rFonts w:hint="eastAsia" w:ascii="宋体" w:hAnsi="宋体" w:eastAsia="宋体" w:cs="宋体"/>
          <w:b/>
          <w:bCs/>
          <w:sz w:val="36"/>
        </w:rPr>
      </w:pPr>
    </w:p>
    <w:p w14:paraId="5622AF8B">
      <w:pPr>
        <w:spacing w:line="400" w:lineRule="exact"/>
        <w:jc w:val="center"/>
        <w:rPr>
          <w:rFonts w:hint="eastAsia" w:ascii="宋体" w:hAnsi="宋体" w:eastAsia="宋体" w:cs="宋体"/>
          <w:b/>
          <w:bCs/>
          <w:sz w:val="36"/>
        </w:rPr>
      </w:pPr>
    </w:p>
    <w:p w14:paraId="50757D60">
      <w:pPr>
        <w:spacing w:line="400" w:lineRule="exact"/>
        <w:jc w:val="center"/>
        <w:rPr>
          <w:rFonts w:hint="eastAsia" w:ascii="宋体" w:hAnsi="宋体" w:eastAsia="宋体" w:cs="宋体"/>
          <w:b/>
          <w:bCs/>
          <w:sz w:val="36"/>
        </w:rPr>
      </w:pPr>
    </w:p>
    <w:p w14:paraId="520A57FD">
      <w:pPr>
        <w:spacing w:line="400" w:lineRule="exact"/>
        <w:jc w:val="center"/>
        <w:rPr>
          <w:rFonts w:hint="eastAsia" w:ascii="宋体" w:hAnsi="宋体" w:eastAsia="宋体" w:cs="宋体"/>
          <w:b/>
          <w:bCs/>
          <w:sz w:val="36"/>
        </w:rPr>
      </w:pPr>
    </w:p>
    <w:p w14:paraId="0B7EFA54">
      <w:pPr>
        <w:spacing w:line="400" w:lineRule="exact"/>
        <w:jc w:val="center"/>
        <w:rPr>
          <w:rFonts w:hint="eastAsia" w:ascii="宋体" w:hAnsi="宋体" w:eastAsia="宋体" w:cs="宋体"/>
          <w:b/>
          <w:bCs/>
          <w:sz w:val="36"/>
        </w:rPr>
      </w:pPr>
    </w:p>
    <w:p w14:paraId="294FB529">
      <w:pPr>
        <w:spacing w:line="400" w:lineRule="exact"/>
        <w:jc w:val="center"/>
        <w:rPr>
          <w:rFonts w:hint="eastAsia" w:ascii="宋体" w:hAnsi="宋体" w:eastAsia="宋体" w:cs="宋体"/>
          <w:b/>
          <w:bCs/>
          <w:sz w:val="36"/>
        </w:rPr>
      </w:pPr>
    </w:p>
    <w:p w14:paraId="484D1BAF">
      <w:pPr>
        <w:spacing w:line="400" w:lineRule="exact"/>
        <w:jc w:val="center"/>
        <w:rPr>
          <w:rFonts w:hint="eastAsia" w:ascii="宋体" w:hAnsi="宋体" w:eastAsia="宋体" w:cs="宋体"/>
          <w:b/>
          <w:bCs/>
          <w:sz w:val="36"/>
        </w:rPr>
      </w:pPr>
    </w:p>
    <w:p w14:paraId="5C46B865">
      <w:pPr>
        <w:spacing w:line="400" w:lineRule="exact"/>
        <w:jc w:val="center"/>
        <w:rPr>
          <w:rFonts w:hint="eastAsia" w:ascii="宋体" w:hAnsi="宋体" w:eastAsia="宋体" w:cs="宋体"/>
          <w:b/>
          <w:bCs/>
          <w:sz w:val="36"/>
        </w:rPr>
      </w:pPr>
    </w:p>
    <w:p w14:paraId="77C7B624">
      <w:pPr>
        <w:spacing w:line="400" w:lineRule="exact"/>
        <w:jc w:val="center"/>
        <w:rPr>
          <w:rFonts w:hint="eastAsia" w:ascii="宋体" w:hAnsi="宋体" w:eastAsia="宋体" w:cs="宋体"/>
          <w:b/>
          <w:bCs/>
          <w:sz w:val="36"/>
        </w:rPr>
      </w:pPr>
    </w:p>
    <w:p w14:paraId="02559414">
      <w:pPr>
        <w:spacing w:line="400" w:lineRule="exact"/>
        <w:jc w:val="center"/>
        <w:rPr>
          <w:rFonts w:hint="eastAsia" w:ascii="宋体" w:hAnsi="宋体" w:eastAsia="宋体" w:cs="宋体"/>
          <w:b/>
          <w:bCs/>
          <w:sz w:val="36"/>
        </w:rPr>
      </w:pPr>
    </w:p>
    <w:p w14:paraId="32181F09">
      <w:pPr>
        <w:spacing w:line="400" w:lineRule="exact"/>
        <w:jc w:val="center"/>
        <w:rPr>
          <w:rFonts w:hint="eastAsia" w:ascii="宋体" w:hAnsi="宋体" w:eastAsia="宋体" w:cs="宋体"/>
          <w:b/>
          <w:bCs/>
          <w:sz w:val="36"/>
        </w:rPr>
      </w:pPr>
    </w:p>
    <w:p w14:paraId="276321F5">
      <w:pPr>
        <w:spacing w:line="400" w:lineRule="exact"/>
        <w:jc w:val="center"/>
        <w:rPr>
          <w:rFonts w:hint="eastAsia" w:ascii="宋体" w:hAnsi="宋体" w:eastAsia="宋体" w:cs="宋体"/>
          <w:b/>
          <w:bCs/>
          <w:sz w:val="36"/>
        </w:rPr>
      </w:pPr>
    </w:p>
    <w:p w14:paraId="09930449">
      <w:pPr>
        <w:spacing w:line="400" w:lineRule="exact"/>
        <w:jc w:val="center"/>
        <w:rPr>
          <w:rFonts w:hint="eastAsia" w:ascii="宋体" w:hAnsi="宋体" w:eastAsia="宋体" w:cs="宋体"/>
          <w:b/>
          <w:bCs/>
          <w:sz w:val="36"/>
        </w:rPr>
      </w:pPr>
    </w:p>
    <w:p w14:paraId="5811E606">
      <w:pPr>
        <w:spacing w:line="400" w:lineRule="exact"/>
        <w:jc w:val="center"/>
        <w:rPr>
          <w:rFonts w:hint="eastAsia" w:ascii="宋体" w:hAnsi="宋体" w:eastAsia="宋体" w:cs="宋体"/>
          <w:b/>
          <w:bCs/>
          <w:sz w:val="36"/>
        </w:rPr>
      </w:pPr>
    </w:p>
    <w:p w14:paraId="50D01110">
      <w:pPr>
        <w:spacing w:line="400" w:lineRule="exact"/>
        <w:jc w:val="center"/>
        <w:rPr>
          <w:rFonts w:hint="eastAsia" w:ascii="宋体" w:hAnsi="宋体" w:eastAsia="宋体" w:cs="宋体"/>
          <w:b/>
          <w:bCs/>
          <w:sz w:val="36"/>
        </w:rPr>
      </w:pPr>
    </w:p>
    <w:p w14:paraId="5C80BE4A">
      <w:pPr>
        <w:spacing w:line="400" w:lineRule="exact"/>
        <w:jc w:val="center"/>
        <w:rPr>
          <w:rFonts w:hint="eastAsia" w:ascii="宋体" w:hAnsi="宋体" w:eastAsia="宋体" w:cs="宋体"/>
          <w:b/>
          <w:bCs/>
          <w:sz w:val="36"/>
        </w:rPr>
      </w:pPr>
    </w:p>
    <w:p w14:paraId="457FAE55">
      <w:pPr>
        <w:spacing w:line="400" w:lineRule="exact"/>
        <w:jc w:val="center"/>
        <w:rPr>
          <w:rFonts w:hint="eastAsia" w:ascii="宋体" w:hAnsi="宋体" w:eastAsia="宋体" w:cs="宋体"/>
          <w:b/>
          <w:bCs/>
          <w:sz w:val="36"/>
        </w:rPr>
      </w:pPr>
    </w:p>
    <w:p w14:paraId="0542A7B8">
      <w:pPr>
        <w:spacing w:line="400" w:lineRule="exact"/>
        <w:jc w:val="center"/>
        <w:rPr>
          <w:rFonts w:hint="eastAsia" w:ascii="宋体" w:hAnsi="宋体" w:eastAsia="宋体" w:cs="宋体"/>
          <w:b/>
          <w:bCs/>
          <w:sz w:val="36"/>
        </w:rPr>
      </w:pPr>
    </w:p>
    <w:p w14:paraId="4A3B9745">
      <w:pPr>
        <w:spacing w:line="400" w:lineRule="exact"/>
        <w:jc w:val="center"/>
        <w:rPr>
          <w:rFonts w:hint="eastAsia" w:ascii="宋体" w:hAnsi="宋体" w:eastAsia="宋体" w:cs="宋体"/>
          <w:b/>
          <w:bCs/>
          <w:sz w:val="36"/>
        </w:rPr>
      </w:pPr>
    </w:p>
    <w:p w14:paraId="5F9DF524">
      <w:pPr>
        <w:spacing w:line="400" w:lineRule="exact"/>
        <w:jc w:val="center"/>
        <w:rPr>
          <w:rFonts w:hint="eastAsia" w:ascii="宋体" w:hAnsi="宋体" w:eastAsia="宋体" w:cs="宋体"/>
          <w:b/>
          <w:bCs/>
          <w:sz w:val="36"/>
        </w:rPr>
      </w:pPr>
    </w:p>
    <w:p w14:paraId="776B7A2B">
      <w:pPr>
        <w:spacing w:line="400" w:lineRule="exact"/>
        <w:jc w:val="center"/>
        <w:rPr>
          <w:rFonts w:hint="eastAsia" w:ascii="宋体" w:hAnsi="宋体" w:eastAsia="宋体" w:cs="宋体"/>
          <w:b/>
          <w:bCs/>
          <w:sz w:val="36"/>
        </w:rPr>
      </w:pPr>
    </w:p>
    <w:p w14:paraId="456F8518">
      <w:pPr>
        <w:spacing w:line="400" w:lineRule="exact"/>
        <w:jc w:val="center"/>
        <w:rPr>
          <w:rFonts w:hint="eastAsia" w:ascii="宋体" w:hAnsi="宋体" w:eastAsia="宋体" w:cs="宋体"/>
          <w:b/>
          <w:bCs/>
          <w:sz w:val="36"/>
        </w:rPr>
      </w:pPr>
    </w:p>
    <w:p w14:paraId="1B8DF81C">
      <w:pPr>
        <w:spacing w:line="400" w:lineRule="exact"/>
        <w:jc w:val="center"/>
        <w:rPr>
          <w:rFonts w:hint="eastAsia" w:ascii="宋体" w:hAnsi="宋体" w:eastAsia="宋体" w:cs="宋体"/>
          <w:b/>
          <w:bCs/>
          <w:sz w:val="36"/>
        </w:rPr>
      </w:pPr>
    </w:p>
    <w:p w14:paraId="41C41630">
      <w:pPr>
        <w:spacing w:line="400" w:lineRule="exact"/>
        <w:jc w:val="center"/>
        <w:rPr>
          <w:rFonts w:hint="eastAsia" w:ascii="宋体" w:hAnsi="宋体" w:eastAsia="宋体" w:cs="宋体"/>
          <w:b/>
          <w:bCs/>
          <w:sz w:val="36"/>
        </w:rPr>
      </w:pPr>
    </w:p>
    <w:p w14:paraId="49BCFCC2">
      <w:pPr>
        <w:spacing w:line="400" w:lineRule="exact"/>
        <w:jc w:val="center"/>
        <w:rPr>
          <w:rFonts w:hint="eastAsia" w:ascii="宋体" w:hAnsi="宋体" w:eastAsia="宋体" w:cs="宋体"/>
          <w:b/>
          <w:bCs/>
          <w:sz w:val="36"/>
        </w:rPr>
      </w:pPr>
    </w:p>
    <w:p w14:paraId="1CD703A0">
      <w:pPr>
        <w:spacing w:line="400" w:lineRule="exact"/>
        <w:jc w:val="center"/>
        <w:rPr>
          <w:rFonts w:hint="eastAsia" w:ascii="宋体" w:hAnsi="宋体" w:eastAsia="宋体" w:cs="宋体"/>
          <w:b/>
          <w:bCs/>
          <w:sz w:val="36"/>
        </w:rPr>
      </w:pPr>
    </w:p>
    <w:p w14:paraId="15D9BE33">
      <w:pPr>
        <w:spacing w:line="400" w:lineRule="exact"/>
        <w:jc w:val="center"/>
        <w:rPr>
          <w:rFonts w:hint="eastAsia" w:ascii="宋体" w:hAnsi="宋体" w:eastAsia="宋体" w:cs="宋体"/>
          <w:b/>
          <w:bCs/>
          <w:sz w:val="36"/>
        </w:rPr>
      </w:pPr>
    </w:p>
    <w:p w14:paraId="205B73A6">
      <w:pPr>
        <w:spacing w:line="400" w:lineRule="exact"/>
        <w:jc w:val="center"/>
        <w:rPr>
          <w:rFonts w:hint="eastAsia" w:ascii="宋体" w:hAnsi="宋体" w:eastAsia="宋体" w:cs="宋体"/>
          <w:b/>
          <w:bCs/>
          <w:sz w:val="36"/>
        </w:rPr>
      </w:pPr>
    </w:p>
    <w:p w14:paraId="2B068A55">
      <w:pPr>
        <w:widowControl/>
        <w:jc w:val="left"/>
        <w:rPr>
          <w:rFonts w:hint="eastAsia" w:ascii="宋体" w:hAnsi="宋体" w:eastAsia="宋体" w:cs="宋体"/>
          <w:b/>
          <w:bCs/>
          <w:sz w:val="28"/>
          <w:szCs w:val="36"/>
        </w:rPr>
      </w:pPr>
      <w:bookmarkStart w:id="35" w:name="_Toc25687"/>
      <w:r>
        <w:rPr>
          <w:rFonts w:hint="eastAsia" w:ascii="宋体" w:hAnsi="宋体" w:eastAsia="宋体" w:cs="宋体"/>
          <w:sz w:val="28"/>
          <w:szCs w:val="36"/>
        </w:rPr>
        <w:br w:type="page"/>
      </w:r>
    </w:p>
    <w:p w14:paraId="55A395F8">
      <w:pPr>
        <w:pStyle w:val="4"/>
        <w:jc w:val="center"/>
        <w:rPr>
          <w:rFonts w:hint="eastAsia" w:ascii="宋体" w:hAnsi="宋体" w:eastAsia="宋体" w:cs="宋体"/>
          <w:sz w:val="28"/>
          <w:szCs w:val="36"/>
        </w:rPr>
      </w:pPr>
      <w:bookmarkStart w:id="36" w:name="_Toc14653"/>
      <w:r>
        <w:rPr>
          <w:rFonts w:hint="eastAsia" w:ascii="宋体" w:hAnsi="宋体" w:eastAsia="宋体" w:cs="宋体"/>
          <w:sz w:val="28"/>
          <w:szCs w:val="36"/>
          <w:lang w:eastAsia="zh-CN"/>
        </w:rPr>
        <w:t>三</w:t>
      </w:r>
      <w:r>
        <w:rPr>
          <w:rFonts w:hint="eastAsia" w:ascii="宋体" w:hAnsi="宋体" w:eastAsia="宋体" w:cs="宋体"/>
          <w:sz w:val="28"/>
          <w:szCs w:val="36"/>
        </w:rPr>
        <w:t>、</w:t>
      </w:r>
      <w:r>
        <w:rPr>
          <w:rFonts w:hint="eastAsia" w:ascii="宋体" w:hAnsi="宋体" w:cs="宋体"/>
          <w:sz w:val="28"/>
          <w:szCs w:val="36"/>
          <w:lang w:eastAsia="zh-CN"/>
        </w:rPr>
        <w:t>服务方案</w:t>
      </w:r>
      <w:r>
        <w:rPr>
          <w:rFonts w:hint="eastAsia" w:ascii="宋体" w:hAnsi="宋体" w:eastAsia="宋体" w:cs="宋体"/>
          <w:sz w:val="28"/>
          <w:szCs w:val="36"/>
        </w:rPr>
        <w:t>（格式自拟）</w:t>
      </w:r>
      <w:bookmarkEnd w:id="35"/>
      <w:bookmarkEnd w:id="36"/>
    </w:p>
    <w:p w14:paraId="6550466B">
      <w:pPr>
        <w:adjustRightInd w:val="0"/>
        <w:snapToGrid w:val="0"/>
        <w:spacing w:line="360" w:lineRule="auto"/>
        <w:jc w:val="center"/>
        <w:rPr>
          <w:rFonts w:hint="eastAsia" w:ascii="宋体" w:hAnsi="宋体" w:eastAsia="宋体" w:cs="宋体"/>
          <w:b/>
          <w:sz w:val="32"/>
          <w:szCs w:val="32"/>
        </w:rPr>
      </w:pPr>
    </w:p>
    <w:p w14:paraId="05870EDD">
      <w:pPr>
        <w:adjustRightInd w:val="0"/>
        <w:snapToGrid w:val="0"/>
        <w:spacing w:line="360" w:lineRule="auto"/>
        <w:jc w:val="center"/>
        <w:rPr>
          <w:rFonts w:hint="eastAsia" w:ascii="宋体" w:hAnsi="宋体" w:eastAsia="宋体" w:cs="宋体"/>
          <w:b/>
          <w:sz w:val="24"/>
        </w:rPr>
      </w:pPr>
      <w:r>
        <w:rPr>
          <w:rFonts w:hint="eastAsia" w:ascii="宋体" w:hAnsi="宋体" w:eastAsia="宋体" w:cs="宋体"/>
          <w:b/>
          <w:sz w:val="24"/>
        </w:rPr>
        <w:t>注：根据</w:t>
      </w:r>
      <w:r>
        <w:rPr>
          <w:rFonts w:hint="eastAsia" w:ascii="宋体" w:hAnsi="宋体" w:cs="宋体"/>
          <w:b/>
          <w:sz w:val="24"/>
          <w:lang w:eastAsia="zh-CN"/>
        </w:rPr>
        <w:t>招标要求</w:t>
      </w:r>
      <w:r>
        <w:rPr>
          <w:rFonts w:hint="eastAsia" w:ascii="宋体" w:hAnsi="宋体" w:eastAsia="宋体" w:cs="宋体"/>
          <w:b/>
          <w:sz w:val="24"/>
        </w:rPr>
        <w:t>及评分因素进行编制（格式自拟）</w:t>
      </w:r>
    </w:p>
    <w:p w14:paraId="1B73B89D">
      <w:pPr>
        <w:adjustRightInd w:val="0"/>
        <w:snapToGrid w:val="0"/>
        <w:spacing w:line="360" w:lineRule="auto"/>
        <w:jc w:val="center"/>
        <w:rPr>
          <w:rFonts w:hint="eastAsia" w:ascii="宋体" w:hAnsi="宋体" w:eastAsia="宋体" w:cs="宋体"/>
          <w:b/>
          <w:sz w:val="24"/>
        </w:rPr>
      </w:pPr>
    </w:p>
    <w:p w14:paraId="49087621">
      <w:pPr>
        <w:adjustRightInd w:val="0"/>
        <w:snapToGrid w:val="0"/>
        <w:rPr>
          <w:rFonts w:hint="eastAsia" w:ascii="宋体" w:hAnsi="宋体" w:eastAsia="宋体" w:cs="宋体"/>
          <w:bCs/>
          <w:szCs w:val="21"/>
        </w:rPr>
      </w:pPr>
    </w:p>
    <w:p w14:paraId="3A3331E7">
      <w:pPr>
        <w:adjustRightInd w:val="0"/>
        <w:snapToGrid w:val="0"/>
        <w:rPr>
          <w:rFonts w:hint="eastAsia" w:ascii="宋体" w:hAnsi="宋体" w:eastAsia="宋体" w:cs="宋体"/>
          <w:bCs/>
          <w:szCs w:val="21"/>
        </w:rPr>
      </w:pPr>
    </w:p>
    <w:p w14:paraId="1ED8EDAD">
      <w:pPr>
        <w:adjustRightInd w:val="0"/>
        <w:snapToGrid w:val="0"/>
        <w:rPr>
          <w:rFonts w:hint="eastAsia" w:ascii="宋体" w:hAnsi="宋体" w:eastAsia="宋体" w:cs="宋体"/>
          <w:bCs/>
          <w:sz w:val="28"/>
          <w:szCs w:val="28"/>
        </w:rPr>
      </w:pPr>
    </w:p>
    <w:p w14:paraId="4D3C2979">
      <w:pPr>
        <w:rPr>
          <w:rFonts w:hint="eastAsia" w:ascii="宋体" w:hAnsi="宋体" w:eastAsia="宋体" w:cs="宋体"/>
          <w:sz w:val="28"/>
          <w:szCs w:val="36"/>
          <w:lang w:eastAsia="zh-CN"/>
        </w:rPr>
      </w:pPr>
      <w:bookmarkStart w:id="37" w:name="_Toc32276"/>
      <w:bookmarkStart w:id="38" w:name="_Toc25946"/>
      <w:r>
        <w:rPr>
          <w:rFonts w:hint="eastAsia" w:ascii="宋体" w:hAnsi="宋体" w:eastAsia="宋体" w:cs="宋体"/>
          <w:sz w:val="28"/>
          <w:szCs w:val="36"/>
          <w:lang w:eastAsia="zh-CN"/>
        </w:rPr>
        <w:br w:type="page"/>
      </w:r>
    </w:p>
    <w:p w14:paraId="5C207688">
      <w:pPr>
        <w:pStyle w:val="4"/>
        <w:jc w:val="center"/>
        <w:rPr>
          <w:rFonts w:hint="eastAsia" w:ascii="宋体" w:hAnsi="宋体" w:eastAsia="宋体" w:cs="宋体"/>
          <w:sz w:val="28"/>
          <w:szCs w:val="36"/>
        </w:rPr>
      </w:pPr>
      <w:r>
        <w:rPr>
          <w:rFonts w:hint="eastAsia" w:ascii="宋体" w:hAnsi="宋体" w:eastAsia="宋体" w:cs="宋体"/>
          <w:sz w:val="28"/>
          <w:szCs w:val="36"/>
          <w:lang w:eastAsia="zh-CN"/>
        </w:rPr>
        <w:t>四、技术/商务响应与偏离</w:t>
      </w:r>
      <w:r>
        <w:rPr>
          <w:rFonts w:hint="eastAsia" w:ascii="宋体" w:hAnsi="宋体" w:eastAsia="宋体" w:cs="宋体"/>
          <w:sz w:val="28"/>
          <w:szCs w:val="36"/>
        </w:rPr>
        <w:t>表</w:t>
      </w:r>
      <w:bookmarkEnd w:id="37"/>
      <w:bookmarkEnd w:id="38"/>
    </w:p>
    <w:p w14:paraId="23E8774D">
      <w:pPr>
        <w:adjustRightInd w:val="0"/>
        <w:snapToGrid w:val="0"/>
        <w:ind w:left="-88" w:leftChars="-42" w:firstLine="315" w:firstLineChars="150"/>
        <w:rPr>
          <w:rFonts w:hint="eastAsia" w:ascii="宋体" w:hAnsi="宋体" w:eastAsia="宋体" w:cs="宋体"/>
          <w:szCs w:val="21"/>
          <w:u w:val="single"/>
        </w:rPr>
      </w:pPr>
    </w:p>
    <w:tbl>
      <w:tblPr>
        <w:tblStyle w:val="48"/>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634"/>
        <w:gridCol w:w="1685"/>
        <w:gridCol w:w="1948"/>
        <w:gridCol w:w="2600"/>
        <w:gridCol w:w="1517"/>
        <w:gridCol w:w="1119"/>
      </w:tblGrid>
      <w:tr w14:paraId="3C12F65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634" w:type="dxa"/>
            <w:vAlign w:val="center"/>
          </w:tcPr>
          <w:p w14:paraId="36E8806D">
            <w:pPr>
              <w:adjustRightInd w:val="0"/>
              <w:snapToGrid w:val="0"/>
              <w:ind w:left="-88" w:leftChars="-42"/>
              <w:jc w:val="center"/>
              <w:rPr>
                <w:rFonts w:hint="eastAsia" w:ascii="宋体" w:hAnsi="宋体" w:eastAsia="宋体" w:cs="宋体"/>
                <w:bCs/>
                <w:szCs w:val="21"/>
              </w:rPr>
            </w:pPr>
            <w:r>
              <w:rPr>
                <w:rFonts w:hint="eastAsia" w:ascii="宋体" w:hAnsi="宋体" w:eastAsia="宋体" w:cs="宋体"/>
                <w:bCs/>
                <w:szCs w:val="21"/>
              </w:rPr>
              <w:t>序号</w:t>
            </w:r>
          </w:p>
        </w:tc>
        <w:tc>
          <w:tcPr>
            <w:tcW w:w="1685" w:type="dxa"/>
            <w:vAlign w:val="center"/>
          </w:tcPr>
          <w:p w14:paraId="37DDDC5A">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磋商文件条目号</w:t>
            </w:r>
          </w:p>
        </w:tc>
        <w:tc>
          <w:tcPr>
            <w:tcW w:w="1948" w:type="dxa"/>
            <w:vAlign w:val="center"/>
          </w:tcPr>
          <w:p w14:paraId="28BC74AE">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采购规格/商务条款</w:t>
            </w:r>
          </w:p>
        </w:tc>
        <w:tc>
          <w:tcPr>
            <w:tcW w:w="2600" w:type="dxa"/>
            <w:vAlign w:val="center"/>
          </w:tcPr>
          <w:p w14:paraId="0B86B050">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响应文件的规格/商务条款</w:t>
            </w:r>
          </w:p>
        </w:tc>
        <w:tc>
          <w:tcPr>
            <w:tcW w:w="1517" w:type="dxa"/>
            <w:vAlign w:val="center"/>
          </w:tcPr>
          <w:p w14:paraId="06B6221A">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响应与偏离</w:t>
            </w:r>
          </w:p>
        </w:tc>
        <w:tc>
          <w:tcPr>
            <w:tcW w:w="1119" w:type="dxa"/>
            <w:vAlign w:val="center"/>
          </w:tcPr>
          <w:p w14:paraId="029C563E">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说明</w:t>
            </w:r>
          </w:p>
        </w:tc>
      </w:tr>
      <w:tr w14:paraId="2DE037E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6EA71EF2">
            <w:pPr>
              <w:adjustRightInd w:val="0"/>
              <w:snapToGrid w:val="0"/>
              <w:ind w:left="-88" w:leftChars="-42"/>
              <w:jc w:val="center"/>
              <w:rPr>
                <w:rFonts w:hint="eastAsia" w:ascii="宋体" w:hAnsi="宋体" w:eastAsia="宋体" w:cs="宋体"/>
                <w:szCs w:val="21"/>
              </w:rPr>
            </w:pPr>
          </w:p>
        </w:tc>
        <w:tc>
          <w:tcPr>
            <w:tcW w:w="1685" w:type="dxa"/>
            <w:vAlign w:val="center"/>
          </w:tcPr>
          <w:p w14:paraId="14DD68D9">
            <w:pPr>
              <w:adjustRightInd w:val="0"/>
              <w:snapToGrid w:val="0"/>
              <w:ind w:left="-88" w:leftChars="-42"/>
              <w:jc w:val="center"/>
              <w:rPr>
                <w:rFonts w:hint="eastAsia" w:ascii="宋体" w:hAnsi="宋体" w:eastAsia="宋体" w:cs="宋体"/>
                <w:szCs w:val="21"/>
              </w:rPr>
            </w:pPr>
          </w:p>
        </w:tc>
        <w:tc>
          <w:tcPr>
            <w:tcW w:w="1948" w:type="dxa"/>
            <w:vAlign w:val="center"/>
          </w:tcPr>
          <w:p w14:paraId="1E2D637D">
            <w:pPr>
              <w:adjustRightInd w:val="0"/>
              <w:snapToGrid w:val="0"/>
              <w:ind w:left="-88" w:leftChars="-42"/>
              <w:jc w:val="center"/>
              <w:rPr>
                <w:rFonts w:hint="eastAsia" w:ascii="宋体" w:hAnsi="宋体" w:eastAsia="宋体" w:cs="宋体"/>
                <w:szCs w:val="21"/>
              </w:rPr>
            </w:pPr>
          </w:p>
        </w:tc>
        <w:tc>
          <w:tcPr>
            <w:tcW w:w="2600" w:type="dxa"/>
            <w:vAlign w:val="center"/>
          </w:tcPr>
          <w:p w14:paraId="55528351">
            <w:pPr>
              <w:adjustRightInd w:val="0"/>
              <w:snapToGrid w:val="0"/>
              <w:ind w:left="-88" w:leftChars="-42"/>
              <w:jc w:val="center"/>
              <w:rPr>
                <w:rFonts w:hint="eastAsia" w:ascii="宋体" w:hAnsi="宋体" w:eastAsia="宋体" w:cs="宋体"/>
                <w:szCs w:val="21"/>
              </w:rPr>
            </w:pPr>
          </w:p>
        </w:tc>
        <w:tc>
          <w:tcPr>
            <w:tcW w:w="1517" w:type="dxa"/>
            <w:vAlign w:val="center"/>
          </w:tcPr>
          <w:p w14:paraId="26CA71A3">
            <w:pPr>
              <w:adjustRightInd w:val="0"/>
              <w:snapToGrid w:val="0"/>
              <w:ind w:left="-88" w:leftChars="-42"/>
              <w:jc w:val="center"/>
              <w:rPr>
                <w:rFonts w:hint="eastAsia" w:ascii="宋体" w:hAnsi="宋体" w:eastAsia="宋体" w:cs="宋体"/>
                <w:szCs w:val="21"/>
              </w:rPr>
            </w:pPr>
          </w:p>
        </w:tc>
        <w:tc>
          <w:tcPr>
            <w:tcW w:w="1119" w:type="dxa"/>
            <w:vAlign w:val="center"/>
          </w:tcPr>
          <w:p w14:paraId="66CDB80F">
            <w:pPr>
              <w:adjustRightInd w:val="0"/>
              <w:snapToGrid w:val="0"/>
              <w:ind w:left="-88" w:leftChars="-42"/>
              <w:jc w:val="center"/>
              <w:rPr>
                <w:rFonts w:hint="eastAsia" w:ascii="宋体" w:hAnsi="宋体" w:eastAsia="宋体" w:cs="宋体"/>
                <w:szCs w:val="21"/>
              </w:rPr>
            </w:pPr>
          </w:p>
        </w:tc>
      </w:tr>
      <w:tr w14:paraId="2C55BE8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55A6A4D0">
            <w:pPr>
              <w:adjustRightInd w:val="0"/>
              <w:snapToGrid w:val="0"/>
              <w:ind w:left="-88" w:leftChars="-42"/>
              <w:jc w:val="center"/>
              <w:rPr>
                <w:rFonts w:hint="eastAsia" w:ascii="宋体" w:hAnsi="宋体" w:eastAsia="宋体" w:cs="宋体"/>
                <w:szCs w:val="21"/>
              </w:rPr>
            </w:pPr>
          </w:p>
        </w:tc>
        <w:tc>
          <w:tcPr>
            <w:tcW w:w="1685" w:type="dxa"/>
            <w:vAlign w:val="center"/>
          </w:tcPr>
          <w:p w14:paraId="37DD3C6B">
            <w:pPr>
              <w:adjustRightInd w:val="0"/>
              <w:snapToGrid w:val="0"/>
              <w:ind w:left="-88" w:leftChars="-42"/>
              <w:jc w:val="center"/>
              <w:rPr>
                <w:rFonts w:hint="eastAsia" w:ascii="宋体" w:hAnsi="宋体" w:eastAsia="宋体" w:cs="宋体"/>
                <w:szCs w:val="21"/>
              </w:rPr>
            </w:pPr>
          </w:p>
        </w:tc>
        <w:tc>
          <w:tcPr>
            <w:tcW w:w="1948" w:type="dxa"/>
            <w:vAlign w:val="center"/>
          </w:tcPr>
          <w:p w14:paraId="69C9F8D5">
            <w:pPr>
              <w:adjustRightInd w:val="0"/>
              <w:snapToGrid w:val="0"/>
              <w:ind w:left="-88" w:leftChars="-42"/>
              <w:jc w:val="center"/>
              <w:rPr>
                <w:rFonts w:hint="eastAsia" w:ascii="宋体" w:hAnsi="宋体" w:eastAsia="宋体" w:cs="宋体"/>
                <w:szCs w:val="21"/>
              </w:rPr>
            </w:pPr>
          </w:p>
        </w:tc>
        <w:tc>
          <w:tcPr>
            <w:tcW w:w="2600" w:type="dxa"/>
            <w:vAlign w:val="center"/>
          </w:tcPr>
          <w:p w14:paraId="16CD398F">
            <w:pPr>
              <w:adjustRightInd w:val="0"/>
              <w:snapToGrid w:val="0"/>
              <w:ind w:left="-88" w:leftChars="-42"/>
              <w:jc w:val="center"/>
              <w:rPr>
                <w:rFonts w:hint="eastAsia" w:ascii="宋体" w:hAnsi="宋体" w:eastAsia="宋体" w:cs="宋体"/>
                <w:szCs w:val="21"/>
              </w:rPr>
            </w:pPr>
          </w:p>
        </w:tc>
        <w:tc>
          <w:tcPr>
            <w:tcW w:w="1517" w:type="dxa"/>
            <w:vAlign w:val="center"/>
          </w:tcPr>
          <w:p w14:paraId="796FF096">
            <w:pPr>
              <w:adjustRightInd w:val="0"/>
              <w:snapToGrid w:val="0"/>
              <w:ind w:left="-88" w:leftChars="-42"/>
              <w:jc w:val="center"/>
              <w:rPr>
                <w:rFonts w:hint="eastAsia" w:ascii="宋体" w:hAnsi="宋体" w:eastAsia="宋体" w:cs="宋体"/>
                <w:szCs w:val="21"/>
              </w:rPr>
            </w:pPr>
          </w:p>
        </w:tc>
        <w:tc>
          <w:tcPr>
            <w:tcW w:w="1119" w:type="dxa"/>
            <w:vAlign w:val="center"/>
          </w:tcPr>
          <w:p w14:paraId="56979E64">
            <w:pPr>
              <w:adjustRightInd w:val="0"/>
              <w:snapToGrid w:val="0"/>
              <w:ind w:left="-88" w:leftChars="-42"/>
              <w:jc w:val="center"/>
              <w:rPr>
                <w:rFonts w:hint="eastAsia" w:ascii="宋体" w:hAnsi="宋体" w:eastAsia="宋体" w:cs="宋体"/>
                <w:szCs w:val="21"/>
              </w:rPr>
            </w:pPr>
          </w:p>
        </w:tc>
      </w:tr>
      <w:tr w14:paraId="42D0C46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192A180D">
            <w:pPr>
              <w:adjustRightInd w:val="0"/>
              <w:snapToGrid w:val="0"/>
              <w:ind w:left="-88" w:leftChars="-42"/>
              <w:jc w:val="center"/>
              <w:rPr>
                <w:rFonts w:hint="eastAsia" w:ascii="宋体" w:hAnsi="宋体" w:eastAsia="宋体" w:cs="宋体"/>
                <w:szCs w:val="21"/>
              </w:rPr>
            </w:pPr>
          </w:p>
        </w:tc>
        <w:tc>
          <w:tcPr>
            <w:tcW w:w="1685" w:type="dxa"/>
            <w:vAlign w:val="center"/>
          </w:tcPr>
          <w:p w14:paraId="3B7D9E13">
            <w:pPr>
              <w:adjustRightInd w:val="0"/>
              <w:snapToGrid w:val="0"/>
              <w:ind w:left="-88" w:leftChars="-42"/>
              <w:jc w:val="center"/>
              <w:rPr>
                <w:rFonts w:hint="eastAsia" w:ascii="宋体" w:hAnsi="宋体" w:eastAsia="宋体" w:cs="宋体"/>
                <w:szCs w:val="21"/>
              </w:rPr>
            </w:pPr>
          </w:p>
        </w:tc>
        <w:tc>
          <w:tcPr>
            <w:tcW w:w="1948" w:type="dxa"/>
            <w:vAlign w:val="center"/>
          </w:tcPr>
          <w:p w14:paraId="3A1B7603">
            <w:pPr>
              <w:adjustRightInd w:val="0"/>
              <w:snapToGrid w:val="0"/>
              <w:ind w:left="-88" w:leftChars="-42"/>
              <w:jc w:val="center"/>
              <w:rPr>
                <w:rFonts w:hint="eastAsia" w:ascii="宋体" w:hAnsi="宋体" w:eastAsia="宋体" w:cs="宋体"/>
                <w:szCs w:val="21"/>
              </w:rPr>
            </w:pPr>
          </w:p>
        </w:tc>
        <w:tc>
          <w:tcPr>
            <w:tcW w:w="2600" w:type="dxa"/>
            <w:vAlign w:val="center"/>
          </w:tcPr>
          <w:p w14:paraId="5B4C5D50">
            <w:pPr>
              <w:adjustRightInd w:val="0"/>
              <w:snapToGrid w:val="0"/>
              <w:ind w:left="-88" w:leftChars="-42"/>
              <w:jc w:val="center"/>
              <w:rPr>
                <w:rFonts w:hint="eastAsia" w:ascii="宋体" w:hAnsi="宋体" w:eastAsia="宋体" w:cs="宋体"/>
                <w:szCs w:val="21"/>
              </w:rPr>
            </w:pPr>
          </w:p>
        </w:tc>
        <w:tc>
          <w:tcPr>
            <w:tcW w:w="1517" w:type="dxa"/>
            <w:vAlign w:val="center"/>
          </w:tcPr>
          <w:p w14:paraId="4639C2B9">
            <w:pPr>
              <w:adjustRightInd w:val="0"/>
              <w:snapToGrid w:val="0"/>
              <w:ind w:left="-88" w:leftChars="-42"/>
              <w:jc w:val="center"/>
              <w:rPr>
                <w:rFonts w:hint="eastAsia" w:ascii="宋体" w:hAnsi="宋体" w:eastAsia="宋体" w:cs="宋体"/>
                <w:szCs w:val="21"/>
              </w:rPr>
            </w:pPr>
          </w:p>
        </w:tc>
        <w:tc>
          <w:tcPr>
            <w:tcW w:w="1119" w:type="dxa"/>
            <w:vAlign w:val="center"/>
          </w:tcPr>
          <w:p w14:paraId="27E8A91A">
            <w:pPr>
              <w:adjustRightInd w:val="0"/>
              <w:snapToGrid w:val="0"/>
              <w:ind w:left="-88" w:leftChars="-42"/>
              <w:jc w:val="center"/>
              <w:rPr>
                <w:rFonts w:hint="eastAsia" w:ascii="宋体" w:hAnsi="宋体" w:eastAsia="宋体" w:cs="宋体"/>
                <w:szCs w:val="21"/>
              </w:rPr>
            </w:pPr>
          </w:p>
        </w:tc>
      </w:tr>
      <w:tr w14:paraId="7475FC9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292B7BF1">
            <w:pPr>
              <w:adjustRightInd w:val="0"/>
              <w:snapToGrid w:val="0"/>
              <w:ind w:left="-88" w:leftChars="-42"/>
              <w:jc w:val="center"/>
              <w:rPr>
                <w:rFonts w:hint="eastAsia" w:ascii="宋体" w:hAnsi="宋体" w:eastAsia="宋体" w:cs="宋体"/>
                <w:szCs w:val="21"/>
              </w:rPr>
            </w:pPr>
          </w:p>
        </w:tc>
        <w:tc>
          <w:tcPr>
            <w:tcW w:w="1685" w:type="dxa"/>
            <w:vAlign w:val="center"/>
          </w:tcPr>
          <w:p w14:paraId="3E8AB5C9">
            <w:pPr>
              <w:adjustRightInd w:val="0"/>
              <w:snapToGrid w:val="0"/>
              <w:ind w:left="-88" w:leftChars="-42"/>
              <w:jc w:val="center"/>
              <w:rPr>
                <w:rFonts w:hint="eastAsia" w:ascii="宋体" w:hAnsi="宋体" w:eastAsia="宋体" w:cs="宋体"/>
                <w:szCs w:val="21"/>
              </w:rPr>
            </w:pPr>
          </w:p>
        </w:tc>
        <w:tc>
          <w:tcPr>
            <w:tcW w:w="1948" w:type="dxa"/>
            <w:vAlign w:val="center"/>
          </w:tcPr>
          <w:p w14:paraId="722DF098">
            <w:pPr>
              <w:adjustRightInd w:val="0"/>
              <w:snapToGrid w:val="0"/>
              <w:ind w:left="-88" w:leftChars="-42"/>
              <w:jc w:val="center"/>
              <w:rPr>
                <w:rFonts w:hint="eastAsia" w:ascii="宋体" w:hAnsi="宋体" w:eastAsia="宋体" w:cs="宋体"/>
                <w:szCs w:val="21"/>
              </w:rPr>
            </w:pPr>
          </w:p>
        </w:tc>
        <w:tc>
          <w:tcPr>
            <w:tcW w:w="2600" w:type="dxa"/>
            <w:vAlign w:val="center"/>
          </w:tcPr>
          <w:p w14:paraId="72F71321">
            <w:pPr>
              <w:adjustRightInd w:val="0"/>
              <w:snapToGrid w:val="0"/>
              <w:ind w:left="-88" w:leftChars="-42"/>
              <w:jc w:val="center"/>
              <w:rPr>
                <w:rFonts w:hint="eastAsia" w:ascii="宋体" w:hAnsi="宋体" w:eastAsia="宋体" w:cs="宋体"/>
                <w:szCs w:val="21"/>
              </w:rPr>
            </w:pPr>
          </w:p>
        </w:tc>
        <w:tc>
          <w:tcPr>
            <w:tcW w:w="1517" w:type="dxa"/>
            <w:vAlign w:val="center"/>
          </w:tcPr>
          <w:p w14:paraId="54BDA2EA">
            <w:pPr>
              <w:adjustRightInd w:val="0"/>
              <w:snapToGrid w:val="0"/>
              <w:ind w:left="-88" w:leftChars="-42"/>
              <w:jc w:val="center"/>
              <w:rPr>
                <w:rFonts w:hint="eastAsia" w:ascii="宋体" w:hAnsi="宋体" w:eastAsia="宋体" w:cs="宋体"/>
                <w:szCs w:val="21"/>
              </w:rPr>
            </w:pPr>
          </w:p>
        </w:tc>
        <w:tc>
          <w:tcPr>
            <w:tcW w:w="1119" w:type="dxa"/>
            <w:vAlign w:val="center"/>
          </w:tcPr>
          <w:p w14:paraId="362954BC">
            <w:pPr>
              <w:adjustRightInd w:val="0"/>
              <w:snapToGrid w:val="0"/>
              <w:ind w:left="-88" w:leftChars="-42"/>
              <w:jc w:val="center"/>
              <w:rPr>
                <w:rFonts w:hint="eastAsia" w:ascii="宋体" w:hAnsi="宋体" w:eastAsia="宋体" w:cs="宋体"/>
                <w:szCs w:val="21"/>
              </w:rPr>
            </w:pPr>
          </w:p>
        </w:tc>
      </w:tr>
      <w:tr w14:paraId="774305C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186793BC">
            <w:pPr>
              <w:adjustRightInd w:val="0"/>
              <w:snapToGrid w:val="0"/>
              <w:ind w:left="-88" w:leftChars="-42"/>
              <w:jc w:val="center"/>
              <w:rPr>
                <w:rFonts w:hint="eastAsia" w:ascii="宋体" w:hAnsi="宋体" w:eastAsia="宋体" w:cs="宋体"/>
                <w:szCs w:val="21"/>
              </w:rPr>
            </w:pPr>
          </w:p>
        </w:tc>
        <w:tc>
          <w:tcPr>
            <w:tcW w:w="1685" w:type="dxa"/>
            <w:vAlign w:val="center"/>
          </w:tcPr>
          <w:p w14:paraId="431A6EFF">
            <w:pPr>
              <w:adjustRightInd w:val="0"/>
              <w:snapToGrid w:val="0"/>
              <w:ind w:left="-88" w:leftChars="-42"/>
              <w:jc w:val="center"/>
              <w:rPr>
                <w:rFonts w:hint="eastAsia" w:ascii="宋体" w:hAnsi="宋体" w:eastAsia="宋体" w:cs="宋体"/>
                <w:szCs w:val="21"/>
              </w:rPr>
            </w:pPr>
          </w:p>
        </w:tc>
        <w:tc>
          <w:tcPr>
            <w:tcW w:w="1948" w:type="dxa"/>
            <w:vAlign w:val="center"/>
          </w:tcPr>
          <w:p w14:paraId="0B9B1E06">
            <w:pPr>
              <w:adjustRightInd w:val="0"/>
              <w:snapToGrid w:val="0"/>
              <w:ind w:left="-88" w:leftChars="-42"/>
              <w:jc w:val="center"/>
              <w:rPr>
                <w:rFonts w:hint="eastAsia" w:ascii="宋体" w:hAnsi="宋体" w:eastAsia="宋体" w:cs="宋体"/>
                <w:szCs w:val="21"/>
              </w:rPr>
            </w:pPr>
          </w:p>
        </w:tc>
        <w:tc>
          <w:tcPr>
            <w:tcW w:w="2600" w:type="dxa"/>
            <w:vAlign w:val="center"/>
          </w:tcPr>
          <w:p w14:paraId="3665A751">
            <w:pPr>
              <w:adjustRightInd w:val="0"/>
              <w:snapToGrid w:val="0"/>
              <w:ind w:left="-88" w:leftChars="-42"/>
              <w:jc w:val="center"/>
              <w:rPr>
                <w:rFonts w:hint="eastAsia" w:ascii="宋体" w:hAnsi="宋体" w:eastAsia="宋体" w:cs="宋体"/>
                <w:szCs w:val="21"/>
              </w:rPr>
            </w:pPr>
          </w:p>
        </w:tc>
        <w:tc>
          <w:tcPr>
            <w:tcW w:w="1517" w:type="dxa"/>
            <w:vAlign w:val="center"/>
          </w:tcPr>
          <w:p w14:paraId="56F7F2CF">
            <w:pPr>
              <w:adjustRightInd w:val="0"/>
              <w:snapToGrid w:val="0"/>
              <w:ind w:left="-88" w:leftChars="-42"/>
              <w:jc w:val="center"/>
              <w:rPr>
                <w:rFonts w:hint="eastAsia" w:ascii="宋体" w:hAnsi="宋体" w:eastAsia="宋体" w:cs="宋体"/>
                <w:szCs w:val="21"/>
              </w:rPr>
            </w:pPr>
          </w:p>
        </w:tc>
        <w:tc>
          <w:tcPr>
            <w:tcW w:w="1119" w:type="dxa"/>
            <w:vAlign w:val="center"/>
          </w:tcPr>
          <w:p w14:paraId="7F970911">
            <w:pPr>
              <w:adjustRightInd w:val="0"/>
              <w:snapToGrid w:val="0"/>
              <w:ind w:left="-88" w:leftChars="-42"/>
              <w:jc w:val="center"/>
              <w:rPr>
                <w:rFonts w:hint="eastAsia" w:ascii="宋体" w:hAnsi="宋体" w:eastAsia="宋体" w:cs="宋体"/>
                <w:szCs w:val="21"/>
              </w:rPr>
            </w:pPr>
          </w:p>
        </w:tc>
      </w:tr>
    </w:tbl>
    <w:p w14:paraId="0DE81AAA">
      <w:pPr>
        <w:adjustRightInd w:val="0"/>
        <w:snapToGrid w:val="0"/>
        <w:spacing w:line="360" w:lineRule="auto"/>
        <w:ind w:left="-88" w:leftChars="-42"/>
        <w:rPr>
          <w:rFonts w:hint="eastAsia" w:ascii="宋体" w:hAnsi="宋体" w:eastAsia="宋体" w:cs="宋体"/>
          <w:szCs w:val="21"/>
        </w:rPr>
      </w:pPr>
      <w:r>
        <w:rPr>
          <w:rFonts w:hint="eastAsia" w:ascii="宋体" w:hAnsi="宋体" w:eastAsia="宋体" w:cs="宋体"/>
          <w:szCs w:val="21"/>
        </w:rPr>
        <w:t>说明：1、“响应与偏离”应注明“响应”或“偏离”。</w:t>
      </w:r>
    </w:p>
    <w:p w14:paraId="22575ED6">
      <w:pPr>
        <w:adjustRightInd w:val="0"/>
        <w:snapToGrid w:val="0"/>
        <w:spacing w:line="360" w:lineRule="auto"/>
        <w:rPr>
          <w:rFonts w:hint="eastAsia" w:ascii="宋体" w:hAnsi="宋体" w:eastAsia="宋体" w:cs="宋体"/>
          <w:szCs w:val="21"/>
        </w:rPr>
      </w:pPr>
      <w:r>
        <w:rPr>
          <w:rFonts w:hint="eastAsia" w:ascii="宋体" w:hAnsi="宋体" w:eastAsia="宋体" w:cs="宋体"/>
          <w:b/>
          <w:szCs w:val="21"/>
        </w:rPr>
        <w:t xml:space="preserve">     </w:t>
      </w:r>
      <w:r>
        <w:rPr>
          <w:rFonts w:hint="eastAsia" w:ascii="宋体" w:hAnsi="宋体" w:eastAsia="宋体" w:cs="宋体"/>
          <w:szCs w:val="21"/>
        </w:rPr>
        <w:t>2、属磋商文件规定可能变动的内容在“说明”栏中注明。</w:t>
      </w:r>
    </w:p>
    <w:p w14:paraId="2DED1B44">
      <w:pPr>
        <w:pStyle w:val="26"/>
        <w:rPr>
          <w:rFonts w:hint="eastAsia" w:ascii="宋体" w:hAnsi="宋体" w:eastAsia="宋体" w:cs="宋体"/>
        </w:rPr>
      </w:pPr>
    </w:p>
    <w:p w14:paraId="0950D257">
      <w:pPr>
        <w:spacing w:line="360" w:lineRule="auto"/>
        <w:rPr>
          <w:rFonts w:hint="eastAsia" w:ascii="宋体" w:hAnsi="宋体" w:eastAsia="宋体" w:cs="宋体"/>
        </w:rPr>
      </w:pPr>
      <w:r>
        <w:rPr>
          <w:rFonts w:hint="eastAsia" w:ascii="宋体" w:hAnsi="宋体" w:eastAsia="宋体" w:cs="宋体"/>
        </w:rPr>
        <w:t xml:space="preserve">供应商名称：                         </w:t>
      </w:r>
      <w:r>
        <w:rPr>
          <w:rFonts w:hint="eastAsia" w:ascii="宋体" w:hAnsi="宋体" w:eastAsia="宋体" w:cs="宋体"/>
          <w:u w:val="single"/>
        </w:rPr>
        <w:t xml:space="preserve">      </w:t>
      </w:r>
    </w:p>
    <w:p w14:paraId="12CBB9CB">
      <w:pPr>
        <w:spacing w:line="360" w:lineRule="auto"/>
        <w:rPr>
          <w:rFonts w:hint="eastAsia" w:ascii="宋体" w:hAnsi="宋体" w:eastAsia="宋体" w:cs="宋体"/>
          <w:u w:val="single"/>
        </w:rPr>
      </w:pPr>
      <w:r>
        <w:rPr>
          <w:rFonts w:hint="eastAsia" w:ascii="宋体" w:hAnsi="宋体" w:cs="宋体"/>
          <w:lang w:eastAsia="zh-CN"/>
        </w:rPr>
        <w:t>法定代表人（单位负责人）</w:t>
      </w:r>
      <w:r>
        <w:rPr>
          <w:rFonts w:hint="eastAsia" w:ascii="宋体" w:hAnsi="宋体" w:eastAsia="宋体" w:cs="宋体"/>
        </w:rPr>
        <w:t>或其委托代理人(签字)：</w:t>
      </w:r>
      <w:r>
        <w:rPr>
          <w:rFonts w:hint="eastAsia" w:ascii="宋体" w:hAnsi="宋体" w:eastAsia="宋体" w:cs="宋体"/>
          <w:u w:val="single"/>
        </w:rPr>
        <w:t xml:space="preserve">                   </w:t>
      </w:r>
    </w:p>
    <w:p w14:paraId="1B2185EA">
      <w:pPr>
        <w:spacing w:line="360" w:lineRule="auto"/>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p w14:paraId="12C31694">
      <w:pPr>
        <w:adjustRightInd w:val="0"/>
        <w:snapToGrid w:val="0"/>
        <w:rPr>
          <w:rFonts w:hint="eastAsia" w:ascii="宋体" w:hAnsi="宋体" w:eastAsia="宋体" w:cs="宋体"/>
          <w:bCs/>
          <w:sz w:val="28"/>
          <w:szCs w:val="28"/>
        </w:rPr>
      </w:pPr>
    </w:p>
    <w:p w14:paraId="2EA15718">
      <w:pPr>
        <w:adjustRightInd w:val="0"/>
        <w:snapToGrid w:val="0"/>
        <w:rPr>
          <w:rFonts w:hint="eastAsia" w:ascii="宋体" w:hAnsi="宋体" w:eastAsia="宋体" w:cs="宋体"/>
          <w:bCs/>
          <w:sz w:val="28"/>
          <w:szCs w:val="28"/>
        </w:rPr>
      </w:pPr>
    </w:p>
    <w:p w14:paraId="44F3005A">
      <w:pPr>
        <w:adjustRightInd w:val="0"/>
        <w:snapToGrid w:val="0"/>
        <w:rPr>
          <w:rFonts w:hint="eastAsia" w:ascii="宋体" w:hAnsi="宋体" w:eastAsia="宋体" w:cs="宋体"/>
          <w:bCs/>
          <w:sz w:val="28"/>
          <w:szCs w:val="28"/>
        </w:rPr>
      </w:pPr>
    </w:p>
    <w:p w14:paraId="2880F27E">
      <w:pPr>
        <w:adjustRightInd w:val="0"/>
        <w:snapToGrid w:val="0"/>
        <w:rPr>
          <w:rFonts w:hint="eastAsia" w:ascii="宋体" w:hAnsi="宋体" w:eastAsia="宋体" w:cs="宋体"/>
          <w:bCs/>
          <w:sz w:val="28"/>
          <w:szCs w:val="28"/>
        </w:rPr>
      </w:pPr>
    </w:p>
    <w:p w14:paraId="39F56B04">
      <w:pPr>
        <w:adjustRightInd w:val="0"/>
        <w:snapToGrid w:val="0"/>
        <w:rPr>
          <w:rFonts w:hint="eastAsia" w:ascii="宋体" w:hAnsi="宋体" w:eastAsia="宋体" w:cs="宋体"/>
          <w:bCs/>
          <w:sz w:val="28"/>
          <w:szCs w:val="28"/>
        </w:rPr>
      </w:pPr>
    </w:p>
    <w:p w14:paraId="4B562733">
      <w:pPr>
        <w:adjustRightInd w:val="0"/>
        <w:snapToGrid w:val="0"/>
        <w:rPr>
          <w:rFonts w:hint="eastAsia" w:ascii="宋体" w:hAnsi="宋体" w:eastAsia="宋体" w:cs="宋体"/>
          <w:bCs/>
          <w:sz w:val="28"/>
          <w:szCs w:val="28"/>
        </w:rPr>
      </w:pPr>
    </w:p>
    <w:p w14:paraId="7A4744BA">
      <w:pPr>
        <w:adjustRightInd w:val="0"/>
        <w:snapToGrid w:val="0"/>
        <w:rPr>
          <w:rFonts w:hint="eastAsia" w:ascii="宋体" w:hAnsi="宋体" w:eastAsia="宋体" w:cs="宋体"/>
          <w:bCs/>
          <w:sz w:val="28"/>
          <w:szCs w:val="28"/>
        </w:rPr>
      </w:pPr>
    </w:p>
    <w:p w14:paraId="2098388D">
      <w:pPr>
        <w:adjustRightInd w:val="0"/>
        <w:snapToGrid w:val="0"/>
        <w:rPr>
          <w:rFonts w:hint="eastAsia" w:ascii="宋体" w:hAnsi="宋体" w:eastAsia="宋体" w:cs="宋体"/>
          <w:bCs/>
          <w:sz w:val="28"/>
          <w:szCs w:val="28"/>
        </w:rPr>
      </w:pPr>
    </w:p>
    <w:p w14:paraId="28329AAB">
      <w:pPr>
        <w:adjustRightInd w:val="0"/>
        <w:snapToGrid w:val="0"/>
        <w:rPr>
          <w:rFonts w:hint="eastAsia" w:ascii="宋体" w:hAnsi="宋体" w:eastAsia="宋体" w:cs="宋体"/>
          <w:bCs/>
          <w:sz w:val="28"/>
          <w:szCs w:val="28"/>
        </w:rPr>
      </w:pPr>
    </w:p>
    <w:p w14:paraId="424B54F8">
      <w:pPr>
        <w:adjustRightInd w:val="0"/>
        <w:snapToGrid w:val="0"/>
        <w:rPr>
          <w:rFonts w:hint="eastAsia" w:ascii="宋体" w:hAnsi="宋体" w:eastAsia="宋体" w:cs="宋体"/>
          <w:bCs/>
          <w:sz w:val="28"/>
          <w:szCs w:val="28"/>
        </w:rPr>
      </w:pPr>
    </w:p>
    <w:p w14:paraId="6748DD34">
      <w:pPr>
        <w:adjustRightInd w:val="0"/>
        <w:snapToGrid w:val="0"/>
        <w:rPr>
          <w:rFonts w:hint="eastAsia" w:ascii="宋体" w:hAnsi="宋体" w:eastAsia="宋体" w:cs="宋体"/>
          <w:bCs/>
          <w:sz w:val="28"/>
          <w:szCs w:val="28"/>
        </w:rPr>
      </w:pPr>
    </w:p>
    <w:p w14:paraId="0E9A2148">
      <w:pPr>
        <w:adjustRightInd w:val="0"/>
        <w:snapToGrid w:val="0"/>
        <w:rPr>
          <w:rFonts w:hint="eastAsia" w:ascii="宋体" w:hAnsi="宋体" w:eastAsia="宋体" w:cs="宋体"/>
          <w:bCs/>
          <w:sz w:val="28"/>
          <w:szCs w:val="28"/>
        </w:rPr>
      </w:pPr>
    </w:p>
    <w:p w14:paraId="145D2963">
      <w:pPr>
        <w:rPr>
          <w:rFonts w:hint="eastAsia" w:ascii="宋体" w:hAnsi="宋体" w:eastAsia="宋体" w:cs="宋体"/>
          <w:sz w:val="28"/>
          <w:szCs w:val="36"/>
        </w:rPr>
      </w:pPr>
      <w:bookmarkStart w:id="39" w:name="_Toc29813"/>
      <w:r>
        <w:rPr>
          <w:rFonts w:hint="eastAsia" w:ascii="宋体" w:hAnsi="宋体" w:eastAsia="宋体" w:cs="宋体"/>
          <w:sz w:val="28"/>
          <w:szCs w:val="36"/>
        </w:rPr>
        <w:br w:type="page"/>
      </w:r>
    </w:p>
    <w:p w14:paraId="2386AD4C">
      <w:pPr>
        <w:pStyle w:val="4"/>
        <w:jc w:val="center"/>
        <w:rPr>
          <w:rFonts w:hint="eastAsia" w:ascii="宋体" w:hAnsi="宋体" w:eastAsia="宋体" w:cs="宋体"/>
          <w:sz w:val="28"/>
          <w:szCs w:val="36"/>
        </w:rPr>
      </w:pPr>
      <w:bookmarkStart w:id="40" w:name="_Toc2828"/>
      <w:r>
        <w:rPr>
          <w:rFonts w:hint="eastAsia" w:ascii="宋体" w:hAnsi="宋体" w:eastAsia="宋体" w:cs="宋体"/>
          <w:sz w:val="28"/>
          <w:szCs w:val="36"/>
          <w:lang w:eastAsia="zh-CN"/>
        </w:rPr>
        <w:t>五</w:t>
      </w:r>
      <w:r>
        <w:rPr>
          <w:rFonts w:hint="eastAsia" w:ascii="宋体" w:hAnsi="宋体" w:eastAsia="宋体" w:cs="宋体"/>
          <w:sz w:val="28"/>
          <w:szCs w:val="36"/>
        </w:rPr>
        <w:t>、报价一览表</w:t>
      </w:r>
      <w:bookmarkEnd w:id="39"/>
      <w:bookmarkEnd w:id="40"/>
    </w:p>
    <w:p w14:paraId="19240A2C">
      <w:pPr>
        <w:adjustRightInd w:val="0"/>
        <w:snapToGrid w:val="0"/>
        <w:rPr>
          <w:rFonts w:hint="eastAsia" w:ascii="宋体" w:hAnsi="宋体" w:eastAsia="宋体" w:cs="宋体"/>
          <w:sz w:val="28"/>
          <w:szCs w:val="28"/>
        </w:rPr>
      </w:pPr>
      <w:r>
        <w:rPr>
          <w:rFonts w:hint="eastAsia" w:ascii="宋体" w:hAnsi="宋体" w:eastAsia="宋体" w:cs="宋体"/>
          <w:sz w:val="28"/>
          <w:szCs w:val="28"/>
        </w:rPr>
        <w:t>附件5</w:t>
      </w:r>
    </w:p>
    <w:p w14:paraId="098C71FC">
      <w:pPr>
        <w:spacing w:line="360" w:lineRule="exact"/>
        <w:ind w:firstLine="280" w:firstLineChars="100"/>
        <w:rPr>
          <w:rFonts w:hint="eastAsia" w:ascii="宋体" w:hAnsi="宋体" w:eastAsia="宋体" w:cs="宋体"/>
          <w:b/>
          <w:sz w:val="28"/>
          <w:szCs w:val="28"/>
        </w:rPr>
      </w:pPr>
    </w:p>
    <w:p w14:paraId="46B8C97F">
      <w:pPr>
        <w:jc w:val="center"/>
        <w:rPr>
          <w:rFonts w:hint="eastAsia" w:ascii="宋体" w:hAnsi="宋体" w:eastAsia="宋体" w:cs="宋体"/>
          <w:sz w:val="28"/>
          <w:szCs w:val="28"/>
        </w:rPr>
      </w:pPr>
      <w:r>
        <w:rPr>
          <w:rFonts w:hint="eastAsia" w:ascii="宋体" w:hAnsi="宋体" w:eastAsia="宋体" w:cs="宋体"/>
          <w:b/>
          <w:sz w:val="32"/>
          <w:szCs w:val="32"/>
        </w:rPr>
        <w:t>报价一览表</w:t>
      </w:r>
    </w:p>
    <w:tbl>
      <w:tblPr>
        <w:tblStyle w:val="48"/>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060"/>
        <w:gridCol w:w="1620"/>
        <w:gridCol w:w="2520"/>
      </w:tblGrid>
      <w:tr w14:paraId="134C47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620" w:type="dxa"/>
            <w:tcBorders>
              <w:top w:val="double" w:color="auto" w:sz="4" w:space="0"/>
              <w:left w:val="double" w:color="auto" w:sz="4" w:space="0"/>
              <w:bottom w:val="single" w:color="auto" w:sz="6" w:space="0"/>
              <w:right w:val="single" w:color="auto" w:sz="6" w:space="0"/>
            </w:tcBorders>
            <w:vAlign w:val="center"/>
          </w:tcPr>
          <w:p w14:paraId="46ABB5C9">
            <w:pPr>
              <w:tabs>
                <w:tab w:val="left" w:pos="403"/>
                <w:tab w:val="center" w:pos="3781"/>
              </w:tabs>
              <w:spacing w:line="420" w:lineRule="exact"/>
              <w:ind w:right="-5205" w:rightChars="-2479" w:firstLine="210" w:firstLineChars="100"/>
              <w:jc w:val="left"/>
              <w:rPr>
                <w:rFonts w:hint="eastAsia" w:ascii="宋体" w:hAnsi="宋体" w:eastAsia="宋体" w:cs="宋体"/>
                <w:szCs w:val="21"/>
              </w:rPr>
            </w:pPr>
            <w:r>
              <w:rPr>
                <w:rFonts w:hint="eastAsia" w:ascii="宋体" w:hAnsi="宋体" w:eastAsia="宋体" w:cs="宋体"/>
                <w:szCs w:val="21"/>
              </w:rPr>
              <w:t>项目名称</w:t>
            </w:r>
            <w:r>
              <w:rPr>
                <w:rFonts w:hint="eastAsia" w:ascii="宋体" w:hAnsi="宋体" w:eastAsia="宋体" w:cs="宋体"/>
                <w:szCs w:val="21"/>
              </w:rPr>
              <w:tab/>
            </w:r>
            <w:r>
              <w:rPr>
                <w:rFonts w:hint="eastAsia" w:ascii="宋体" w:hAnsi="宋体" w:eastAsia="宋体" w:cs="宋体"/>
                <w:szCs w:val="21"/>
              </w:rPr>
              <w:t>项目名称</w:t>
            </w:r>
          </w:p>
        </w:tc>
        <w:tc>
          <w:tcPr>
            <w:tcW w:w="3060" w:type="dxa"/>
            <w:tcBorders>
              <w:top w:val="double" w:color="auto" w:sz="4" w:space="0"/>
              <w:left w:val="single" w:color="auto" w:sz="6" w:space="0"/>
              <w:bottom w:val="single" w:color="auto" w:sz="6" w:space="0"/>
              <w:right w:val="single" w:color="auto" w:sz="6" w:space="0"/>
            </w:tcBorders>
            <w:vAlign w:val="center"/>
          </w:tcPr>
          <w:p w14:paraId="5491FC88">
            <w:pPr>
              <w:spacing w:line="420" w:lineRule="exact"/>
              <w:jc w:val="center"/>
              <w:rPr>
                <w:rFonts w:hint="eastAsia" w:ascii="宋体" w:hAnsi="宋体" w:eastAsia="宋体" w:cs="宋体"/>
                <w:szCs w:val="21"/>
              </w:rPr>
            </w:pPr>
          </w:p>
        </w:tc>
        <w:tc>
          <w:tcPr>
            <w:tcW w:w="1620" w:type="dxa"/>
            <w:tcBorders>
              <w:top w:val="double" w:color="auto" w:sz="4" w:space="0"/>
              <w:left w:val="single" w:color="auto" w:sz="6" w:space="0"/>
              <w:right w:val="single" w:color="auto" w:sz="6" w:space="0"/>
            </w:tcBorders>
            <w:vAlign w:val="center"/>
          </w:tcPr>
          <w:p w14:paraId="54AF34D3">
            <w:pPr>
              <w:spacing w:line="420" w:lineRule="exact"/>
              <w:jc w:val="center"/>
              <w:rPr>
                <w:rFonts w:hint="eastAsia" w:ascii="宋体" w:hAnsi="宋体" w:eastAsia="宋体" w:cs="宋体"/>
                <w:szCs w:val="21"/>
              </w:rPr>
            </w:pPr>
            <w:r>
              <w:rPr>
                <w:rFonts w:hint="eastAsia" w:ascii="宋体" w:hAnsi="宋体" w:cs="宋体"/>
                <w:szCs w:val="21"/>
                <w:lang w:eastAsia="zh-CN"/>
              </w:rPr>
              <w:t>委托代理</w:t>
            </w:r>
            <w:r>
              <w:rPr>
                <w:rFonts w:hint="eastAsia" w:ascii="宋体" w:hAnsi="宋体" w:eastAsia="宋体" w:cs="宋体"/>
                <w:szCs w:val="21"/>
              </w:rPr>
              <w:t>编号</w:t>
            </w:r>
          </w:p>
        </w:tc>
        <w:tc>
          <w:tcPr>
            <w:tcW w:w="2520" w:type="dxa"/>
            <w:tcBorders>
              <w:top w:val="double" w:color="auto" w:sz="4" w:space="0"/>
              <w:left w:val="single" w:color="auto" w:sz="6" w:space="0"/>
              <w:bottom w:val="single" w:color="auto" w:sz="6" w:space="0"/>
              <w:right w:val="double" w:color="auto" w:sz="4" w:space="0"/>
            </w:tcBorders>
            <w:vAlign w:val="center"/>
          </w:tcPr>
          <w:p w14:paraId="39F4808E">
            <w:pPr>
              <w:spacing w:line="420" w:lineRule="exact"/>
              <w:jc w:val="center"/>
              <w:rPr>
                <w:rFonts w:hint="eastAsia" w:ascii="宋体" w:hAnsi="宋体" w:eastAsia="宋体" w:cs="宋体"/>
                <w:szCs w:val="21"/>
              </w:rPr>
            </w:pPr>
          </w:p>
        </w:tc>
      </w:tr>
      <w:tr w14:paraId="7971B4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620" w:type="dxa"/>
            <w:tcBorders>
              <w:left w:val="double" w:color="auto" w:sz="4" w:space="0"/>
              <w:bottom w:val="single" w:color="auto" w:sz="6" w:space="0"/>
              <w:right w:val="single" w:color="auto" w:sz="6" w:space="0"/>
            </w:tcBorders>
            <w:vAlign w:val="center"/>
          </w:tcPr>
          <w:p w14:paraId="34E8E3E5">
            <w:pPr>
              <w:spacing w:line="420" w:lineRule="exact"/>
              <w:jc w:val="center"/>
              <w:rPr>
                <w:rFonts w:hint="eastAsia" w:ascii="宋体" w:hAnsi="宋体" w:eastAsia="宋体" w:cs="宋体"/>
                <w:szCs w:val="21"/>
              </w:rPr>
            </w:pPr>
            <w:r>
              <w:rPr>
                <w:rFonts w:hint="eastAsia" w:ascii="宋体" w:hAnsi="宋体" w:eastAsia="宋体" w:cs="宋体"/>
                <w:szCs w:val="21"/>
              </w:rPr>
              <w:t>投标总价</w:t>
            </w:r>
          </w:p>
        </w:tc>
        <w:tc>
          <w:tcPr>
            <w:tcW w:w="7200" w:type="dxa"/>
            <w:gridSpan w:val="3"/>
            <w:tcBorders>
              <w:top w:val="single" w:color="auto" w:sz="6" w:space="0"/>
              <w:left w:val="single" w:color="auto" w:sz="6" w:space="0"/>
              <w:bottom w:val="single" w:color="auto" w:sz="6" w:space="0"/>
              <w:right w:val="double" w:color="auto" w:sz="4" w:space="0"/>
            </w:tcBorders>
            <w:vAlign w:val="center"/>
          </w:tcPr>
          <w:p w14:paraId="02143D22">
            <w:pPr>
              <w:rPr>
                <w:rFonts w:hint="eastAsia" w:ascii="宋体" w:hAnsi="宋体" w:eastAsia="宋体" w:cs="宋体"/>
                <w:color w:val="000000"/>
                <w:szCs w:val="21"/>
              </w:rPr>
            </w:pPr>
          </w:p>
          <w:p w14:paraId="3554286E">
            <w:pPr>
              <w:rPr>
                <w:rFonts w:hint="eastAsia" w:ascii="宋体" w:hAnsi="宋体" w:eastAsia="宋体" w:cs="宋体"/>
                <w:color w:val="000000"/>
                <w:szCs w:val="21"/>
              </w:rPr>
            </w:pPr>
            <w:r>
              <w:rPr>
                <w:rFonts w:hint="eastAsia" w:ascii="宋体" w:hAnsi="宋体" w:eastAsia="宋体" w:cs="宋体"/>
                <w:color w:val="000000"/>
                <w:szCs w:val="21"/>
              </w:rPr>
              <w:t>大写：</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元人民币整</w:t>
            </w:r>
          </w:p>
          <w:p w14:paraId="50F0DAA1">
            <w:pPr>
              <w:pStyle w:val="62"/>
              <w:rPr>
                <w:rFonts w:hint="eastAsia" w:ascii="宋体" w:hAnsi="宋体" w:eastAsia="宋体" w:cs="宋体"/>
              </w:rPr>
            </w:pPr>
          </w:p>
          <w:p w14:paraId="15CBB768">
            <w:pPr>
              <w:spacing w:line="420" w:lineRule="exact"/>
              <w:rPr>
                <w:rFonts w:hint="eastAsia" w:ascii="宋体" w:hAnsi="宋体" w:eastAsia="宋体" w:cs="宋体"/>
                <w:iCs/>
                <w:szCs w:val="21"/>
              </w:rPr>
            </w:pPr>
            <w:r>
              <w:rPr>
                <w:rFonts w:hint="eastAsia" w:ascii="宋体" w:hAnsi="宋体" w:eastAsia="宋体" w:cs="宋体"/>
                <w:color w:val="000000"/>
                <w:szCs w:val="21"/>
              </w:rPr>
              <w:t>小写：</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元人民币整</w:t>
            </w:r>
          </w:p>
        </w:tc>
      </w:tr>
      <w:tr w14:paraId="6CEA65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620" w:type="dxa"/>
            <w:tcBorders>
              <w:top w:val="single" w:color="auto" w:sz="6" w:space="0"/>
              <w:left w:val="double" w:color="auto" w:sz="4" w:space="0"/>
              <w:bottom w:val="single" w:color="auto" w:sz="6" w:space="0"/>
              <w:right w:val="single" w:color="auto" w:sz="6" w:space="0"/>
            </w:tcBorders>
            <w:vAlign w:val="center"/>
          </w:tcPr>
          <w:p w14:paraId="2CCDDE41">
            <w:pPr>
              <w:spacing w:line="420" w:lineRule="exact"/>
              <w:jc w:val="center"/>
              <w:rPr>
                <w:rFonts w:hint="eastAsia" w:ascii="宋体" w:hAnsi="宋体" w:eastAsia="宋体" w:cs="宋体"/>
                <w:szCs w:val="21"/>
              </w:rPr>
            </w:pPr>
            <w:r>
              <w:rPr>
                <w:rFonts w:hint="eastAsia" w:ascii="宋体" w:hAnsi="宋体" w:cs="宋体"/>
                <w:szCs w:val="21"/>
                <w:lang w:eastAsia="zh-CN"/>
              </w:rPr>
              <w:t>项目负责人</w:t>
            </w:r>
          </w:p>
        </w:tc>
        <w:tc>
          <w:tcPr>
            <w:tcW w:w="7200" w:type="dxa"/>
            <w:gridSpan w:val="3"/>
            <w:tcBorders>
              <w:top w:val="single" w:color="auto" w:sz="6" w:space="0"/>
              <w:left w:val="single" w:color="auto" w:sz="6" w:space="0"/>
              <w:bottom w:val="single" w:color="auto" w:sz="6" w:space="0"/>
              <w:right w:val="double" w:color="auto" w:sz="4" w:space="0"/>
            </w:tcBorders>
            <w:vAlign w:val="center"/>
          </w:tcPr>
          <w:p w14:paraId="7E3086AF">
            <w:pPr>
              <w:spacing w:line="420" w:lineRule="exact"/>
              <w:rPr>
                <w:rFonts w:hint="eastAsia" w:ascii="宋体" w:hAnsi="宋体" w:eastAsia="宋体" w:cs="宋体"/>
                <w:szCs w:val="21"/>
              </w:rPr>
            </w:pPr>
          </w:p>
        </w:tc>
      </w:tr>
      <w:tr w14:paraId="568EB2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620" w:type="dxa"/>
            <w:tcBorders>
              <w:top w:val="single" w:color="auto" w:sz="6" w:space="0"/>
              <w:left w:val="double" w:color="auto" w:sz="4" w:space="0"/>
              <w:bottom w:val="single" w:color="auto" w:sz="6" w:space="0"/>
              <w:right w:val="single" w:color="auto" w:sz="6" w:space="0"/>
            </w:tcBorders>
            <w:vAlign w:val="center"/>
          </w:tcPr>
          <w:p w14:paraId="4408F7B4">
            <w:pPr>
              <w:spacing w:line="420" w:lineRule="exact"/>
              <w:jc w:val="center"/>
              <w:rPr>
                <w:rFonts w:hint="eastAsia" w:ascii="宋体" w:hAnsi="宋体" w:eastAsia="宋体" w:cs="宋体"/>
                <w:szCs w:val="21"/>
              </w:rPr>
            </w:pPr>
            <w:r>
              <w:rPr>
                <w:rFonts w:hint="eastAsia" w:ascii="宋体" w:hAnsi="宋体" w:eastAsia="宋体" w:cs="宋体"/>
                <w:szCs w:val="21"/>
              </w:rPr>
              <w:t>备  注</w:t>
            </w:r>
          </w:p>
        </w:tc>
        <w:tc>
          <w:tcPr>
            <w:tcW w:w="7200" w:type="dxa"/>
            <w:gridSpan w:val="3"/>
            <w:tcBorders>
              <w:top w:val="single" w:color="auto" w:sz="6" w:space="0"/>
              <w:left w:val="single" w:color="auto" w:sz="6" w:space="0"/>
              <w:bottom w:val="single" w:color="auto" w:sz="6" w:space="0"/>
              <w:right w:val="double" w:color="auto" w:sz="4" w:space="0"/>
            </w:tcBorders>
            <w:vAlign w:val="center"/>
          </w:tcPr>
          <w:p w14:paraId="0B1A64F5">
            <w:pPr>
              <w:spacing w:line="420" w:lineRule="exact"/>
              <w:rPr>
                <w:rFonts w:hint="eastAsia" w:ascii="宋体" w:hAnsi="宋体" w:eastAsia="宋体" w:cs="宋体"/>
                <w:b/>
                <w:szCs w:val="21"/>
              </w:rPr>
            </w:pPr>
          </w:p>
        </w:tc>
      </w:tr>
    </w:tbl>
    <w:p w14:paraId="780A369E">
      <w:pPr>
        <w:adjustRightInd w:val="0"/>
        <w:snapToGrid w:val="0"/>
        <w:spacing w:line="360" w:lineRule="auto"/>
        <w:rPr>
          <w:rFonts w:hint="eastAsia" w:ascii="宋体" w:hAnsi="宋体" w:eastAsia="宋体" w:cs="宋体"/>
        </w:rPr>
      </w:pPr>
    </w:p>
    <w:p w14:paraId="295A51B8">
      <w:pPr>
        <w:adjustRightInd w:val="0"/>
        <w:snapToGrid w:val="0"/>
        <w:spacing w:line="360" w:lineRule="auto"/>
        <w:rPr>
          <w:rFonts w:hint="eastAsia" w:ascii="宋体" w:hAnsi="宋体" w:eastAsia="宋体" w:cs="宋体"/>
          <w:szCs w:val="21"/>
        </w:rPr>
      </w:pPr>
    </w:p>
    <w:p w14:paraId="5AEA4BD0">
      <w:pPr>
        <w:adjustRightInd w:val="0"/>
        <w:snapToGrid w:val="0"/>
        <w:spacing w:line="360" w:lineRule="auto"/>
        <w:rPr>
          <w:rFonts w:hint="eastAsia" w:ascii="宋体" w:hAnsi="宋体" w:eastAsia="宋体" w:cs="宋体"/>
          <w:szCs w:val="21"/>
        </w:rPr>
      </w:pPr>
    </w:p>
    <w:p w14:paraId="4B1EF02A">
      <w:pPr>
        <w:adjustRightInd w:val="0"/>
        <w:snapToGrid w:val="0"/>
        <w:spacing w:line="360" w:lineRule="auto"/>
        <w:rPr>
          <w:rFonts w:hint="eastAsia" w:ascii="宋体" w:hAnsi="宋体" w:eastAsia="宋体" w:cs="宋体"/>
          <w:szCs w:val="21"/>
        </w:rPr>
      </w:pPr>
    </w:p>
    <w:p w14:paraId="2279EFE5">
      <w:pPr>
        <w:adjustRightInd w:val="0"/>
        <w:snapToGrid w:val="0"/>
        <w:spacing w:line="360" w:lineRule="auto"/>
        <w:rPr>
          <w:rFonts w:hint="eastAsia" w:ascii="宋体" w:hAnsi="宋体" w:eastAsia="宋体" w:cs="宋体"/>
          <w:szCs w:val="21"/>
        </w:rPr>
      </w:pPr>
    </w:p>
    <w:p w14:paraId="65CBE2A7">
      <w:pPr>
        <w:adjustRightInd w:val="0"/>
        <w:snapToGrid w:val="0"/>
        <w:spacing w:line="360" w:lineRule="auto"/>
        <w:rPr>
          <w:rFonts w:hint="eastAsia" w:ascii="宋体" w:hAnsi="宋体" w:eastAsia="宋体" w:cs="宋体"/>
          <w:szCs w:val="21"/>
        </w:rPr>
      </w:pPr>
    </w:p>
    <w:p w14:paraId="58EED6C9">
      <w:pPr>
        <w:adjustRightInd w:val="0"/>
        <w:snapToGrid w:val="0"/>
        <w:spacing w:line="360" w:lineRule="auto"/>
        <w:rPr>
          <w:rFonts w:hint="eastAsia" w:ascii="宋体" w:hAnsi="宋体" w:eastAsia="宋体" w:cs="宋体"/>
          <w:szCs w:val="21"/>
        </w:rPr>
      </w:pPr>
    </w:p>
    <w:p w14:paraId="538A884A">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供应商（盖单位章）：</w:t>
      </w:r>
    </w:p>
    <w:p w14:paraId="7B8129F0">
      <w:pPr>
        <w:adjustRightInd w:val="0"/>
        <w:snapToGrid w:val="0"/>
        <w:spacing w:line="360" w:lineRule="auto"/>
        <w:rPr>
          <w:rFonts w:hint="eastAsia" w:ascii="宋体" w:hAnsi="宋体" w:eastAsia="宋体" w:cs="宋体"/>
          <w:szCs w:val="21"/>
        </w:rPr>
      </w:pPr>
      <w:r>
        <w:rPr>
          <w:rFonts w:hint="eastAsia" w:ascii="宋体" w:hAnsi="宋体" w:cs="宋体"/>
          <w:szCs w:val="21"/>
          <w:lang w:eastAsia="zh-CN"/>
        </w:rPr>
        <w:t>法定代表人（单位负责人）</w:t>
      </w:r>
      <w:r>
        <w:rPr>
          <w:rFonts w:hint="eastAsia" w:ascii="宋体" w:hAnsi="宋体" w:eastAsia="宋体" w:cs="宋体"/>
          <w:szCs w:val="21"/>
        </w:rPr>
        <w:t>或其委托代理人签字：</w:t>
      </w:r>
      <w:r>
        <w:rPr>
          <w:rFonts w:hint="eastAsia" w:ascii="宋体" w:hAnsi="宋体" w:eastAsia="宋体" w:cs="宋体"/>
          <w:szCs w:val="21"/>
          <w:u w:val="single"/>
        </w:rPr>
        <w:t xml:space="preserve">       </w:t>
      </w:r>
    </w:p>
    <w:p w14:paraId="46E59166">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p w14:paraId="7AF1F217">
      <w:pPr>
        <w:jc w:val="center"/>
        <w:rPr>
          <w:rFonts w:hint="eastAsia" w:ascii="宋体" w:hAnsi="宋体" w:eastAsia="宋体" w:cs="宋体"/>
          <w:szCs w:val="21"/>
        </w:rPr>
      </w:pPr>
    </w:p>
    <w:p w14:paraId="123DF28D">
      <w:pPr>
        <w:jc w:val="center"/>
        <w:rPr>
          <w:rFonts w:hint="eastAsia" w:ascii="宋体" w:hAnsi="宋体" w:eastAsia="宋体" w:cs="宋体"/>
          <w:szCs w:val="21"/>
        </w:rPr>
        <w:sectPr>
          <w:headerReference r:id="rId8" w:type="default"/>
          <w:footerReference r:id="rId9" w:type="default"/>
          <w:pgSz w:w="11906" w:h="16838"/>
          <w:pgMar w:top="907" w:right="1418" w:bottom="1134" w:left="1418" w:header="851" w:footer="992" w:gutter="0"/>
          <w:pgNumType w:fmt="decimal"/>
          <w:cols w:space="720" w:num="1"/>
          <w:docGrid w:type="linesAndChars" w:linePitch="329" w:charSpace="0"/>
        </w:sectPr>
      </w:pPr>
    </w:p>
    <w:p w14:paraId="5A9D8C81">
      <w:pPr>
        <w:pStyle w:val="4"/>
        <w:keepNext/>
        <w:keepLines/>
        <w:pageBreakBefore w:val="0"/>
        <w:widowControl w:val="0"/>
        <w:kinsoku/>
        <w:wordWrap/>
        <w:overflowPunct/>
        <w:topLinePunct w:val="0"/>
        <w:autoSpaceDE/>
        <w:autoSpaceDN/>
        <w:bidi w:val="0"/>
        <w:adjustRightInd/>
        <w:snapToGrid/>
        <w:spacing w:after="161" w:afterLines="50"/>
        <w:jc w:val="center"/>
        <w:textAlignment w:val="auto"/>
        <w:rPr>
          <w:rFonts w:hint="eastAsia" w:ascii="宋体" w:hAnsi="宋体" w:eastAsia="宋体" w:cs="宋体"/>
          <w:sz w:val="28"/>
          <w:szCs w:val="36"/>
        </w:rPr>
      </w:pPr>
      <w:bookmarkStart w:id="41" w:name="_Toc18696"/>
      <w:r>
        <w:rPr>
          <w:rFonts w:hint="eastAsia" w:ascii="宋体" w:hAnsi="宋体" w:eastAsia="宋体" w:cs="宋体"/>
          <w:sz w:val="28"/>
          <w:szCs w:val="36"/>
          <w:lang w:eastAsia="zh-CN"/>
        </w:rPr>
        <w:t>六</w:t>
      </w:r>
      <w:r>
        <w:rPr>
          <w:rFonts w:hint="eastAsia" w:ascii="宋体" w:hAnsi="宋体" w:eastAsia="宋体" w:cs="宋体"/>
          <w:sz w:val="28"/>
          <w:szCs w:val="36"/>
        </w:rPr>
        <w:t>、供应商认为需提供的其它资料</w:t>
      </w:r>
      <w:bookmarkEnd w:id="41"/>
    </w:p>
    <w:p w14:paraId="3D26856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cs="宋体"/>
          <w:b/>
          <w:color w:val="000000"/>
          <w:sz w:val="24"/>
          <w:szCs w:val="24"/>
        </w:rPr>
      </w:pPr>
      <w:r>
        <w:rPr>
          <w:rFonts w:hint="eastAsia" w:ascii="宋体" w:hAnsi="宋体" w:cs="宋体"/>
          <w:b/>
          <w:color w:val="000000"/>
          <w:sz w:val="24"/>
          <w:szCs w:val="24"/>
          <w:lang w:eastAsia="zh-CN"/>
        </w:rPr>
        <w:t>（</w:t>
      </w:r>
      <w:r>
        <w:rPr>
          <w:rFonts w:hint="eastAsia" w:ascii="宋体" w:hAnsi="宋体" w:cs="宋体"/>
          <w:b/>
          <w:color w:val="000000"/>
          <w:sz w:val="24"/>
          <w:szCs w:val="24"/>
        </w:rPr>
        <w:t>根据磋商文件要求及评分标准及细则提供</w:t>
      </w:r>
      <w:r>
        <w:rPr>
          <w:rFonts w:hint="eastAsia" w:ascii="宋体" w:hAnsi="宋体" w:cs="宋体"/>
          <w:b/>
          <w:color w:val="000000"/>
          <w:sz w:val="24"/>
          <w:szCs w:val="24"/>
          <w:lang w:eastAsia="zh-CN"/>
        </w:rPr>
        <w:t>）</w:t>
      </w:r>
    </w:p>
    <w:p w14:paraId="259B25A9">
      <w:pPr>
        <w:adjustRightInd w:val="0"/>
        <w:snapToGrid w:val="0"/>
        <w:rPr>
          <w:rFonts w:hint="eastAsia" w:ascii="宋体" w:hAnsi="宋体" w:eastAsia="宋体" w:cs="宋体"/>
          <w:sz w:val="28"/>
          <w:szCs w:val="28"/>
          <w:lang w:eastAsia="zh-CN"/>
        </w:rPr>
      </w:pPr>
      <w:bookmarkStart w:id="42" w:name="_Toc22478"/>
      <w:r>
        <w:rPr>
          <w:rFonts w:hint="eastAsia" w:ascii="宋体" w:hAnsi="宋体" w:eastAsia="宋体" w:cs="宋体"/>
          <w:sz w:val="28"/>
          <w:szCs w:val="28"/>
        </w:rPr>
        <w:t>附件</w:t>
      </w:r>
      <w:r>
        <w:rPr>
          <w:rFonts w:hint="eastAsia" w:ascii="宋体" w:hAnsi="宋体" w:cs="宋体"/>
          <w:sz w:val="28"/>
          <w:szCs w:val="28"/>
          <w:lang w:val="en-US" w:eastAsia="zh-CN"/>
        </w:rPr>
        <w:t>6</w:t>
      </w:r>
    </w:p>
    <w:p w14:paraId="7F37DA0D">
      <w:pPr>
        <w:pStyle w:val="176"/>
        <w:kinsoku w:val="0"/>
        <w:overflowPunct w:val="0"/>
        <w:spacing w:before="0" w:line="413" w:lineRule="exact"/>
        <w:jc w:val="center"/>
        <w:outlineLvl w:val="9"/>
        <w:rPr>
          <w:rFonts w:hint="eastAsia" w:ascii="宋体" w:hAnsi="宋体" w:eastAsia="宋体" w:cs="宋体"/>
        </w:rPr>
      </w:pPr>
      <w:r>
        <w:rPr>
          <w:rFonts w:hint="eastAsia" w:ascii="宋体" w:hAnsi="宋体" w:eastAsia="宋体" w:cs="宋体"/>
        </w:rPr>
        <w:t>类似业绩表</w:t>
      </w:r>
    </w:p>
    <w:p w14:paraId="54E513B0">
      <w:pPr>
        <w:kinsoku w:val="0"/>
        <w:overflowPunct w:val="0"/>
        <w:spacing w:before="3" w:line="170" w:lineRule="exact"/>
        <w:rPr>
          <w:rFonts w:hint="eastAsia" w:ascii="宋体" w:hAnsi="宋体" w:eastAsia="宋体" w:cs="宋体"/>
          <w:sz w:val="17"/>
          <w:szCs w:val="17"/>
        </w:rPr>
      </w:pPr>
    </w:p>
    <w:p w14:paraId="30C0AAEE">
      <w:pPr>
        <w:kinsoku w:val="0"/>
        <w:overflowPunct w:val="0"/>
        <w:spacing w:line="200" w:lineRule="exact"/>
        <w:rPr>
          <w:rFonts w:hint="eastAsia" w:ascii="宋体" w:hAnsi="宋体" w:eastAsia="宋体" w:cs="宋体"/>
          <w:sz w:val="20"/>
        </w:rPr>
      </w:pPr>
    </w:p>
    <w:tbl>
      <w:tblPr>
        <w:tblStyle w:val="4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693"/>
        <w:gridCol w:w="1547"/>
        <w:gridCol w:w="1691"/>
        <w:gridCol w:w="1134"/>
        <w:gridCol w:w="1335"/>
      </w:tblGrid>
      <w:tr w14:paraId="2365C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center"/>
          </w:tcPr>
          <w:p w14:paraId="2C764106">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cs="Times New Roman"/>
                <w:bCs/>
                <w:color w:val="000000"/>
                <w:szCs w:val="21"/>
                <w:highlight w:val="none"/>
                <w:lang w:eastAsia="zh-CN" w:bidi="ar-SA"/>
              </w:rPr>
              <w:t>招标人</w:t>
            </w:r>
            <w:r>
              <w:rPr>
                <w:rFonts w:hint="eastAsia" w:ascii="宋体" w:eastAsia="宋体" w:cs="Times New Roman"/>
                <w:bCs/>
                <w:color w:val="000000"/>
                <w:szCs w:val="21"/>
                <w:highlight w:val="none"/>
                <w:lang w:bidi="ar-SA"/>
              </w:rPr>
              <w:t>名称</w:t>
            </w:r>
          </w:p>
        </w:tc>
        <w:tc>
          <w:tcPr>
            <w:tcW w:w="1693" w:type="dxa"/>
            <w:noWrap w:val="0"/>
            <w:vAlign w:val="center"/>
          </w:tcPr>
          <w:p w14:paraId="65D2923A">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eastAsia="宋体" w:cs="Times New Roman"/>
                <w:bCs/>
                <w:color w:val="000000"/>
                <w:szCs w:val="21"/>
                <w:highlight w:val="none"/>
                <w:lang w:bidi="ar-SA"/>
              </w:rPr>
              <w:t>项目名称</w:t>
            </w:r>
          </w:p>
        </w:tc>
        <w:tc>
          <w:tcPr>
            <w:tcW w:w="1547" w:type="dxa"/>
            <w:noWrap w:val="0"/>
            <w:vAlign w:val="center"/>
          </w:tcPr>
          <w:p w14:paraId="669FA712">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cs="Times New Roman"/>
                <w:bCs/>
                <w:color w:val="000000"/>
                <w:szCs w:val="21"/>
                <w:highlight w:val="none"/>
                <w:lang w:eastAsia="zh-CN" w:bidi="ar-SA"/>
              </w:rPr>
              <w:t>服务</w:t>
            </w:r>
            <w:r>
              <w:rPr>
                <w:rFonts w:hint="eastAsia" w:ascii="宋体" w:eastAsia="宋体" w:cs="Times New Roman"/>
                <w:bCs/>
                <w:color w:val="000000"/>
                <w:szCs w:val="21"/>
                <w:highlight w:val="none"/>
                <w:lang w:bidi="ar-SA"/>
              </w:rPr>
              <w:t>内容</w:t>
            </w:r>
          </w:p>
        </w:tc>
        <w:tc>
          <w:tcPr>
            <w:tcW w:w="1691" w:type="dxa"/>
            <w:noWrap w:val="0"/>
            <w:vAlign w:val="center"/>
          </w:tcPr>
          <w:p w14:paraId="1F1EEDB3">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eastAsia="宋体" w:cs="Times New Roman"/>
                <w:bCs/>
                <w:color w:val="000000"/>
                <w:szCs w:val="21"/>
                <w:highlight w:val="none"/>
                <w:lang w:bidi="ar-SA"/>
              </w:rPr>
              <w:t>合同签订日期</w:t>
            </w:r>
          </w:p>
        </w:tc>
        <w:tc>
          <w:tcPr>
            <w:tcW w:w="1134" w:type="dxa"/>
            <w:noWrap w:val="0"/>
            <w:vAlign w:val="center"/>
          </w:tcPr>
          <w:p w14:paraId="34B2F005">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eastAsia="宋体" w:cs="Times New Roman"/>
                <w:bCs/>
                <w:color w:val="000000"/>
                <w:szCs w:val="21"/>
                <w:highlight w:val="none"/>
                <w:lang w:bidi="ar-SA"/>
              </w:rPr>
              <w:t>合同金额</w:t>
            </w:r>
          </w:p>
        </w:tc>
        <w:tc>
          <w:tcPr>
            <w:tcW w:w="1335" w:type="dxa"/>
            <w:noWrap w:val="0"/>
            <w:vAlign w:val="center"/>
          </w:tcPr>
          <w:p w14:paraId="30016814">
            <w:pPr>
              <w:adjustRightInd w:val="0"/>
              <w:snapToGrid w:val="0"/>
              <w:spacing w:before="156" w:line="360" w:lineRule="auto"/>
              <w:jc w:val="center"/>
              <w:rPr>
                <w:rFonts w:hint="eastAsia" w:ascii="宋体" w:eastAsia="宋体" w:cs="Times New Roman"/>
                <w:bCs/>
                <w:color w:val="000000"/>
                <w:szCs w:val="21"/>
                <w:highlight w:val="none"/>
                <w:lang w:eastAsia="zh-CN" w:bidi="ar-SA"/>
              </w:rPr>
            </w:pPr>
            <w:r>
              <w:rPr>
                <w:rFonts w:hint="eastAsia" w:ascii="宋体" w:cs="Times New Roman"/>
                <w:bCs/>
                <w:color w:val="000000"/>
                <w:szCs w:val="21"/>
                <w:highlight w:val="none"/>
                <w:lang w:eastAsia="zh-CN" w:bidi="ar-SA"/>
              </w:rPr>
              <w:t>备注</w:t>
            </w:r>
          </w:p>
        </w:tc>
      </w:tr>
      <w:tr w14:paraId="7B543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5C8898A9">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0C1DDCCD">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6131847F">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0C2DC0C3">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1DBEE49B">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429D3EF7">
            <w:pPr>
              <w:adjustRightInd w:val="0"/>
              <w:snapToGrid w:val="0"/>
              <w:spacing w:before="156" w:line="360" w:lineRule="auto"/>
              <w:rPr>
                <w:rFonts w:hint="eastAsia" w:ascii="宋体" w:eastAsia="宋体" w:cs="Times New Roman"/>
                <w:color w:val="000000"/>
                <w:szCs w:val="21"/>
                <w:highlight w:val="none"/>
                <w:lang w:bidi="ar-SA"/>
              </w:rPr>
            </w:pPr>
          </w:p>
        </w:tc>
      </w:tr>
      <w:tr w14:paraId="130C0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1AEE443C">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49C2D619">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40DF6D7E">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2FDE4031">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4873393F">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0C8F73FC">
            <w:pPr>
              <w:adjustRightInd w:val="0"/>
              <w:snapToGrid w:val="0"/>
              <w:spacing w:before="156" w:line="360" w:lineRule="auto"/>
              <w:rPr>
                <w:rFonts w:hint="eastAsia" w:ascii="宋体" w:eastAsia="宋体" w:cs="Times New Roman"/>
                <w:color w:val="000000"/>
                <w:szCs w:val="21"/>
                <w:highlight w:val="none"/>
                <w:lang w:bidi="ar-SA"/>
              </w:rPr>
            </w:pPr>
          </w:p>
        </w:tc>
      </w:tr>
      <w:tr w14:paraId="75D14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12D2EB27">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03016319">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47DD6ADC">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27ECC9C8">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378A25C3">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55FDA146">
            <w:pPr>
              <w:adjustRightInd w:val="0"/>
              <w:snapToGrid w:val="0"/>
              <w:spacing w:before="156" w:line="360" w:lineRule="auto"/>
              <w:rPr>
                <w:rFonts w:hint="eastAsia" w:ascii="宋体" w:eastAsia="宋体" w:cs="Times New Roman"/>
                <w:color w:val="000000"/>
                <w:szCs w:val="21"/>
                <w:highlight w:val="none"/>
                <w:lang w:bidi="ar-SA"/>
              </w:rPr>
            </w:pPr>
          </w:p>
        </w:tc>
      </w:tr>
      <w:tr w14:paraId="6DAF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46AFB64B">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604F0653">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65245F7C">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7168EAC8">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2492F005">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35A605FE">
            <w:pPr>
              <w:adjustRightInd w:val="0"/>
              <w:snapToGrid w:val="0"/>
              <w:spacing w:before="156" w:line="360" w:lineRule="auto"/>
              <w:rPr>
                <w:rFonts w:hint="eastAsia" w:ascii="宋体" w:eastAsia="宋体" w:cs="Times New Roman"/>
                <w:color w:val="000000"/>
                <w:szCs w:val="21"/>
                <w:highlight w:val="none"/>
                <w:lang w:bidi="ar-SA"/>
              </w:rPr>
            </w:pPr>
          </w:p>
        </w:tc>
      </w:tr>
      <w:tr w14:paraId="1991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47155BDD">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236F9793">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1AC7475A">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6DC12B17">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583D7194">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28D3EB98">
            <w:pPr>
              <w:adjustRightInd w:val="0"/>
              <w:snapToGrid w:val="0"/>
              <w:spacing w:before="156" w:line="360" w:lineRule="auto"/>
              <w:rPr>
                <w:rFonts w:hint="eastAsia" w:ascii="宋体" w:eastAsia="宋体" w:cs="Times New Roman"/>
                <w:color w:val="000000"/>
                <w:szCs w:val="21"/>
                <w:highlight w:val="none"/>
                <w:lang w:bidi="ar-SA"/>
              </w:rPr>
            </w:pPr>
          </w:p>
        </w:tc>
      </w:tr>
      <w:tr w14:paraId="3A85D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480" w:type="dxa"/>
            <w:noWrap w:val="0"/>
            <w:vAlign w:val="top"/>
          </w:tcPr>
          <w:p w14:paraId="50DBDF0C">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4B46DC8F">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75B6A153">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4E3FC397">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40FFBC76">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184D55B1">
            <w:pPr>
              <w:adjustRightInd w:val="0"/>
              <w:snapToGrid w:val="0"/>
              <w:spacing w:before="156" w:line="360" w:lineRule="auto"/>
              <w:rPr>
                <w:rFonts w:hint="eastAsia" w:ascii="宋体" w:eastAsia="宋体" w:cs="Times New Roman"/>
                <w:color w:val="000000"/>
                <w:szCs w:val="21"/>
                <w:highlight w:val="none"/>
                <w:lang w:bidi="ar-SA"/>
              </w:rPr>
            </w:pPr>
          </w:p>
        </w:tc>
      </w:tr>
    </w:tbl>
    <w:p w14:paraId="590EF252">
      <w:pPr>
        <w:adjustRightInd w:val="0"/>
        <w:snapToGrid w:val="0"/>
        <w:spacing w:before="156" w:line="360" w:lineRule="auto"/>
        <w:rPr>
          <w:rFonts w:hint="eastAsia" w:ascii="宋体" w:eastAsia="宋体" w:cs="Times New Roman"/>
          <w:bCs/>
          <w:color w:val="000000"/>
          <w:szCs w:val="21"/>
          <w:highlight w:val="none"/>
          <w:lang w:bidi="ar-SA"/>
        </w:rPr>
      </w:pPr>
      <w:r>
        <w:rPr>
          <w:rFonts w:hint="eastAsia" w:ascii="宋体" w:eastAsia="宋体" w:cs="Times New Roman"/>
          <w:bCs/>
          <w:color w:val="000000"/>
          <w:szCs w:val="21"/>
          <w:highlight w:val="none"/>
          <w:lang w:bidi="ar-SA"/>
        </w:rPr>
        <w:t>注：</w:t>
      </w:r>
      <w:r>
        <w:rPr>
          <w:rFonts w:hint="eastAsia" w:ascii="宋体" w:hAnsi="宋体" w:eastAsia="宋体" w:cs="宋体"/>
          <w:spacing w:val="-2"/>
          <w:kern w:val="2"/>
          <w:sz w:val="21"/>
          <w:szCs w:val="24"/>
          <w:lang w:val="en-US" w:eastAsia="zh-CN" w:bidi="ar-SA"/>
        </w:rPr>
        <w:t>请根据评审因素和标准提供相应证明文件。</w:t>
      </w:r>
    </w:p>
    <w:p w14:paraId="1A81EFC8">
      <w:pPr>
        <w:rPr>
          <w:rFonts w:hint="eastAsia" w:ascii="宋体" w:eastAsia="宋体" w:cs="Times New Roman"/>
          <w:color w:val="000000"/>
          <w:szCs w:val="21"/>
          <w:highlight w:val="none"/>
          <w:lang w:bidi="ar-SA"/>
        </w:rPr>
      </w:pPr>
    </w:p>
    <w:p w14:paraId="4846FEC6">
      <w:pPr>
        <w:rPr>
          <w:rFonts w:hint="eastAsia" w:ascii="宋体" w:hAnsi="宋体" w:eastAsia="宋体" w:cs="宋体"/>
        </w:rPr>
      </w:pPr>
      <w:bookmarkStart w:id="43" w:name="_Toc14923"/>
      <w:bookmarkStart w:id="44" w:name="_Toc28222"/>
      <w:r>
        <w:rPr>
          <w:rFonts w:hint="eastAsia" w:ascii="宋体" w:hAnsi="宋体" w:eastAsia="宋体" w:cs="宋体"/>
        </w:rPr>
        <w:t>供应商名称（单位公章）：</w:t>
      </w:r>
      <w:bookmarkEnd w:id="43"/>
      <w:bookmarkEnd w:id="44"/>
      <w:r>
        <w:rPr>
          <w:rFonts w:hint="eastAsia" w:ascii="宋体" w:hAnsi="宋体" w:eastAsia="宋体" w:cs="宋体"/>
        </w:rPr>
        <w:t xml:space="preserve">                </w:t>
      </w:r>
    </w:p>
    <w:p w14:paraId="26E0C763">
      <w:pPr>
        <w:rPr>
          <w:rFonts w:hint="eastAsia" w:ascii="宋体" w:hAnsi="宋体" w:eastAsia="宋体" w:cs="宋体"/>
        </w:rPr>
      </w:pPr>
      <w:bookmarkStart w:id="45" w:name="_Toc31632"/>
      <w:bookmarkStart w:id="46" w:name="_Toc21116"/>
      <w:r>
        <w:rPr>
          <w:rFonts w:hint="eastAsia" w:ascii="宋体" w:hAnsi="宋体" w:cs="宋体"/>
          <w:lang w:eastAsia="zh-CN"/>
        </w:rPr>
        <w:t>法定代表人（单位负责人）</w:t>
      </w:r>
      <w:r>
        <w:rPr>
          <w:rFonts w:hint="eastAsia" w:ascii="宋体" w:hAnsi="宋体" w:eastAsia="宋体" w:cs="宋体"/>
        </w:rPr>
        <w:t>或其授权的代理人(签字)：              _</w:t>
      </w:r>
      <w:bookmarkEnd w:id="45"/>
      <w:bookmarkEnd w:id="46"/>
    </w:p>
    <w:p w14:paraId="339AEBF5">
      <w:pPr>
        <w:rPr>
          <w:rFonts w:hint="eastAsia" w:ascii="宋体" w:hAnsi="宋体" w:eastAsia="宋体" w:cs="宋体"/>
        </w:rPr>
        <w:sectPr>
          <w:pgSz w:w="11906" w:h="16838"/>
          <w:pgMar w:top="1134" w:right="1361" w:bottom="1134" w:left="1361" w:header="851" w:footer="992" w:gutter="0"/>
          <w:pgNumType w:fmt="decimal"/>
          <w:cols w:space="720" w:num="1"/>
          <w:docGrid w:linePitch="312" w:charSpace="0"/>
        </w:sectPr>
      </w:pPr>
      <w:r>
        <w:rPr>
          <w:rFonts w:hint="eastAsia" w:ascii="宋体" w:hAnsi="宋体" w:eastAsia="宋体" w:cs="宋体"/>
        </w:rPr>
        <w:t>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p w14:paraId="28A416F9">
      <w:pPr>
        <w:pStyle w:val="4"/>
        <w:jc w:val="center"/>
        <w:rPr>
          <w:rFonts w:hint="eastAsia" w:ascii="宋体" w:hAnsi="宋体" w:eastAsia="宋体" w:cs="宋体"/>
          <w:sz w:val="28"/>
          <w:szCs w:val="36"/>
        </w:rPr>
      </w:pPr>
      <w:bookmarkStart w:id="47" w:name="_Toc29830"/>
      <w:r>
        <w:rPr>
          <w:rFonts w:hint="eastAsia" w:ascii="宋体" w:hAnsi="宋体" w:eastAsia="宋体" w:cs="宋体"/>
          <w:sz w:val="28"/>
          <w:szCs w:val="36"/>
          <w:lang w:eastAsia="zh-CN"/>
        </w:rPr>
        <w:t>七</w:t>
      </w:r>
      <w:r>
        <w:rPr>
          <w:rFonts w:hint="eastAsia" w:ascii="宋体" w:hAnsi="宋体" w:eastAsia="宋体" w:cs="宋体"/>
          <w:sz w:val="28"/>
          <w:szCs w:val="36"/>
        </w:rPr>
        <w:t>、最后报价</w:t>
      </w:r>
      <w:bookmarkEnd w:id="42"/>
      <w:bookmarkEnd w:id="47"/>
    </w:p>
    <w:p w14:paraId="76A01672">
      <w:pPr>
        <w:adjustRightInd w:val="0"/>
        <w:snapToGrid w:val="0"/>
        <w:jc w:val="center"/>
        <w:rPr>
          <w:rFonts w:hint="eastAsia" w:ascii="宋体" w:hAnsi="宋体" w:eastAsia="宋体" w:cs="宋体"/>
          <w:b/>
          <w:bCs/>
          <w:sz w:val="32"/>
          <w:szCs w:val="32"/>
        </w:rPr>
      </w:pPr>
    </w:p>
    <w:p w14:paraId="514D8B8A">
      <w:pPr>
        <w:adjustRightInd w:val="0"/>
        <w:snapToGrid w:val="0"/>
        <w:jc w:val="center"/>
        <w:rPr>
          <w:rFonts w:hint="eastAsia" w:ascii="宋体" w:hAnsi="宋体" w:eastAsia="宋体" w:cs="宋体"/>
          <w:b/>
          <w:bCs/>
          <w:sz w:val="32"/>
          <w:szCs w:val="32"/>
        </w:rPr>
      </w:pPr>
      <w:r>
        <w:rPr>
          <w:rFonts w:hint="eastAsia" w:ascii="宋体" w:hAnsi="宋体" w:eastAsia="宋体" w:cs="宋体"/>
          <w:b/>
          <w:bCs/>
          <w:sz w:val="32"/>
          <w:szCs w:val="32"/>
        </w:rPr>
        <w:t>（开标现场进行报价）</w:t>
      </w:r>
    </w:p>
    <w:p w14:paraId="1E79AE72">
      <w:pPr>
        <w:adjustRightInd w:val="0"/>
        <w:snapToGrid w:val="0"/>
        <w:spacing w:line="360" w:lineRule="auto"/>
        <w:rPr>
          <w:rFonts w:hint="eastAsia" w:ascii="宋体" w:hAnsi="宋体" w:eastAsia="宋体" w:cs="宋体"/>
          <w:kern w:val="0"/>
          <w:szCs w:val="21"/>
        </w:rPr>
      </w:pPr>
    </w:p>
    <w:p w14:paraId="0259B7C1">
      <w:pPr>
        <w:adjustRightInd w:val="0"/>
        <w:snapToGrid w:val="0"/>
        <w:spacing w:line="360" w:lineRule="auto"/>
        <w:rPr>
          <w:rFonts w:hint="eastAsia" w:ascii="宋体" w:hAnsi="宋体" w:eastAsia="宋体" w:cs="宋体"/>
          <w:kern w:val="0"/>
          <w:szCs w:val="21"/>
        </w:rPr>
      </w:pPr>
    </w:p>
    <w:p w14:paraId="04C5C427">
      <w:pPr>
        <w:adjustRightInd w:val="0"/>
        <w:snapToGrid w:val="0"/>
        <w:spacing w:line="360" w:lineRule="auto"/>
        <w:rPr>
          <w:rFonts w:hint="eastAsia" w:ascii="宋体" w:hAnsi="宋体" w:eastAsia="宋体" w:cs="宋体"/>
          <w:kern w:val="0"/>
          <w:szCs w:val="21"/>
        </w:rPr>
      </w:pPr>
    </w:p>
    <w:p w14:paraId="306DDB57">
      <w:pPr>
        <w:spacing w:line="360" w:lineRule="exact"/>
        <w:jc w:val="both"/>
        <w:outlineLvl w:val="1"/>
        <w:rPr>
          <w:rFonts w:hint="eastAsia" w:ascii="宋体" w:hAnsi="宋体" w:eastAsia="宋体" w:cs="宋体"/>
          <w:b/>
          <w:sz w:val="32"/>
          <w:szCs w:val="32"/>
        </w:rPr>
      </w:pPr>
    </w:p>
    <w:sectPr>
      <w:headerReference r:id="rId10" w:type="default"/>
      <w:footerReference r:id="rId11" w:type="default"/>
      <w:pgSz w:w="11906" w:h="16838"/>
      <w:pgMar w:top="1134" w:right="1361" w:bottom="1134" w:left="1361" w:header="227"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TimesNewRomanPSMT">
    <w:altName w:val="Times New Roman"/>
    <w:panose1 w:val="00000000000000000000"/>
    <w:charset w:val="00"/>
    <w:family w:val="decorative"/>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S Sans Serif">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Microsoft JhengHei">
    <w:panose1 w:val="020B0604030504040204"/>
    <w:charset w:val="88"/>
    <w:family w:val="swiss"/>
    <w:pitch w:val="default"/>
    <w:sig w:usb0="000002A7" w:usb1="28CF4400" w:usb2="00000016" w:usb3="00000000" w:csb0="00100009" w:csb1="00000000"/>
  </w:font>
  <w:font w:name="长城仿宋">
    <w:altName w:val="黑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94621">
    <w:pPr>
      <w:pStyle w:val="3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6BA095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wps:txbx>
                    <wps:bodyPr wrap="none" lIns="0" tIns="0" rIns="0" bIns="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&#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A5anOOxgEAAJsDAAAOAAAAAAAAAAEAIAAAAB4BAABkcnMvZTJvRG9jLnht&#10;bFBLBQYAAAAABgAGAFkBAABWBQAAAAA=&#10;">
              <v:fill on="f" focussize="0,0"/>
              <v:stroke on="f"/>
              <v:imagedata o:title=""/>
              <o:lock v:ext="edit" aspectratio="f"/>
              <v:textbox inset="0mm,0mm,0mm,0mm" style="mso-fit-shape-to-text:t;">
                <w:txbxContent>
                  <w:p w14:paraId="06BA095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439BE">
    <w:pPr>
      <w:pStyle w:val="30"/>
      <w:framePr w:wrap="around" w:vAnchor="text" w:hAnchor="margin" w:xAlign="right" w:y="1"/>
      <w:rPr>
        <w:rStyle w:val="52"/>
      </w:rPr>
    </w:pPr>
    <w:r>
      <w:fldChar w:fldCharType="begin"/>
    </w:r>
    <w:r>
      <w:rPr>
        <w:rStyle w:val="52"/>
      </w:rPr>
      <w:instrText xml:space="preserve">PAGE  </w:instrText>
    </w:r>
    <w:r>
      <w:fldChar w:fldCharType="end"/>
    </w:r>
  </w:p>
  <w:p w14:paraId="1309F559">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E18D2">
    <w:pPr>
      <w:pStyle w:val="3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A83C1">
    <w:pPr>
      <w:pStyle w:val="3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07EE11">
                          <w:pPr>
                            <w:pStyle w:val="3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07EE11">
                    <w:pPr>
                      <w:pStyle w:val="3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F2DE7">
    <w:pPr>
      <w:pStyle w:val="30"/>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52E136">
                          <w:pPr>
                            <w:pStyle w:val="30"/>
                            <w:jc w:val="right"/>
                          </w:pPr>
                          <w:r>
                            <w:fldChar w:fldCharType="begin"/>
                          </w:r>
                          <w:r>
                            <w:instrText xml:space="preserve"> PAGE   \* MERGEFORMAT </w:instrText>
                          </w:r>
                          <w:r>
                            <w:fldChar w:fldCharType="separate"/>
                          </w:r>
                          <w:r>
                            <w:rPr>
                              <w:lang w:val="en-US" w:eastAsia="zh-CN"/>
                            </w:rPr>
                            <w:t>33</w:t>
                          </w:r>
                          <w:r>
                            <w:rPr>
                              <w:lang w:val="en-US"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C52E136">
                    <w:pPr>
                      <w:pStyle w:val="30"/>
                      <w:jc w:val="right"/>
                    </w:pPr>
                    <w:r>
                      <w:fldChar w:fldCharType="begin"/>
                    </w:r>
                    <w:r>
                      <w:instrText xml:space="preserve"> PAGE   \* MERGEFORMAT </w:instrText>
                    </w:r>
                    <w:r>
                      <w:fldChar w:fldCharType="separate"/>
                    </w:r>
                    <w:r>
                      <w:rPr>
                        <w:lang w:val="en-US" w:eastAsia="zh-CN"/>
                      </w:rPr>
                      <w:t>33</w:t>
                    </w:r>
                    <w:r>
                      <w:rPr>
                        <w:lang w:val="en-US" w:eastAsia="zh-CN"/>
                      </w:rPr>
                      <w:fldChar w:fldCharType="end"/>
                    </w:r>
                  </w:p>
                </w:txbxContent>
              </v:textbox>
            </v:shape>
          </w:pict>
        </mc:Fallback>
      </mc:AlternateContent>
    </w:r>
  </w:p>
  <w:p w14:paraId="31684C6C">
    <w:pPr>
      <w:pStyle w:val="3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F6E4A">
    <w:pPr>
      <w:pStyle w:val="3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707313">
                          <w:pPr>
                            <w:pStyle w:val="30"/>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A707313">
                    <w:pPr>
                      <w:pStyle w:val="30"/>
                    </w:pPr>
                    <w:r>
                      <w:fldChar w:fldCharType="begin"/>
                    </w:r>
                    <w:r>
                      <w:instrText xml:space="preserve"> PAGE  \* MERGEFORMAT </w:instrText>
                    </w:r>
                    <w:r>
                      <w:fldChar w:fldCharType="separate"/>
                    </w:r>
                    <w:r>
                      <w:t>35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16DB0">
    <w:pPr>
      <w:pStyle w:val="3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34453">
    <w:pPr>
      <w:bidi w:val="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55F75">
    <w:pPr>
      <w:bidi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pStyle w:val="186"/>
      <w:suff w:val="nothing"/>
      <w:lvlText w:val="%1、"/>
      <w:lvlJc w:val="left"/>
    </w:lvl>
  </w:abstractNum>
  <w:abstractNum w:abstractNumId="1">
    <w:nsid w:val="59AD6F62"/>
    <w:multiLevelType w:val="multilevel"/>
    <w:tmpl w:val="59AD6F62"/>
    <w:lvl w:ilvl="0" w:tentative="0">
      <w:start w:val="1"/>
      <w:numFmt w:val="decimal"/>
      <w:pStyle w:val="123"/>
      <w:suff w:val="space"/>
      <w:lvlText w:val="（%1）"/>
      <w:lvlJc w:val="left"/>
      <w:pPr>
        <w:tabs>
          <w:tab w:val="left" w:pos="0"/>
        </w:tabs>
        <w:ind w:left="425" w:hanging="425"/>
      </w:pPr>
      <w:rPr>
        <w:rFonts w:hint="default" w:ascii="宋体" w:hAnsi="宋体" w:eastAsia="宋体" w:cs="宋体"/>
      </w:rPr>
    </w:lvl>
    <w:lvl w:ilvl="1" w:tentative="0">
      <w:start w:val="1"/>
      <w:numFmt w:val="decimal"/>
      <w:suff w:val="nothing"/>
      <w:lvlText w:val="（%2）"/>
      <w:lvlJc w:val="left"/>
      <w:pPr>
        <w:tabs>
          <w:tab w:val="left" w:pos="420"/>
        </w:tabs>
        <w:ind w:left="850" w:hanging="453"/>
      </w:pPr>
      <w:rPr>
        <w:rFonts w:hint="default" w:ascii="宋体" w:hAnsi="宋体" w:eastAsia="宋体" w:cs="宋体"/>
      </w:rPr>
    </w:lvl>
    <w:lvl w:ilvl="2" w:tentative="0">
      <w:start w:val="1"/>
      <w:numFmt w:val="decimal"/>
      <w:lvlRestart w:val="1"/>
      <w:pStyle w:val="188"/>
      <w:suff w:val="nothing"/>
      <w:lvlText w:val="（%3）"/>
      <w:lvlJc w:val="right"/>
      <w:pPr>
        <w:tabs>
          <w:tab w:val="left" w:pos="420"/>
        </w:tabs>
        <w:ind w:left="0" w:firstLine="800"/>
      </w:pPr>
      <w:rPr>
        <w:rFonts w:hint="default" w:ascii="宋体" w:hAnsi="宋体" w:eastAsia="宋体" w:cs="宋体"/>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zNWM0ZWZhMDFjODQ3ZWNkMzVlYWE0ODMwNDdmNTYifQ=="/>
  </w:docVars>
  <w:rsids>
    <w:rsidRoot w:val="007434B4"/>
    <w:rsid w:val="00000A61"/>
    <w:rsid w:val="00000A83"/>
    <w:rsid w:val="000013FE"/>
    <w:rsid w:val="000014E5"/>
    <w:rsid w:val="0000186F"/>
    <w:rsid w:val="00001A03"/>
    <w:rsid w:val="00002568"/>
    <w:rsid w:val="00002840"/>
    <w:rsid w:val="000037DE"/>
    <w:rsid w:val="00003D23"/>
    <w:rsid w:val="00004EAF"/>
    <w:rsid w:val="00006552"/>
    <w:rsid w:val="0001024D"/>
    <w:rsid w:val="00010382"/>
    <w:rsid w:val="00013365"/>
    <w:rsid w:val="00013466"/>
    <w:rsid w:val="00013574"/>
    <w:rsid w:val="00013923"/>
    <w:rsid w:val="00014A82"/>
    <w:rsid w:val="00015858"/>
    <w:rsid w:val="00015A29"/>
    <w:rsid w:val="00015D81"/>
    <w:rsid w:val="0001617A"/>
    <w:rsid w:val="000172E3"/>
    <w:rsid w:val="00017581"/>
    <w:rsid w:val="000175E8"/>
    <w:rsid w:val="00017CF0"/>
    <w:rsid w:val="00017F9C"/>
    <w:rsid w:val="000252F0"/>
    <w:rsid w:val="00025EED"/>
    <w:rsid w:val="00027D0F"/>
    <w:rsid w:val="00030A53"/>
    <w:rsid w:val="00030FD1"/>
    <w:rsid w:val="00031705"/>
    <w:rsid w:val="00031BBE"/>
    <w:rsid w:val="00031C52"/>
    <w:rsid w:val="0003228E"/>
    <w:rsid w:val="00032D53"/>
    <w:rsid w:val="000333AE"/>
    <w:rsid w:val="00033B21"/>
    <w:rsid w:val="00033EFF"/>
    <w:rsid w:val="00035663"/>
    <w:rsid w:val="000358FA"/>
    <w:rsid w:val="00035B2B"/>
    <w:rsid w:val="00040247"/>
    <w:rsid w:val="00040313"/>
    <w:rsid w:val="00040E14"/>
    <w:rsid w:val="0004234C"/>
    <w:rsid w:val="0004444E"/>
    <w:rsid w:val="00045B4B"/>
    <w:rsid w:val="00046881"/>
    <w:rsid w:val="00047440"/>
    <w:rsid w:val="0004759C"/>
    <w:rsid w:val="0005019F"/>
    <w:rsid w:val="000508AD"/>
    <w:rsid w:val="000515EF"/>
    <w:rsid w:val="0005168D"/>
    <w:rsid w:val="0005208E"/>
    <w:rsid w:val="00052DBD"/>
    <w:rsid w:val="000535A0"/>
    <w:rsid w:val="00053BE1"/>
    <w:rsid w:val="00053C94"/>
    <w:rsid w:val="00053DC5"/>
    <w:rsid w:val="000566BD"/>
    <w:rsid w:val="0005701C"/>
    <w:rsid w:val="000606A2"/>
    <w:rsid w:val="00060C04"/>
    <w:rsid w:val="00061310"/>
    <w:rsid w:val="00061914"/>
    <w:rsid w:val="000620A1"/>
    <w:rsid w:val="000638C9"/>
    <w:rsid w:val="0006577B"/>
    <w:rsid w:val="00065C54"/>
    <w:rsid w:val="000662FC"/>
    <w:rsid w:val="000666F2"/>
    <w:rsid w:val="000675E6"/>
    <w:rsid w:val="000677C7"/>
    <w:rsid w:val="00067D0B"/>
    <w:rsid w:val="000709FB"/>
    <w:rsid w:val="00070B21"/>
    <w:rsid w:val="00070F95"/>
    <w:rsid w:val="00072573"/>
    <w:rsid w:val="0007343D"/>
    <w:rsid w:val="000745C1"/>
    <w:rsid w:val="0007473A"/>
    <w:rsid w:val="00074CB8"/>
    <w:rsid w:val="00076502"/>
    <w:rsid w:val="00076609"/>
    <w:rsid w:val="000775DD"/>
    <w:rsid w:val="000777C0"/>
    <w:rsid w:val="000800A0"/>
    <w:rsid w:val="00081037"/>
    <w:rsid w:val="00082346"/>
    <w:rsid w:val="000841E5"/>
    <w:rsid w:val="00085204"/>
    <w:rsid w:val="00087CA6"/>
    <w:rsid w:val="000904BC"/>
    <w:rsid w:val="000909AB"/>
    <w:rsid w:val="00090D47"/>
    <w:rsid w:val="00091751"/>
    <w:rsid w:val="000917F5"/>
    <w:rsid w:val="000921D2"/>
    <w:rsid w:val="00092E61"/>
    <w:rsid w:val="00094343"/>
    <w:rsid w:val="0009483A"/>
    <w:rsid w:val="0009530E"/>
    <w:rsid w:val="00095A0E"/>
    <w:rsid w:val="00096239"/>
    <w:rsid w:val="00096A68"/>
    <w:rsid w:val="00097FB9"/>
    <w:rsid w:val="000A0CD6"/>
    <w:rsid w:val="000A167B"/>
    <w:rsid w:val="000A2575"/>
    <w:rsid w:val="000A25D2"/>
    <w:rsid w:val="000A2631"/>
    <w:rsid w:val="000A3313"/>
    <w:rsid w:val="000A3BB4"/>
    <w:rsid w:val="000A4283"/>
    <w:rsid w:val="000A4354"/>
    <w:rsid w:val="000A5FBC"/>
    <w:rsid w:val="000A6658"/>
    <w:rsid w:val="000B0390"/>
    <w:rsid w:val="000B0464"/>
    <w:rsid w:val="000B0F6F"/>
    <w:rsid w:val="000B1637"/>
    <w:rsid w:val="000B1715"/>
    <w:rsid w:val="000B2722"/>
    <w:rsid w:val="000B320F"/>
    <w:rsid w:val="000B33DF"/>
    <w:rsid w:val="000B3A4F"/>
    <w:rsid w:val="000B4504"/>
    <w:rsid w:val="000B48CB"/>
    <w:rsid w:val="000B5D7D"/>
    <w:rsid w:val="000B67D9"/>
    <w:rsid w:val="000B6A6A"/>
    <w:rsid w:val="000B7DF1"/>
    <w:rsid w:val="000C035B"/>
    <w:rsid w:val="000C0714"/>
    <w:rsid w:val="000C188C"/>
    <w:rsid w:val="000C245B"/>
    <w:rsid w:val="000C2AE6"/>
    <w:rsid w:val="000C354A"/>
    <w:rsid w:val="000C4FD9"/>
    <w:rsid w:val="000C52A0"/>
    <w:rsid w:val="000C6B2C"/>
    <w:rsid w:val="000C70C2"/>
    <w:rsid w:val="000C7702"/>
    <w:rsid w:val="000C7812"/>
    <w:rsid w:val="000D04C8"/>
    <w:rsid w:val="000D0769"/>
    <w:rsid w:val="000D0E5E"/>
    <w:rsid w:val="000D1018"/>
    <w:rsid w:val="000D1D76"/>
    <w:rsid w:val="000D211B"/>
    <w:rsid w:val="000D2A3F"/>
    <w:rsid w:val="000D344B"/>
    <w:rsid w:val="000D5249"/>
    <w:rsid w:val="000D6185"/>
    <w:rsid w:val="000D6514"/>
    <w:rsid w:val="000E0B27"/>
    <w:rsid w:val="000E166F"/>
    <w:rsid w:val="000E3DCC"/>
    <w:rsid w:val="000E4525"/>
    <w:rsid w:val="000E46D9"/>
    <w:rsid w:val="000E4E95"/>
    <w:rsid w:val="000E50DD"/>
    <w:rsid w:val="000E640C"/>
    <w:rsid w:val="000E7308"/>
    <w:rsid w:val="000E7417"/>
    <w:rsid w:val="000E741F"/>
    <w:rsid w:val="000F1A45"/>
    <w:rsid w:val="000F1AF9"/>
    <w:rsid w:val="000F21C8"/>
    <w:rsid w:val="000F3713"/>
    <w:rsid w:val="000F376A"/>
    <w:rsid w:val="000F37AB"/>
    <w:rsid w:val="000F4155"/>
    <w:rsid w:val="000F44CB"/>
    <w:rsid w:val="000F4F2F"/>
    <w:rsid w:val="000F5866"/>
    <w:rsid w:val="000F620C"/>
    <w:rsid w:val="000F7591"/>
    <w:rsid w:val="001000C3"/>
    <w:rsid w:val="0010071B"/>
    <w:rsid w:val="001047E3"/>
    <w:rsid w:val="00104908"/>
    <w:rsid w:val="00104D5D"/>
    <w:rsid w:val="00105A9C"/>
    <w:rsid w:val="00106446"/>
    <w:rsid w:val="00107077"/>
    <w:rsid w:val="00107FD9"/>
    <w:rsid w:val="00110169"/>
    <w:rsid w:val="00110B4B"/>
    <w:rsid w:val="001113FC"/>
    <w:rsid w:val="00111596"/>
    <w:rsid w:val="00111CC9"/>
    <w:rsid w:val="00112A3D"/>
    <w:rsid w:val="001133AC"/>
    <w:rsid w:val="00113C61"/>
    <w:rsid w:val="00114B15"/>
    <w:rsid w:val="00117058"/>
    <w:rsid w:val="00117143"/>
    <w:rsid w:val="00120369"/>
    <w:rsid w:val="00121A30"/>
    <w:rsid w:val="001228FD"/>
    <w:rsid w:val="001232B6"/>
    <w:rsid w:val="00124345"/>
    <w:rsid w:val="00125769"/>
    <w:rsid w:val="00125F48"/>
    <w:rsid w:val="00126231"/>
    <w:rsid w:val="001264B5"/>
    <w:rsid w:val="001264DC"/>
    <w:rsid w:val="00127083"/>
    <w:rsid w:val="001300B4"/>
    <w:rsid w:val="0013172D"/>
    <w:rsid w:val="001322EF"/>
    <w:rsid w:val="001324B3"/>
    <w:rsid w:val="0013458E"/>
    <w:rsid w:val="001345E9"/>
    <w:rsid w:val="00134894"/>
    <w:rsid w:val="001348D3"/>
    <w:rsid w:val="00135375"/>
    <w:rsid w:val="0013583C"/>
    <w:rsid w:val="001370E3"/>
    <w:rsid w:val="00137DBD"/>
    <w:rsid w:val="00137DCD"/>
    <w:rsid w:val="00140DA3"/>
    <w:rsid w:val="001413DF"/>
    <w:rsid w:val="00141BEE"/>
    <w:rsid w:val="00143121"/>
    <w:rsid w:val="00144141"/>
    <w:rsid w:val="00144F97"/>
    <w:rsid w:val="00145791"/>
    <w:rsid w:val="0014699B"/>
    <w:rsid w:val="00146D14"/>
    <w:rsid w:val="00151BA6"/>
    <w:rsid w:val="0015269F"/>
    <w:rsid w:val="001528B5"/>
    <w:rsid w:val="00153C89"/>
    <w:rsid w:val="00156049"/>
    <w:rsid w:val="001564DB"/>
    <w:rsid w:val="00156F75"/>
    <w:rsid w:val="001602AB"/>
    <w:rsid w:val="00160E3C"/>
    <w:rsid w:val="001617E9"/>
    <w:rsid w:val="00162175"/>
    <w:rsid w:val="00162403"/>
    <w:rsid w:val="0016254E"/>
    <w:rsid w:val="00162F23"/>
    <w:rsid w:val="001637C1"/>
    <w:rsid w:val="0016451E"/>
    <w:rsid w:val="00164C0D"/>
    <w:rsid w:val="001655DB"/>
    <w:rsid w:val="0016583A"/>
    <w:rsid w:val="00166A7A"/>
    <w:rsid w:val="00166F38"/>
    <w:rsid w:val="00167313"/>
    <w:rsid w:val="00167763"/>
    <w:rsid w:val="001708E8"/>
    <w:rsid w:val="00170CCD"/>
    <w:rsid w:val="0017148D"/>
    <w:rsid w:val="001714FA"/>
    <w:rsid w:val="0017284E"/>
    <w:rsid w:val="0017334A"/>
    <w:rsid w:val="00173713"/>
    <w:rsid w:val="00173A95"/>
    <w:rsid w:val="00173D83"/>
    <w:rsid w:val="0017404D"/>
    <w:rsid w:val="00175C3F"/>
    <w:rsid w:val="00175FE2"/>
    <w:rsid w:val="0017633E"/>
    <w:rsid w:val="001773C6"/>
    <w:rsid w:val="0017741D"/>
    <w:rsid w:val="00180C6F"/>
    <w:rsid w:val="001810E9"/>
    <w:rsid w:val="00181D2E"/>
    <w:rsid w:val="001828D3"/>
    <w:rsid w:val="00182ABB"/>
    <w:rsid w:val="001846F2"/>
    <w:rsid w:val="001850A4"/>
    <w:rsid w:val="00185B43"/>
    <w:rsid w:val="00186927"/>
    <w:rsid w:val="001870D2"/>
    <w:rsid w:val="00190053"/>
    <w:rsid w:val="00190101"/>
    <w:rsid w:val="00190C8F"/>
    <w:rsid w:val="0019107F"/>
    <w:rsid w:val="00191A57"/>
    <w:rsid w:val="00192075"/>
    <w:rsid w:val="00193526"/>
    <w:rsid w:val="00195771"/>
    <w:rsid w:val="0019664C"/>
    <w:rsid w:val="00197441"/>
    <w:rsid w:val="001A053D"/>
    <w:rsid w:val="001A101A"/>
    <w:rsid w:val="001A12A4"/>
    <w:rsid w:val="001A130A"/>
    <w:rsid w:val="001A2976"/>
    <w:rsid w:val="001A2FCB"/>
    <w:rsid w:val="001A3AA5"/>
    <w:rsid w:val="001A3AFC"/>
    <w:rsid w:val="001A3BCB"/>
    <w:rsid w:val="001A4D9B"/>
    <w:rsid w:val="001A561A"/>
    <w:rsid w:val="001A58C6"/>
    <w:rsid w:val="001A59EB"/>
    <w:rsid w:val="001B0B82"/>
    <w:rsid w:val="001B164B"/>
    <w:rsid w:val="001B2294"/>
    <w:rsid w:val="001B313B"/>
    <w:rsid w:val="001B383C"/>
    <w:rsid w:val="001B4531"/>
    <w:rsid w:val="001B4BBB"/>
    <w:rsid w:val="001B4F01"/>
    <w:rsid w:val="001B5907"/>
    <w:rsid w:val="001C2072"/>
    <w:rsid w:val="001C274B"/>
    <w:rsid w:val="001C2F06"/>
    <w:rsid w:val="001C3481"/>
    <w:rsid w:val="001C4E4C"/>
    <w:rsid w:val="001C5444"/>
    <w:rsid w:val="001C737E"/>
    <w:rsid w:val="001C7B25"/>
    <w:rsid w:val="001D06A0"/>
    <w:rsid w:val="001D0F5F"/>
    <w:rsid w:val="001D1A86"/>
    <w:rsid w:val="001D26DC"/>
    <w:rsid w:val="001D300D"/>
    <w:rsid w:val="001D302B"/>
    <w:rsid w:val="001D574C"/>
    <w:rsid w:val="001D5B75"/>
    <w:rsid w:val="001D754E"/>
    <w:rsid w:val="001E1193"/>
    <w:rsid w:val="001E1D4A"/>
    <w:rsid w:val="001E3396"/>
    <w:rsid w:val="001E3A6E"/>
    <w:rsid w:val="001E3AF6"/>
    <w:rsid w:val="001E3D6A"/>
    <w:rsid w:val="001E3D74"/>
    <w:rsid w:val="001E4458"/>
    <w:rsid w:val="001E59F7"/>
    <w:rsid w:val="001E6A66"/>
    <w:rsid w:val="001E78D8"/>
    <w:rsid w:val="001F075D"/>
    <w:rsid w:val="001F130D"/>
    <w:rsid w:val="001F1819"/>
    <w:rsid w:val="001F3A23"/>
    <w:rsid w:val="001F4878"/>
    <w:rsid w:val="001F5321"/>
    <w:rsid w:val="001F534E"/>
    <w:rsid w:val="001F5B18"/>
    <w:rsid w:val="001F7AFA"/>
    <w:rsid w:val="00200789"/>
    <w:rsid w:val="002008A9"/>
    <w:rsid w:val="00200C39"/>
    <w:rsid w:val="00200D09"/>
    <w:rsid w:val="002018AB"/>
    <w:rsid w:val="002023F0"/>
    <w:rsid w:val="0020308E"/>
    <w:rsid w:val="002034B4"/>
    <w:rsid w:val="00203EA6"/>
    <w:rsid w:val="00205CF8"/>
    <w:rsid w:val="00206018"/>
    <w:rsid w:val="002068A5"/>
    <w:rsid w:val="00207D02"/>
    <w:rsid w:val="00210EE8"/>
    <w:rsid w:val="00210F21"/>
    <w:rsid w:val="00211F38"/>
    <w:rsid w:val="0021548B"/>
    <w:rsid w:val="002157B6"/>
    <w:rsid w:val="00215C17"/>
    <w:rsid w:val="00215D98"/>
    <w:rsid w:val="00216282"/>
    <w:rsid w:val="00216FA2"/>
    <w:rsid w:val="002203CE"/>
    <w:rsid w:val="00221240"/>
    <w:rsid w:val="00221600"/>
    <w:rsid w:val="00221BE4"/>
    <w:rsid w:val="0022293A"/>
    <w:rsid w:val="00223541"/>
    <w:rsid w:val="00223B66"/>
    <w:rsid w:val="002240A4"/>
    <w:rsid w:val="0022478B"/>
    <w:rsid w:val="00225547"/>
    <w:rsid w:val="00226CCD"/>
    <w:rsid w:val="002303FF"/>
    <w:rsid w:val="00230B4C"/>
    <w:rsid w:val="00230D45"/>
    <w:rsid w:val="00231C9E"/>
    <w:rsid w:val="0023235C"/>
    <w:rsid w:val="00232836"/>
    <w:rsid w:val="00232D80"/>
    <w:rsid w:val="0023339C"/>
    <w:rsid w:val="00234309"/>
    <w:rsid w:val="00235123"/>
    <w:rsid w:val="00237E8F"/>
    <w:rsid w:val="002402B5"/>
    <w:rsid w:val="002416E2"/>
    <w:rsid w:val="002419D0"/>
    <w:rsid w:val="00242897"/>
    <w:rsid w:val="00242A62"/>
    <w:rsid w:val="00243699"/>
    <w:rsid w:val="002444EA"/>
    <w:rsid w:val="0024460F"/>
    <w:rsid w:val="00244B2A"/>
    <w:rsid w:val="00245EF6"/>
    <w:rsid w:val="00250A62"/>
    <w:rsid w:val="00250F9D"/>
    <w:rsid w:val="0025131F"/>
    <w:rsid w:val="00253669"/>
    <w:rsid w:val="00255AC7"/>
    <w:rsid w:val="002569C5"/>
    <w:rsid w:val="00256A84"/>
    <w:rsid w:val="00257F4D"/>
    <w:rsid w:val="00260902"/>
    <w:rsid w:val="00260A71"/>
    <w:rsid w:val="0026198C"/>
    <w:rsid w:val="00261AC6"/>
    <w:rsid w:val="00262FCB"/>
    <w:rsid w:val="00263AB2"/>
    <w:rsid w:val="002643E5"/>
    <w:rsid w:val="00264503"/>
    <w:rsid w:val="00264EB2"/>
    <w:rsid w:val="00265009"/>
    <w:rsid w:val="0026705D"/>
    <w:rsid w:val="00267C83"/>
    <w:rsid w:val="00270DBF"/>
    <w:rsid w:val="00271C7A"/>
    <w:rsid w:val="00272498"/>
    <w:rsid w:val="002725B6"/>
    <w:rsid w:val="002726B5"/>
    <w:rsid w:val="00274556"/>
    <w:rsid w:val="002753DD"/>
    <w:rsid w:val="00276030"/>
    <w:rsid w:val="00276AC4"/>
    <w:rsid w:val="00276F7B"/>
    <w:rsid w:val="0027767A"/>
    <w:rsid w:val="00280703"/>
    <w:rsid w:val="002815E4"/>
    <w:rsid w:val="0028240A"/>
    <w:rsid w:val="00282892"/>
    <w:rsid w:val="00283506"/>
    <w:rsid w:val="00283A43"/>
    <w:rsid w:val="002842BF"/>
    <w:rsid w:val="00284301"/>
    <w:rsid w:val="00284647"/>
    <w:rsid w:val="0028487B"/>
    <w:rsid w:val="002849EB"/>
    <w:rsid w:val="002859F4"/>
    <w:rsid w:val="00285A81"/>
    <w:rsid w:val="00285BDF"/>
    <w:rsid w:val="00285F61"/>
    <w:rsid w:val="002862E3"/>
    <w:rsid w:val="002868A8"/>
    <w:rsid w:val="0028709E"/>
    <w:rsid w:val="00287BB6"/>
    <w:rsid w:val="00287E12"/>
    <w:rsid w:val="00290DAB"/>
    <w:rsid w:val="00291042"/>
    <w:rsid w:val="00291C24"/>
    <w:rsid w:val="00292441"/>
    <w:rsid w:val="00292F73"/>
    <w:rsid w:val="00293A07"/>
    <w:rsid w:val="002950BC"/>
    <w:rsid w:val="002958E2"/>
    <w:rsid w:val="00295CE8"/>
    <w:rsid w:val="002962B1"/>
    <w:rsid w:val="002965AD"/>
    <w:rsid w:val="00297B75"/>
    <w:rsid w:val="002A0C4E"/>
    <w:rsid w:val="002A15D6"/>
    <w:rsid w:val="002A1672"/>
    <w:rsid w:val="002A22D6"/>
    <w:rsid w:val="002A3505"/>
    <w:rsid w:val="002A3741"/>
    <w:rsid w:val="002A4AAB"/>
    <w:rsid w:val="002A5CB2"/>
    <w:rsid w:val="002A5E44"/>
    <w:rsid w:val="002A65E2"/>
    <w:rsid w:val="002A7BBC"/>
    <w:rsid w:val="002B00AE"/>
    <w:rsid w:val="002B0784"/>
    <w:rsid w:val="002B12E2"/>
    <w:rsid w:val="002B1662"/>
    <w:rsid w:val="002B3F03"/>
    <w:rsid w:val="002B4148"/>
    <w:rsid w:val="002B469A"/>
    <w:rsid w:val="002B51EA"/>
    <w:rsid w:val="002B5C26"/>
    <w:rsid w:val="002B7974"/>
    <w:rsid w:val="002C0DD0"/>
    <w:rsid w:val="002C1AB9"/>
    <w:rsid w:val="002C2D6E"/>
    <w:rsid w:val="002C3042"/>
    <w:rsid w:val="002C33EB"/>
    <w:rsid w:val="002C363B"/>
    <w:rsid w:val="002C465A"/>
    <w:rsid w:val="002C666B"/>
    <w:rsid w:val="002C6C07"/>
    <w:rsid w:val="002C6E3F"/>
    <w:rsid w:val="002C7157"/>
    <w:rsid w:val="002D13DD"/>
    <w:rsid w:val="002D1777"/>
    <w:rsid w:val="002D2F30"/>
    <w:rsid w:val="002D47DE"/>
    <w:rsid w:val="002D54FF"/>
    <w:rsid w:val="002D5C40"/>
    <w:rsid w:val="002D61AB"/>
    <w:rsid w:val="002D7BB2"/>
    <w:rsid w:val="002D7CBB"/>
    <w:rsid w:val="002E1F2C"/>
    <w:rsid w:val="002E273F"/>
    <w:rsid w:val="002E28E9"/>
    <w:rsid w:val="002E2A7D"/>
    <w:rsid w:val="002E348F"/>
    <w:rsid w:val="002E36ED"/>
    <w:rsid w:val="002E466F"/>
    <w:rsid w:val="002E6B0E"/>
    <w:rsid w:val="002E6BFE"/>
    <w:rsid w:val="002F1878"/>
    <w:rsid w:val="002F4310"/>
    <w:rsid w:val="002F4865"/>
    <w:rsid w:val="002F499D"/>
    <w:rsid w:val="002F654F"/>
    <w:rsid w:val="002F7B60"/>
    <w:rsid w:val="0030203A"/>
    <w:rsid w:val="00306A74"/>
    <w:rsid w:val="00311CEC"/>
    <w:rsid w:val="00313325"/>
    <w:rsid w:val="00313A4D"/>
    <w:rsid w:val="00313F34"/>
    <w:rsid w:val="00314DB9"/>
    <w:rsid w:val="003165CB"/>
    <w:rsid w:val="0031707F"/>
    <w:rsid w:val="00321E2F"/>
    <w:rsid w:val="003246F2"/>
    <w:rsid w:val="00324865"/>
    <w:rsid w:val="00324B01"/>
    <w:rsid w:val="00324E36"/>
    <w:rsid w:val="0032557C"/>
    <w:rsid w:val="00326478"/>
    <w:rsid w:val="0032788A"/>
    <w:rsid w:val="00331031"/>
    <w:rsid w:val="00331281"/>
    <w:rsid w:val="00331553"/>
    <w:rsid w:val="00332764"/>
    <w:rsid w:val="003333CF"/>
    <w:rsid w:val="003347D8"/>
    <w:rsid w:val="003347F8"/>
    <w:rsid w:val="003348AD"/>
    <w:rsid w:val="003350FF"/>
    <w:rsid w:val="0033575A"/>
    <w:rsid w:val="003359F2"/>
    <w:rsid w:val="00337D38"/>
    <w:rsid w:val="00340374"/>
    <w:rsid w:val="003405B0"/>
    <w:rsid w:val="00340734"/>
    <w:rsid w:val="0034095A"/>
    <w:rsid w:val="00340B45"/>
    <w:rsid w:val="0034287E"/>
    <w:rsid w:val="00342E44"/>
    <w:rsid w:val="00343125"/>
    <w:rsid w:val="00343334"/>
    <w:rsid w:val="0034519B"/>
    <w:rsid w:val="003469EE"/>
    <w:rsid w:val="00346F10"/>
    <w:rsid w:val="00347DC8"/>
    <w:rsid w:val="00350642"/>
    <w:rsid w:val="0035087B"/>
    <w:rsid w:val="00352E5D"/>
    <w:rsid w:val="003538B4"/>
    <w:rsid w:val="00353D3F"/>
    <w:rsid w:val="003546A7"/>
    <w:rsid w:val="00354E41"/>
    <w:rsid w:val="00355F7D"/>
    <w:rsid w:val="00356C0C"/>
    <w:rsid w:val="00357A18"/>
    <w:rsid w:val="00357CAE"/>
    <w:rsid w:val="0036003D"/>
    <w:rsid w:val="003601EE"/>
    <w:rsid w:val="00360800"/>
    <w:rsid w:val="0036092F"/>
    <w:rsid w:val="0036212C"/>
    <w:rsid w:val="00364709"/>
    <w:rsid w:val="003654B9"/>
    <w:rsid w:val="00365849"/>
    <w:rsid w:val="00365CEB"/>
    <w:rsid w:val="0036608F"/>
    <w:rsid w:val="00367761"/>
    <w:rsid w:val="00371061"/>
    <w:rsid w:val="003723EC"/>
    <w:rsid w:val="003725C2"/>
    <w:rsid w:val="00373228"/>
    <w:rsid w:val="0037398C"/>
    <w:rsid w:val="00373BCB"/>
    <w:rsid w:val="00373DDA"/>
    <w:rsid w:val="00374B1D"/>
    <w:rsid w:val="003751D4"/>
    <w:rsid w:val="003765C9"/>
    <w:rsid w:val="00377441"/>
    <w:rsid w:val="0037765F"/>
    <w:rsid w:val="0037789B"/>
    <w:rsid w:val="003805C3"/>
    <w:rsid w:val="003808DC"/>
    <w:rsid w:val="003812EE"/>
    <w:rsid w:val="00381353"/>
    <w:rsid w:val="003817D3"/>
    <w:rsid w:val="003818FC"/>
    <w:rsid w:val="00381AD3"/>
    <w:rsid w:val="00382023"/>
    <w:rsid w:val="00382317"/>
    <w:rsid w:val="00382748"/>
    <w:rsid w:val="0038366B"/>
    <w:rsid w:val="00383E27"/>
    <w:rsid w:val="003845EE"/>
    <w:rsid w:val="00384A33"/>
    <w:rsid w:val="00384BE5"/>
    <w:rsid w:val="00384F53"/>
    <w:rsid w:val="0038718B"/>
    <w:rsid w:val="00390037"/>
    <w:rsid w:val="003908CB"/>
    <w:rsid w:val="00390F51"/>
    <w:rsid w:val="00391805"/>
    <w:rsid w:val="00392780"/>
    <w:rsid w:val="0039421A"/>
    <w:rsid w:val="0039582F"/>
    <w:rsid w:val="003960B1"/>
    <w:rsid w:val="003965DB"/>
    <w:rsid w:val="003966A4"/>
    <w:rsid w:val="00397725"/>
    <w:rsid w:val="00397EA7"/>
    <w:rsid w:val="003A131A"/>
    <w:rsid w:val="003A1873"/>
    <w:rsid w:val="003A1C85"/>
    <w:rsid w:val="003A3153"/>
    <w:rsid w:val="003A389D"/>
    <w:rsid w:val="003A4099"/>
    <w:rsid w:val="003A4572"/>
    <w:rsid w:val="003A48A3"/>
    <w:rsid w:val="003A4DEB"/>
    <w:rsid w:val="003A56B4"/>
    <w:rsid w:val="003A63A3"/>
    <w:rsid w:val="003A6FF5"/>
    <w:rsid w:val="003A713C"/>
    <w:rsid w:val="003A7CE9"/>
    <w:rsid w:val="003A7D94"/>
    <w:rsid w:val="003B074C"/>
    <w:rsid w:val="003B304F"/>
    <w:rsid w:val="003B3359"/>
    <w:rsid w:val="003B36FD"/>
    <w:rsid w:val="003B3C2A"/>
    <w:rsid w:val="003B52E3"/>
    <w:rsid w:val="003B6EB4"/>
    <w:rsid w:val="003B7C8A"/>
    <w:rsid w:val="003C0A14"/>
    <w:rsid w:val="003C1256"/>
    <w:rsid w:val="003C1404"/>
    <w:rsid w:val="003C229B"/>
    <w:rsid w:val="003C2F63"/>
    <w:rsid w:val="003C4815"/>
    <w:rsid w:val="003C5D94"/>
    <w:rsid w:val="003C622B"/>
    <w:rsid w:val="003C6F6E"/>
    <w:rsid w:val="003C7A73"/>
    <w:rsid w:val="003D061C"/>
    <w:rsid w:val="003D16A0"/>
    <w:rsid w:val="003D1765"/>
    <w:rsid w:val="003D188B"/>
    <w:rsid w:val="003D236E"/>
    <w:rsid w:val="003D3B9A"/>
    <w:rsid w:val="003D42BA"/>
    <w:rsid w:val="003D4669"/>
    <w:rsid w:val="003D5E2A"/>
    <w:rsid w:val="003D6B57"/>
    <w:rsid w:val="003D7892"/>
    <w:rsid w:val="003E0880"/>
    <w:rsid w:val="003E0893"/>
    <w:rsid w:val="003E0C00"/>
    <w:rsid w:val="003E3CBC"/>
    <w:rsid w:val="003E4724"/>
    <w:rsid w:val="003E5316"/>
    <w:rsid w:val="003E5B81"/>
    <w:rsid w:val="003E63DA"/>
    <w:rsid w:val="003E6E9A"/>
    <w:rsid w:val="003E7A91"/>
    <w:rsid w:val="003F0052"/>
    <w:rsid w:val="003F080A"/>
    <w:rsid w:val="003F2BA3"/>
    <w:rsid w:val="003F4609"/>
    <w:rsid w:val="003F47E7"/>
    <w:rsid w:val="003F4887"/>
    <w:rsid w:val="003F6718"/>
    <w:rsid w:val="003F7A91"/>
    <w:rsid w:val="00400811"/>
    <w:rsid w:val="00400ACB"/>
    <w:rsid w:val="004014AC"/>
    <w:rsid w:val="0040171C"/>
    <w:rsid w:val="00401EA9"/>
    <w:rsid w:val="00402BA3"/>
    <w:rsid w:val="00402ECE"/>
    <w:rsid w:val="004041BB"/>
    <w:rsid w:val="0040556F"/>
    <w:rsid w:val="00405C57"/>
    <w:rsid w:val="0040634B"/>
    <w:rsid w:val="0040644D"/>
    <w:rsid w:val="00406717"/>
    <w:rsid w:val="00406DF3"/>
    <w:rsid w:val="00406F15"/>
    <w:rsid w:val="00407DF5"/>
    <w:rsid w:val="004108FC"/>
    <w:rsid w:val="004112B7"/>
    <w:rsid w:val="004113F2"/>
    <w:rsid w:val="0041189C"/>
    <w:rsid w:val="00412846"/>
    <w:rsid w:val="0041286B"/>
    <w:rsid w:val="00412E55"/>
    <w:rsid w:val="00412EDA"/>
    <w:rsid w:val="00413ED6"/>
    <w:rsid w:val="0041470D"/>
    <w:rsid w:val="00415306"/>
    <w:rsid w:val="004153E5"/>
    <w:rsid w:val="00416293"/>
    <w:rsid w:val="004165A5"/>
    <w:rsid w:val="004165E0"/>
    <w:rsid w:val="0042020F"/>
    <w:rsid w:val="004209AD"/>
    <w:rsid w:val="004209D3"/>
    <w:rsid w:val="00420E26"/>
    <w:rsid w:val="00423265"/>
    <w:rsid w:val="00423AB0"/>
    <w:rsid w:val="004241CA"/>
    <w:rsid w:val="00424DB7"/>
    <w:rsid w:val="0042508B"/>
    <w:rsid w:val="004255AF"/>
    <w:rsid w:val="00425EF9"/>
    <w:rsid w:val="00426293"/>
    <w:rsid w:val="0043056E"/>
    <w:rsid w:val="0043102C"/>
    <w:rsid w:val="00431770"/>
    <w:rsid w:val="00431D80"/>
    <w:rsid w:val="0043264C"/>
    <w:rsid w:val="00432EDE"/>
    <w:rsid w:val="00433361"/>
    <w:rsid w:val="00433970"/>
    <w:rsid w:val="00433F64"/>
    <w:rsid w:val="004346A4"/>
    <w:rsid w:val="00434E74"/>
    <w:rsid w:val="00435970"/>
    <w:rsid w:val="004366AC"/>
    <w:rsid w:val="00436879"/>
    <w:rsid w:val="0043717D"/>
    <w:rsid w:val="00437C0C"/>
    <w:rsid w:val="00437DC8"/>
    <w:rsid w:val="00440935"/>
    <w:rsid w:val="0044137D"/>
    <w:rsid w:val="00441DE0"/>
    <w:rsid w:val="00442733"/>
    <w:rsid w:val="004428F8"/>
    <w:rsid w:val="004438EC"/>
    <w:rsid w:val="00445686"/>
    <w:rsid w:val="00446471"/>
    <w:rsid w:val="004470BD"/>
    <w:rsid w:val="00447425"/>
    <w:rsid w:val="00447F68"/>
    <w:rsid w:val="004508EB"/>
    <w:rsid w:val="004515F1"/>
    <w:rsid w:val="00453947"/>
    <w:rsid w:val="00456A2C"/>
    <w:rsid w:val="00457B50"/>
    <w:rsid w:val="00460668"/>
    <w:rsid w:val="004611C1"/>
    <w:rsid w:val="00461792"/>
    <w:rsid w:val="00462B72"/>
    <w:rsid w:val="00465AF5"/>
    <w:rsid w:val="004661B0"/>
    <w:rsid w:val="00466FEA"/>
    <w:rsid w:val="004702BD"/>
    <w:rsid w:val="00470775"/>
    <w:rsid w:val="0047091D"/>
    <w:rsid w:val="00470E01"/>
    <w:rsid w:val="00472D5C"/>
    <w:rsid w:val="00473A7F"/>
    <w:rsid w:val="00475373"/>
    <w:rsid w:val="0047596E"/>
    <w:rsid w:val="00477865"/>
    <w:rsid w:val="00480F9B"/>
    <w:rsid w:val="00482A44"/>
    <w:rsid w:val="004838AA"/>
    <w:rsid w:val="00484599"/>
    <w:rsid w:val="004851C5"/>
    <w:rsid w:val="00485335"/>
    <w:rsid w:val="00485F0D"/>
    <w:rsid w:val="00487EFD"/>
    <w:rsid w:val="004911DC"/>
    <w:rsid w:val="004920BD"/>
    <w:rsid w:val="004944B6"/>
    <w:rsid w:val="00494A80"/>
    <w:rsid w:val="00495849"/>
    <w:rsid w:val="00497A72"/>
    <w:rsid w:val="004A0F4C"/>
    <w:rsid w:val="004A0F76"/>
    <w:rsid w:val="004A26D6"/>
    <w:rsid w:val="004A3B8B"/>
    <w:rsid w:val="004A4630"/>
    <w:rsid w:val="004A4CC2"/>
    <w:rsid w:val="004A5AEC"/>
    <w:rsid w:val="004A7952"/>
    <w:rsid w:val="004A7AFF"/>
    <w:rsid w:val="004B1465"/>
    <w:rsid w:val="004B268D"/>
    <w:rsid w:val="004B31EF"/>
    <w:rsid w:val="004B4A76"/>
    <w:rsid w:val="004B5555"/>
    <w:rsid w:val="004B6A9B"/>
    <w:rsid w:val="004B794F"/>
    <w:rsid w:val="004C0A57"/>
    <w:rsid w:val="004C159B"/>
    <w:rsid w:val="004C1CEC"/>
    <w:rsid w:val="004C4320"/>
    <w:rsid w:val="004C518D"/>
    <w:rsid w:val="004C5584"/>
    <w:rsid w:val="004C6B9E"/>
    <w:rsid w:val="004C6C6E"/>
    <w:rsid w:val="004C780E"/>
    <w:rsid w:val="004D090D"/>
    <w:rsid w:val="004D14D8"/>
    <w:rsid w:val="004D2C1C"/>
    <w:rsid w:val="004D3D91"/>
    <w:rsid w:val="004D4549"/>
    <w:rsid w:val="004D5ACE"/>
    <w:rsid w:val="004D5BB9"/>
    <w:rsid w:val="004D6CD1"/>
    <w:rsid w:val="004D7834"/>
    <w:rsid w:val="004D7BF8"/>
    <w:rsid w:val="004E01E1"/>
    <w:rsid w:val="004E0B7A"/>
    <w:rsid w:val="004E0B8E"/>
    <w:rsid w:val="004E1894"/>
    <w:rsid w:val="004E2CF6"/>
    <w:rsid w:val="004E3BBF"/>
    <w:rsid w:val="004E3CA4"/>
    <w:rsid w:val="004E4CC2"/>
    <w:rsid w:val="004E518C"/>
    <w:rsid w:val="004E6F94"/>
    <w:rsid w:val="004E7578"/>
    <w:rsid w:val="004F0107"/>
    <w:rsid w:val="004F1699"/>
    <w:rsid w:val="004F17FB"/>
    <w:rsid w:val="004F3090"/>
    <w:rsid w:val="004F4346"/>
    <w:rsid w:val="004F489A"/>
    <w:rsid w:val="004F4A39"/>
    <w:rsid w:val="004F4D75"/>
    <w:rsid w:val="004F5F21"/>
    <w:rsid w:val="004F66D0"/>
    <w:rsid w:val="004F6747"/>
    <w:rsid w:val="004F7F56"/>
    <w:rsid w:val="00500332"/>
    <w:rsid w:val="00500F88"/>
    <w:rsid w:val="00504154"/>
    <w:rsid w:val="00504223"/>
    <w:rsid w:val="0050477B"/>
    <w:rsid w:val="005057CC"/>
    <w:rsid w:val="00505858"/>
    <w:rsid w:val="00505A9A"/>
    <w:rsid w:val="00505F80"/>
    <w:rsid w:val="00506735"/>
    <w:rsid w:val="005069A5"/>
    <w:rsid w:val="00507E86"/>
    <w:rsid w:val="00507FC2"/>
    <w:rsid w:val="0051089D"/>
    <w:rsid w:val="005115F3"/>
    <w:rsid w:val="00512B37"/>
    <w:rsid w:val="00512BF2"/>
    <w:rsid w:val="00513834"/>
    <w:rsid w:val="00514908"/>
    <w:rsid w:val="00514A6D"/>
    <w:rsid w:val="00515EB7"/>
    <w:rsid w:val="00516737"/>
    <w:rsid w:val="00520518"/>
    <w:rsid w:val="005208EB"/>
    <w:rsid w:val="005209D7"/>
    <w:rsid w:val="00520CD4"/>
    <w:rsid w:val="0052205A"/>
    <w:rsid w:val="00523D1E"/>
    <w:rsid w:val="0052537E"/>
    <w:rsid w:val="00525F48"/>
    <w:rsid w:val="0052611C"/>
    <w:rsid w:val="005261F1"/>
    <w:rsid w:val="00526784"/>
    <w:rsid w:val="00526E2C"/>
    <w:rsid w:val="00527268"/>
    <w:rsid w:val="00527CD2"/>
    <w:rsid w:val="00531527"/>
    <w:rsid w:val="005316B6"/>
    <w:rsid w:val="00533FFC"/>
    <w:rsid w:val="0053539D"/>
    <w:rsid w:val="005361E0"/>
    <w:rsid w:val="005378EF"/>
    <w:rsid w:val="00540570"/>
    <w:rsid w:val="005437CF"/>
    <w:rsid w:val="0054482C"/>
    <w:rsid w:val="00547B22"/>
    <w:rsid w:val="00547B5A"/>
    <w:rsid w:val="00550282"/>
    <w:rsid w:val="0055080C"/>
    <w:rsid w:val="0055130D"/>
    <w:rsid w:val="00553600"/>
    <w:rsid w:val="005550DD"/>
    <w:rsid w:val="00555359"/>
    <w:rsid w:val="005575BA"/>
    <w:rsid w:val="00557DC5"/>
    <w:rsid w:val="00560711"/>
    <w:rsid w:val="00560F77"/>
    <w:rsid w:val="00561CBB"/>
    <w:rsid w:val="00561EA3"/>
    <w:rsid w:val="005624A0"/>
    <w:rsid w:val="005634AE"/>
    <w:rsid w:val="005635C8"/>
    <w:rsid w:val="00564B12"/>
    <w:rsid w:val="0056541C"/>
    <w:rsid w:val="0056550D"/>
    <w:rsid w:val="005659AC"/>
    <w:rsid w:val="00566122"/>
    <w:rsid w:val="005665E1"/>
    <w:rsid w:val="00567592"/>
    <w:rsid w:val="00567730"/>
    <w:rsid w:val="00567B55"/>
    <w:rsid w:val="005701BB"/>
    <w:rsid w:val="005709B5"/>
    <w:rsid w:val="00570BB9"/>
    <w:rsid w:val="005712A8"/>
    <w:rsid w:val="00572230"/>
    <w:rsid w:val="00572418"/>
    <w:rsid w:val="00572A77"/>
    <w:rsid w:val="00573BE5"/>
    <w:rsid w:val="00574301"/>
    <w:rsid w:val="00574806"/>
    <w:rsid w:val="005752A3"/>
    <w:rsid w:val="00575CB7"/>
    <w:rsid w:val="00580F55"/>
    <w:rsid w:val="00583F70"/>
    <w:rsid w:val="00584D05"/>
    <w:rsid w:val="0058523D"/>
    <w:rsid w:val="00586934"/>
    <w:rsid w:val="00587985"/>
    <w:rsid w:val="00587C00"/>
    <w:rsid w:val="00587E4F"/>
    <w:rsid w:val="0059033F"/>
    <w:rsid w:val="00591BBD"/>
    <w:rsid w:val="0059449D"/>
    <w:rsid w:val="00597E4B"/>
    <w:rsid w:val="005A1260"/>
    <w:rsid w:val="005A2328"/>
    <w:rsid w:val="005A2FA1"/>
    <w:rsid w:val="005A3014"/>
    <w:rsid w:val="005A35B6"/>
    <w:rsid w:val="005A4232"/>
    <w:rsid w:val="005A50A0"/>
    <w:rsid w:val="005A6107"/>
    <w:rsid w:val="005A6740"/>
    <w:rsid w:val="005A6767"/>
    <w:rsid w:val="005A77C9"/>
    <w:rsid w:val="005A7A37"/>
    <w:rsid w:val="005B016E"/>
    <w:rsid w:val="005B03C3"/>
    <w:rsid w:val="005B0807"/>
    <w:rsid w:val="005B0C96"/>
    <w:rsid w:val="005B1244"/>
    <w:rsid w:val="005B1685"/>
    <w:rsid w:val="005B214B"/>
    <w:rsid w:val="005B2CA3"/>
    <w:rsid w:val="005B3314"/>
    <w:rsid w:val="005B3467"/>
    <w:rsid w:val="005B5997"/>
    <w:rsid w:val="005B5AF6"/>
    <w:rsid w:val="005B5F05"/>
    <w:rsid w:val="005B61FE"/>
    <w:rsid w:val="005B6687"/>
    <w:rsid w:val="005C09B3"/>
    <w:rsid w:val="005C0D7E"/>
    <w:rsid w:val="005C0DE7"/>
    <w:rsid w:val="005C0F07"/>
    <w:rsid w:val="005C177B"/>
    <w:rsid w:val="005C1CA1"/>
    <w:rsid w:val="005C2DE6"/>
    <w:rsid w:val="005C3E05"/>
    <w:rsid w:val="005C4447"/>
    <w:rsid w:val="005C4EBF"/>
    <w:rsid w:val="005C5098"/>
    <w:rsid w:val="005C58EB"/>
    <w:rsid w:val="005C5977"/>
    <w:rsid w:val="005C7ED7"/>
    <w:rsid w:val="005D01A4"/>
    <w:rsid w:val="005D088D"/>
    <w:rsid w:val="005D0D39"/>
    <w:rsid w:val="005D1A7D"/>
    <w:rsid w:val="005D1D9B"/>
    <w:rsid w:val="005D1F21"/>
    <w:rsid w:val="005D392F"/>
    <w:rsid w:val="005D57AA"/>
    <w:rsid w:val="005D5D39"/>
    <w:rsid w:val="005D78A2"/>
    <w:rsid w:val="005E1C52"/>
    <w:rsid w:val="005E2E68"/>
    <w:rsid w:val="005E33D2"/>
    <w:rsid w:val="005E41E1"/>
    <w:rsid w:val="005E4442"/>
    <w:rsid w:val="005E4BD2"/>
    <w:rsid w:val="005E501E"/>
    <w:rsid w:val="005E50F3"/>
    <w:rsid w:val="005E5490"/>
    <w:rsid w:val="005E5F00"/>
    <w:rsid w:val="005F2D4C"/>
    <w:rsid w:val="005F31D5"/>
    <w:rsid w:val="005F37D4"/>
    <w:rsid w:val="005F42D2"/>
    <w:rsid w:val="005F4DD9"/>
    <w:rsid w:val="005F51F9"/>
    <w:rsid w:val="005F554A"/>
    <w:rsid w:val="005F67E2"/>
    <w:rsid w:val="006020D9"/>
    <w:rsid w:val="0060267A"/>
    <w:rsid w:val="00602D10"/>
    <w:rsid w:val="006030D6"/>
    <w:rsid w:val="006043A4"/>
    <w:rsid w:val="00605007"/>
    <w:rsid w:val="0060594A"/>
    <w:rsid w:val="006105B3"/>
    <w:rsid w:val="006119B8"/>
    <w:rsid w:val="006133D1"/>
    <w:rsid w:val="00614CD3"/>
    <w:rsid w:val="006158DE"/>
    <w:rsid w:val="0061627F"/>
    <w:rsid w:val="00616BF1"/>
    <w:rsid w:val="0062043A"/>
    <w:rsid w:val="00620808"/>
    <w:rsid w:val="006217E3"/>
    <w:rsid w:val="00621A67"/>
    <w:rsid w:val="00621EDB"/>
    <w:rsid w:val="00622F37"/>
    <w:rsid w:val="006232A3"/>
    <w:rsid w:val="006240A6"/>
    <w:rsid w:val="006242DF"/>
    <w:rsid w:val="0062497C"/>
    <w:rsid w:val="00624EB7"/>
    <w:rsid w:val="0062600E"/>
    <w:rsid w:val="00626EC9"/>
    <w:rsid w:val="006346F0"/>
    <w:rsid w:val="00636643"/>
    <w:rsid w:val="006374CD"/>
    <w:rsid w:val="00637F16"/>
    <w:rsid w:val="00640570"/>
    <w:rsid w:val="00640CB0"/>
    <w:rsid w:val="00641143"/>
    <w:rsid w:val="0064267E"/>
    <w:rsid w:val="006430FF"/>
    <w:rsid w:val="0064347A"/>
    <w:rsid w:val="00643967"/>
    <w:rsid w:val="0064721C"/>
    <w:rsid w:val="00647882"/>
    <w:rsid w:val="00647DA8"/>
    <w:rsid w:val="00647F9D"/>
    <w:rsid w:val="006502AB"/>
    <w:rsid w:val="00650F32"/>
    <w:rsid w:val="00651177"/>
    <w:rsid w:val="0065343A"/>
    <w:rsid w:val="00653A2A"/>
    <w:rsid w:val="00653B74"/>
    <w:rsid w:val="006569FD"/>
    <w:rsid w:val="0066096D"/>
    <w:rsid w:val="0066100B"/>
    <w:rsid w:val="0066219C"/>
    <w:rsid w:val="00663D25"/>
    <w:rsid w:val="00664F61"/>
    <w:rsid w:val="0066654B"/>
    <w:rsid w:val="00666B1D"/>
    <w:rsid w:val="006672FF"/>
    <w:rsid w:val="00671576"/>
    <w:rsid w:val="00671816"/>
    <w:rsid w:val="006724CA"/>
    <w:rsid w:val="006727E9"/>
    <w:rsid w:val="00672CBC"/>
    <w:rsid w:val="006746CD"/>
    <w:rsid w:val="00674DB1"/>
    <w:rsid w:val="00677156"/>
    <w:rsid w:val="006779A1"/>
    <w:rsid w:val="006807B3"/>
    <w:rsid w:val="006813A4"/>
    <w:rsid w:val="00681F77"/>
    <w:rsid w:val="006823B3"/>
    <w:rsid w:val="00682BA0"/>
    <w:rsid w:val="00682E7A"/>
    <w:rsid w:val="0068368F"/>
    <w:rsid w:val="0068390A"/>
    <w:rsid w:val="00684D30"/>
    <w:rsid w:val="0068528A"/>
    <w:rsid w:val="006855D3"/>
    <w:rsid w:val="00685D06"/>
    <w:rsid w:val="00686202"/>
    <w:rsid w:val="00690243"/>
    <w:rsid w:val="0069139A"/>
    <w:rsid w:val="006917A7"/>
    <w:rsid w:val="00691862"/>
    <w:rsid w:val="0069219F"/>
    <w:rsid w:val="006944EB"/>
    <w:rsid w:val="00694C2D"/>
    <w:rsid w:val="006954C4"/>
    <w:rsid w:val="006A00B7"/>
    <w:rsid w:val="006A0311"/>
    <w:rsid w:val="006A0563"/>
    <w:rsid w:val="006A134B"/>
    <w:rsid w:val="006A1B12"/>
    <w:rsid w:val="006A229F"/>
    <w:rsid w:val="006A34AC"/>
    <w:rsid w:val="006A46A7"/>
    <w:rsid w:val="006A4D18"/>
    <w:rsid w:val="006A4F09"/>
    <w:rsid w:val="006A50E4"/>
    <w:rsid w:val="006A7371"/>
    <w:rsid w:val="006B34C9"/>
    <w:rsid w:val="006B399A"/>
    <w:rsid w:val="006B4795"/>
    <w:rsid w:val="006B4AA3"/>
    <w:rsid w:val="006B5791"/>
    <w:rsid w:val="006B60A2"/>
    <w:rsid w:val="006B6798"/>
    <w:rsid w:val="006B77BE"/>
    <w:rsid w:val="006B7B54"/>
    <w:rsid w:val="006C06AF"/>
    <w:rsid w:val="006C0F76"/>
    <w:rsid w:val="006C1340"/>
    <w:rsid w:val="006C23C2"/>
    <w:rsid w:val="006C33AC"/>
    <w:rsid w:val="006C4B1F"/>
    <w:rsid w:val="006C5C39"/>
    <w:rsid w:val="006C6FBB"/>
    <w:rsid w:val="006C723E"/>
    <w:rsid w:val="006C7B71"/>
    <w:rsid w:val="006D01E3"/>
    <w:rsid w:val="006D3A6D"/>
    <w:rsid w:val="006D46C6"/>
    <w:rsid w:val="006D4F91"/>
    <w:rsid w:val="006D5556"/>
    <w:rsid w:val="006D5BF1"/>
    <w:rsid w:val="006D6DB3"/>
    <w:rsid w:val="006E0419"/>
    <w:rsid w:val="006E0CF5"/>
    <w:rsid w:val="006E15B5"/>
    <w:rsid w:val="006E18EB"/>
    <w:rsid w:val="006E1C31"/>
    <w:rsid w:val="006E1D72"/>
    <w:rsid w:val="006E31A3"/>
    <w:rsid w:val="006E3E1B"/>
    <w:rsid w:val="006E45CC"/>
    <w:rsid w:val="006E4FBE"/>
    <w:rsid w:val="006E52E1"/>
    <w:rsid w:val="006E5C6C"/>
    <w:rsid w:val="006E63DE"/>
    <w:rsid w:val="006E6A42"/>
    <w:rsid w:val="006E70D1"/>
    <w:rsid w:val="006F04D9"/>
    <w:rsid w:val="006F07FA"/>
    <w:rsid w:val="006F0FBF"/>
    <w:rsid w:val="006F137B"/>
    <w:rsid w:val="006F1B2E"/>
    <w:rsid w:val="006F1DC1"/>
    <w:rsid w:val="006F2292"/>
    <w:rsid w:val="006F2BA0"/>
    <w:rsid w:val="006F31D7"/>
    <w:rsid w:val="006F3670"/>
    <w:rsid w:val="006F3932"/>
    <w:rsid w:val="006F3B2C"/>
    <w:rsid w:val="006F46C7"/>
    <w:rsid w:val="006F48D3"/>
    <w:rsid w:val="006F4901"/>
    <w:rsid w:val="006F617A"/>
    <w:rsid w:val="006F6D52"/>
    <w:rsid w:val="007001BB"/>
    <w:rsid w:val="0070184C"/>
    <w:rsid w:val="007028E7"/>
    <w:rsid w:val="00703500"/>
    <w:rsid w:val="007039B7"/>
    <w:rsid w:val="00703CAD"/>
    <w:rsid w:val="0070401B"/>
    <w:rsid w:val="00704082"/>
    <w:rsid w:val="00705371"/>
    <w:rsid w:val="007077DC"/>
    <w:rsid w:val="00707DAE"/>
    <w:rsid w:val="00710C2B"/>
    <w:rsid w:val="00713384"/>
    <w:rsid w:val="00713D73"/>
    <w:rsid w:val="007141E1"/>
    <w:rsid w:val="00714F31"/>
    <w:rsid w:val="0071593B"/>
    <w:rsid w:val="007219F6"/>
    <w:rsid w:val="00722046"/>
    <w:rsid w:val="00722CFC"/>
    <w:rsid w:val="0072440A"/>
    <w:rsid w:val="00724504"/>
    <w:rsid w:val="007247EB"/>
    <w:rsid w:val="007257D4"/>
    <w:rsid w:val="00726485"/>
    <w:rsid w:val="00726F2B"/>
    <w:rsid w:val="00730744"/>
    <w:rsid w:val="00730FE2"/>
    <w:rsid w:val="00732F1A"/>
    <w:rsid w:val="00733151"/>
    <w:rsid w:val="00733AC8"/>
    <w:rsid w:val="00734A87"/>
    <w:rsid w:val="00734CF6"/>
    <w:rsid w:val="00735189"/>
    <w:rsid w:val="007360FB"/>
    <w:rsid w:val="00736132"/>
    <w:rsid w:val="007369A0"/>
    <w:rsid w:val="00740E6A"/>
    <w:rsid w:val="007413D9"/>
    <w:rsid w:val="0074150C"/>
    <w:rsid w:val="00741858"/>
    <w:rsid w:val="00742024"/>
    <w:rsid w:val="007434B4"/>
    <w:rsid w:val="00744360"/>
    <w:rsid w:val="007455AC"/>
    <w:rsid w:val="00745685"/>
    <w:rsid w:val="0074593E"/>
    <w:rsid w:val="007460BC"/>
    <w:rsid w:val="00746586"/>
    <w:rsid w:val="00747190"/>
    <w:rsid w:val="00747779"/>
    <w:rsid w:val="00747DDA"/>
    <w:rsid w:val="00747F03"/>
    <w:rsid w:val="00750446"/>
    <w:rsid w:val="0075053D"/>
    <w:rsid w:val="00750C6B"/>
    <w:rsid w:val="00751132"/>
    <w:rsid w:val="00751F7C"/>
    <w:rsid w:val="007521C3"/>
    <w:rsid w:val="00753FAF"/>
    <w:rsid w:val="00755F77"/>
    <w:rsid w:val="007567BC"/>
    <w:rsid w:val="007568EE"/>
    <w:rsid w:val="007601F3"/>
    <w:rsid w:val="007606C3"/>
    <w:rsid w:val="00760E64"/>
    <w:rsid w:val="007611A9"/>
    <w:rsid w:val="00761C5D"/>
    <w:rsid w:val="00761F02"/>
    <w:rsid w:val="00762799"/>
    <w:rsid w:val="0076488F"/>
    <w:rsid w:val="00764F11"/>
    <w:rsid w:val="00765AED"/>
    <w:rsid w:val="0076675E"/>
    <w:rsid w:val="0076684A"/>
    <w:rsid w:val="00767220"/>
    <w:rsid w:val="00771449"/>
    <w:rsid w:val="00771DE6"/>
    <w:rsid w:val="007723AB"/>
    <w:rsid w:val="0077273F"/>
    <w:rsid w:val="0077276B"/>
    <w:rsid w:val="007741AD"/>
    <w:rsid w:val="00774632"/>
    <w:rsid w:val="00775065"/>
    <w:rsid w:val="00777B6C"/>
    <w:rsid w:val="00780CB0"/>
    <w:rsid w:val="007847B2"/>
    <w:rsid w:val="00785952"/>
    <w:rsid w:val="00786755"/>
    <w:rsid w:val="00787111"/>
    <w:rsid w:val="00787136"/>
    <w:rsid w:val="0078751B"/>
    <w:rsid w:val="00787713"/>
    <w:rsid w:val="00787B90"/>
    <w:rsid w:val="007928E2"/>
    <w:rsid w:val="007936B7"/>
    <w:rsid w:val="007938A2"/>
    <w:rsid w:val="00793C99"/>
    <w:rsid w:val="007946C7"/>
    <w:rsid w:val="00794837"/>
    <w:rsid w:val="007948EB"/>
    <w:rsid w:val="0079531F"/>
    <w:rsid w:val="00795D1A"/>
    <w:rsid w:val="007972B8"/>
    <w:rsid w:val="00797518"/>
    <w:rsid w:val="007975C6"/>
    <w:rsid w:val="00797F62"/>
    <w:rsid w:val="007A0388"/>
    <w:rsid w:val="007A33DB"/>
    <w:rsid w:val="007A3ABD"/>
    <w:rsid w:val="007A4B56"/>
    <w:rsid w:val="007A54CF"/>
    <w:rsid w:val="007A5DDD"/>
    <w:rsid w:val="007A69F1"/>
    <w:rsid w:val="007A6B90"/>
    <w:rsid w:val="007B00C9"/>
    <w:rsid w:val="007B00EC"/>
    <w:rsid w:val="007B0338"/>
    <w:rsid w:val="007B0520"/>
    <w:rsid w:val="007B2232"/>
    <w:rsid w:val="007B4A00"/>
    <w:rsid w:val="007B61D1"/>
    <w:rsid w:val="007B644C"/>
    <w:rsid w:val="007B65F8"/>
    <w:rsid w:val="007B726D"/>
    <w:rsid w:val="007C0C56"/>
    <w:rsid w:val="007C2C9D"/>
    <w:rsid w:val="007C302F"/>
    <w:rsid w:val="007C5C1F"/>
    <w:rsid w:val="007C5F6A"/>
    <w:rsid w:val="007C6ED7"/>
    <w:rsid w:val="007C76F3"/>
    <w:rsid w:val="007D0885"/>
    <w:rsid w:val="007D0B35"/>
    <w:rsid w:val="007D1565"/>
    <w:rsid w:val="007D23C8"/>
    <w:rsid w:val="007D348B"/>
    <w:rsid w:val="007D3A8A"/>
    <w:rsid w:val="007D405F"/>
    <w:rsid w:val="007D460B"/>
    <w:rsid w:val="007D4EAE"/>
    <w:rsid w:val="007D57AF"/>
    <w:rsid w:val="007D5C23"/>
    <w:rsid w:val="007D6E84"/>
    <w:rsid w:val="007D71A8"/>
    <w:rsid w:val="007D76CE"/>
    <w:rsid w:val="007D7812"/>
    <w:rsid w:val="007E0993"/>
    <w:rsid w:val="007E1305"/>
    <w:rsid w:val="007E1DC0"/>
    <w:rsid w:val="007E256E"/>
    <w:rsid w:val="007E2C2B"/>
    <w:rsid w:val="007E2F36"/>
    <w:rsid w:val="007E3355"/>
    <w:rsid w:val="007E4784"/>
    <w:rsid w:val="007E484A"/>
    <w:rsid w:val="007E4969"/>
    <w:rsid w:val="007E4D75"/>
    <w:rsid w:val="007E5152"/>
    <w:rsid w:val="007E5BC4"/>
    <w:rsid w:val="007F589A"/>
    <w:rsid w:val="007F59B2"/>
    <w:rsid w:val="007F5A41"/>
    <w:rsid w:val="007F5C7E"/>
    <w:rsid w:val="007F5C8A"/>
    <w:rsid w:val="007F6ECA"/>
    <w:rsid w:val="00801915"/>
    <w:rsid w:val="00801B24"/>
    <w:rsid w:val="008022FA"/>
    <w:rsid w:val="00802842"/>
    <w:rsid w:val="008029A3"/>
    <w:rsid w:val="00802D88"/>
    <w:rsid w:val="008041E9"/>
    <w:rsid w:val="0080530F"/>
    <w:rsid w:val="00805524"/>
    <w:rsid w:val="00805B8A"/>
    <w:rsid w:val="00805E68"/>
    <w:rsid w:val="00807280"/>
    <w:rsid w:val="00807527"/>
    <w:rsid w:val="00807626"/>
    <w:rsid w:val="00807B9A"/>
    <w:rsid w:val="008100B3"/>
    <w:rsid w:val="00811559"/>
    <w:rsid w:val="008137E0"/>
    <w:rsid w:val="00814617"/>
    <w:rsid w:val="00814F1A"/>
    <w:rsid w:val="008168BB"/>
    <w:rsid w:val="008171F2"/>
    <w:rsid w:val="008205E0"/>
    <w:rsid w:val="00820C24"/>
    <w:rsid w:val="00821980"/>
    <w:rsid w:val="0082253F"/>
    <w:rsid w:val="00823B5F"/>
    <w:rsid w:val="00824B7E"/>
    <w:rsid w:val="00826848"/>
    <w:rsid w:val="00826A07"/>
    <w:rsid w:val="00826FDC"/>
    <w:rsid w:val="00830F29"/>
    <w:rsid w:val="008327F1"/>
    <w:rsid w:val="0083358D"/>
    <w:rsid w:val="00833685"/>
    <w:rsid w:val="008348A7"/>
    <w:rsid w:val="00834DF7"/>
    <w:rsid w:val="00834DFF"/>
    <w:rsid w:val="008368A0"/>
    <w:rsid w:val="00840AB2"/>
    <w:rsid w:val="008417A5"/>
    <w:rsid w:val="00842D56"/>
    <w:rsid w:val="00843EDD"/>
    <w:rsid w:val="00844573"/>
    <w:rsid w:val="00844C56"/>
    <w:rsid w:val="00845C17"/>
    <w:rsid w:val="00845D26"/>
    <w:rsid w:val="00846C2C"/>
    <w:rsid w:val="0085129C"/>
    <w:rsid w:val="00852675"/>
    <w:rsid w:val="00852853"/>
    <w:rsid w:val="00853251"/>
    <w:rsid w:val="00854301"/>
    <w:rsid w:val="008558C2"/>
    <w:rsid w:val="008570AA"/>
    <w:rsid w:val="008578BB"/>
    <w:rsid w:val="00860E07"/>
    <w:rsid w:val="008613AD"/>
    <w:rsid w:val="0086223C"/>
    <w:rsid w:val="00862AC9"/>
    <w:rsid w:val="00862E2B"/>
    <w:rsid w:val="00863896"/>
    <w:rsid w:val="0086558C"/>
    <w:rsid w:val="00865FC0"/>
    <w:rsid w:val="00865FEB"/>
    <w:rsid w:val="0086659F"/>
    <w:rsid w:val="00866B3B"/>
    <w:rsid w:val="008706F9"/>
    <w:rsid w:val="00871BBB"/>
    <w:rsid w:val="00871DFA"/>
    <w:rsid w:val="00873CDE"/>
    <w:rsid w:val="00874C18"/>
    <w:rsid w:val="00875458"/>
    <w:rsid w:val="00876925"/>
    <w:rsid w:val="00877941"/>
    <w:rsid w:val="00877B90"/>
    <w:rsid w:val="0088016F"/>
    <w:rsid w:val="00880359"/>
    <w:rsid w:val="0088062D"/>
    <w:rsid w:val="00880C22"/>
    <w:rsid w:val="008813EF"/>
    <w:rsid w:val="00881408"/>
    <w:rsid w:val="0088206F"/>
    <w:rsid w:val="008821CE"/>
    <w:rsid w:val="00882419"/>
    <w:rsid w:val="008828A3"/>
    <w:rsid w:val="00882F88"/>
    <w:rsid w:val="008836B3"/>
    <w:rsid w:val="00883835"/>
    <w:rsid w:val="00884527"/>
    <w:rsid w:val="00885429"/>
    <w:rsid w:val="00886054"/>
    <w:rsid w:val="008862FF"/>
    <w:rsid w:val="00886FAE"/>
    <w:rsid w:val="00887570"/>
    <w:rsid w:val="0088767A"/>
    <w:rsid w:val="00892D2C"/>
    <w:rsid w:val="00893531"/>
    <w:rsid w:val="0089452D"/>
    <w:rsid w:val="008952DA"/>
    <w:rsid w:val="00895D20"/>
    <w:rsid w:val="008961A9"/>
    <w:rsid w:val="00897720"/>
    <w:rsid w:val="008978AE"/>
    <w:rsid w:val="008A0865"/>
    <w:rsid w:val="008A1CC1"/>
    <w:rsid w:val="008A1E03"/>
    <w:rsid w:val="008A400C"/>
    <w:rsid w:val="008A4564"/>
    <w:rsid w:val="008A64F6"/>
    <w:rsid w:val="008A664A"/>
    <w:rsid w:val="008A6C2A"/>
    <w:rsid w:val="008A7189"/>
    <w:rsid w:val="008A75A2"/>
    <w:rsid w:val="008B064A"/>
    <w:rsid w:val="008B35FF"/>
    <w:rsid w:val="008B3914"/>
    <w:rsid w:val="008B3B34"/>
    <w:rsid w:val="008B4ECD"/>
    <w:rsid w:val="008B685F"/>
    <w:rsid w:val="008B7C50"/>
    <w:rsid w:val="008B7C74"/>
    <w:rsid w:val="008B7E9E"/>
    <w:rsid w:val="008C008E"/>
    <w:rsid w:val="008C2834"/>
    <w:rsid w:val="008C29DE"/>
    <w:rsid w:val="008C2DE1"/>
    <w:rsid w:val="008C3A07"/>
    <w:rsid w:val="008C41AF"/>
    <w:rsid w:val="008C47C2"/>
    <w:rsid w:val="008C59E1"/>
    <w:rsid w:val="008D0BF1"/>
    <w:rsid w:val="008D0C02"/>
    <w:rsid w:val="008D201F"/>
    <w:rsid w:val="008D3FC4"/>
    <w:rsid w:val="008D499A"/>
    <w:rsid w:val="008D4A08"/>
    <w:rsid w:val="008D5A64"/>
    <w:rsid w:val="008D63C6"/>
    <w:rsid w:val="008D71E1"/>
    <w:rsid w:val="008E1B2E"/>
    <w:rsid w:val="008E2E02"/>
    <w:rsid w:val="008E3392"/>
    <w:rsid w:val="008E3C1A"/>
    <w:rsid w:val="008E4ED5"/>
    <w:rsid w:val="008E6DFB"/>
    <w:rsid w:val="008F1C57"/>
    <w:rsid w:val="008F3E65"/>
    <w:rsid w:val="008F4F35"/>
    <w:rsid w:val="008F587E"/>
    <w:rsid w:val="008F63FC"/>
    <w:rsid w:val="008F6500"/>
    <w:rsid w:val="008F73EE"/>
    <w:rsid w:val="0090107B"/>
    <w:rsid w:val="00901406"/>
    <w:rsid w:val="00901880"/>
    <w:rsid w:val="00901F5B"/>
    <w:rsid w:val="0090312E"/>
    <w:rsid w:val="00903231"/>
    <w:rsid w:val="0090323D"/>
    <w:rsid w:val="0090365C"/>
    <w:rsid w:val="009040DE"/>
    <w:rsid w:val="00904101"/>
    <w:rsid w:val="00904FDD"/>
    <w:rsid w:val="009055CB"/>
    <w:rsid w:val="009069C0"/>
    <w:rsid w:val="00907526"/>
    <w:rsid w:val="0090766C"/>
    <w:rsid w:val="009104BE"/>
    <w:rsid w:val="00910FB9"/>
    <w:rsid w:val="0091102F"/>
    <w:rsid w:val="009130C4"/>
    <w:rsid w:val="009138A1"/>
    <w:rsid w:val="00913D07"/>
    <w:rsid w:val="00914055"/>
    <w:rsid w:val="00915BB8"/>
    <w:rsid w:val="00915C2A"/>
    <w:rsid w:val="00916580"/>
    <w:rsid w:val="0091715D"/>
    <w:rsid w:val="009179EE"/>
    <w:rsid w:val="00917B30"/>
    <w:rsid w:val="00921556"/>
    <w:rsid w:val="0092181D"/>
    <w:rsid w:val="00921BF6"/>
    <w:rsid w:val="009220E1"/>
    <w:rsid w:val="009226FF"/>
    <w:rsid w:val="00922B63"/>
    <w:rsid w:val="00922BF1"/>
    <w:rsid w:val="00922DDF"/>
    <w:rsid w:val="0092412A"/>
    <w:rsid w:val="0092516A"/>
    <w:rsid w:val="009258D3"/>
    <w:rsid w:val="00926E98"/>
    <w:rsid w:val="0093049E"/>
    <w:rsid w:val="00932D24"/>
    <w:rsid w:val="00933FFC"/>
    <w:rsid w:val="0093449D"/>
    <w:rsid w:val="0093744F"/>
    <w:rsid w:val="009438E2"/>
    <w:rsid w:val="00943F2F"/>
    <w:rsid w:val="009440E8"/>
    <w:rsid w:val="0094476B"/>
    <w:rsid w:val="00944F45"/>
    <w:rsid w:val="00945A65"/>
    <w:rsid w:val="00945FCD"/>
    <w:rsid w:val="009471C8"/>
    <w:rsid w:val="00950768"/>
    <w:rsid w:val="00950BFF"/>
    <w:rsid w:val="00951E05"/>
    <w:rsid w:val="009523BC"/>
    <w:rsid w:val="0095283A"/>
    <w:rsid w:val="009530CA"/>
    <w:rsid w:val="00953295"/>
    <w:rsid w:val="009533D4"/>
    <w:rsid w:val="009536C0"/>
    <w:rsid w:val="00955A0A"/>
    <w:rsid w:val="00956792"/>
    <w:rsid w:val="00956C44"/>
    <w:rsid w:val="009575AE"/>
    <w:rsid w:val="0096037C"/>
    <w:rsid w:val="009605C3"/>
    <w:rsid w:val="00960AEF"/>
    <w:rsid w:val="00964404"/>
    <w:rsid w:val="009663CE"/>
    <w:rsid w:val="00966666"/>
    <w:rsid w:val="00966A87"/>
    <w:rsid w:val="00966CF3"/>
    <w:rsid w:val="00967B29"/>
    <w:rsid w:val="00967EB5"/>
    <w:rsid w:val="0097053B"/>
    <w:rsid w:val="009716E8"/>
    <w:rsid w:val="0097210A"/>
    <w:rsid w:val="00974D37"/>
    <w:rsid w:val="00974E44"/>
    <w:rsid w:val="009764A4"/>
    <w:rsid w:val="009771AA"/>
    <w:rsid w:val="0098151F"/>
    <w:rsid w:val="009822D7"/>
    <w:rsid w:val="009822F0"/>
    <w:rsid w:val="00983A67"/>
    <w:rsid w:val="00983E55"/>
    <w:rsid w:val="00985BBC"/>
    <w:rsid w:val="009864CF"/>
    <w:rsid w:val="009868D4"/>
    <w:rsid w:val="00986DA9"/>
    <w:rsid w:val="009875EA"/>
    <w:rsid w:val="0099031D"/>
    <w:rsid w:val="00991EB4"/>
    <w:rsid w:val="009928A8"/>
    <w:rsid w:val="00992BAF"/>
    <w:rsid w:val="00992F43"/>
    <w:rsid w:val="00993871"/>
    <w:rsid w:val="00994C2B"/>
    <w:rsid w:val="00994DAF"/>
    <w:rsid w:val="00994FCA"/>
    <w:rsid w:val="00996896"/>
    <w:rsid w:val="00996B4D"/>
    <w:rsid w:val="00996D0D"/>
    <w:rsid w:val="009A0374"/>
    <w:rsid w:val="009A0AA3"/>
    <w:rsid w:val="009A0EAF"/>
    <w:rsid w:val="009A2CBF"/>
    <w:rsid w:val="009A30BF"/>
    <w:rsid w:val="009A3F9F"/>
    <w:rsid w:val="009A4C47"/>
    <w:rsid w:val="009A5E9C"/>
    <w:rsid w:val="009A7525"/>
    <w:rsid w:val="009A7664"/>
    <w:rsid w:val="009A7FB8"/>
    <w:rsid w:val="009B06BC"/>
    <w:rsid w:val="009B1169"/>
    <w:rsid w:val="009B1687"/>
    <w:rsid w:val="009B1F47"/>
    <w:rsid w:val="009B2B6A"/>
    <w:rsid w:val="009B327E"/>
    <w:rsid w:val="009B339A"/>
    <w:rsid w:val="009B3680"/>
    <w:rsid w:val="009B4D71"/>
    <w:rsid w:val="009B56E8"/>
    <w:rsid w:val="009B5BE2"/>
    <w:rsid w:val="009C0B5F"/>
    <w:rsid w:val="009C120F"/>
    <w:rsid w:val="009C15CF"/>
    <w:rsid w:val="009C29F4"/>
    <w:rsid w:val="009C2F1E"/>
    <w:rsid w:val="009C39BD"/>
    <w:rsid w:val="009C7F22"/>
    <w:rsid w:val="009D09B9"/>
    <w:rsid w:val="009D3C87"/>
    <w:rsid w:val="009D7095"/>
    <w:rsid w:val="009E04AF"/>
    <w:rsid w:val="009E1D60"/>
    <w:rsid w:val="009E1DB2"/>
    <w:rsid w:val="009E4A6F"/>
    <w:rsid w:val="009E5BB5"/>
    <w:rsid w:val="009E6986"/>
    <w:rsid w:val="009E69CC"/>
    <w:rsid w:val="009E7A31"/>
    <w:rsid w:val="009F091E"/>
    <w:rsid w:val="009F09DD"/>
    <w:rsid w:val="009F3C62"/>
    <w:rsid w:val="009F51BF"/>
    <w:rsid w:val="009F6612"/>
    <w:rsid w:val="009F7FB0"/>
    <w:rsid w:val="00A00AB1"/>
    <w:rsid w:val="00A00FE5"/>
    <w:rsid w:val="00A025C8"/>
    <w:rsid w:val="00A0440E"/>
    <w:rsid w:val="00A055A2"/>
    <w:rsid w:val="00A05BDC"/>
    <w:rsid w:val="00A068BD"/>
    <w:rsid w:val="00A079C5"/>
    <w:rsid w:val="00A10993"/>
    <w:rsid w:val="00A10DF5"/>
    <w:rsid w:val="00A118FA"/>
    <w:rsid w:val="00A1238E"/>
    <w:rsid w:val="00A147BA"/>
    <w:rsid w:val="00A14F25"/>
    <w:rsid w:val="00A150CD"/>
    <w:rsid w:val="00A20365"/>
    <w:rsid w:val="00A2099A"/>
    <w:rsid w:val="00A20DB6"/>
    <w:rsid w:val="00A21A8D"/>
    <w:rsid w:val="00A21F26"/>
    <w:rsid w:val="00A22B25"/>
    <w:rsid w:val="00A23123"/>
    <w:rsid w:val="00A24157"/>
    <w:rsid w:val="00A251BE"/>
    <w:rsid w:val="00A26C96"/>
    <w:rsid w:val="00A274E9"/>
    <w:rsid w:val="00A27620"/>
    <w:rsid w:val="00A308A5"/>
    <w:rsid w:val="00A30C20"/>
    <w:rsid w:val="00A31C0C"/>
    <w:rsid w:val="00A32970"/>
    <w:rsid w:val="00A32B12"/>
    <w:rsid w:val="00A33BF9"/>
    <w:rsid w:val="00A340D8"/>
    <w:rsid w:val="00A35822"/>
    <w:rsid w:val="00A364E0"/>
    <w:rsid w:val="00A3740A"/>
    <w:rsid w:val="00A401DD"/>
    <w:rsid w:val="00A40786"/>
    <w:rsid w:val="00A410EA"/>
    <w:rsid w:val="00A4267E"/>
    <w:rsid w:val="00A42F8F"/>
    <w:rsid w:val="00A43F6D"/>
    <w:rsid w:val="00A445D3"/>
    <w:rsid w:val="00A44AA1"/>
    <w:rsid w:val="00A45D07"/>
    <w:rsid w:val="00A47B85"/>
    <w:rsid w:val="00A513BE"/>
    <w:rsid w:val="00A51B00"/>
    <w:rsid w:val="00A53A4C"/>
    <w:rsid w:val="00A53AA9"/>
    <w:rsid w:val="00A543D4"/>
    <w:rsid w:val="00A54ADC"/>
    <w:rsid w:val="00A572BD"/>
    <w:rsid w:val="00A57B0B"/>
    <w:rsid w:val="00A60510"/>
    <w:rsid w:val="00A60D89"/>
    <w:rsid w:val="00A611BB"/>
    <w:rsid w:val="00A64028"/>
    <w:rsid w:val="00A64425"/>
    <w:rsid w:val="00A655AC"/>
    <w:rsid w:val="00A668FB"/>
    <w:rsid w:val="00A6702B"/>
    <w:rsid w:val="00A67935"/>
    <w:rsid w:val="00A7062B"/>
    <w:rsid w:val="00A71189"/>
    <w:rsid w:val="00A713BD"/>
    <w:rsid w:val="00A71D10"/>
    <w:rsid w:val="00A71D21"/>
    <w:rsid w:val="00A7220C"/>
    <w:rsid w:val="00A73A8A"/>
    <w:rsid w:val="00A74F07"/>
    <w:rsid w:val="00A76084"/>
    <w:rsid w:val="00A806A9"/>
    <w:rsid w:val="00A807C8"/>
    <w:rsid w:val="00A80A87"/>
    <w:rsid w:val="00A812A3"/>
    <w:rsid w:val="00A81C21"/>
    <w:rsid w:val="00A83F45"/>
    <w:rsid w:val="00A8400E"/>
    <w:rsid w:val="00A867DB"/>
    <w:rsid w:val="00A869D6"/>
    <w:rsid w:val="00A86ECE"/>
    <w:rsid w:val="00A90B18"/>
    <w:rsid w:val="00A92883"/>
    <w:rsid w:val="00A92E92"/>
    <w:rsid w:val="00A93090"/>
    <w:rsid w:val="00A933B4"/>
    <w:rsid w:val="00A95AC6"/>
    <w:rsid w:val="00A95E01"/>
    <w:rsid w:val="00A96972"/>
    <w:rsid w:val="00A9710F"/>
    <w:rsid w:val="00A97460"/>
    <w:rsid w:val="00A978D9"/>
    <w:rsid w:val="00A979CB"/>
    <w:rsid w:val="00AA4277"/>
    <w:rsid w:val="00AA4545"/>
    <w:rsid w:val="00AA6414"/>
    <w:rsid w:val="00AB03B3"/>
    <w:rsid w:val="00AB05A0"/>
    <w:rsid w:val="00AB0DD6"/>
    <w:rsid w:val="00AB126F"/>
    <w:rsid w:val="00AB1312"/>
    <w:rsid w:val="00AB179F"/>
    <w:rsid w:val="00AB210D"/>
    <w:rsid w:val="00AB4CFA"/>
    <w:rsid w:val="00AB5225"/>
    <w:rsid w:val="00AB5EDB"/>
    <w:rsid w:val="00AB621A"/>
    <w:rsid w:val="00AB65F6"/>
    <w:rsid w:val="00AB704D"/>
    <w:rsid w:val="00AB70A5"/>
    <w:rsid w:val="00AB77B3"/>
    <w:rsid w:val="00AB7A04"/>
    <w:rsid w:val="00AC14AF"/>
    <w:rsid w:val="00AC25B2"/>
    <w:rsid w:val="00AC47B6"/>
    <w:rsid w:val="00AC558B"/>
    <w:rsid w:val="00AC5FEB"/>
    <w:rsid w:val="00AC7AA9"/>
    <w:rsid w:val="00AC7D32"/>
    <w:rsid w:val="00AD0017"/>
    <w:rsid w:val="00AD0343"/>
    <w:rsid w:val="00AD0B8C"/>
    <w:rsid w:val="00AD34C8"/>
    <w:rsid w:val="00AD3712"/>
    <w:rsid w:val="00AD3D71"/>
    <w:rsid w:val="00AD3EA2"/>
    <w:rsid w:val="00AD4070"/>
    <w:rsid w:val="00AD44DC"/>
    <w:rsid w:val="00AD4609"/>
    <w:rsid w:val="00AD5A5C"/>
    <w:rsid w:val="00AE0EF8"/>
    <w:rsid w:val="00AE13F8"/>
    <w:rsid w:val="00AE3218"/>
    <w:rsid w:val="00AE32D9"/>
    <w:rsid w:val="00AE3B1F"/>
    <w:rsid w:val="00AE43C4"/>
    <w:rsid w:val="00AE4454"/>
    <w:rsid w:val="00AE4958"/>
    <w:rsid w:val="00AE4D65"/>
    <w:rsid w:val="00AE52B3"/>
    <w:rsid w:val="00AE58AB"/>
    <w:rsid w:val="00AE7DF5"/>
    <w:rsid w:val="00AF0141"/>
    <w:rsid w:val="00AF18B3"/>
    <w:rsid w:val="00AF3BA9"/>
    <w:rsid w:val="00AF47DB"/>
    <w:rsid w:val="00AF4CCA"/>
    <w:rsid w:val="00AF7B5E"/>
    <w:rsid w:val="00B00935"/>
    <w:rsid w:val="00B00CF6"/>
    <w:rsid w:val="00B00D24"/>
    <w:rsid w:val="00B012BD"/>
    <w:rsid w:val="00B014E7"/>
    <w:rsid w:val="00B016BF"/>
    <w:rsid w:val="00B02A7E"/>
    <w:rsid w:val="00B02D50"/>
    <w:rsid w:val="00B036E5"/>
    <w:rsid w:val="00B04ED5"/>
    <w:rsid w:val="00B06424"/>
    <w:rsid w:val="00B10632"/>
    <w:rsid w:val="00B10B2A"/>
    <w:rsid w:val="00B115CA"/>
    <w:rsid w:val="00B122B7"/>
    <w:rsid w:val="00B12AEC"/>
    <w:rsid w:val="00B137EA"/>
    <w:rsid w:val="00B13FED"/>
    <w:rsid w:val="00B14152"/>
    <w:rsid w:val="00B14513"/>
    <w:rsid w:val="00B147C9"/>
    <w:rsid w:val="00B14A27"/>
    <w:rsid w:val="00B15ACB"/>
    <w:rsid w:val="00B1686A"/>
    <w:rsid w:val="00B20FEC"/>
    <w:rsid w:val="00B210D4"/>
    <w:rsid w:val="00B216C6"/>
    <w:rsid w:val="00B218D2"/>
    <w:rsid w:val="00B21BCE"/>
    <w:rsid w:val="00B221AB"/>
    <w:rsid w:val="00B2223A"/>
    <w:rsid w:val="00B22735"/>
    <w:rsid w:val="00B22ABA"/>
    <w:rsid w:val="00B233A7"/>
    <w:rsid w:val="00B242AF"/>
    <w:rsid w:val="00B24A89"/>
    <w:rsid w:val="00B24DFF"/>
    <w:rsid w:val="00B2614F"/>
    <w:rsid w:val="00B26607"/>
    <w:rsid w:val="00B277C0"/>
    <w:rsid w:val="00B30004"/>
    <w:rsid w:val="00B302AC"/>
    <w:rsid w:val="00B318AA"/>
    <w:rsid w:val="00B31CB9"/>
    <w:rsid w:val="00B33C46"/>
    <w:rsid w:val="00B3518F"/>
    <w:rsid w:val="00B37CD6"/>
    <w:rsid w:val="00B416F4"/>
    <w:rsid w:val="00B41991"/>
    <w:rsid w:val="00B420B0"/>
    <w:rsid w:val="00B42258"/>
    <w:rsid w:val="00B42450"/>
    <w:rsid w:val="00B44107"/>
    <w:rsid w:val="00B45413"/>
    <w:rsid w:val="00B45891"/>
    <w:rsid w:val="00B46449"/>
    <w:rsid w:val="00B47A89"/>
    <w:rsid w:val="00B47F99"/>
    <w:rsid w:val="00B50B02"/>
    <w:rsid w:val="00B51CB4"/>
    <w:rsid w:val="00B52945"/>
    <w:rsid w:val="00B52B57"/>
    <w:rsid w:val="00B53341"/>
    <w:rsid w:val="00B533D2"/>
    <w:rsid w:val="00B53710"/>
    <w:rsid w:val="00B53D89"/>
    <w:rsid w:val="00B5483F"/>
    <w:rsid w:val="00B55825"/>
    <w:rsid w:val="00B56CDE"/>
    <w:rsid w:val="00B5734F"/>
    <w:rsid w:val="00B575F0"/>
    <w:rsid w:val="00B578B5"/>
    <w:rsid w:val="00B6048A"/>
    <w:rsid w:val="00B60566"/>
    <w:rsid w:val="00B61262"/>
    <w:rsid w:val="00B612F1"/>
    <w:rsid w:val="00B618A0"/>
    <w:rsid w:val="00B629EE"/>
    <w:rsid w:val="00B62A03"/>
    <w:rsid w:val="00B63237"/>
    <w:rsid w:val="00B6426D"/>
    <w:rsid w:val="00B64739"/>
    <w:rsid w:val="00B650CF"/>
    <w:rsid w:val="00B661D4"/>
    <w:rsid w:val="00B667F6"/>
    <w:rsid w:val="00B70D74"/>
    <w:rsid w:val="00B71032"/>
    <w:rsid w:val="00B716F8"/>
    <w:rsid w:val="00B71E34"/>
    <w:rsid w:val="00B72294"/>
    <w:rsid w:val="00B7326F"/>
    <w:rsid w:val="00B762A9"/>
    <w:rsid w:val="00B76AA9"/>
    <w:rsid w:val="00B7735C"/>
    <w:rsid w:val="00B77BB6"/>
    <w:rsid w:val="00B80917"/>
    <w:rsid w:val="00B80A63"/>
    <w:rsid w:val="00B81B3B"/>
    <w:rsid w:val="00B81D23"/>
    <w:rsid w:val="00B82346"/>
    <w:rsid w:val="00B8333A"/>
    <w:rsid w:val="00B83403"/>
    <w:rsid w:val="00B8443F"/>
    <w:rsid w:val="00B87EE4"/>
    <w:rsid w:val="00B91352"/>
    <w:rsid w:val="00B917E2"/>
    <w:rsid w:val="00B924B7"/>
    <w:rsid w:val="00B924B9"/>
    <w:rsid w:val="00B92BEC"/>
    <w:rsid w:val="00B9391C"/>
    <w:rsid w:val="00B93D7E"/>
    <w:rsid w:val="00B948B3"/>
    <w:rsid w:val="00B95659"/>
    <w:rsid w:val="00B95BF4"/>
    <w:rsid w:val="00B962C7"/>
    <w:rsid w:val="00B9759F"/>
    <w:rsid w:val="00BA12EA"/>
    <w:rsid w:val="00BA1CF8"/>
    <w:rsid w:val="00BA27AD"/>
    <w:rsid w:val="00BA2A64"/>
    <w:rsid w:val="00BA3DEF"/>
    <w:rsid w:val="00BA499C"/>
    <w:rsid w:val="00BA5A6A"/>
    <w:rsid w:val="00BA620A"/>
    <w:rsid w:val="00BA7522"/>
    <w:rsid w:val="00BA789D"/>
    <w:rsid w:val="00BB00B2"/>
    <w:rsid w:val="00BB014D"/>
    <w:rsid w:val="00BB1672"/>
    <w:rsid w:val="00BB1830"/>
    <w:rsid w:val="00BB220F"/>
    <w:rsid w:val="00BB4A09"/>
    <w:rsid w:val="00BB5B51"/>
    <w:rsid w:val="00BB7E13"/>
    <w:rsid w:val="00BC06E2"/>
    <w:rsid w:val="00BC0FDA"/>
    <w:rsid w:val="00BC1A1F"/>
    <w:rsid w:val="00BC214A"/>
    <w:rsid w:val="00BC23A2"/>
    <w:rsid w:val="00BC3538"/>
    <w:rsid w:val="00BC3C3D"/>
    <w:rsid w:val="00BC43EA"/>
    <w:rsid w:val="00BC4CC0"/>
    <w:rsid w:val="00BC509C"/>
    <w:rsid w:val="00BC518B"/>
    <w:rsid w:val="00BC51EA"/>
    <w:rsid w:val="00BC5F46"/>
    <w:rsid w:val="00BC60F6"/>
    <w:rsid w:val="00BC61E8"/>
    <w:rsid w:val="00BC62F1"/>
    <w:rsid w:val="00BC6F2C"/>
    <w:rsid w:val="00BD313F"/>
    <w:rsid w:val="00BD3615"/>
    <w:rsid w:val="00BD53DE"/>
    <w:rsid w:val="00BD5BEE"/>
    <w:rsid w:val="00BD6AF6"/>
    <w:rsid w:val="00BE0B80"/>
    <w:rsid w:val="00BE0C22"/>
    <w:rsid w:val="00BE2565"/>
    <w:rsid w:val="00BE2979"/>
    <w:rsid w:val="00BE2FF1"/>
    <w:rsid w:val="00BE3417"/>
    <w:rsid w:val="00BE37D6"/>
    <w:rsid w:val="00BE3967"/>
    <w:rsid w:val="00BE399F"/>
    <w:rsid w:val="00BE4053"/>
    <w:rsid w:val="00BE45B4"/>
    <w:rsid w:val="00BE4EF1"/>
    <w:rsid w:val="00BE623D"/>
    <w:rsid w:val="00BE66FC"/>
    <w:rsid w:val="00BE7139"/>
    <w:rsid w:val="00BE7826"/>
    <w:rsid w:val="00BF0581"/>
    <w:rsid w:val="00BF0D44"/>
    <w:rsid w:val="00BF19DA"/>
    <w:rsid w:val="00BF2DDF"/>
    <w:rsid w:val="00BF39FE"/>
    <w:rsid w:val="00BF3DF7"/>
    <w:rsid w:val="00BF4C07"/>
    <w:rsid w:val="00BF56F8"/>
    <w:rsid w:val="00BF59BE"/>
    <w:rsid w:val="00BF6097"/>
    <w:rsid w:val="00BF6943"/>
    <w:rsid w:val="00BF7041"/>
    <w:rsid w:val="00BF7233"/>
    <w:rsid w:val="00BF79D5"/>
    <w:rsid w:val="00C00EE7"/>
    <w:rsid w:val="00C01777"/>
    <w:rsid w:val="00C02620"/>
    <w:rsid w:val="00C02977"/>
    <w:rsid w:val="00C02F22"/>
    <w:rsid w:val="00C0330A"/>
    <w:rsid w:val="00C0528C"/>
    <w:rsid w:val="00C10C84"/>
    <w:rsid w:val="00C11D0C"/>
    <w:rsid w:val="00C12F2F"/>
    <w:rsid w:val="00C13FBA"/>
    <w:rsid w:val="00C17147"/>
    <w:rsid w:val="00C17281"/>
    <w:rsid w:val="00C208F9"/>
    <w:rsid w:val="00C20B7F"/>
    <w:rsid w:val="00C21EB3"/>
    <w:rsid w:val="00C22D6A"/>
    <w:rsid w:val="00C23CC1"/>
    <w:rsid w:val="00C23D8A"/>
    <w:rsid w:val="00C23E80"/>
    <w:rsid w:val="00C2463D"/>
    <w:rsid w:val="00C251FE"/>
    <w:rsid w:val="00C26DAF"/>
    <w:rsid w:val="00C2755A"/>
    <w:rsid w:val="00C278BE"/>
    <w:rsid w:val="00C27C0A"/>
    <w:rsid w:val="00C3055B"/>
    <w:rsid w:val="00C3149C"/>
    <w:rsid w:val="00C315B1"/>
    <w:rsid w:val="00C3210C"/>
    <w:rsid w:val="00C3302E"/>
    <w:rsid w:val="00C33EC6"/>
    <w:rsid w:val="00C35288"/>
    <w:rsid w:val="00C40DA5"/>
    <w:rsid w:val="00C40E1A"/>
    <w:rsid w:val="00C4109D"/>
    <w:rsid w:val="00C4500C"/>
    <w:rsid w:val="00C469CD"/>
    <w:rsid w:val="00C475AC"/>
    <w:rsid w:val="00C5245A"/>
    <w:rsid w:val="00C53170"/>
    <w:rsid w:val="00C536AF"/>
    <w:rsid w:val="00C54135"/>
    <w:rsid w:val="00C54290"/>
    <w:rsid w:val="00C54739"/>
    <w:rsid w:val="00C548D4"/>
    <w:rsid w:val="00C54C6E"/>
    <w:rsid w:val="00C55250"/>
    <w:rsid w:val="00C55584"/>
    <w:rsid w:val="00C578FA"/>
    <w:rsid w:val="00C6021F"/>
    <w:rsid w:val="00C613C2"/>
    <w:rsid w:val="00C61777"/>
    <w:rsid w:val="00C62CE9"/>
    <w:rsid w:val="00C62FE6"/>
    <w:rsid w:val="00C63C78"/>
    <w:rsid w:val="00C63CB0"/>
    <w:rsid w:val="00C65169"/>
    <w:rsid w:val="00C659FC"/>
    <w:rsid w:val="00C66D00"/>
    <w:rsid w:val="00C67517"/>
    <w:rsid w:val="00C67AF0"/>
    <w:rsid w:val="00C67B05"/>
    <w:rsid w:val="00C704F9"/>
    <w:rsid w:val="00C71E43"/>
    <w:rsid w:val="00C72881"/>
    <w:rsid w:val="00C73AB3"/>
    <w:rsid w:val="00C75910"/>
    <w:rsid w:val="00C7696B"/>
    <w:rsid w:val="00C76B08"/>
    <w:rsid w:val="00C7722E"/>
    <w:rsid w:val="00C77DF9"/>
    <w:rsid w:val="00C80904"/>
    <w:rsid w:val="00C814BA"/>
    <w:rsid w:val="00C81682"/>
    <w:rsid w:val="00C849DC"/>
    <w:rsid w:val="00C84BEE"/>
    <w:rsid w:val="00C85093"/>
    <w:rsid w:val="00C867C3"/>
    <w:rsid w:val="00C8730C"/>
    <w:rsid w:val="00C903D2"/>
    <w:rsid w:val="00C9116B"/>
    <w:rsid w:val="00C93B6F"/>
    <w:rsid w:val="00C94A69"/>
    <w:rsid w:val="00C954FC"/>
    <w:rsid w:val="00C9576D"/>
    <w:rsid w:val="00C957B6"/>
    <w:rsid w:val="00C962BD"/>
    <w:rsid w:val="00C97D3C"/>
    <w:rsid w:val="00CA0823"/>
    <w:rsid w:val="00CA467A"/>
    <w:rsid w:val="00CA46D9"/>
    <w:rsid w:val="00CA473C"/>
    <w:rsid w:val="00CA54A4"/>
    <w:rsid w:val="00CA5C85"/>
    <w:rsid w:val="00CA6433"/>
    <w:rsid w:val="00CA6F49"/>
    <w:rsid w:val="00CA752A"/>
    <w:rsid w:val="00CB003D"/>
    <w:rsid w:val="00CB066D"/>
    <w:rsid w:val="00CB0E79"/>
    <w:rsid w:val="00CB110F"/>
    <w:rsid w:val="00CB1D5F"/>
    <w:rsid w:val="00CB2335"/>
    <w:rsid w:val="00CB28D1"/>
    <w:rsid w:val="00CB2C90"/>
    <w:rsid w:val="00CB3788"/>
    <w:rsid w:val="00CB3DC7"/>
    <w:rsid w:val="00CB4902"/>
    <w:rsid w:val="00CB566F"/>
    <w:rsid w:val="00CB58B3"/>
    <w:rsid w:val="00CB65B0"/>
    <w:rsid w:val="00CB67F0"/>
    <w:rsid w:val="00CB68B5"/>
    <w:rsid w:val="00CB6C72"/>
    <w:rsid w:val="00CB7DCC"/>
    <w:rsid w:val="00CC19CD"/>
    <w:rsid w:val="00CC25F6"/>
    <w:rsid w:val="00CC26CB"/>
    <w:rsid w:val="00CC385C"/>
    <w:rsid w:val="00CC412B"/>
    <w:rsid w:val="00CC41E3"/>
    <w:rsid w:val="00CC44EE"/>
    <w:rsid w:val="00CC479D"/>
    <w:rsid w:val="00CC4990"/>
    <w:rsid w:val="00CC54FD"/>
    <w:rsid w:val="00CC60E8"/>
    <w:rsid w:val="00CC627D"/>
    <w:rsid w:val="00CC6CF9"/>
    <w:rsid w:val="00CC72C5"/>
    <w:rsid w:val="00CC78C4"/>
    <w:rsid w:val="00CD1183"/>
    <w:rsid w:val="00CD13E8"/>
    <w:rsid w:val="00CD2906"/>
    <w:rsid w:val="00CD2E8F"/>
    <w:rsid w:val="00CD4432"/>
    <w:rsid w:val="00CD6921"/>
    <w:rsid w:val="00CD761E"/>
    <w:rsid w:val="00CD77FE"/>
    <w:rsid w:val="00CE5D57"/>
    <w:rsid w:val="00CF2EFB"/>
    <w:rsid w:val="00CF42C0"/>
    <w:rsid w:val="00CF50E5"/>
    <w:rsid w:val="00CF5178"/>
    <w:rsid w:val="00CF565F"/>
    <w:rsid w:val="00CF5F28"/>
    <w:rsid w:val="00CF6927"/>
    <w:rsid w:val="00D045AB"/>
    <w:rsid w:val="00D045D2"/>
    <w:rsid w:val="00D04A39"/>
    <w:rsid w:val="00D05DA4"/>
    <w:rsid w:val="00D05E78"/>
    <w:rsid w:val="00D06080"/>
    <w:rsid w:val="00D0755E"/>
    <w:rsid w:val="00D102D4"/>
    <w:rsid w:val="00D1130C"/>
    <w:rsid w:val="00D11C1D"/>
    <w:rsid w:val="00D12384"/>
    <w:rsid w:val="00D13355"/>
    <w:rsid w:val="00D149C8"/>
    <w:rsid w:val="00D14AE5"/>
    <w:rsid w:val="00D153C1"/>
    <w:rsid w:val="00D1657F"/>
    <w:rsid w:val="00D16A4C"/>
    <w:rsid w:val="00D17CB4"/>
    <w:rsid w:val="00D202CE"/>
    <w:rsid w:val="00D20FE9"/>
    <w:rsid w:val="00D2110F"/>
    <w:rsid w:val="00D21663"/>
    <w:rsid w:val="00D22742"/>
    <w:rsid w:val="00D22943"/>
    <w:rsid w:val="00D235C6"/>
    <w:rsid w:val="00D23FAD"/>
    <w:rsid w:val="00D24163"/>
    <w:rsid w:val="00D2463B"/>
    <w:rsid w:val="00D24BDB"/>
    <w:rsid w:val="00D25618"/>
    <w:rsid w:val="00D257BB"/>
    <w:rsid w:val="00D25B6D"/>
    <w:rsid w:val="00D25CB9"/>
    <w:rsid w:val="00D270CB"/>
    <w:rsid w:val="00D2732B"/>
    <w:rsid w:val="00D27741"/>
    <w:rsid w:val="00D27D30"/>
    <w:rsid w:val="00D305EC"/>
    <w:rsid w:val="00D30D81"/>
    <w:rsid w:val="00D30FDA"/>
    <w:rsid w:val="00D32A90"/>
    <w:rsid w:val="00D334FE"/>
    <w:rsid w:val="00D3360B"/>
    <w:rsid w:val="00D3479D"/>
    <w:rsid w:val="00D34B16"/>
    <w:rsid w:val="00D358A0"/>
    <w:rsid w:val="00D35B85"/>
    <w:rsid w:val="00D408EA"/>
    <w:rsid w:val="00D421F0"/>
    <w:rsid w:val="00D4671F"/>
    <w:rsid w:val="00D468AC"/>
    <w:rsid w:val="00D47F50"/>
    <w:rsid w:val="00D506A7"/>
    <w:rsid w:val="00D516AF"/>
    <w:rsid w:val="00D5329B"/>
    <w:rsid w:val="00D535BA"/>
    <w:rsid w:val="00D539C8"/>
    <w:rsid w:val="00D53E60"/>
    <w:rsid w:val="00D54397"/>
    <w:rsid w:val="00D56DE3"/>
    <w:rsid w:val="00D570BC"/>
    <w:rsid w:val="00D573EA"/>
    <w:rsid w:val="00D579A6"/>
    <w:rsid w:val="00D607B7"/>
    <w:rsid w:val="00D60D2B"/>
    <w:rsid w:val="00D61165"/>
    <w:rsid w:val="00D61D9E"/>
    <w:rsid w:val="00D6300D"/>
    <w:rsid w:val="00D631D2"/>
    <w:rsid w:val="00D65906"/>
    <w:rsid w:val="00D65A9E"/>
    <w:rsid w:val="00D66DC1"/>
    <w:rsid w:val="00D66EF0"/>
    <w:rsid w:val="00D66F25"/>
    <w:rsid w:val="00D66FC5"/>
    <w:rsid w:val="00D671F9"/>
    <w:rsid w:val="00D679C2"/>
    <w:rsid w:val="00D7201C"/>
    <w:rsid w:val="00D720BD"/>
    <w:rsid w:val="00D720F1"/>
    <w:rsid w:val="00D7252F"/>
    <w:rsid w:val="00D76F19"/>
    <w:rsid w:val="00D774C7"/>
    <w:rsid w:val="00D77EFF"/>
    <w:rsid w:val="00D8088C"/>
    <w:rsid w:val="00D8167D"/>
    <w:rsid w:val="00D81873"/>
    <w:rsid w:val="00D81B81"/>
    <w:rsid w:val="00D82C72"/>
    <w:rsid w:val="00D83A2E"/>
    <w:rsid w:val="00D8453D"/>
    <w:rsid w:val="00D84D5F"/>
    <w:rsid w:val="00D851C5"/>
    <w:rsid w:val="00D854A2"/>
    <w:rsid w:val="00D8597F"/>
    <w:rsid w:val="00D85BA2"/>
    <w:rsid w:val="00D85DC3"/>
    <w:rsid w:val="00D8692A"/>
    <w:rsid w:val="00D86957"/>
    <w:rsid w:val="00D86A93"/>
    <w:rsid w:val="00D86AD5"/>
    <w:rsid w:val="00D86C5D"/>
    <w:rsid w:val="00D90A72"/>
    <w:rsid w:val="00D90D40"/>
    <w:rsid w:val="00D91111"/>
    <w:rsid w:val="00D917C7"/>
    <w:rsid w:val="00D91A0D"/>
    <w:rsid w:val="00D91CA2"/>
    <w:rsid w:val="00D92719"/>
    <w:rsid w:val="00D92844"/>
    <w:rsid w:val="00D92CB8"/>
    <w:rsid w:val="00D92D5D"/>
    <w:rsid w:val="00D92D7A"/>
    <w:rsid w:val="00D93C3F"/>
    <w:rsid w:val="00D94248"/>
    <w:rsid w:val="00D95300"/>
    <w:rsid w:val="00D95C9B"/>
    <w:rsid w:val="00D95D9F"/>
    <w:rsid w:val="00D962ED"/>
    <w:rsid w:val="00D96631"/>
    <w:rsid w:val="00D96B28"/>
    <w:rsid w:val="00D96D87"/>
    <w:rsid w:val="00DA00FE"/>
    <w:rsid w:val="00DA0D97"/>
    <w:rsid w:val="00DA10B6"/>
    <w:rsid w:val="00DA12F4"/>
    <w:rsid w:val="00DA28E8"/>
    <w:rsid w:val="00DA2B04"/>
    <w:rsid w:val="00DA2F07"/>
    <w:rsid w:val="00DA3D6F"/>
    <w:rsid w:val="00DA5DB6"/>
    <w:rsid w:val="00DA5DC0"/>
    <w:rsid w:val="00DA62C1"/>
    <w:rsid w:val="00DA7691"/>
    <w:rsid w:val="00DB0054"/>
    <w:rsid w:val="00DB1D0E"/>
    <w:rsid w:val="00DB257E"/>
    <w:rsid w:val="00DB2595"/>
    <w:rsid w:val="00DB65C0"/>
    <w:rsid w:val="00DB74B1"/>
    <w:rsid w:val="00DC144A"/>
    <w:rsid w:val="00DC181C"/>
    <w:rsid w:val="00DC2440"/>
    <w:rsid w:val="00DC2A42"/>
    <w:rsid w:val="00DC30F3"/>
    <w:rsid w:val="00DC3B22"/>
    <w:rsid w:val="00DC40C3"/>
    <w:rsid w:val="00DC4278"/>
    <w:rsid w:val="00DC4A83"/>
    <w:rsid w:val="00DC6C22"/>
    <w:rsid w:val="00DD0B62"/>
    <w:rsid w:val="00DD1F39"/>
    <w:rsid w:val="00DD2D6E"/>
    <w:rsid w:val="00DD33A0"/>
    <w:rsid w:val="00DD3AC2"/>
    <w:rsid w:val="00DD3C69"/>
    <w:rsid w:val="00DD5C09"/>
    <w:rsid w:val="00DD751A"/>
    <w:rsid w:val="00DD7653"/>
    <w:rsid w:val="00DD790D"/>
    <w:rsid w:val="00DE0A40"/>
    <w:rsid w:val="00DE1653"/>
    <w:rsid w:val="00DE2D8D"/>
    <w:rsid w:val="00DE6364"/>
    <w:rsid w:val="00DE6929"/>
    <w:rsid w:val="00DE7D7D"/>
    <w:rsid w:val="00DF0E04"/>
    <w:rsid w:val="00DF210C"/>
    <w:rsid w:val="00DF4387"/>
    <w:rsid w:val="00DF4876"/>
    <w:rsid w:val="00DF4EB5"/>
    <w:rsid w:val="00DF53AF"/>
    <w:rsid w:val="00DF5957"/>
    <w:rsid w:val="00DF655F"/>
    <w:rsid w:val="00DF759D"/>
    <w:rsid w:val="00DF7BAE"/>
    <w:rsid w:val="00E01490"/>
    <w:rsid w:val="00E01802"/>
    <w:rsid w:val="00E04F3F"/>
    <w:rsid w:val="00E0546F"/>
    <w:rsid w:val="00E05BA4"/>
    <w:rsid w:val="00E05EE8"/>
    <w:rsid w:val="00E06DA8"/>
    <w:rsid w:val="00E07141"/>
    <w:rsid w:val="00E079C3"/>
    <w:rsid w:val="00E07EB2"/>
    <w:rsid w:val="00E10690"/>
    <w:rsid w:val="00E10BC8"/>
    <w:rsid w:val="00E12D3B"/>
    <w:rsid w:val="00E13BD4"/>
    <w:rsid w:val="00E13EE0"/>
    <w:rsid w:val="00E15A39"/>
    <w:rsid w:val="00E15DAA"/>
    <w:rsid w:val="00E17FC4"/>
    <w:rsid w:val="00E219F7"/>
    <w:rsid w:val="00E22C20"/>
    <w:rsid w:val="00E23E08"/>
    <w:rsid w:val="00E23EBF"/>
    <w:rsid w:val="00E24459"/>
    <w:rsid w:val="00E246D4"/>
    <w:rsid w:val="00E25F5E"/>
    <w:rsid w:val="00E25F79"/>
    <w:rsid w:val="00E2648E"/>
    <w:rsid w:val="00E26F87"/>
    <w:rsid w:val="00E3015C"/>
    <w:rsid w:val="00E3127B"/>
    <w:rsid w:val="00E32B75"/>
    <w:rsid w:val="00E33154"/>
    <w:rsid w:val="00E33BEE"/>
    <w:rsid w:val="00E34719"/>
    <w:rsid w:val="00E34AC2"/>
    <w:rsid w:val="00E372AE"/>
    <w:rsid w:val="00E372F7"/>
    <w:rsid w:val="00E37331"/>
    <w:rsid w:val="00E40217"/>
    <w:rsid w:val="00E40A2D"/>
    <w:rsid w:val="00E42AE6"/>
    <w:rsid w:val="00E43872"/>
    <w:rsid w:val="00E44AE9"/>
    <w:rsid w:val="00E451F3"/>
    <w:rsid w:val="00E45699"/>
    <w:rsid w:val="00E473F1"/>
    <w:rsid w:val="00E50005"/>
    <w:rsid w:val="00E5009F"/>
    <w:rsid w:val="00E50972"/>
    <w:rsid w:val="00E52193"/>
    <w:rsid w:val="00E528E8"/>
    <w:rsid w:val="00E54D53"/>
    <w:rsid w:val="00E554E8"/>
    <w:rsid w:val="00E57523"/>
    <w:rsid w:val="00E61894"/>
    <w:rsid w:val="00E62214"/>
    <w:rsid w:val="00E6245C"/>
    <w:rsid w:val="00E62C34"/>
    <w:rsid w:val="00E62D90"/>
    <w:rsid w:val="00E63140"/>
    <w:rsid w:val="00E633DC"/>
    <w:rsid w:val="00E64BA0"/>
    <w:rsid w:val="00E655E2"/>
    <w:rsid w:val="00E65CD8"/>
    <w:rsid w:val="00E66603"/>
    <w:rsid w:val="00E711EA"/>
    <w:rsid w:val="00E715D0"/>
    <w:rsid w:val="00E732A4"/>
    <w:rsid w:val="00E735A9"/>
    <w:rsid w:val="00E735FE"/>
    <w:rsid w:val="00E73ACF"/>
    <w:rsid w:val="00E74ECC"/>
    <w:rsid w:val="00E776F0"/>
    <w:rsid w:val="00E80640"/>
    <w:rsid w:val="00E8157E"/>
    <w:rsid w:val="00E815FC"/>
    <w:rsid w:val="00E81736"/>
    <w:rsid w:val="00E81ED7"/>
    <w:rsid w:val="00E82242"/>
    <w:rsid w:val="00E82586"/>
    <w:rsid w:val="00E826C4"/>
    <w:rsid w:val="00E82F1F"/>
    <w:rsid w:val="00E83A20"/>
    <w:rsid w:val="00E84C24"/>
    <w:rsid w:val="00E84D69"/>
    <w:rsid w:val="00E850C3"/>
    <w:rsid w:val="00E85C7C"/>
    <w:rsid w:val="00E86488"/>
    <w:rsid w:val="00E90228"/>
    <w:rsid w:val="00E907F4"/>
    <w:rsid w:val="00E9145C"/>
    <w:rsid w:val="00E92E7F"/>
    <w:rsid w:val="00E95F4E"/>
    <w:rsid w:val="00E96904"/>
    <w:rsid w:val="00E96E5D"/>
    <w:rsid w:val="00E9798A"/>
    <w:rsid w:val="00E979F7"/>
    <w:rsid w:val="00EA3000"/>
    <w:rsid w:val="00EA3725"/>
    <w:rsid w:val="00EA3936"/>
    <w:rsid w:val="00EA513F"/>
    <w:rsid w:val="00EA5961"/>
    <w:rsid w:val="00EA5CD1"/>
    <w:rsid w:val="00EA5E2A"/>
    <w:rsid w:val="00EA6D84"/>
    <w:rsid w:val="00EA7710"/>
    <w:rsid w:val="00EA7D38"/>
    <w:rsid w:val="00EB0731"/>
    <w:rsid w:val="00EB1015"/>
    <w:rsid w:val="00EB15FB"/>
    <w:rsid w:val="00EB1AA2"/>
    <w:rsid w:val="00EB2020"/>
    <w:rsid w:val="00EB2265"/>
    <w:rsid w:val="00EB27D5"/>
    <w:rsid w:val="00EB28E9"/>
    <w:rsid w:val="00EB2E09"/>
    <w:rsid w:val="00EB3653"/>
    <w:rsid w:val="00EB578A"/>
    <w:rsid w:val="00EB6AFD"/>
    <w:rsid w:val="00EB6C7D"/>
    <w:rsid w:val="00EB70E5"/>
    <w:rsid w:val="00EB7C8E"/>
    <w:rsid w:val="00EC02BE"/>
    <w:rsid w:val="00EC146E"/>
    <w:rsid w:val="00EC1B1A"/>
    <w:rsid w:val="00EC35DE"/>
    <w:rsid w:val="00EC4B71"/>
    <w:rsid w:val="00EC53E6"/>
    <w:rsid w:val="00EC543A"/>
    <w:rsid w:val="00EC583F"/>
    <w:rsid w:val="00EC5975"/>
    <w:rsid w:val="00EC6130"/>
    <w:rsid w:val="00EC6766"/>
    <w:rsid w:val="00EC6B27"/>
    <w:rsid w:val="00EC6BF6"/>
    <w:rsid w:val="00EC6E8A"/>
    <w:rsid w:val="00EC7AE3"/>
    <w:rsid w:val="00EC7E08"/>
    <w:rsid w:val="00ED0F4E"/>
    <w:rsid w:val="00ED2563"/>
    <w:rsid w:val="00ED2A4C"/>
    <w:rsid w:val="00ED6DFC"/>
    <w:rsid w:val="00ED762B"/>
    <w:rsid w:val="00EE067C"/>
    <w:rsid w:val="00EE1275"/>
    <w:rsid w:val="00EE1D7D"/>
    <w:rsid w:val="00EE2031"/>
    <w:rsid w:val="00EE2D3E"/>
    <w:rsid w:val="00EE35DE"/>
    <w:rsid w:val="00EE4924"/>
    <w:rsid w:val="00EE5144"/>
    <w:rsid w:val="00EE7A5E"/>
    <w:rsid w:val="00EF039F"/>
    <w:rsid w:val="00EF11CE"/>
    <w:rsid w:val="00EF13FE"/>
    <w:rsid w:val="00EF2143"/>
    <w:rsid w:val="00EF2267"/>
    <w:rsid w:val="00EF3159"/>
    <w:rsid w:val="00EF384D"/>
    <w:rsid w:val="00EF3FAC"/>
    <w:rsid w:val="00EF4569"/>
    <w:rsid w:val="00EF4B37"/>
    <w:rsid w:val="00EF4F51"/>
    <w:rsid w:val="00EF55DF"/>
    <w:rsid w:val="00EF6960"/>
    <w:rsid w:val="00EF74D6"/>
    <w:rsid w:val="00EF7D4C"/>
    <w:rsid w:val="00F00D5A"/>
    <w:rsid w:val="00F03706"/>
    <w:rsid w:val="00F048B6"/>
    <w:rsid w:val="00F0583E"/>
    <w:rsid w:val="00F062AC"/>
    <w:rsid w:val="00F068A0"/>
    <w:rsid w:val="00F0745D"/>
    <w:rsid w:val="00F10C63"/>
    <w:rsid w:val="00F115CA"/>
    <w:rsid w:val="00F121CB"/>
    <w:rsid w:val="00F12787"/>
    <w:rsid w:val="00F13643"/>
    <w:rsid w:val="00F13C49"/>
    <w:rsid w:val="00F14D65"/>
    <w:rsid w:val="00F152AB"/>
    <w:rsid w:val="00F15BE9"/>
    <w:rsid w:val="00F17101"/>
    <w:rsid w:val="00F175F6"/>
    <w:rsid w:val="00F177DC"/>
    <w:rsid w:val="00F17AC1"/>
    <w:rsid w:val="00F20A25"/>
    <w:rsid w:val="00F20B02"/>
    <w:rsid w:val="00F20D6E"/>
    <w:rsid w:val="00F21433"/>
    <w:rsid w:val="00F22810"/>
    <w:rsid w:val="00F22FFB"/>
    <w:rsid w:val="00F23521"/>
    <w:rsid w:val="00F2359F"/>
    <w:rsid w:val="00F24DFE"/>
    <w:rsid w:val="00F25573"/>
    <w:rsid w:val="00F25733"/>
    <w:rsid w:val="00F25E05"/>
    <w:rsid w:val="00F26F08"/>
    <w:rsid w:val="00F2710C"/>
    <w:rsid w:val="00F274F9"/>
    <w:rsid w:val="00F314CA"/>
    <w:rsid w:val="00F31F31"/>
    <w:rsid w:val="00F34F34"/>
    <w:rsid w:val="00F35350"/>
    <w:rsid w:val="00F35D14"/>
    <w:rsid w:val="00F35E37"/>
    <w:rsid w:val="00F36A4F"/>
    <w:rsid w:val="00F36CF6"/>
    <w:rsid w:val="00F37737"/>
    <w:rsid w:val="00F4022D"/>
    <w:rsid w:val="00F40BDA"/>
    <w:rsid w:val="00F419C8"/>
    <w:rsid w:val="00F41C30"/>
    <w:rsid w:val="00F4352C"/>
    <w:rsid w:val="00F435DD"/>
    <w:rsid w:val="00F43806"/>
    <w:rsid w:val="00F439B6"/>
    <w:rsid w:val="00F44A54"/>
    <w:rsid w:val="00F46DC9"/>
    <w:rsid w:val="00F47051"/>
    <w:rsid w:val="00F47DFA"/>
    <w:rsid w:val="00F5078F"/>
    <w:rsid w:val="00F55DAF"/>
    <w:rsid w:val="00F56757"/>
    <w:rsid w:val="00F57DC0"/>
    <w:rsid w:val="00F616F9"/>
    <w:rsid w:val="00F61830"/>
    <w:rsid w:val="00F61F2B"/>
    <w:rsid w:val="00F632F0"/>
    <w:rsid w:val="00F633F9"/>
    <w:rsid w:val="00F63BD9"/>
    <w:rsid w:val="00F650C6"/>
    <w:rsid w:val="00F65B75"/>
    <w:rsid w:val="00F65C93"/>
    <w:rsid w:val="00F6654F"/>
    <w:rsid w:val="00F670C5"/>
    <w:rsid w:val="00F672F3"/>
    <w:rsid w:val="00F67E52"/>
    <w:rsid w:val="00F717A9"/>
    <w:rsid w:val="00F72893"/>
    <w:rsid w:val="00F72F75"/>
    <w:rsid w:val="00F744CB"/>
    <w:rsid w:val="00F74885"/>
    <w:rsid w:val="00F75D7F"/>
    <w:rsid w:val="00F808C8"/>
    <w:rsid w:val="00F8168E"/>
    <w:rsid w:val="00F82EC3"/>
    <w:rsid w:val="00F82F71"/>
    <w:rsid w:val="00F8319D"/>
    <w:rsid w:val="00F852AC"/>
    <w:rsid w:val="00F85690"/>
    <w:rsid w:val="00F87873"/>
    <w:rsid w:val="00F8797F"/>
    <w:rsid w:val="00F90801"/>
    <w:rsid w:val="00F90CEE"/>
    <w:rsid w:val="00F90FD1"/>
    <w:rsid w:val="00F918DC"/>
    <w:rsid w:val="00F928A7"/>
    <w:rsid w:val="00F94832"/>
    <w:rsid w:val="00F951A8"/>
    <w:rsid w:val="00F973B8"/>
    <w:rsid w:val="00FA074C"/>
    <w:rsid w:val="00FA1715"/>
    <w:rsid w:val="00FA189F"/>
    <w:rsid w:val="00FA33EA"/>
    <w:rsid w:val="00FA3B31"/>
    <w:rsid w:val="00FA4E6A"/>
    <w:rsid w:val="00FA6021"/>
    <w:rsid w:val="00FA6E71"/>
    <w:rsid w:val="00FA7041"/>
    <w:rsid w:val="00FB1AF5"/>
    <w:rsid w:val="00FB1F32"/>
    <w:rsid w:val="00FB2DF7"/>
    <w:rsid w:val="00FB38C1"/>
    <w:rsid w:val="00FB496B"/>
    <w:rsid w:val="00FB4EEC"/>
    <w:rsid w:val="00FB5305"/>
    <w:rsid w:val="00FB5539"/>
    <w:rsid w:val="00FB580A"/>
    <w:rsid w:val="00FB5D0B"/>
    <w:rsid w:val="00FB6219"/>
    <w:rsid w:val="00FB6344"/>
    <w:rsid w:val="00FC0BB0"/>
    <w:rsid w:val="00FC18C6"/>
    <w:rsid w:val="00FC2AA2"/>
    <w:rsid w:val="00FC2BFC"/>
    <w:rsid w:val="00FC2FEF"/>
    <w:rsid w:val="00FC4E0A"/>
    <w:rsid w:val="00FC507A"/>
    <w:rsid w:val="00FC5721"/>
    <w:rsid w:val="00FC7057"/>
    <w:rsid w:val="00FC70C1"/>
    <w:rsid w:val="00FC7C5E"/>
    <w:rsid w:val="00FD0107"/>
    <w:rsid w:val="00FD0552"/>
    <w:rsid w:val="00FD1F7B"/>
    <w:rsid w:val="00FD2A36"/>
    <w:rsid w:val="00FD2CE1"/>
    <w:rsid w:val="00FD45B6"/>
    <w:rsid w:val="00FD5B9A"/>
    <w:rsid w:val="00FD5BAB"/>
    <w:rsid w:val="00FD6621"/>
    <w:rsid w:val="00FD6CDD"/>
    <w:rsid w:val="00FE058D"/>
    <w:rsid w:val="00FE0958"/>
    <w:rsid w:val="00FE22C5"/>
    <w:rsid w:val="00FE2FFD"/>
    <w:rsid w:val="00FE369C"/>
    <w:rsid w:val="00FE477F"/>
    <w:rsid w:val="00FE4CEE"/>
    <w:rsid w:val="00FE53AC"/>
    <w:rsid w:val="00FE5A74"/>
    <w:rsid w:val="00FE5AED"/>
    <w:rsid w:val="00FE6E6A"/>
    <w:rsid w:val="00FE6F80"/>
    <w:rsid w:val="00FE78F3"/>
    <w:rsid w:val="00FF0141"/>
    <w:rsid w:val="00FF1535"/>
    <w:rsid w:val="00FF309C"/>
    <w:rsid w:val="00FF4923"/>
    <w:rsid w:val="00FF5CDC"/>
    <w:rsid w:val="00FF6FAA"/>
    <w:rsid w:val="00FF771D"/>
    <w:rsid w:val="00FF77B0"/>
    <w:rsid w:val="010E5719"/>
    <w:rsid w:val="011C05D4"/>
    <w:rsid w:val="011E06A7"/>
    <w:rsid w:val="01306D56"/>
    <w:rsid w:val="01323CE1"/>
    <w:rsid w:val="01332D4B"/>
    <w:rsid w:val="01370F49"/>
    <w:rsid w:val="01645C7E"/>
    <w:rsid w:val="01687AD1"/>
    <w:rsid w:val="016D6AFF"/>
    <w:rsid w:val="017B5774"/>
    <w:rsid w:val="0197164C"/>
    <w:rsid w:val="01AA1290"/>
    <w:rsid w:val="01BD3664"/>
    <w:rsid w:val="01C07AA7"/>
    <w:rsid w:val="01C44F71"/>
    <w:rsid w:val="01CA216C"/>
    <w:rsid w:val="01D65714"/>
    <w:rsid w:val="01D85C20"/>
    <w:rsid w:val="01F33EEF"/>
    <w:rsid w:val="02154AE9"/>
    <w:rsid w:val="02166B36"/>
    <w:rsid w:val="024C2FB2"/>
    <w:rsid w:val="024D38BE"/>
    <w:rsid w:val="02541B79"/>
    <w:rsid w:val="025D6608"/>
    <w:rsid w:val="02832A63"/>
    <w:rsid w:val="029C6E81"/>
    <w:rsid w:val="029F43B7"/>
    <w:rsid w:val="02B578D8"/>
    <w:rsid w:val="02DA3081"/>
    <w:rsid w:val="02DA6C1B"/>
    <w:rsid w:val="02EC3F81"/>
    <w:rsid w:val="02FB108C"/>
    <w:rsid w:val="02FB6CB9"/>
    <w:rsid w:val="030A4177"/>
    <w:rsid w:val="03142D3C"/>
    <w:rsid w:val="031B296A"/>
    <w:rsid w:val="035048F3"/>
    <w:rsid w:val="035B2D15"/>
    <w:rsid w:val="03651E9B"/>
    <w:rsid w:val="037C21D2"/>
    <w:rsid w:val="03830824"/>
    <w:rsid w:val="038B155B"/>
    <w:rsid w:val="039659FF"/>
    <w:rsid w:val="03B305DF"/>
    <w:rsid w:val="03C16244"/>
    <w:rsid w:val="03F258EC"/>
    <w:rsid w:val="03F64012"/>
    <w:rsid w:val="04056B2D"/>
    <w:rsid w:val="040C427B"/>
    <w:rsid w:val="040E6A5C"/>
    <w:rsid w:val="04363AE8"/>
    <w:rsid w:val="044A6395"/>
    <w:rsid w:val="04507F12"/>
    <w:rsid w:val="045E195B"/>
    <w:rsid w:val="04915962"/>
    <w:rsid w:val="04B93975"/>
    <w:rsid w:val="04D36CBE"/>
    <w:rsid w:val="04D57555"/>
    <w:rsid w:val="04E067D4"/>
    <w:rsid w:val="04E43837"/>
    <w:rsid w:val="04EB5704"/>
    <w:rsid w:val="050B1023"/>
    <w:rsid w:val="050F42A1"/>
    <w:rsid w:val="0527044D"/>
    <w:rsid w:val="052B418C"/>
    <w:rsid w:val="052D7822"/>
    <w:rsid w:val="052E280E"/>
    <w:rsid w:val="05495050"/>
    <w:rsid w:val="05581F6A"/>
    <w:rsid w:val="056A37A0"/>
    <w:rsid w:val="056C3A50"/>
    <w:rsid w:val="05792D22"/>
    <w:rsid w:val="05874B07"/>
    <w:rsid w:val="05C47E37"/>
    <w:rsid w:val="05FE3E87"/>
    <w:rsid w:val="062E708D"/>
    <w:rsid w:val="066F6955"/>
    <w:rsid w:val="06783DBF"/>
    <w:rsid w:val="0682508B"/>
    <w:rsid w:val="069E5F5A"/>
    <w:rsid w:val="06A9434E"/>
    <w:rsid w:val="06AC155D"/>
    <w:rsid w:val="06BC422D"/>
    <w:rsid w:val="06E273AD"/>
    <w:rsid w:val="06E94BF4"/>
    <w:rsid w:val="06EA64C3"/>
    <w:rsid w:val="06F24C80"/>
    <w:rsid w:val="071C64BC"/>
    <w:rsid w:val="07290C9A"/>
    <w:rsid w:val="07296A26"/>
    <w:rsid w:val="076F6AEF"/>
    <w:rsid w:val="07C212BA"/>
    <w:rsid w:val="07C34F09"/>
    <w:rsid w:val="07C4412A"/>
    <w:rsid w:val="07CF3015"/>
    <w:rsid w:val="07D35B5F"/>
    <w:rsid w:val="07FF1873"/>
    <w:rsid w:val="0807615C"/>
    <w:rsid w:val="080D5B82"/>
    <w:rsid w:val="08203E26"/>
    <w:rsid w:val="0828231D"/>
    <w:rsid w:val="082A06FC"/>
    <w:rsid w:val="083724B4"/>
    <w:rsid w:val="083A7F78"/>
    <w:rsid w:val="08453E9D"/>
    <w:rsid w:val="084D7896"/>
    <w:rsid w:val="086F45A2"/>
    <w:rsid w:val="08745577"/>
    <w:rsid w:val="088E43F5"/>
    <w:rsid w:val="0890078F"/>
    <w:rsid w:val="08A47549"/>
    <w:rsid w:val="09054DCE"/>
    <w:rsid w:val="09214B21"/>
    <w:rsid w:val="09235E55"/>
    <w:rsid w:val="09297D98"/>
    <w:rsid w:val="09395EB2"/>
    <w:rsid w:val="094E0CBC"/>
    <w:rsid w:val="09537F4D"/>
    <w:rsid w:val="095B76F3"/>
    <w:rsid w:val="09610378"/>
    <w:rsid w:val="09820154"/>
    <w:rsid w:val="099C0A22"/>
    <w:rsid w:val="09AC21B3"/>
    <w:rsid w:val="09B173D9"/>
    <w:rsid w:val="09DC5993"/>
    <w:rsid w:val="09F53E8E"/>
    <w:rsid w:val="09FF0509"/>
    <w:rsid w:val="0A0238ED"/>
    <w:rsid w:val="0A065C14"/>
    <w:rsid w:val="0A112B19"/>
    <w:rsid w:val="0A282DCF"/>
    <w:rsid w:val="0A2D25D6"/>
    <w:rsid w:val="0A397118"/>
    <w:rsid w:val="0A4514A6"/>
    <w:rsid w:val="0A4E1864"/>
    <w:rsid w:val="0A4E766A"/>
    <w:rsid w:val="0A5C6D08"/>
    <w:rsid w:val="0A6A2B56"/>
    <w:rsid w:val="0A760DEF"/>
    <w:rsid w:val="0A860A33"/>
    <w:rsid w:val="0A9F0458"/>
    <w:rsid w:val="0ABD0ABF"/>
    <w:rsid w:val="0AC03810"/>
    <w:rsid w:val="0AC53D36"/>
    <w:rsid w:val="0AC86F28"/>
    <w:rsid w:val="0AE64E41"/>
    <w:rsid w:val="0AEA3DE7"/>
    <w:rsid w:val="0AFF663A"/>
    <w:rsid w:val="0B0F6A64"/>
    <w:rsid w:val="0B5F0333"/>
    <w:rsid w:val="0B8279C1"/>
    <w:rsid w:val="0B885A2A"/>
    <w:rsid w:val="0B8B4B5C"/>
    <w:rsid w:val="0B8C1E77"/>
    <w:rsid w:val="0BB70610"/>
    <w:rsid w:val="0BC02D85"/>
    <w:rsid w:val="0BD31BCF"/>
    <w:rsid w:val="0BE135EE"/>
    <w:rsid w:val="0C276AE8"/>
    <w:rsid w:val="0C303F0F"/>
    <w:rsid w:val="0C500DB2"/>
    <w:rsid w:val="0C506FED"/>
    <w:rsid w:val="0C611D6B"/>
    <w:rsid w:val="0C6D5703"/>
    <w:rsid w:val="0C700BD1"/>
    <w:rsid w:val="0C735358"/>
    <w:rsid w:val="0C8946BC"/>
    <w:rsid w:val="0CC06675"/>
    <w:rsid w:val="0CC432DE"/>
    <w:rsid w:val="0CD6297E"/>
    <w:rsid w:val="0CEC088D"/>
    <w:rsid w:val="0CF2632A"/>
    <w:rsid w:val="0CFA21A3"/>
    <w:rsid w:val="0D0867CE"/>
    <w:rsid w:val="0D0C32C6"/>
    <w:rsid w:val="0D140A5D"/>
    <w:rsid w:val="0D2851CB"/>
    <w:rsid w:val="0D2C5DE2"/>
    <w:rsid w:val="0D316E48"/>
    <w:rsid w:val="0D390E8F"/>
    <w:rsid w:val="0D5252DD"/>
    <w:rsid w:val="0D6F0E9E"/>
    <w:rsid w:val="0D82748E"/>
    <w:rsid w:val="0D8300EA"/>
    <w:rsid w:val="0D9F736A"/>
    <w:rsid w:val="0DA86276"/>
    <w:rsid w:val="0DA95C3E"/>
    <w:rsid w:val="0DB719D3"/>
    <w:rsid w:val="0DBE369B"/>
    <w:rsid w:val="0DD03138"/>
    <w:rsid w:val="0DD82014"/>
    <w:rsid w:val="0DDF2AFB"/>
    <w:rsid w:val="0DE620DB"/>
    <w:rsid w:val="0E0E2BE2"/>
    <w:rsid w:val="0E18003A"/>
    <w:rsid w:val="0E370B89"/>
    <w:rsid w:val="0E4F4E99"/>
    <w:rsid w:val="0E555770"/>
    <w:rsid w:val="0E8B4E3F"/>
    <w:rsid w:val="0E9F2E4F"/>
    <w:rsid w:val="0EA97132"/>
    <w:rsid w:val="0EF1616E"/>
    <w:rsid w:val="0F1025A1"/>
    <w:rsid w:val="0F1147D0"/>
    <w:rsid w:val="0F23622B"/>
    <w:rsid w:val="0F3336B0"/>
    <w:rsid w:val="0F472939"/>
    <w:rsid w:val="0F604CEE"/>
    <w:rsid w:val="0F724DB6"/>
    <w:rsid w:val="0F743C4E"/>
    <w:rsid w:val="0F8B4BFE"/>
    <w:rsid w:val="0FB046C0"/>
    <w:rsid w:val="0FB25796"/>
    <w:rsid w:val="0FBE0E46"/>
    <w:rsid w:val="0FC34AE0"/>
    <w:rsid w:val="0FD0737D"/>
    <w:rsid w:val="101B5749"/>
    <w:rsid w:val="10252F46"/>
    <w:rsid w:val="10280D6C"/>
    <w:rsid w:val="102B2972"/>
    <w:rsid w:val="10334C73"/>
    <w:rsid w:val="105F2DF0"/>
    <w:rsid w:val="107D7BDA"/>
    <w:rsid w:val="107F217A"/>
    <w:rsid w:val="10817E99"/>
    <w:rsid w:val="10837C1A"/>
    <w:rsid w:val="108D0713"/>
    <w:rsid w:val="10926311"/>
    <w:rsid w:val="10984531"/>
    <w:rsid w:val="109F73A9"/>
    <w:rsid w:val="10B4525C"/>
    <w:rsid w:val="10B825CB"/>
    <w:rsid w:val="10BA476E"/>
    <w:rsid w:val="10BF2B1A"/>
    <w:rsid w:val="10C75B2D"/>
    <w:rsid w:val="10CC508C"/>
    <w:rsid w:val="10ED636C"/>
    <w:rsid w:val="110F7D40"/>
    <w:rsid w:val="111238CD"/>
    <w:rsid w:val="113D5107"/>
    <w:rsid w:val="113F7273"/>
    <w:rsid w:val="114275C7"/>
    <w:rsid w:val="11490776"/>
    <w:rsid w:val="11590543"/>
    <w:rsid w:val="11A44823"/>
    <w:rsid w:val="11A82054"/>
    <w:rsid w:val="11AC5CCF"/>
    <w:rsid w:val="11EB1132"/>
    <w:rsid w:val="12054BF9"/>
    <w:rsid w:val="12064CDA"/>
    <w:rsid w:val="123A12FB"/>
    <w:rsid w:val="124153BA"/>
    <w:rsid w:val="124E6F0E"/>
    <w:rsid w:val="12763A89"/>
    <w:rsid w:val="12840BD4"/>
    <w:rsid w:val="1291212C"/>
    <w:rsid w:val="12BF6C3A"/>
    <w:rsid w:val="12CF0DAA"/>
    <w:rsid w:val="12D11252"/>
    <w:rsid w:val="12F778EF"/>
    <w:rsid w:val="12FB21C2"/>
    <w:rsid w:val="1323348A"/>
    <w:rsid w:val="13413030"/>
    <w:rsid w:val="13416E6D"/>
    <w:rsid w:val="13596176"/>
    <w:rsid w:val="138D68F5"/>
    <w:rsid w:val="13A97455"/>
    <w:rsid w:val="13AD424E"/>
    <w:rsid w:val="13AD4FDB"/>
    <w:rsid w:val="13CF3647"/>
    <w:rsid w:val="13D76360"/>
    <w:rsid w:val="140721BB"/>
    <w:rsid w:val="14153B25"/>
    <w:rsid w:val="14335FF1"/>
    <w:rsid w:val="14397296"/>
    <w:rsid w:val="143F0FE6"/>
    <w:rsid w:val="14445415"/>
    <w:rsid w:val="144879D2"/>
    <w:rsid w:val="144E4229"/>
    <w:rsid w:val="145124B9"/>
    <w:rsid w:val="146453A4"/>
    <w:rsid w:val="146A4AE3"/>
    <w:rsid w:val="147E413E"/>
    <w:rsid w:val="147E7F65"/>
    <w:rsid w:val="14916F19"/>
    <w:rsid w:val="149C6198"/>
    <w:rsid w:val="149F5F61"/>
    <w:rsid w:val="14AA3F97"/>
    <w:rsid w:val="14AB2AB1"/>
    <w:rsid w:val="14B6136C"/>
    <w:rsid w:val="14B6595C"/>
    <w:rsid w:val="14D91F89"/>
    <w:rsid w:val="14D96675"/>
    <w:rsid w:val="14E36EAF"/>
    <w:rsid w:val="14EB24CF"/>
    <w:rsid w:val="14EB758B"/>
    <w:rsid w:val="14ED0795"/>
    <w:rsid w:val="152643F2"/>
    <w:rsid w:val="152764D8"/>
    <w:rsid w:val="15277970"/>
    <w:rsid w:val="15334D07"/>
    <w:rsid w:val="153B2E99"/>
    <w:rsid w:val="154020D1"/>
    <w:rsid w:val="154D6451"/>
    <w:rsid w:val="155A0982"/>
    <w:rsid w:val="156D6384"/>
    <w:rsid w:val="15833A84"/>
    <w:rsid w:val="15932B49"/>
    <w:rsid w:val="15A1747F"/>
    <w:rsid w:val="15A204E8"/>
    <w:rsid w:val="15AC7EF8"/>
    <w:rsid w:val="15AD548C"/>
    <w:rsid w:val="15BF6EF1"/>
    <w:rsid w:val="15C05764"/>
    <w:rsid w:val="15C86ADC"/>
    <w:rsid w:val="15CF4D21"/>
    <w:rsid w:val="15EA4BF7"/>
    <w:rsid w:val="15F736E9"/>
    <w:rsid w:val="16186D24"/>
    <w:rsid w:val="161E00C9"/>
    <w:rsid w:val="162830FB"/>
    <w:rsid w:val="162D6AD2"/>
    <w:rsid w:val="16734151"/>
    <w:rsid w:val="167B3373"/>
    <w:rsid w:val="16CE6743"/>
    <w:rsid w:val="16FD6CF6"/>
    <w:rsid w:val="17357020"/>
    <w:rsid w:val="17485BB5"/>
    <w:rsid w:val="174A36DB"/>
    <w:rsid w:val="178826B7"/>
    <w:rsid w:val="17945504"/>
    <w:rsid w:val="179F7AB2"/>
    <w:rsid w:val="17C6098B"/>
    <w:rsid w:val="17D6727A"/>
    <w:rsid w:val="17D82A95"/>
    <w:rsid w:val="17DD299A"/>
    <w:rsid w:val="17F37333"/>
    <w:rsid w:val="180C03A7"/>
    <w:rsid w:val="18185BE8"/>
    <w:rsid w:val="181F2A0C"/>
    <w:rsid w:val="18245B94"/>
    <w:rsid w:val="1840707D"/>
    <w:rsid w:val="1841161B"/>
    <w:rsid w:val="184B0F46"/>
    <w:rsid w:val="18503E01"/>
    <w:rsid w:val="18581E27"/>
    <w:rsid w:val="187F6A00"/>
    <w:rsid w:val="188C3CAE"/>
    <w:rsid w:val="189801B3"/>
    <w:rsid w:val="18B02D96"/>
    <w:rsid w:val="18BB7CAA"/>
    <w:rsid w:val="18C45B90"/>
    <w:rsid w:val="18D0792F"/>
    <w:rsid w:val="18F405D9"/>
    <w:rsid w:val="18F87F3B"/>
    <w:rsid w:val="19150A6A"/>
    <w:rsid w:val="191F5F2D"/>
    <w:rsid w:val="196135AE"/>
    <w:rsid w:val="19671AA8"/>
    <w:rsid w:val="19866AB8"/>
    <w:rsid w:val="199B75BD"/>
    <w:rsid w:val="19AB1306"/>
    <w:rsid w:val="19B560FB"/>
    <w:rsid w:val="19B76FED"/>
    <w:rsid w:val="19D9417D"/>
    <w:rsid w:val="19DD47B6"/>
    <w:rsid w:val="19E33051"/>
    <w:rsid w:val="19EA19E4"/>
    <w:rsid w:val="19EF5FF9"/>
    <w:rsid w:val="19F44667"/>
    <w:rsid w:val="1A124FE2"/>
    <w:rsid w:val="1A133197"/>
    <w:rsid w:val="1A1B038B"/>
    <w:rsid w:val="1A2C6575"/>
    <w:rsid w:val="1A5D1F09"/>
    <w:rsid w:val="1A777DE6"/>
    <w:rsid w:val="1AC112A5"/>
    <w:rsid w:val="1AD01A9B"/>
    <w:rsid w:val="1AE06FE0"/>
    <w:rsid w:val="1AF312B0"/>
    <w:rsid w:val="1AF453AE"/>
    <w:rsid w:val="1B2C7923"/>
    <w:rsid w:val="1B316E39"/>
    <w:rsid w:val="1B3A4E06"/>
    <w:rsid w:val="1B4D4B14"/>
    <w:rsid w:val="1B6814B8"/>
    <w:rsid w:val="1B76558F"/>
    <w:rsid w:val="1B777A0D"/>
    <w:rsid w:val="1B9E1B7C"/>
    <w:rsid w:val="1BAD3F25"/>
    <w:rsid w:val="1BB20061"/>
    <w:rsid w:val="1BB27BFE"/>
    <w:rsid w:val="1BB77E1E"/>
    <w:rsid w:val="1BBD7163"/>
    <w:rsid w:val="1BCF3B5E"/>
    <w:rsid w:val="1BDC0585"/>
    <w:rsid w:val="1C0D5BE1"/>
    <w:rsid w:val="1C1C26FB"/>
    <w:rsid w:val="1C2F40C7"/>
    <w:rsid w:val="1C3A10E3"/>
    <w:rsid w:val="1C3E2A5A"/>
    <w:rsid w:val="1C4154D7"/>
    <w:rsid w:val="1C4E11FC"/>
    <w:rsid w:val="1C5B4F7F"/>
    <w:rsid w:val="1C5E2F89"/>
    <w:rsid w:val="1C650F29"/>
    <w:rsid w:val="1C6D1D6F"/>
    <w:rsid w:val="1C827970"/>
    <w:rsid w:val="1CAB6C5F"/>
    <w:rsid w:val="1CB53260"/>
    <w:rsid w:val="1CC14468"/>
    <w:rsid w:val="1CC37BDD"/>
    <w:rsid w:val="1CD04682"/>
    <w:rsid w:val="1CDE51E1"/>
    <w:rsid w:val="1CE22331"/>
    <w:rsid w:val="1CE5429D"/>
    <w:rsid w:val="1CF51B72"/>
    <w:rsid w:val="1D127BBE"/>
    <w:rsid w:val="1D1B23BC"/>
    <w:rsid w:val="1D2F1947"/>
    <w:rsid w:val="1D3C1D18"/>
    <w:rsid w:val="1D593910"/>
    <w:rsid w:val="1D641694"/>
    <w:rsid w:val="1D8406C6"/>
    <w:rsid w:val="1D944902"/>
    <w:rsid w:val="1DA07C07"/>
    <w:rsid w:val="1DA733FE"/>
    <w:rsid w:val="1DBA153E"/>
    <w:rsid w:val="1DD3548B"/>
    <w:rsid w:val="1DED21D8"/>
    <w:rsid w:val="1E005185"/>
    <w:rsid w:val="1E2C62E3"/>
    <w:rsid w:val="1E6E0A18"/>
    <w:rsid w:val="1EB63ACD"/>
    <w:rsid w:val="1EC72340"/>
    <w:rsid w:val="1ECF0B18"/>
    <w:rsid w:val="1EF51EA7"/>
    <w:rsid w:val="1EF80B07"/>
    <w:rsid w:val="1F065DBE"/>
    <w:rsid w:val="1F0A4E0B"/>
    <w:rsid w:val="1F0E3DA5"/>
    <w:rsid w:val="1F1C1E24"/>
    <w:rsid w:val="1F2F08E9"/>
    <w:rsid w:val="1F59095F"/>
    <w:rsid w:val="1F6051F5"/>
    <w:rsid w:val="1F635B0F"/>
    <w:rsid w:val="1F7D5435"/>
    <w:rsid w:val="1F845857"/>
    <w:rsid w:val="1F8E4C56"/>
    <w:rsid w:val="1F9A57F5"/>
    <w:rsid w:val="1F9E075B"/>
    <w:rsid w:val="1FB7367C"/>
    <w:rsid w:val="1FED014A"/>
    <w:rsid w:val="1FEF1425"/>
    <w:rsid w:val="1FF510F6"/>
    <w:rsid w:val="1FF66040"/>
    <w:rsid w:val="200973ED"/>
    <w:rsid w:val="200E3E1C"/>
    <w:rsid w:val="200F39EB"/>
    <w:rsid w:val="20120B0E"/>
    <w:rsid w:val="203D2A4A"/>
    <w:rsid w:val="20401AE7"/>
    <w:rsid w:val="2062319E"/>
    <w:rsid w:val="206C54AD"/>
    <w:rsid w:val="20873431"/>
    <w:rsid w:val="208E7177"/>
    <w:rsid w:val="20BB1F9D"/>
    <w:rsid w:val="20BB3E57"/>
    <w:rsid w:val="20C937FA"/>
    <w:rsid w:val="20CE49AC"/>
    <w:rsid w:val="20EB5BFB"/>
    <w:rsid w:val="20F56649"/>
    <w:rsid w:val="21006DFF"/>
    <w:rsid w:val="211A14C0"/>
    <w:rsid w:val="21307258"/>
    <w:rsid w:val="214726D1"/>
    <w:rsid w:val="21501D30"/>
    <w:rsid w:val="218B4F43"/>
    <w:rsid w:val="218F63D0"/>
    <w:rsid w:val="21906F18"/>
    <w:rsid w:val="21980C4B"/>
    <w:rsid w:val="21C04218"/>
    <w:rsid w:val="21C175BF"/>
    <w:rsid w:val="21C93496"/>
    <w:rsid w:val="21D0489A"/>
    <w:rsid w:val="21DE4664"/>
    <w:rsid w:val="21DF24F8"/>
    <w:rsid w:val="21F77F7F"/>
    <w:rsid w:val="220618A0"/>
    <w:rsid w:val="2229169F"/>
    <w:rsid w:val="223C3D0F"/>
    <w:rsid w:val="22503EBA"/>
    <w:rsid w:val="225664CA"/>
    <w:rsid w:val="22632A9C"/>
    <w:rsid w:val="2278072C"/>
    <w:rsid w:val="227A3C08"/>
    <w:rsid w:val="227D69E1"/>
    <w:rsid w:val="228E4603"/>
    <w:rsid w:val="22A36114"/>
    <w:rsid w:val="22B32EA4"/>
    <w:rsid w:val="22CA2E15"/>
    <w:rsid w:val="22E822C4"/>
    <w:rsid w:val="22F40CD9"/>
    <w:rsid w:val="22F75C0D"/>
    <w:rsid w:val="23124D26"/>
    <w:rsid w:val="231450DA"/>
    <w:rsid w:val="2317612B"/>
    <w:rsid w:val="231D39C3"/>
    <w:rsid w:val="232C1BBB"/>
    <w:rsid w:val="23406258"/>
    <w:rsid w:val="23454BF7"/>
    <w:rsid w:val="234F0322"/>
    <w:rsid w:val="23515DF1"/>
    <w:rsid w:val="2356780E"/>
    <w:rsid w:val="23863EDA"/>
    <w:rsid w:val="23885085"/>
    <w:rsid w:val="23947819"/>
    <w:rsid w:val="23A05B40"/>
    <w:rsid w:val="23B178E9"/>
    <w:rsid w:val="23B213A3"/>
    <w:rsid w:val="23E764E1"/>
    <w:rsid w:val="23EE07C5"/>
    <w:rsid w:val="24113F97"/>
    <w:rsid w:val="243841D4"/>
    <w:rsid w:val="24851264"/>
    <w:rsid w:val="24885097"/>
    <w:rsid w:val="24983A0C"/>
    <w:rsid w:val="249963AF"/>
    <w:rsid w:val="249E0C2D"/>
    <w:rsid w:val="24B93C4E"/>
    <w:rsid w:val="24BE4976"/>
    <w:rsid w:val="24DB4586"/>
    <w:rsid w:val="24F35D51"/>
    <w:rsid w:val="25114177"/>
    <w:rsid w:val="2533504B"/>
    <w:rsid w:val="25371CEA"/>
    <w:rsid w:val="2538371D"/>
    <w:rsid w:val="254B77D9"/>
    <w:rsid w:val="256E2C8A"/>
    <w:rsid w:val="258078A5"/>
    <w:rsid w:val="258B53AA"/>
    <w:rsid w:val="25B544F5"/>
    <w:rsid w:val="25CD53B4"/>
    <w:rsid w:val="25DA7B6E"/>
    <w:rsid w:val="261E1400"/>
    <w:rsid w:val="26293F90"/>
    <w:rsid w:val="26354BCE"/>
    <w:rsid w:val="263B5E92"/>
    <w:rsid w:val="26437DDD"/>
    <w:rsid w:val="26721F34"/>
    <w:rsid w:val="26966053"/>
    <w:rsid w:val="26BD6B0C"/>
    <w:rsid w:val="26CE52ED"/>
    <w:rsid w:val="26E1123A"/>
    <w:rsid w:val="26FA3A16"/>
    <w:rsid w:val="270B2AB6"/>
    <w:rsid w:val="2714160F"/>
    <w:rsid w:val="272E79DF"/>
    <w:rsid w:val="272F5343"/>
    <w:rsid w:val="273F5E48"/>
    <w:rsid w:val="2748408A"/>
    <w:rsid w:val="274B6420"/>
    <w:rsid w:val="27543DCD"/>
    <w:rsid w:val="27556F0D"/>
    <w:rsid w:val="27631939"/>
    <w:rsid w:val="27797280"/>
    <w:rsid w:val="277B6AF7"/>
    <w:rsid w:val="278D5DD2"/>
    <w:rsid w:val="27910950"/>
    <w:rsid w:val="27B31BA7"/>
    <w:rsid w:val="27BE0175"/>
    <w:rsid w:val="27BF7F99"/>
    <w:rsid w:val="27ED0132"/>
    <w:rsid w:val="27FA716F"/>
    <w:rsid w:val="28076E78"/>
    <w:rsid w:val="28392177"/>
    <w:rsid w:val="283B050A"/>
    <w:rsid w:val="28546765"/>
    <w:rsid w:val="28572F2D"/>
    <w:rsid w:val="285B7017"/>
    <w:rsid w:val="286D14D5"/>
    <w:rsid w:val="28A438FA"/>
    <w:rsid w:val="28AD5590"/>
    <w:rsid w:val="28B10E4A"/>
    <w:rsid w:val="28CE01A0"/>
    <w:rsid w:val="28CF590C"/>
    <w:rsid w:val="290F7096"/>
    <w:rsid w:val="29177CF7"/>
    <w:rsid w:val="29201D33"/>
    <w:rsid w:val="29251774"/>
    <w:rsid w:val="29271CC7"/>
    <w:rsid w:val="29350802"/>
    <w:rsid w:val="293673E9"/>
    <w:rsid w:val="2949464A"/>
    <w:rsid w:val="295E57DB"/>
    <w:rsid w:val="296071DF"/>
    <w:rsid w:val="296D257E"/>
    <w:rsid w:val="297F3376"/>
    <w:rsid w:val="29E1222C"/>
    <w:rsid w:val="29EF577C"/>
    <w:rsid w:val="29F36FC0"/>
    <w:rsid w:val="2A340A16"/>
    <w:rsid w:val="2A391CCC"/>
    <w:rsid w:val="2A3D2C25"/>
    <w:rsid w:val="2A4E4EC4"/>
    <w:rsid w:val="2A71010C"/>
    <w:rsid w:val="2A7F71D0"/>
    <w:rsid w:val="2A850972"/>
    <w:rsid w:val="2A9716F2"/>
    <w:rsid w:val="2AB029E1"/>
    <w:rsid w:val="2AC53A3A"/>
    <w:rsid w:val="2AD73080"/>
    <w:rsid w:val="2AE20ECB"/>
    <w:rsid w:val="2AF63A63"/>
    <w:rsid w:val="2B1125AC"/>
    <w:rsid w:val="2B165956"/>
    <w:rsid w:val="2B183BCF"/>
    <w:rsid w:val="2B256F28"/>
    <w:rsid w:val="2B2718DC"/>
    <w:rsid w:val="2B3676F6"/>
    <w:rsid w:val="2B474C42"/>
    <w:rsid w:val="2B5662AA"/>
    <w:rsid w:val="2B6561C0"/>
    <w:rsid w:val="2B6A2A15"/>
    <w:rsid w:val="2B91742B"/>
    <w:rsid w:val="2BAA32A7"/>
    <w:rsid w:val="2BC72480"/>
    <w:rsid w:val="2BDF3B35"/>
    <w:rsid w:val="2BED0813"/>
    <w:rsid w:val="2BF72396"/>
    <w:rsid w:val="2C230528"/>
    <w:rsid w:val="2C2C2C02"/>
    <w:rsid w:val="2C3F2904"/>
    <w:rsid w:val="2C4B75BE"/>
    <w:rsid w:val="2C4E2F49"/>
    <w:rsid w:val="2C521F9B"/>
    <w:rsid w:val="2C615316"/>
    <w:rsid w:val="2C7C4908"/>
    <w:rsid w:val="2C803BB6"/>
    <w:rsid w:val="2C914F57"/>
    <w:rsid w:val="2C98683F"/>
    <w:rsid w:val="2CAA3971"/>
    <w:rsid w:val="2CE4567F"/>
    <w:rsid w:val="2CE87BDE"/>
    <w:rsid w:val="2CF0667B"/>
    <w:rsid w:val="2CFF25E3"/>
    <w:rsid w:val="2D361322"/>
    <w:rsid w:val="2D5A65E4"/>
    <w:rsid w:val="2D5D778A"/>
    <w:rsid w:val="2D690BEE"/>
    <w:rsid w:val="2D82512C"/>
    <w:rsid w:val="2D865CEC"/>
    <w:rsid w:val="2D8B02AF"/>
    <w:rsid w:val="2D9C4B0C"/>
    <w:rsid w:val="2DA37B2E"/>
    <w:rsid w:val="2DB9402C"/>
    <w:rsid w:val="2DC76159"/>
    <w:rsid w:val="2DD53EAA"/>
    <w:rsid w:val="2DDA557A"/>
    <w:rsid w:val="2DDD6C07"/>
    <w:rsid w:val="2DEE06FA"/>
    <w:rsid w:val="2DF01DF8"/>
    <w:rsid w:val="2DFB6F19"/>
    <w:rsid w:val="2E044963"/>
    <w:rsid w:val="2E141840"/>
    <w:rsid w:val="2E23173E"/>
    <w:rsid w:val="2E265746"/>
    <w:rsid w:val="2E6B5FB9"/>
    <w:rsid w:val="2E853EDF"/>
    <w:rsid w:val="2EB073C2"/>
    <w:rsid w:val="2EB11AA9"/>
    <w:rsid w:val="2EBD1A3E"/>
    <w:rsid w:val="2ECD6561"/>
    <w:rsid w:val="2ED21339"/>
    <w:rsid w:val="2EDA11C3"/>
    <w:rsid w:val="2EE946D4"/>
    <w:rsid w:val="2EEE2BF6"/>
    <w:rsid w:val="2EF55270"/>
    <w:rsid w:val="2EFF5266"/>
    <w:rsid w:val="2F054274"/>
    <w:rsid w:val="2F05640D"/>
    <w:rsid w:val="2F1C7BBA"/>
    <w:rsid w:val="2F3F0856"/>
    <w:rsid w:val="2F49409E"/>
    <w:rsid w:val="2F553306"/>
    <w:rsid w:val="2F6A1CA5"/>
    <w:rsid w:val="2F786779"/>
    <w:rsid w:val="2F852B97"/>
    <w:rsid w:val="2F871BE7"/>
    <w:rsid w:val="2FBC4C5E"/>
    <w:rsid w:val="2FCC546F"/>
    <w:rsid w:val="2FE85D6B"/>
    <w:rsid w:val="2FE952E3"/>
    <w:rsid w:val="2FE972CD"/>
    <w:rsid w:val="3008796F"/>
    <w:rsid w:val="300C523A"/>
    <w:rsid w:val="3024128E"/>
    <w:rsid w:val="303B0608"/>
    <w:rsid w:val="30742179"/>
    <w:rsid w:val="309158A7"/>
    <w:rsid w:val="30AB0BF0"/>
    <w:rsid w:val="30AE5AE9"/>
    <w:rsid w:val="30BE033B"/>
    <w:rsid w:val="30C301B3"/>
    <w:rsid w:val="30E57A7A"/>
    <w:rsid w:val="30E76AFB"/>
    <w:rsid w:val="30E81BD9"/>
    <w:rsid w:val="30F73B34"/>
    <w:rsid w:val="30FD6F74"/>
    <w:rsid w:val="310570EE"/>
    <w:rsid w:val="31083088"/>
    <w:rsid w:val="311F3F1B"/>
    <w:rsid w:val="312C20DD"/>
    <w:rsid w:val="31331E60"/>
    <w:rsid w:val="316007CC"/>
    <w:rsid w:val="318B4470"/>
    <w:rsid w:val="31991A5B"/>
    <w:rsid w:val="31BD3B31"/>
    <w:rsid w:val="31BD63AC"/>
    <w:rsid w:val="31C04599"/>
    <w:rsid w:val="31CE0DD3"/>
    <w:rsid w:val="31CE34FC"/>
    <w:rsid w:val="31D07348"/>
    <w:rsid w:val="31F024FA"/>
    <w:rsid w:val="31FB26B1"/>
    <w:rsid w:val="3214693B"/>
    <w:rsid w:val="321730A0"/>
    <w:rsid w:val="32221995"/>
    <w:rsid w:val="324951A7"/>
    <w:rsid w:val="325573C0"/>
    <w:rsid w:val="325909BD"/>
    <w:rsid w:val="32B2190F"/>
    <w:rsid w:val="32C61A40"/>
    <w:rsid w:val="32D76100"/>
    <w:rsid w:val="32EB61DE"/>
    <w:rsid w:val="33004895"/>
    <w:rsid w:val="330A3657"/>
    <w:rsid w:val="33125D7C"/>
    <w:rsid w:val="331F2D4A"/>
    <w:rsid w:val="33293F5D"/>
    <w:rsid w:val="333B0AA1"/>
    <w:rsid w:val="335F710F"/>
    <w:rsid w:val="337E14EB"/>
    <w:rsid w:val="33847ECE"/>
    <w:rsid w:val="339F202D"/>
    <w:rsid w:val="33B41007"/>
    <w:rsid w:val="33B640C1"/>
    <w:rsid w:val="33EC35D9"/>
    <w:rsid w:val="34052A58"/>
    <w:rsid w:val="340C279D"/>
    <w:rsid w:val="34107740"/>
    <w:rsid w:val="342E5235"/>
    <w:rsid w:val="343370BA"/>
    <w:rsid w:val="343430F9"/>
    <w:rsid w:val="345A1A7D"/>
    <w:rsid w:val="345F157E"/>
    <w:rsid w:val="346B5A9A"/>
    <w:rsid w:val="347709D1"/>
    <w:rsid w:val="34865E18"/>
    <w:rsid w:val="348937B8"/>
    <w:rsid w:val="34A926AD"/>
    <w:rsid w:val="34BB7589"/>
    <w:rsid w:val="34D62DA9"/>
    <w:rsid w:val="34DD200B"/>
    <w:rsid w:val="350031D3"/>
    <w:rsid w:val="351C5815"/>
    <w:rsid w:val="35250043"/>
    <w:rsid w:val="352F3211"/>
    <w:rsid w:val="353A16A4"/>
    <w:rsid w:val="35977897"/>
    <w:rsid w:val="359A0DC9"/>
    <w:rsid w:val="35B36A93"/>
    <w:rsid w:val="35B738E7"/>
    <w:rsid w:val="35C91DF7"/>
    <w:rsid w:val="35D825A4"/>
    <w:rsid w:val="35DA2D1D"/>
    <w:rsid w:val="35DC5F0C"/>
    <w:rsid w:val="35DF586E"/>
    <w:rsid w:val="35FC3AE9"/>
    <w:rsid w:val="36020984"/>
    <w:rsid w:val="363E3A84"/>
    <w:rsid w:val="36455341"/>
    <w:rsid w:val="365A6CDF"/>
    <w:rsid w:val="365A71F4"/>
    <w:rsid w:val="366275C1"/>
    <w:rsid w:val="367479D5"/>
    <w:rsid w:val="36787F15"/>
    <w:rsid w:val="3684798A"/>
    <w:rsid w:val="36BE2AEE"/>
    <w:rsid w:val="36CF7FAD"/>
    <w:rsid w:val="36D155B4"/>
    <w:rsid w:val="36FD5F0F"/>
    <w:rsid w:val="372023F7"/>
    <w:rsid w:val="375B25F3"/>
    <w:rsid w:val="37624BB6"/>
    <w:rsid w:val="377F6677"/>
    <w:rsid w:val="378868F6"/>
    <w:rsid w:val="378E062E"/>
    <w:rsid w:val="379C6C64"/>
    <w:rsid w:val="37A720F3"/>
    <w:rsid w:val="37BA3F17"/>
    <w:rsid w:val="37C82BF2"/>
    <w:rsid w:val="37D564B3"/>
    <w:rsid w:val="37D576FC"/>
    <w:rsid w:val="37D94286"/>
    <w:rsid w:val="37DD1712"/>
    <w:rsid w:val="37F10460"/>
    <w:rsid w:val="37F10D08"/>
    <w:rsid w:val="38385191"/>
    <w:rsid w:val="38732CE0"/>
    <w:rsid w:val="3873626C"/>
    <w:rsid w:val="387539F4"/>
    <w:rsid w:val="38C26B8B"/>
    <w:rsid w:val="38E03F27"/>
    <w:rsid w:val="38E70EF0"/>
    <w:rsid w:val="39186F4C"/>
    <w:rsid w:val="3970146F"/>
    <w:rsid w:val="39872865"/>
    <w:rsid w:val="39897C3B"/>
    <w:rsid w:val="39971383"/>
    <w:rsid w:val="39A22640"/>
    <w:rsid w:val="39A24859"/>
    <w:rsid w:val="39AF07C6"/>
    <w:rsid w:val="39B61805"/>
    <w:rsid w:val="39BB4822"/>
    <w:rsid w:val="39CE289A"/>
    <w:rsid w:val="39D64C3B"/>
    <w:rsid w:val="39DA095F"/>
    <w:rsid w:val="39E006DB"/>
    <w:rsid w:val="39F452C8"/>
    <w:rsid w:val="39FC51A0"/>
    <w:rsid w:val="3A2B38C5"/>
    <w:rsid w:val="3A4A561C"/>
    <w:rsid w:val="3A616EE3"/>
    <w:rsid w:val="3A623914"/>
    <w:rsid w:val="3A6F0FFC"/>
    <w:rsid w:val="3A6F2FE6"/>
    <w:rsid w:val="3A8E0CF9"/>
    <w:rsid w:val="3A9D5E4B"/>
    <w:rsid w:val="3AA54226"/>
    <w:rsid w:val="3AC63E8A"/>
    <w:rsid w:val="3ACC128D"/>
    <w:rsid w:val="3ADD6888"/>
    <w:rsid w:val="3AE3333E"/>
    <w:rsid w:val="3AE71FAC"/>
    <w:rsid w:val="3AE95466"/>
    <w:rsid w:val="3AF11849"/>
    <w:rsid w:val="3AF22680"/>
    <w:rsid w:val="3AF81AB8"/>
    <w:rsid w:val="3AFD268F"/>
    <w:rsid w:val="3B051BC8"/>
    <w:rsid w:val="3B1A0E14"/>
    <w:rsid w:val="3B230289"/>
    <w:rsid w:val="3B36163C"/>
    <w:rsid w:val="3B515591"/>
    <w:rsid w:val="3B9C4CEF"/>
    <w:rsid w:val="3BAA4DE4"/>
    <w:rsid w:val="3BAB718E"/>
    <w:rsid w:val="3BB11E88"/>
    <w:rsid w:val="3BF13F50"/>
    <w:rsid w:val="3C1661BF"/>
    <w:rsid w:val="3C186D41"/>
    <w:rsid w:val="3C19338E"/>
    <w:rsid w:val="3C1B2138"/>
    <w:rsid w:val="3C260042"/>
    <w:rsid w:val="3C406BF8"/>
    <w:rsid w:val="3C4340D1"/>
    <w:rsid w:val="3C5F41CF"/>
    <w:rsid w:val="3C6F21A5"/>
    <w:rsid w:val="3C731CA0"/>
    <w:rsid w:val="3C7A569F"/>
    <w:rsid w:val="3CC45EF3"/>
    <w:rsid w:val="3CE11DDD"/>
    <w:rsid w:val="3CFA7DAE"/>
    <w:rsid w:val="3CFE35C7"/>
    <w:rsid w:val="3D04742D"/>
    <w:rsid w:val="3D115BE4"/>
    <w:rsid w:val="3D2D0F92"/>
    <w:rsid w:val="3D49457D"/>
    <w:rsid w:val="3D651D55"/>
    <w:rsid w:val="3D7E57C1"/>
    <w:rsid w:val="3D854EED"/>
    <w:rsid w:val="3D8D7D65"/>
    <w:rsid w:val="3D9875F7"/>
    <w:rsid w:val="3D9A17A1"/>
    <w:rsid w:val="3DA843CC"/>
    <w:rsid w:val="3DB03FCF"/>
    <w:rsid w:val="3DB55EA0"/>
    <w:rsid w:val="3DC0747D"/>
    <w:rsid w:val="3DC36DC1"/>
    <w:rsid w:val="3DD30206"/>
    <w:rsid w:val="3DDC714F"/>
    <w:rsid w:val="3DE0484C"/>
    <w:rsid w:val="3DE14335"/>
    <w:rsid w:val="3DF45140"/>
    <w:rsid w:val="3DFE66E1"/>
    <w:rsid w:val="3E190CD9"/>
    <w:rsid w:val="3E196878"/>
    <w:rsid w:val="3E1D3C9E"/>
    <w:rsid w:val="3E241322"/>
    <w:rsid w:val="3E503EE9"/>
    <w:rsid w:val="3E570D8D"/>
    <w:rsid w:val="3E6A127F"/>
    <w:rsid w:val="3E77579E"/>
    <w:rsid w:val="3E7E3D7D"/>
    <w:rsid w:val="3E8F115F"/>
    <w:rsid w:val="3E920D35"/>
    <w:rsid w:val="3EA90D03"/>
    <w:rsid w:val="3ED64C56"/>
    <w:rsid w:val="3EE73350"/>
    <w:rsid w:val="3EF91A72"/>
    <w:rsid w:val="3F00274D"/>
    <w:rsid w:val="3F041E71"/>
    <w:rsid w:val="3F0B754F"/>
    <w:rsid w:val="3F1422A5"/>
    <w:rsid w:val="3F1C6A72"/>
    <w:rsid w:val="3F200BC6"/>
    <w:rsid w:val="3F307101"/>
    <w:rsid w:val="3F341BEB"/>
    <w:rsid w:val="3F354EDE"/>
    <w:rsid w:val="3F55489E"/>
    <w:rsid w:val="3F5C39F8"/>
    <w:rsid w:val="3F5E1222"/>
    <w:rsid w:val="3F640B0B"/>
    <w:rsid w:val="3F6E4839"/>
    <w:rsid w:val="3FA912B4"/>
    <w:rsid w:val="3FC47BB1"/>
    <w:rsid w:val="3FE711C4"/>
    <w:rsid w:val="3FEC4A80"/>
    <w:rsid w:val="3FEF57F9"/>
    <w:rsid w:val="40000122"/>
    <w:rsid w:val="401035B6"/>
    <w:rsid w:val="40181458"/>
    <w:rsid w:val="40181D55"/>
    <w:rsid w:val="40204576"/>
    <w:rsid w:val="402A2B8B"/>
    <w:rsid w:val="40402273"/>
    <w:rsid w:val="40433249"/>
    <w:rsid w:val="406134E0"/>
    <w:rsid w:val="40AF5686"/>
    <w:rsid w:val="40B11B9C"/>
    <w:rsid w:val="40BB1A59"/>
    <w:rsid w:val="40BB5A90"/>
    <w:rsid w:val="40D117B5"/>
    <w:rsid w:val="40D33A60"/>
    <w:rsid w:val="40F0152D"/>
    <w:rsid w:val="41031A7F"/>
    <w:rsid w:val="41052A76"/>
    <w:rsid w:val="411E2E29"/>
    <w:rsid w:val="41200E85"/>
    <w:rsid w:val="412765FC"/>
    <w:rsid w:val="413F761A"/>
    <w:rsid w:val="4149711F"/>
    <w:rsid w:val="417D1B89"/>
    <w:rsid w:val="418B09BB"/>
    <w:rsid w:val="419C1033"/>
    <w:rsid w:val="41AC4EE7"/>
    <w:rsid w:val="41B46807"/>
    <w:rsid w:val="41B46966"/>
    <w:rsid w:val="41B76D1C"/>
    <w:rsid w:val="41DE0366"/>
    <w:rsid w:val="41EE5E9E"/>
    <w:rsid w:val="42120CD0"/>
    <w:rsid w:val="42234E1A"/>
    <w:rsid w:val="422F6893"/>
    <w:rsid w:val="422F7579"/>
    <w:rsid w:val="425656F5"/>
    <w:rsid w:val="425861A4"/>
    <w:rsid w:val="426B0B7C"/>
    <w:rsid w:val="42741716"/>
    <w:rsid w:val="427D1467"/>
    <w:rsid w:val="428A041E"/>
    <w:rsid w:val="42A93AC7"/>
    <w:rsid w:val="42AC39E7"/>
    <w:rsid w:val="42C607CC"/>
    <w:rsid w:val="42C86C34"/>
    <w:rsid w:val="42D45590"/>
    <w:rsid w:val="42E145A4"/>
    <w:rsid w:val="42E2672C"/>
    <w:rsid w:val="42E86295"/>
    <w:rsid w:val="42FA5FF8"/>
    <w:rsid w:val="43335C07"/>
    <w:rsid w:val="433D12C5"/>
    <w:rsid w:val="43665E33"/>
    <w:rsid w:val="43763071"/>
    <w:rsid w:val="43801E33"/>
    <w:rsid w:val="43863DF3"/>
    <w:rsid w:val="43933DB1"/>
    <w:rsid w:val="439A19AE"/>
    <w:rsid w:val="43BB3996"/>
    <w:rsid w:val="43FA2B44"/>
    <w:rsid w:val="44007208"/>
    <w:rsid w:val="44077FF7"/>
    <w:rsid w:val="440B46A1"/>
    <w:rsid w:val="44453ACD"/>
    <w:rsid w:val="444B52C9"/>
    <w:rsid w:val="44540826"/>
    <w:rsid w:val="446C0E75"/>
    <w:rsid w:val="447647FE"/>
    <w:rsid w:val="447C1517"/>
    <w:rsid w:val="4484695C"/>
    <w:rsid w:val="448741D8"/>
    <w:rsid w:val="4487580F"/>
    <w:rsid w:val="44A859F2"/>
    <w:rsid w:val="44AF2FBF"/>
    <w:rsid w:val="44B63F5E"/>
    <w:rsid w:val="44D514F1"/>
    <w:rsid w:val="44D56AC3"/>
    <w:rsid w:val="44EA2BC8"/>
    <w:rsid w:val="44EF2FCC"/>
    <w:rsid w:val="44FD3DC1"/>
    <w:rsid w:val="44FD668F"/>
    <w:rsid w:val="450A60BD"/>
    <w:rsid w:val="450C1BDC"/>
    <w:rsid w:val="45133C82"/>
    <w:rsid w:val="45160531"/>
    <w:rsid w:val="45216262"/>
    <w:rsid w:val="45296400"/>
    <w:rsid w:val="4541360C"/>
    <w:rsid w:val="455C75A7"/>
    <w:rsid w:val="455D6962"/>
    <w:rsid w:val="45617CDA"/>
    <w:rsid w:val="45674F69"/>
    <w:rsid w:val="45731B8A"/>
    <w:rsid w:val="45765517"/>
    <w:rsid w:val="458576CB"/>
    <w:rsid w:val="458C5F0D"/>
    <w:rsid w:val="45990691"/>
    <w:rsid w:val="45A5145C"/>
    <w:rsid w:val="45AE0289"/>
    <w:rsid w:val="45B40A7D"/>
    <w:rsid w:val="45C8759C"/>
    <w:rsid w:val="45E41E42"/>
    <w:rsid w:val="46155638"/>
    <w:rsid w:val="46193948"/>
    <w:rsid w:val="46304AB6"/>
    <w:rsid w:val="463C56D4"/>
    <w:rsid w:val="463F3B3F"/>
    <w:rsid w:val="46654648"/>
    <w:rsid w:val="46655B0A"/>
    <w:rsid w:val="46744694"/>
    <w:rsid w:val="467E6564"/>
    <w:rsid w:val="467F1233"/>
    <w:rsid w:val="468D57A9"/>
    <w:rsid w:val="468F5963"/>
    <w:rsid w:val="46965624"/>
    <w:rsid w:val="469C7D7A"/>
    <w:rsid w:val="46AA289D"/>
    <w:rsid w:val="46B837AA"/>
    <w:rsid w:val="46C12FC5"/>
    <w:rsid w:val="46CE6148"/>
    <w:rsid w:val="470F51EA"/>
    <w:rsid w:val="471A1193"/>
    <w:rsid w:val="472B7287"/>
    <w:rsid w:val="473F318D"/>
    <w:rsid w:val="478F1395"/>
    <w:rsid w:val="4793205B"/>
    <w:rsid w:val="479B1265"/>
    <w:rsid w:val="47AA467D"/>
    <w:rsid w:val="47C97EAD"/>
    <w:rsid w:val="47CB6799"/>
    <w:rsid w:val="47F020E2"/>
    <w:rsid w:val="48126372"/>
    <w:rsid w:val="48201777"/>
    <w:rsid w:val="48316211"/>
    <w:rsid w:val="48452B8B"/>
    <w:rsid w:val="484563EA"/>
    <w:rsid w:val="4847732C"/>
    <w:rsid w:val="48493088"/>
    <w:rsid w:val="487023A6"/>
    <w:rsid w:val="487678B3"/>
    <w:rsid w:val="487F2439"/>
    <w:rsid w:val="48804676"/>
    <w:rsid w:val="488D0AE7"/>
    <w:rsid w:val="488D786C"/>
    <w:rsid w:val="48AD0A20"/>
    <w:rsid w:val="48BA38A4"/>
    <w:rsid w:val="48E13D63"/>
    <w:rsid w:val="48EA603B"/>
    <w:rsid w:val="48EC1B3A"/>
    <w:rsid w:val="48ED41EB"/>
    <w:rsid w:val="49193918"/>
    <w:rsid w:val="491A2CD9"/>
    <w:rsid w:val="492A7125"/>
    <w:rsid w:val="49300B41"/>
    <w:rsid w:val="496467E8"/>
    <w:rsid w:val="497215C0"/>
    <w:rsid w:val="49783326"/>
    <w:rsid w:val="49836455"/>
    <w:rsid w:val="498B34AC"/>
    <w:rsid w:val="499D2A13"/>
    <w:rsid w:val="49A20541"/>
    <w:rsid w:val="49B152F5"/>
    <w:rsid w:val="49FF2223"/>
    <w:rsid w:val="4A111966"/>
    <w:rsid w:val="4A1E3514"/>
    <w:rsid w:val="4A210CE5"/>
    <w:rsid w:val="4A2529D6"/>
    <w:rsid w:val="4A697683"/>
    <w:rsid w:val="4A721D26"/>
    <w:rsid w:val="4A730879"/>
    <w:rsid w:val="4A73167C"/>
    <w:rsid w:val="4A880A55"/>
    <w:rsid w:val="4ABC17B3"/>
    <w:rsid w:val="4ACF564A"/>
    <w:rsid w:val="4AE070C6"/>
    <w:rsid w:val="4B0C6D62"/>
    <w:rsid w:val="4B1A19CF"/>
    <w:rsid w:val="4B220FD2"/>
    <w:rsid w:val="4B32593E"/>
    <w:rsid w:val="4B4077ED"/>
    <w:rsid w:val="4B497399"/>
    <w:rsid w:val="4B68225D"/>
    <w:rsid w:val="4B836331"/>
    <w:rsid w:val="4B852622"/>
    <w:rsid w:val="4B870CF6"/>
    <w:rsid w:val="4B890D78"/>
    <w:rsid w:val="4BB44E75"/>
    <w:rsid w:val="4BBC09B6"/>
    <w:rsid w:val="4BC96C59"/>
    <w:rsid w:val="4BEA5264"/>
    <w:rsid w:val="4C0225D1"/>
    <w:rsid w:val="4C096A8F"/>
    <w:rsid w:val="4C0F7CF1"/>
    <w:rsid w:val="4C1A6368"/>
    <w:rsid w:val="4C3307E8"/>
    <w:rsid w:val="4C341D08"/>
    <w:rsid w:val="4C3864A9"/>
    <w:rsid w:val="4C4A39F0"/>
    <w:rsid w:val="4C53188D"/>
    <w:rsid w:val="4C5F182C"/>
    <w:rsid w:val="4C61601B"/>
    <w:rsid w:val="4C757D7B"/>
    <w:rsid w:val="4C95242C"/>
    <w:rsid w:val="4C9F38C1"/>
    <w:rsid w:val="4CA54934"/>
    <w:rsid w:val="4CAE49F5"/>
    <w:rsid w:val="4CB46835"/>
    <w:rsid w:val="4CBE396D"/>
    <w:rsid w:val="4CC060FA"/>
    <w:rsid w:val="4CEF36DA"/>
    <w:rsid w:val="4D07172D"/>
    <w:rsid w:val="4D0F7ADC"/>
    <w:rsid w:val="4D0F7E8B"/>
    <w:rsid w:val="4D120ECD"/>
    <w:rsid w:val="4D33149D"/>
    <w:rsid w:val="4D424904"/>
    <w:rsid w:val="4D650E9F"/>
    <w:rsid w:val="4D722B22"/>
    <w:rsid w:val="4D7E68F9"/>
    <w:rsid w:val="4D840B5F"/>
    <w:rsid w:val="4D917AB2"/>
    <w:rsid w:val="4DCD10BA"/>
    <w:rsid w:val="4DCF116E"/>
    <w:rsid w:val="4DDF40A6"/>
    <w:rsid w:val="4DF557DB"/>
    <w:rsid w:val="4DF96FEF"/>
    <w:rsid w:val="4E0D3C6D"/>
    <w:rsid w:val="4E4D4BB8"/>
    <w:rsid w:val="4E5B0CD8"/>
    <w:rsid w:val="4E643481"/>
    <w:rsid w:val="4E86440D"/>
    <w:rsid w:val="4E9463B2"/>
    <w:rsid w:val="4E9A60C9"/>
    <w:rsid w:val="4EAD5FE1"/>
    <w:rsid w:val="4EB40E5E"/>
    <w:rsid w:val="4ECB0CC7"/>
    <w:rsid w:val="4EE25E68"/>
    <w:rsid w:val="4EFD148F"/>
    <w:rsid w:val="4EFE651F"/>
    <w:rsid w:val="4F062B33"/>
    <w:rsid w:val="4F167121"/>
    <w:rsid w:val="4F2104F8"/>
    <w:rsid w:val="4F3424AE"/>
    <w:rsid w:val="4F474841"/>
    <w:rsid w:val="4F8024CB"/>
    <w:rsid w:val="4FC621AC"/>
    <w:rsid w:val="4FC90158"/>
    <w:rsid w:val="4FDA574F"/>
    <w:rsid w:val="4FE41007"/>
    <w:rsid w:val="4FF9569C"/>
    <w:rsid w:val="4FFC1A8E"/>
    <w:rsid w:val="4FFE51E4"/>
    <w:rsid w:val="50093FA4"/>
    <w:rsid w:val="501747C3"/>
    <w:rsid w:val="50310398"/>
    <w:rsid w:val="50311326"/>
    <w:rsid w:val="50466D97"/>
    <w:rsid w:val="50492CD7"/>
    <w:rsid w:val="504A4535"/>
    <w:rsid w:val="504C7C71"/>
    <w:rsid w:val="50786C3E"/>
    <w:rsid w:val="50794419"/>
    <w:rsid w:val="507F344A"/>
    <w:rsid w:val="5083224E"/>
    <w:rsid w:val="508433A5"/>
    <w:rsid w:val="50911C28"/>
    <w:rsid w:val="509962F9"/>
    <w:rsid w:val="509B7960"/>
    <w:rsid w:val="50AE31B6"/>
    <w:rsid w:val="50B2272E"/>
    <w:rsid w:val="50E433DE"/>
    <w:rsid w:val="50ED68F5"/>
    <w:rsid w:val="50FC0932"/>
    <w:rsid w:val="513B5550"/>
    <w:rsid w:val="51582F49"/>
    <w:rsid w:val="516E7FA7"/>
    <w:rsid w:val="51822123"/>
    <w:rsid w:val="518A6447"/>
    <w:rsid w:val="51A641E5"/>
    <w:rsid w:val="51D1010A"/>
    <w:rsid w:val="51D45D22"/>
    <w:rsid w:val="51D91B7D"/>
    <w:rsid w:val="51E74B05"/>
    <w:rsid w:val="51EC1317"/>
    <w:rsid w:val="51F706C2"/>
    <w:rsid w:val="52057A3C"/>
    <w:rsid w:val="521450CC"/>
    <w:rsid w:val="52152302"/>
    <w:rsid w:val="521560B8"/>
    <w:rsid w:val="52206935"/>
    <w:rsid w:val="52331B94"/>
    <w:rsid w:val="52336DB7"/>
    <w:rsid w:val="523C7075"/>
    <w:rsid w:val="523F4606"/>
    <w:rsid w:val="52647239"/>
    <w:rsid w:val="52C13FDF"/>
    <w:rsid w:val="52C62650"/>
    <w:rsid w:val="52C762C9"/>
    <w:rsid w:val="52DA004E"/>
    <w:rsid w:val="52E22FF5"/>
    <w:rsid w:val="530A3EC6"/>
    <w:rsid w:val="531068D2"/>
    <w:rsid w:val="532D2CA5"/>
    <w:rsid w:val="532D3B54"/>
    <w:rsid w:val="533B7756"/>
    <w:rsid w:val="534052FF"/>
    <w:rsid w:val="53502096"/>
    <w:rsid w:val="53876F76"/>
    <w:rsid w:val="538C29DD"/>
    <w:rsid w:val="53A629E1"/>
    <w:rsid w:val="53B259D0"/>
    <w:rsid w:val="53B55589"/>
    <w:rsid w:val="53B861A6"/>
    <w:rsid w:val="53F33F2A"/>
    <w:rsid w:val="53FF7586"/>
    <w:rsid w:val="54056EDB"/>
    <w:rsid w:val="54147D5D"/>
    <w:rsid w:val="542919A7"/>
    <w:rsid w:val="542D16DA"/>
    <w:rsid w:val="54317425"/>
    <w:rsid w:val="544A3B16"/>
    <w:rsid w:val="54860975"/>
    <w:rsid w:val="54944297"/>
    <w:rsid w:val="549D3480"/>
    <w:rsid w:val="54A01594"/>
    <w:rsid w:val="54A03593"/>
    <w:rsid w:val="54AA00D7"/>
    <w:rsid w:val="54AB4AB2"/>
    <w:rsid w:val="54AE2465"/>
    <w:rsid w:val="54C0055D"/>
    <w:rsid w:val="54C33BA9"/>
    <w:rsid w:val="54D0001C"/>
    <w:rsid w:val="54F85E9B"/>
    <w:rsid w:val="550A17D8"/>
    <w:rsid w:val="550F67CE"/>
    <w:rsid w:val="55120D38"/>
    <w:rsid w:val="55293C3A"/>
    <w:rsid w:val="55490E1E"/>
    <w:rsid w:val="5586194A"/>
    <w:rsid w:val="55981D67"/>
    <w:rsid w:val="559F4DD6"/>
    <w:rsid w:val="55B65A27"/>
    <w:rsid w:val="55CD10B0"/>
    <w:rsid w:val="55CF09CA"/>
    <w:rsid w:val="560A1C2F"/>
    <w:rsid w:val="56230763"/>
    <w:rsid w:val="562508E0"/>
    <w:rsid w:val="5627602E"/>
    <w:rsid w:val="562A1846"/>
    <w:rsid w:val="56311E22"/>
    <w:rsid w:val="564327B3"/>
    <w:rsid w:val="566572E2"/>
    <w:rsid w:val="566F07AE"/>
    <w:rsid w:val="56870CC1"/>
    <w:rsid w:val="569D3112"/>
    <w:rsid w:val="569D6627"/>
    <w:rsid w:val="56B95FBC"/>
    <w:rsid w:val="56CA14FD"/>
    <w:rsid w:val="56CB15B7"/>
    <w:rsid w:val="57162388"/>
    <w:rsid w:val="572321D8"/>
    <w:rsid w:val="574D38A0"/>
    <w:rsid w:val="57526CA1"/>
    <w:rsid w:val="5769457D"/>
    <w:rsid w:val="577F32E2"/>
    <w:rsid w:val="57A07579"/>
    <w:rsid w:val="57BB7DDD"/>
    <w:rsid w:val="57BC3819"/>
    <w:rsid w:val="57D8625C"/>
    <w:rsid w:val="57DB2D84"/>
    <w:rsid w:val="57DC4963"/>
    <w:rsid w:val="57EE1B0E"/>
    <w:rsid w:val="58021AB7"/>
    <w:rsid w:val="580E64EB"/>
    <w:rsid w:val="5826241E"/>
    <w:rsid w:val="583B5F5F"/>
    <w:rsid w:val="58450D79"/>
    <w:rsid w:val="586A3323"/>
    <w:rsid w:val="586F4703"/>
    <w:rsid w:val="58717A4D"/>
    <w:rsid w:val="588B0480"/>
    <w:rsid w:val="58C854D5"/>
    <w:rsid w:val="58CC7AAF"/>
    <w:rsid w:val="58E14BBD"/>
    <w:rsid w:val="58FB6743"/>
    <w:rsid w:val="5938173B"/>
    <w:rsid w:val="59536D42"/>
    <w:rsid w:val="595E303E"/>
    <w:rsid w:val="59804CC2"/>
    <w:rsid w:val="59871115"/>
    <w:rsid w:val="59904580"/>
    <w:rsid w:val="599E17BC"/>
    <w:rsid w:val="59A34CE8"/>
    <w:rsid w:val="59B64DB4"/>
    <w:rsid w:val="59CE2295"/>
    <w:rsid w:val="59CE2DE5"/>
    <w:rsid w:val="59D4633B"/>
    <w:rsid w:val="59E16E7B"/>
    <w:rsid w:val="59F6057D"/>
    <w:rsid w:val="59F75526"/>
    <w:rsid w:val="59FF4D9D"/>
    <w:rsid w:val="5A036A1D"/>
    <w:rsid w:val="5A096E14"/>
    <w:rsid w:val="5A0F41DB"/>
    <w:rsid w:val="5A3A0EE1"/>
    <w:rsid w:val="5A463D28"/>
    <w:rsid w:val="5A492644"/>
    <w:rsid w:val="5A5655DD"/>
    <w:rsid w:val="5A584377"/>
    <w:rsid w:val="5A6474A5"/>
    <w:rsid w:val="5AAE2453"/>
    <w:rsid w:val="5AB06E37"/>
    <w:rsid w:val="5AC40B1A"/>
    <w:rsid w:val="5AD023C8"/>
    <w:rsid w:val="5AE910B6"/>
    <w:rsid w:val="5AFA2E31"/>
    <w:rsid w:val="5B0A72E4"/>
    <w:rsid w:val="5B187E3C"/>
    <w:rsid w:val="5B4B0A2B"/>
    <w:rsid w:val="5B651F5D"/>
    <w:rsid w:val="5B6E0AF2"/>
    <w:rsid w:val="5B877C7F"/>
    <w:rsid w:val="5BA27256"/>
    <w:rsid w:val="5BAC26B1"/>
    <w:rsid w:val="5BB974EE"/>
    <w:rsid w:val="5BBB0323"/>
    <w:rsid w:val="5BC13CF2"/>
    <w:rsid w:val="5BCF6F8A"/>
    <w:rsid w:val="5BD6074C"/>
    <w:rsid w:val="5BEA6509"/>
    <w:rsid w:val="5BED4955"/>
    <w:rsid w:val="5BEF72D1"/>
    <w:rsid w:val="5C00752E"/>
    <w:rsid w:val="5C085FD8"/>
    <w:rsid w:val="5C281C1A"/>
    <w:rsid w:val="5C32739D"/>
    <w:rsid w:val="5C4F40C3"/>
    <w:rsid w:val="5C52406C"/>
    <w:rsid w:val="5C626638"/>
    <w:rsid w:val="5C905263"/>
    <w:rsid w:val="5C95407D"/>
    <w:rsid w:val="5CB0132E"/>
    <w:rsid w:val="5CBD7F1E"/>
    <w:rsid w:val="5CF01E44"/>
    <w:rsid w:val="5CF95A28"/>
    <w:rsid w:val="5D037CAC"/>
    <w:rsid w:val="5D090898"/>
    <w:rsid w:val="5D2A47EA"/>
    <w:rsid w:val="5D2E2EEA"/>
    <w:rsid w:val="5D4568F2"/>
    <w:rsid w:val="5D4C7F08"/>
    <w:rsid w:val="5D697E66"/>
    <w:rsid w:val="5D7C109E"/>
    <w:rsid w:val="5D9A2001"/>
    <w:rsid w:val="5DC26BF5"/>
    <w:rsid w:val="5DCC2687"/>
    <w:rsid w:val="5DD028EB"/>
    <w:rsid w:val="5DD43004"/>
    <w:rsid w:val="5E0507D6"/>
    <w:rsid w:val="5E237B97"/>
    <w:rsid w:val="5E244188"/>
    <w:rsid w:val="5E2A154A"/>
    <w:rsid w:val="5E585114"/>
    <w:rsid w:val="5E64795B"/>
    <w:rsid w:val="5E6B6486"/>
    <w:rsid w:val="5E835303"/>
    <w:rsid w:val="5E891ADE"/>
    <w:rsid w:val="5E972F4A"/>
    <w:rsid w:val="5EA95F10"/>
    <w:rsid w:val="5EBE14C5"/>
    <w:rsid w:val="5ECE26A0"/>
    <w:rsid w:val="5ED209B4"/>
    <w:rsid w:val="5ED52665"/>
    <w:rsid w:val="5EE15935"/>
    <w:rsid w:val="5EE51269"/>
    <w:rsid w:val="5EE56057"/>
    <w:rsid w:val="5EE8020B"/>
    <w:rsid w:val="5EFD71C4"/>
    <w:rsid w:val="5EFE0B3A"/>
    <w:rsid w:val="5F1320DC"/>
    <w:rsid w:val="5F133FAD"/>
    <w:rsid w:val="5F17477F"/>
    <w:rsid w:val="5F473A74"/>
    <w:rsid w:val="5F523C68"/>
    <w:rsid w:val="5F636EF7"/>
    <w:rsid w:val="5F6A5F6E"/>
    <w:rsid w:val="5F724B4A"/>
    <w:rsid w:val="5F752B62"/>
    <w:rsid w:val="5F863015"/>
    <w:rsid w:val="5F8C6D72"/>
    <w:rsid w:val="5F8D468F"/>
    <w:rsid w:val="5FAF366C"/>
    <w:rsid w:val="5FDD4344"/>
    <w:rsid w:val="5FF82256"/>
    <w:rsid w:val="6000636E"/>
    <w:rsid w:val="600156CA"/>
    <w:rsid w:val="60262323"/>
    <w:rsid w:val="60395453"/>
    <w:rsid w:val="603A5838"/>
    <w:rsid w:val="60431AF0"/>
    <w:rsid w:val="604869EF"/>
    <w:rsid w:val="60674559"/>
    <w:rsid w:val="60876962"/>
    <w:rsid w:val="609E54CB"/>
    <w:rsid w:val="60BC4A08"/>
    <w:rsid w:val="60BF05A2"/>
    <w:rsid w:val="60D20BCF"/>
    <w:rsid w:val="60D81813"/>
    <w:rsid w:val="60F70692"/>
    <w:rsid w:val="6117713F"/>
    <w:rsid w:val="611D3E0F"/>
    <w:rsid w:val="61465D60"/>
    <w:rsid w:val="61515108"/>
    <w:rsid w:val="615E3BCF"/>
    <w:rsid w:val="616B7171"/>
    <w:rsid w:val="617A0B98"/>
    <w:rsid w:val="618E017D"/>
    <w:rsid w:val="61A603B2"/>
    <w:rsid w:val="61A66E51"/>
    <w:rsid w:val="61CD4D67"/>
    <w:rsid w:val="61EE0742"/>
    <w:rsid w:val="61F015DB"/>
    <w:rsid w:val="61F707CA"/>
    <w:rsid w:val="620050AA"/>
    <w:rsid w:val="620054E2"/>
    <w:rsid w:val="6207422D"/>
    <w:rsid w:val="620B0504"/>
    <w:rsid w:val="621351F3"/>
    <w:rsid w:val="62161FED"/>
    <w:rsid w:val="621C2F12"/>
    <w:rsid w:val="62271530"/>
    <w:rsid w:val="62337596"/>
    <w:rsid w:val="62337865"/>
    <w:rsid w:val="6235591B"/>
    <w:rsid w:val="62393BDE"/>
    <w:rsid w:val="624D246A"/>
    <w:rsid w:val="625109F1"/>
    <w:rsid w:val="62545E85"/>
    <w:rsid w:val="62663BEC"/>
    <w:rsid w:val="626F6730"/>
    <w:rsid w:val="628F07BD"/>
    <w:rsid w:val="628F41E3"/>
    <w:rsid w:val="62977E61"/>
    <w:rsid w:val="629D78EF"/>
    <w:rsid w:val="62A407D2"/>
    <w:rsid w:val="62B91D93"/>
    <w:rsid w:val="62D65526"/>
    <w:rsid w:val="62DC6DAF"/>
    <w:rsid w:val="62F43832"/>
    <w:rsid w:val="62F961B3"/>
    <w:rsid w:val="62F96D7A"/>
    <w:rsid w:val="62FD0BCE"/>
    <w:rsid w:val="630A61AE"/>
    <w:rsid w:val="6311283A"/>
    <w:rsid w:val="632F417C"/>
    <w:rsid w:val="633C54E0"/>
    <w:rsid w:val="633D6480"/>
    <w:rsid w:val="63442359"/>
    <w:rsid w:val="635C5D11"/>
    <w:rsid w:val="635F1D83"/>
    <w:rsid w:val="63664EEA"/>
    <w:rsid w:val="63760D2B"/>
    <w:rsid w:val="637C0620"/>
    <w:rsid w:val="639778E1"/>
    <w:rsid w:val="639E4C62"/>
    <w:rsid w:val="63A85CB8"/>
    <w:rsid w:val="63D51B17"/>
    <w:rsid w:val="63DB5DD8"/>
    <w:rsid w:val="63E302F7"/>
    <w:rsid w:val="63F0017E"/>
    <w:rsid w:val="63F95489"/>
    <w:rsid w:val="63F96CDD"/>
    <w:rsid w:val="63FB3131"/>
    <w:rsid w:val="640163D3"/>
    <w:rsid w:val="641616A8"/>
    <w:rsid w:val="64163903"/>
    <w:rsid w:val="641A755E"/>
    <w:rsid w:val="641E15FB"/>
    <w:rsid w:val="644146F2"/>
    <w:rsid w:val="645B239C"/>
    <w:rsid w:val="648E51E7"/>
    <w:rsid w:val="648F1CFA"/>
    <w:rsid w:val="6497463C"/>
    <w:rsid w:val="64A15A8E"/>
    <w:rsid w:val="64AD6EA7"/>
    <w:rsid w:val="64B00CAC"/>
    <w:rsid w:val="64B81251"/>
    <w:rsid w:val="64BC77AE"/>
    <w:rsid w:val="64C10854"/>
    <w:rsid w:val="64D35172"/>
    <w:rsid w:val="64DD6E21"/>
    <w:rsid w:val="651251FA"/>
    <w:rsid w:val="65220578"/>
    <w:rsid w:val="65313684"/>
    <w:rsid w:val="6562088F"/>
    <w:rsid w:val="6562503C"/>
    <w:rsid w:val="656803C6"/>
    <w:rsid w:val="656C6467"/>
    <w:rsid w:val="657462F3"/>
    <w:rsid w:val="657E17E1"/>
    <w:rsid w:val="66172B4A"/>
    <w:rsid w:val="665A30C3"/>
    <w:rsid w:val="66621F75"/>
    <w:rsid w:val="66837CC5"/>
    <w:rsid w:val="66A1478B"/>
    <w:rsid w:val="66B02536"/>
    <w:rsid w:val="66C14C8E"/>
    <w:rsid w:val="66C454E1"/>
    <w:rsid w:val="66CC0716"/>
    <w:rsid w:val="66DE3471"/>
    <w:rsid w:val="67025A4E"/>
    <w:rsid w:val="670B4715"/>
    <w:rsid w:val="67202A07"/>
    <w:rsid w:val="67230BD6"/>
    <w:rsid w:val="67362D5D"/>
    <w:rsid w:val="67646221"/>
    <w:rsid w:val="67726C64"/>
    <w:rsid w:val="677557A0"/>
    <w:rsid w:val="67884ACA"/>
    <w:rsid w:val="67895C3C"/>
    <w:rsid w:val="67896ED4"/>
    <w:rsid w:val="679C45CF"/>
    <w:rsid w:val="67B34862"/>
    <w:rsid w:val="67B648C9"/>
    <w:rsid w:val="67D84421"/>
    <w:rsid w:val="68143594"/>
    <w:rsid w:val="682A482E"/>
    <w:rsid w:val="68344AB2"/>
    <w:rsid w:val="68562F10"/>
    <w:rsid w:val="685C01D3"/>
    <w:rsid w:val="687A69A2"/>
    <w:rsid w:val="688258C9"/>
    <w:rsid w:val="68A70F3F"/>
    <w:rsid w:val="68AA17E2"/>
    <w:rsid w:val="68B13A19"/>
    <w:rsid w:val="68DA0569"/>
    <w:rsid w:val="68E77A04"/>
    <w:rsid w:val="68ED62A1"/>
    <w:rsid w:val="69133A14"/>
    <w:rsid w:val="691655EC"/>
    <w:rsid w:val="691F0728"/>
    <w:rsid w:val="692E69C6"/>
    <w:rsid w:val="693D2D10"/>
    <w:rsid w:val="694D06C4"/>
    <w:rsid w:val="6952065D"/>
    <w:rsid w:val="696503BD"/>
    <w:rsid w:val="696E34A0"/>
    <w:rsid w:val="69707FC9"/>
    <w:rsid w:val="69BC120E"/>
    <w:rsid w:val="69C87BC9"/>
    <w:rsid w:val="69CF294E"/>
    <w:rsid w:val="69E10CE8"/>
    <w:rsid w:val="69E53272"/>
    <w:rsid w:val="69E6513E"/>
    <w:rsid w:val="69E7428D"/>
    <w:rsid w:val="69F63963"/>
    <w:rsid w:val="6A18009C"/>
    <w:rsid w:val="6A1E6244"/>
    <w:rsid w:val="6A27101F"/>
    <w:rsid w:val="6A2A3D85"/>
    <w:rsid w:val="6A4B5459"/>
    <w:rsid w:val="6A4D009F"/>
    <w:rsid w:val="6A70550B"/>
    <w:rsid w:val="6A853DAF"/>
    <w:rsid w:val="6A885221"/>
    <w:rsid w:val="6AC76C4E"/>
    <w:rsid w:val="6AE0505D"/>
    <w:rsid w:val="6AE26921"/>
    <w:rsid w:val="6AED42D3"/>
    <w:rsid w:val="6AFB318F"/>
    <w:rsid w:val="6B09371E"/>
    <w:rsid w:val="6B152D96"/>
    <w:rsid w:val="6B367647"/>
    <w:rsid w:val="6B454FF6"/>
    <w:rsid w:val="6B511177"/>
    <w:rsid w:val="6B5B52F7"/>
    <w:rsid w:val="6B604DC5"/>
    <w:rsid w:val="6B6C0465"/>
    <w:rsid w:val="6B791EC0"/>
    <w:rsid w:val="6B7F38DA"/>
    <w:rsid w:val="6BAD0DA2"/>
    <w:rsid w:val="6BC83E0A"/>
    <w:rsid w:val="6BE81475"/>
    <w:rsid w:val="6BF529E3"/>
    <w:rsid w:val="6BF55AE2"/>
    <w:rsid w:val="6C040369"/>
    <w:rsid w:val="6C0C5BA9"/>
    <w:rsid w:val="6C376029"/>
    <w:rsid w:val="6C4A0618"/>
    <w:rsid w:val="6C516E18"/>
    <w:rsid w:val="6C56259F"/>
    <w:rsid w:val="6C747C6D"/>
    <w:rsid w:val="6C777413"/>
    <w:rsid w:val="6CBD77D8"/>
    <w:rsid w:val="6CC54118"/>
    <w:rsid w:val="6CE52137"/>
    <w:rsid w:val="6CE83FDA"/>
    <w:rsid w:val="6D04216B"/>
    <w:rsid w:val="6D14793F"/>
    <w:rsid w:val="6D261804"/>
    <w:rsid w:val="6D3B5E72"/>
    <w:rsid w:val="6D571558"/>
    <w:rsid w:val="6DBA4A90"/>
    <w:rsid w:val="6DBF4B34"/>
    <w:rsid w:val="6DDC65EF"/>
    <w:rsid w:val="6DE07589"/>
    <w:rsid w:val="6E0C1AD0"/>
    <w:rsid w:val="6E17222F"/>
    <w:rsid w:val="6E657ADA"/>
    <w:rsid w:val="6E6750E9"/>
    <w:rsid w:val="6E691197"/>
    <w:rsid w:val="6E7A44E7"/>
    <w:rsid w:val="6E8379A2"/>
    <w:rsid w:val="6EA92168"/>
    <w:rsid w:val="6EBB3527"/>
    <w:rsid w:val="6ECA56E5"/>
    <w:rsid w:val="6ED30EC4"/>
    <w:rsid w:val="6EDB74B8"/>
    <w:rsid w:val="6F17533C"/>
    <w:rsid w:val="6F3E7C01"/>
    <w:rsid w:val="6F405D67"/>
    <w:rsid w:val="6F501CBF"/>
    <w:rsid w:val="6F56592C"/>
    <w:rsid w:val="6F5A0491"/>
    <w:rsid w:val="6F670F2F"/>
    <w:rsid w:val="6F6926B4"/>
    <w:rsid w:val="6F79617D"/>
    <w:rsid w:val="6F7A64BE"/>
    <w:rsid w:val="6F7F5483"/>
    <w:rsid w:val="6F8E6D16"/>
    <w:rsid w:val="6FA10A76"/>
    <w:rsid w:val="6FB51EBB"/>
    <w:rsid w:val="6FD57858"/>
    <w:rsid w:val="6FF4746E"/>
    <w:rsid w:val="70121E55"/>
    <w:rsid w:val="704C7E71"/>
    <w:rsid w:val="705C4BFF"/>
    <w:rsid w:val="70662F71"/>
    <w:rsid w:val="70674F97"/>
    <w:rsid w:val="706C6D3F"/>
    <w:rsid w:val="706E419A"/>
    <w:rsid w:val="707B5D4B"/>
    <w:rsid w:val="70837924"/>
    <w:rsid w:val="70915841"/>
    <w:rsid w:val="70A32355"/>
    <w:rsid w:val="70A36F57"/>
    <w:rsid w:val="70A40D87"/>
    <w:rsid w:val="70D30ADC"/>
    <w:rsid w:val="70ED72A0"/>
    <w:rsid w:val="71124CB0"/>
    <w:rsid w:val="7144725F"/>
    <w:rsid w:val="717549F9"/>
    <w:rsid w:val="71B05F75"/>
    <w:rsid w:val="71B84CA3"/>
    <w:rsid w:val="71BC2AC0"/>
    <w:rsid w:val="71CA6A0E"/>
    <w:rsid w:val="71D11A47"/>
    <w:rsid w:val="71D753C1"/>
    <w:rsid w:val="71EA3012"/>
    <w:rsid w:val="72082154"/>
    <w:rsid w:val="72121FE0"/>
    <w:rsid w:val="7215075B"/>
    <w:rsid w:val="721621A8"/>
    <w:rsid w:val="722808C3"/>
    <w:rsid w:val="724B1391"/>
    <w:rsid w:val="72516342"/>
    <w:rsid w:val="72586617"/>
    <w:rsid w:val="72627417"/>
    <w:rsid w:val="72655897"/>
    <w:rsid w:val="72665F4B"/>
    <w:rsid w:val="72711321"/>
    <w:rsid w:val="72C22F53"/>
    <w:rsid w:val="72D62C97"/>
    <w:rsid w:val="73070E34"/>
    <w:rsid w:val="734328E1"/>
    <w:rsid w:val="7345533A"/>
    <w:rsid w:val="736C4EF8"/>
    <w:rsid w:val="7378481D"/>
    <w:rsid w:val="739D5A00"/>
    <w:rsid w:val="739F10EE"/>
    <w:rsid w:val="73BC0919"/>
    <w:rsid w:val="73C12C54"/>
    <w:rsid w:val="73C4251F"/>
    <w:rsid w:val="73CF7939"/>
    <w:rsid w:val="73EA0CFB"/>
    <w:rsid w:val="741336DC"/>
    <w:rsid w:val="741C2F14"/>
    <w:rsid w:val="74241F39"/>
    <w:rsid w:val="74275BBD"/>
    <w:rsid w:val="742C12AD"/>
    <w:rsid w:val="744E4297"/>
    <w:rsid w:val="74521C9E"/>
    <w:rsid w:val="7460720F"/>
    <w:rsid w:val="746415DE"/>
    <w:rsid w:val="74811DF0"/>
    <w:rsid w:val="74857906"/>
    <w:rsid w:val="74AE589C"/>
    <w:rsid w:val="74C8597B"/>
    <w:rsid w:val="74CB02FA"/>
    <w:rsid w:val="74FA15D8"/>
    <w:rsid w:val="752A1FFE"/>
    <w:rsid w:val="75342696"/>
    <w:rsid w:val="75416866"/>
    <w:rsid w:val="75493CA0"/>
    <w:rsid w:val="7553331D"/>
    <w:rsid w:val="75610636"/>
    <w:rsid w:val="759C5E55"/>
    <w:rsid w:val="75A9065C"/>
    <w:rsid w:val="75C87C63"/>
    <w:rsid w:val="75DD4655"/>
    <w:rsid w:val="75EE6637"/>
    <w:rsid w:val="76177708"/>
    <w:rsid w:val="76202E31"/>
    <w:rsid w:val="762F5B2A"/>
    <w:rsid w:val="76567EE8"/>
    <w:rsid w:val="7659210F"/>
    <w:rsid w:val="767C6B35"/>
    <w:rsid w:val="76B34A1B"/>
    <w:rsid w:val="76BB1ED9"/>
    <w:rsid w:val="76CA5AE1"/>
    <w:rsid w:val="76E6778C"/>
    <w:rsid w:val="76EC3F45"/>
    <w:rsid w:val="770C6508"/>
    <w:rsid w:val="7715658A"/>
    <w:rsid w:val="771B16AA"/>
    <w:rsid w:val="7727049A"/>
    <w:rsid w:val="7762742C"/>
    <w:rsid w:val="776E01C8"/>
    <w:rsid w:val="7774315B"/>
    <w:rsid w:val="7782001E"/>
    <w:rsid w:val="77843C93"/>
    <w:rsid w:val="77960956"/>
    <w:rsid w:val="77A34261"/>
    <w:rsid w:val="77A44EA3"/>
    <w:rsid w:val="77A71FA5"/>
    <w:rsid w:val="77D265B1"/>
    <w:rsid w:val="77D515B9"/>
    <w:rsid w:val="77EC5F44"/>
    <w:rsid w:val="77FD281B"/>
    <w:rsid w:val="780A1EEA"/>
    <w:rsid w:val="781F4E13"/>
    <w:rsid w:val="782E1227"/>
    <w:rsid w:val="78360B6B"/>
    <w:rsid w:val="783823C2"/>
    <w:rsid w:val="784568A7"/>
    <w:rsid w:val="785114DC"/>
    <w:rsid w:val="7854189A"/>
    <w:rsid w:val="785B5D23"/>
    <w:rsid w:val="786C1049"/>
    <w:rsid w:val="788A3376"/>
    <w:rsid w:val="78915ED4"/>
    <w:rsid w:val="78A17FD8"/>
    <w:rsid w:val="78A361B3"/>
    <w:rsid w:val="78DB11B7"/>
    <w:rsid w:val="78DF5488"/>
    <w:rsid w:val="78DF7EE6"/>
    <w:rsid w:val="78F51DA4"/>
    <w:rsid w:val="790C5EA5"/>
    <w:rsid w:val="791A34C8"/>
    <w:rsid w:val="7923511D"/>
    <w:rsid w:val="79282518"/>
    <w:rsid w:val="794461EB"/>
    <w:rsid w:val="7957467F"/>
    <w:rsid w:val="79584959"/>
    <w:rsid w:val="796445FE"/>
    <w:rsid w:val="79674B9C"/>
    <w:rsid w:val="79815E8A"/>
    <w:rsid w:val="79923DF5"/>
    <w:rsid w:val="799D6C55"/>
    <w:rsid w:val="799F1172"/>
    <w:rsid w:val="79C92A02"/>
    <w:rsid w:val="79E229CB"/>
    <w:rsid w:val="79F54402"/>
    <w:rsid w:val="7A1F2918"/>
    <w:rsid w:val="7A294AED"/>
    <w:rsid w:val="7A437220"/>
    <w:rsid w:val="7A4730B8"/>
    <w:rsid w:val="7A523CF8"/>
    <w:rsid w:val="7A7A3751"/>
    <w:rsid w:val="7A7E5FD6"/>
    <w:rsid w:val="7A867352"/>
    <w:rsid w:val="7AA715C9"/>
    <w:rsid w:val="7AAB763E"/>
    <w:rsid w:val="7AC32CF0"/>
    <w:rsid w:val="7AC85469"/>
    <w:rsid w:val="7AE067BB"/>
    <w:rsid w:val="7AF05AB8"/>
    <w:rsid w:val="7AF909B1"/>
    <w:rsid w:val="7AFE44C8"/>
    <w:rsid w:val="7B031D81"/>
    <w:rsid w:val="7B087CB8"/>
    <w:rsid w:val="7B134559"/>
    <w:rsid w:val="7B301D77"/>
    <w:rsid w:val="7B364CAE"/>
    <w:rsid w:val="7B476D5C"/>
    <w:rsid w:val="7B4A2A4E"/>
    <w:rsid w:val="7B572DAE"/>
    <w:rsid w:val="7B664DDE"/>
    <w:rsid w:val="7B772B93"/>
    <w:rsid w:val="7BB83191"/>
    <w:rsid w:val="7BC3286A"/>
    <w:rsid w:val="7BC47057"/>
    <w:rsid w:val="7BE362D5"/>
    <w:rsid w:val="7BE57B39"/>
    <w:rsid w:val="7BE60871"/>
    <w:rsid w:val="7BF01100"/>
    <w:rsid w:val="7C083C81"/>
    <w:rsid w:val="7C141378"/>
    <w:rsid w:val="7C215085"/>
    <w:rsid w:val="7C242DB8"/>
    <w:rsid w:val="7C5424EB"/>
    <w:rsid w:val="7C677B67"/>
    <w:rsid w:val="7C7405AD"/>
    <w:rsid w:val="7C7C5681"/>
    <w:rsid w:val="7C891DB7"/>
    <w:rsid w:val="7CAE0A9E"/>
    <w:rsid w:val="7CB015DE"/>
    <w:rsid w:val="7CE126B8"/>
    <w:rsid w:val="7CE16578"/>
    <w:rsid w:val="7CF50A3B"/>
    <w:rsid w:val="7CFFAE7A"/>
    <w:rsid w:val="7D10499A"/>
    <w:rsid w:val="7D141570"/>
    <w:rsid w:val="7D2C6355"/>
    <w:rsid w:val="7D334F29"/>
    <w:rsid w:val="7D531929"/>
    <w:rsid w:val="7D550526"/>
    <w:rsid w:val="7D7437AA"/>
    <w:rsid w:val="7D856D5E"/>
    <w:rsid w:val="7DE05955"/>
    <w:rsid w:val="7DEB4A6B"/>
    <w:rsid w:val="7E2A52BA"/>
    <w:rsid w:val="7E340DBF"/>
    <w:rsid w:val="7E357016"/>
    <w:rsid w:val="7E4727BD"/>
    <w:rsid w:val="7E580AA4"/>
    <w:rsid w:val="7E622D54"/>
    <w:rsid w:val="7E707E64"/>
    <w:rsid w:val="7E74419F"/>
    <w:rsid w:val="7E7A711F"/>
    <w:rsid w:val="7E825F74"/>
    <w:rsid w:val="7E86123A"/>
    <w:rsid w:val="7E8D18F8"/>
    <w:rsid w:val="7ED8396F"/>
    <w:rsid w:val="7F1D606E"/>
    <w:rsid w:val="7F81072F"/>
    <w:rsid w:val="7F943BC3"/>
    <w:rsid w:val="7FA47E0C"/>
    <w:rsid w:val="7FBF08BF"/>
    <w:rsid w:val="7FCB277A"/>
    <w:rsid w:val="7FCC1102"/>
    <w:rsid w:val="7FE22B15"/>
    <w:rsid w:val="A9DB2C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iPriority="0" w:semiHidden="0" w:name="toc 2"/>
    <w:lsdException w:qFormat="1" w:uiPriority="0" w:semiHidden="0" w:name="toc 3"/>
    <w:lsdException w:qFormat="1" w:uiPriority="0" w:semiHidden="0" w:name="toc 4"/>
    <w:lsdException w:qFormat="1" w:uiPriority="0" w:semiHidden="0" w:name="toc 5"/>
    <w:lsdException w:qFormat="1" w:unhideWhenUsed="0"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jc w:val="center"/>
      <w:outlineLvl w:val="0"/>
    </w:pPr>
    <w:rPr>
      <w:b/>
      <w:bCs/>
      <w:sz w:val="24"/>
      <w:szCs w:val="20"/>
    </w:rPr>
  </w:style>
  <w:style w:type="paragraph" w:styleId="4">
    <w:name w:val="heading 2"/>
    <w:basedOn w:val="1"/>
    <w:next w:val="1"/>
    <w:link w:val="130"/>
    <w:qFormat/>
    <w:uiPriority w:val="0"/>
    <w:pPr>
      <w:keepNext/>
      <w:keepLines/>
      <w:spacing w:line="360" w:lineRule="auto"/>
      <w:outlineLvl w:val="1"/>
    </w:pPr>
    <w:rPr>
      <w:rFonts w:ascii="Arial" w:hAnsi="Arial"/>
      <w:b/>
      <w:bCs/>
      <w:sz w:val="24"/>
      <w:szCs w:val="32"/>
    </w:rPr>
  </w:style>
  <w:style w:type="paragraph" w:styleId="5">
    <w:name w:val="heading 3"/>
    <w:basedOn w:val="1"/>
    <w:next w:val="1"/>
    <w:link w:val="65"/>
    <w:qFormat/>
    <w:uiPriority w:val="0"/>
    <w:pPr>
      <w:keepNext/>
      <w:keepLines/>
      <w:spacing w:before="260" w:after="260" w:line="416" w:lineRule="auto"/>
      <w:outlineLvl w:val="2"/>
    </w:pPr>
    <w:rPr>
      <w:b/>
      <w:bCs/>
      <w:sz w:val="32"/>
      <w:szCs w:val="32"/>
    </w:rPr>
  </w:style>
  <w:style w:type="paragraph" w:styleId="6">
    <w:name w:val="heading 4"/>
    <w:basedOn w:val="1"/>
    <w:next w:val="1"/>
    <w:link w:val="66"/>
    <w:autoRedefine/>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67"/>
    <w:autoRedefine/>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8">
    <w:name w:val="heading 6"/>
    <w:basedOn w:val="1"/>
    <w:next w:val="1"/>
    <w:link w:val="68"/>
    <w:autoRedefine/>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9">
    <w:name w:val="heading 7"/>
    <w:basedOn w:val="1"/>
    <w:next w:val="1"/>
    <w:link w:val="69"/>
    <w:autoRedefine/>
    <w:qFormat/>
    <w:uiPriority w:val="0"/>
    <w:pPr>
      <w:keepNext/>
      <w:keepLines/>
      <w:adjustRightInd w:val="0"/>
      <w:spacing w:before="240" w:after="64" w:line="320" w:lineRule="atLeast"/>
      <w:jc w:val="left"/>
      <w:textAlignment w:val="baseline"/>
      <w:outlineLvl w:val="6"/>
    </w:pPr>
    <w:rPr>
      <w:b/>
      <w:bCs/>
      <w:kern w:val="0"/>
      <w:sz w:val="24"/>
    </w:rPr>
  </w:style>
  <w:style w:type="paragraph" w:styleId="10">
    <w:name w:val="heading 8"/>
    <w:basedOn w:val="1"/>
    <w:next w:val="1"/>
    <w:link w:val="70"/>
    <w:autoRedefine/>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1">
    <w:name w:val="heading 9"/>
    <w:basedOn w:val="1"/>
    <w:next w:val="1"/>
    <w:link w:val="71"/>
    <w:autoRedefine/>
    <w:qFormat/>
    <w:uiPriority w:val="0"/>
    <w:pPr>
      <w:keepNext/>
      <w:keepLines/>
      <w:adjustRightInd w:val="0"/>
      <w:spacing w:before="240" w:after="64" w:line="320" w:lineRule="atLeast"/>
      <w:jc w:val="left"/>
      <w:textAlignment w:val="baseline"/>
      <w:outlineLvl w:val="8"/>
    </w:pPr>
    <w:rPr>
      <w:rFonts w:ascii="Arial" w:hAnsi="Arial" w:eastAsia="黑体"/>
      <w:kern w:val="0"/>
      <w:szCs w:val="21"/>
    </w:rPr>
  </w:style>
  <w:style w:type="character" w:default="1" w:styleId="50">
    <w:name w:val="Default Paragraph Font"/>
    <w:autoRedefine/>
    <w:unhideWhenUsed/>
    <w:qFormat/>
    <w:uiPriority w:val="1"/>
  </w:style>
  <w:style w:type="table" w:default="1" w:styleId="48">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12">
    <w:name w:val="toc 7"/>
    <w:basedOn w:val="1"/>
    <w:next w:val="1"/>
    <w:autoRedefine/>
    <w:unhideWhenUsed/>
    <w:qFormat/>
    <w:uiPriority w:val="0"/>
    <w:pPr>
      <w:ind w:left="2520" w:leftChars="1200"/>
    </w:pPr>
    <w:rPr>
      <w:rFonts w:asciiTheme="minorHAnsi" w:hAnsiTheme="minorHAnsi" w:eastAsiaTheme="minorEastAsia" w:cstheme="minorBidi"/>
      <w:szCs w:val="22"/>
    </w:rPr>
  </w:style>
  <w:style w:type="paragraph" w:styleId="13">
    <w:name w:val="Normal Indent"/>
    <w:basedOn w:val="1"/>
    <w:next w:val="2"/>
    <w:link w:val="132"/>
    <w:autoRedefine/>
    <w:qFormat/>
    <w:uiPriority w:val="0"/>
    <w:pPr>
      <w:widowControl/>
      <w:ind w:firstLine="420"/>
      <w:jc w:val="left"/>
    </w:pPr>
    <w:rPr>
      <w:kern w:val="0"/>
      <w:sz w:val="20"/>
      <w:szCs w:val="20"/>
    </w:rPr>
  </w:style>
  <w:style w:type="paragraph" w:styleId="14">
    <w:name w:val="List Bullet"/>
    <w:basedOn w:val="1"/>
    <w:autoRedefine/>
    <w:qFormat/>
    <w:uiPriority w:val="0"/>
    <w:pPr>
      <w:widowControl/>
      <w:tabs>
        <w:tab w:val="left" w:pos="1260"/>
      </w:tabs>
      <w:spacing w:line="360" w:lineRule="auto"/>
      <w:ind w:left="1260" w:hanging="420" w:firstLineChars="200"/>
      <w:jc w:val="left"/>
    </w:pPr>
    <w:rPr>
      <w:sz w:val="24"/>
      <w:szCs w:val="20"/>
      <w:lang w:val="zh-CN"/>
    </w:rPr>
  </w:style>
  <w:style w:type="paragraph" w:styleId="15">
    <w:name w:val="Document Map"/>
    <w:basedOn w:val="1"/>
    <w:link w:val="95"/>
    <w:autoRedefine/>
    <w:qFormat/>
    <w:uiPriority w:val="0"/>
    <w:pPr>
      <w:shd w:val="clear" w:color="auto" w:fill="000080"/>
    </w:pPr>
  </w:style>
  <w:style w:type="paragraph" w:styleId="16">
    <w:name w:val="annotation text"/>
    <w:basedOn w:val="1"/>
    <w:link w:val="79"/>
    <w:autoRedefine/>
    <w:qFormat/>
    <w:uiPriority w:val="0"/>
    <w:pPr>
      <w:jc w:val="left"/>
    </w:pPr>
  </w:style>
  <w:style w:type="paragraph" w:styleId="17">
    <w:name w:val="Salutation"/>
    <w:basedOn w:val="1"/>
    <w:next w:val="1"/>
    <w:link w:val="84"/>
    <w:autoRedefine/>
    <w:qFormat/>
    <w:uiPriority w:val="0"/>
    <w:rPr>
      <w:rFonts w:ascii="仿宋_GB2312" w:eastAsia="仿宋_GB2312"/>
      <w:sz w:val="24"/>
    </w:rPr>
  </w:style>
  <w:style w:type="paragraph" w:styleId="18">
    <w:name w:val="Body Text 3"/>
    <w:basedOn w:val="1"/>
    <w:link w:val="146"/>
    <w:autoRedefine/>
    <w:qFormat/>
    <w:uiPriority w:val="0"/>
    <w:pPr>
      <w:spacing w:line="360" w:lineRule="atLeast"/>
    </w:pPr>
    <w:rPr>
      <w:rFonts w:ascii="宋体"/>
      <w:color w:val="000000"/>
    </w:rPr>
  </w:style>
  <w:style w:type="paragraph" w:styleId="19">
    <w:name w:val="Body Text"/>
    <w:basedOn w:val="1"/>
    <w:link w:val="73"/>
    <w:autoRedefine/>
    <w:qFormat/>
    <w:uiPriority w:val="0"/>
    <w:pPr>
      <w:spacing w:after="120"/>
    </w:pPr>
  </w:style>
  <w:style w:type="paragraph" w:styleId="20">
    <w:name w:val="Body Text Indent"/>
    <w:basedOn w:val="1"/>
    <w:next w:val="21"/>
    <w:link w:val="76"/>
    <w:autoRedefine/>
    <w:qFormat/>
    <w:uiPriority w:val="0"/>
    <w:pPr>
      <w:spacing w:after="120"/>
      <w:ind w:left="420" w:leftChars="200"/>
    </w:pPr>
  </w:style>
  <w:style w:type="paragraph" w:styleId="21">
    <w:name w:val="Body Text Indent 2"/>
    <w:basedOn w:val="1"/>
    <w:link w:val="86"/>
    <w:autoRedefine/>
    <w:qFormat/>
    <w:uiPriority w:val="0"/>
    <w:pPr>
      <w:spacing w:after="120" w:line="480" w:lineRule="auto"/>
      <w:ind w:left="420" w:leftChars="200"/>
    </w:pPr>
  </w:style>
  <w:style w:type="paragraph" w:styleId="22">
    <w:name w:val="List 2"/>
    <w:basedOn w:val="1"/>
    <w:autoRedefine/>
    <w:qFormat/>
    <w:uiPriority w:val="0"/>
    <w:pPr>
      <w:spacing w:line="400" w:lineRule="exact"/>
      <w:jc w:val="center"/>
    </w:pPr>
    <w:rPr>
      <w:rFonts w:ascii="Arial" w:hAnsi="Arial"/>
      <w:sz w:val="24"/>
    </w:rPr>
  </w:style>
  <w:style w:type="paragraph" w:styleId="23">
    <w:name w:val="Block Text"/>
    <w:basedOn w:val="1"/>
    <w:autoRedefine/>
    <w:qFormat/>
    <w:uiPriority w:val="0"/>
    <w:pPr>
      <w:ind w:left="1171" w:right="91" w:hanging="1080"/>
    </w:pPr>
    <w:rPr>
      <w:rFonts w:eastAsia="楷体_GB2312"/>
      <w:szCs w:val="20"/>
    </w:rPr>
  </w:style>
  <w:style w:type="paragraph" w:styleId="24">
    <w:name w:val="toc 5"/>
    <w:basedOn w:val="1"/>
    <w:next w:val="1"/>
    <w:autoRedefine/>
    <w:unhideWhenUsed/>
    <w:qFormat/>
    <w:uiPriority w:val="0"/>
    <w:pPr>
      <w:ind w:left="1680" w:leftChars="800"/>
    </w:pPr>
    <w:rPr>
      <w:rFonts w:asciiTheme="minorHAnsi" w:hAnsiTheme="minorHAnsi" w:eastAsiaTheme="minorEastAsia" w:cstheme="minorBidi"/>
      <w:szCs w:val="22"/>
    </w:rPr>
  </w:style>
  <w:style w:type="paragraph" w:styleId="25">
    <w:name w:val="toc 3"/>
    <w:basedOn w:val="1"/>
    <w:next w:val="1"/>
    <w:autoRedefine/>
    <w:unhideWhenUsed/>
    <w:qFormat/>
    <w:uiPriority w:val="0"/>
    <w:pPr>
      <w:adjustRightInd w:val="0"/>
      <w:snapToGrid w:val="0"/>
      <w:spacing w:line="360" w:lineRule="auto"/>
      <w:ind w:left="400" w:leftChars="400"/>
    </w:pPr>
    <w:rPr>
      <w:rFonts w:eastAsiaTheme="minorEastAsia"/>
      <w:b/>
    </w:rPr>
  </w:style>
  <w:style w:type="paragraph" w:styleId="26">
    <w:name w:val="Plain Text"/>
    <w:basedOn w:val="1"/>
    <w:link w:val="78"/>
    <w:autoRedefine/>
    <w:qFormat/>
    <w:uiPriority w:val="0"/>
    <w:rPr>
      <w:rFonts w:ascii="宋体" w:hAnsi="Courier New" w:cs="Courier New"/>
      <w:szCs w:val="21"/>
    </w:rPr>
  </w:style>
  <w:style w:type="paragraph" w:styleId="27">
    <w:name w:val="toc 8"/>
    <w:basedOn w:val="1"/>
    <w:next w:val="1"/>
    <w:autoRedefine/>
    <w:unhideWhenUsed/>
    <w:qFormat/>
    <w:uiPriority w:val="0"/>
    <w:pPr>
      <w:ind w:left="2940" w:leftChars="1400"/>
    </w:pPr>
    <w:rPr>
      <w:rFonts w:asciiTheme="minorHAnsi" w:hAnsiTheme="minorHAnsi" w:eastAsiaTheme="minorEastAsia" w:cstheme="minorBidi"/>
      <w:szCs w:val="22"/>
    </w:rPr>
  </w:style>
  <w:style w:type="paragraph" w:styleId="28">
    <w:name w:val="Date"/>
    <w:basedOn w:val="1"/>
    <w:next w:val="1"/>
    <w:link w:val="89"/>
    <w:autoRedefine/>
    <w:qFormat/>
    <w:uiPriority w:val="0"/>
    <w:rPr>
      <w:sz w:val="24"/>
      <w:szCs w:val="20"/>
    </w:rPr>
  </w:style>
  <w:style w:type="paragraph" w:styleId="29">
    <w:name w:val="Balloon Text"/>
    <w:basedOn w:val="1"/>
    <w:link w:val="102"/>
    <w:autoRedefine/>
    <w:qFormat/>
    <w:uiPriority w:val="0"/>
    <w:rPr>
      <w:sz w:val="18"/>
      <w:szCs w:val="18"/>
    </w:rPr>
  </w:style>
  <w:style w:type="paragraph" w:styleId="30">
    <w:name w:val="footer"/>
    <w:basedOn w:val="1"/>
    <w:link w:val="74"/>
    <w:qFormat/>
    <w:uiPriority w:val="0"/>
    <w:pPr>
      <w:tabs>
        <w:tab w:val="center" w:pos="4153"/>
        <w:tab w:val="right" w:pos="8306"/>
      </w:tabs>
      <w:snapToGrid w:val="0"/>
      <w:jc w:val="left"/>
    </w:pPr>
    <w:rPr>
      <w:sz w:val="18"/>
      <w:szCs w:val="18"/>
    </w:rPr>
  </w:style>
  <w:style w:type="paragraph" w:styleId="31">
    <w:name w:val="envelope return"/>
    <w:basedOn w:val="1"/>
    <w:autoRedefine/>
    <w:unhideWhenUsed/>
    <w:qFormat/>
    <w:uiPriority w:val="99"/>
    <w:pPr>
      <w:snapToGrid w:val="0"/>
    </w:pPr>
    <w:rPr>
      <w:rFonts w:hint="eastAsia" w:ascii="Arial" w:hAnsi="Arial"/>
    </w:rPr>
  </w:style>
  <w:style w:type="paragraph" w:styleId="32">
    <w:name w:val="header"/>
    <w:basedOn w:val="1"/>
    <w:link w:val="75"/>
    <w:autoRedefine/>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autoRedefine/>
    <w:qFormat/>
    <w:uiPriority w:val="0"/>
    <w:pPr>
      <w:spacing w:line="360" w:lineRule="auto"/>
    </w:pPr>
    <w:rPr>
      <w:rFonts w:asciiTheme="minorEastAsia" w:hAnsiTheme="minorEastAsia" w:eastAsiaTheme="minorEastAsia"/>
      <w:b/>
      <w:sz w:val="24"/>
      <w:szCs w:val="21"/>
    </w:rPr>
  </w:style>
  <w:style w:type="paragraph" w:styleId="34">
    <w:name w:val="toc 4"/>
    <w:basedOn w:val="1"/>
    <w:next w:val="1"/>
    <w:autoRedefine/>
    <w:unhideWhenUsed/>
    <w:qFormat/>
    <w:uiPriority w:val="0"/>
    <w:pPr>
      <w:adjustRightInd w:val="0"/>
      <w:snapToGrid w:val="0"/>
      <w:spacing w:line="360" w:lineRule="auto"/>
      <w:ind w:left="600" w:leftChars="600"/>
    </w:pPr>
    <w:rPr>
      <w:rFonts w:asciiTheme="minorHAnsi" w:hAnsiTheme="minorHAnsi" w:eastAsiaTheme="minorEastAsia" w:cstheme="minorBidi"/>
      <w:b/>
      <w:szCs w:val="22"/>
    </w:rPr>
  </w:style>
  <w:style w:type="paragraph" w:styleId="35">
    <w:name w:val="toc 6"/>
    <w:basedOn w:val="1"/>
    <w:next w:val="1"/>
    <w:qFormat/>
    <w:uiPriority w:val="0"/>
    <w:pPr>
      <w:ind w:left="2100"/>
    </w:pPr>
    <w:rPr>
      <w:szCs w:val="20"/>
    </w:rPr>
  </w:style>
  <w:style w:type="paragraph" w:styleId="36">
    <w:name w:val="Body Text Indent 3"/>
    <w:basedOn w:val="1"/>
    <w:link w:val="88"/>
    <w:autoRedefine/>
    <w:qFormat/>
    <w:uiPriority w:val="0"/>
    <w:pPr>
      <w:spacing w:after="120"/>
      <w:ind w:left="420" w:leftChars="200"/>
    </w:pPr>
    <w:rPr>
      <w:sz w:val="16"/>
      <w:szCs w:val="16"/>
    </w:rPr>
  </w:style>
  <w:style w:type="paragraph" w:styleId="37">
    <w:name w:val="toc 2"/>
    <w:basedOn w:val="1"/>
    <w:next w:val="1"/>
    <w:autoRedefine/>
    <w:unhideWhenUsed/>
    <w:qFormat/>
    <w:uiPriority w:val="0"/>
    <w:pPr>
      <w:spacing w:line="360" w:lineRule="auto"/>
      <w:ind w:left="200" w:leftChars="200"/>
    </w:pPr>
    <w:rPr>
      <w:rFonts w:eastAsiaTheme="majorEastAsia"/>
      <w:b/>
    </w:rPr>
  </w:style>
  <w:style w:type="paragraph" w:styleId="38">
    <w:name w:val="toc 9"/>
    <w:basedOn w:val="1"/>
    <w:next w:val="1"/>
    <w:autoRedefine/>
    <w:unhideWhenUsed/>
    <w:qFormat/>
    <w:uiPriority w:val="0"/>
    <w:pPr>
      <w:ind w:left="3360" w:leftChars="1600"/>
    </w:pPr>
    <w:rPr>
      <w:rFonts w:asciiTheme="minorHAnsi" w:hAnsiTheme="minorHAnsi" w:eastAsiaTheme="minorEastAsia" w:cstheme="minorBidi"/>
      <w:szCs w:val="22"/>
    </w:rPr>
  </w:style>
  <w:style w:type="paragraph" w:styleId="39">
    <w:name w:val="Body Text 2"/>
    <w:basedOn w:val="1"/>
    <w:link w:val="85"/>
    <w:autoRedefine/>
    <w:qFormat/>
    <w:uiPriority w:val="0"/>
    <w:pPr>
      <w:spacing w:after="120" w:line="480" w:lineRule="auto"/>
    </w:pPr>
  </w:style>
  <w:style w:type="paragraph" w:styleId="40">
    <w:name w:val="HTML Preformatted"/>
    <w:basedOn w:val="1"/>
    <w:link w:val="83"/>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41">
    <w:name w:val="Normal (Web)"/>
    <w:basedOn w:val="1"/>
    <w:autoRedefine/>
    <w:qFormat/>
    <w:uiPriority w:val="0"/>
    <w:pPr>
      <w:widowControl/>
      <w:spacing w:line="360" w:lineRule="auto"/>
    </w:pPr>
    <w:rPr>
      <w:rFonts w:ascii="宋体" w:hAnsi="宋体" w:cs="宋体"/>
      <w:color w:val="FF0000"/>
      <w:kern w:val="0"/>
      <w:szCs w:val="21"/>
    </w:rPr>
  </w:style>
  <w:style w:type="paragraph" w:styleId="42">
    <w:name w:val="index 1"/>
    <w:basedOn w:val="1"/>
    <w:next w:val="1"/>
    <w:autoRedefine/>
    <w:qFormat/>
    <w:uiPriority w:val="0"/>
    <w:pPr>
      <w:spacing w:line="220" w:lineRule="exact"/>
      <w:jc w:val="center"/>
    </w:pPr>
    <w:rPr>
      <w:rFonts w:ascii="仿宋_GB2312" w:eastAsia="仿宋_GB2312"/>
      <w:szCs w:val="20"/>
    </w:rPr>
  </w:style>
  <w:style w:type="paragraph" w:styleId="43">
    <w:name w:val="index 2"/>
    <w:basedOn w:val="1"/>
    <w:next w:val="1"/>
    <w:autoRedefine/>
    <w:qFormat/>
    <w:uiPriority w:val="0"/>
    <w:pPr>
      <w:widowControl/>
      <w:spacing w:afterLines="100" w:line="360" w:lineRule="auto"/>
      <w:ind w:left="200" w:leftChars="200" w:firstLine="200" w:firstLineChars="200"/>
      <w:jc w:val="left"/>
    </w:pPr>
    <w:rPr>
      <w:sz w:val="24"/>
      <w:szCs w:val="21"/>
      <w:lang w:val="zh-CN"/>
    </w:rPr>
  </w:style>
  <w:style w:type="paragraph" w:styleId="44">
    <w:name w:val="Title"/>
    <w:basedOn w:val="1"/>
    <w:link w:val="119"/>
    <w:autoRedefine/>
    <w:qFormat/>
    <w:uiPriority w:val="0"/>
    <w:pPr>
      <w:jc w:val="center"/>
      <w:outlineLvl w:val="0"/>
    </w:pPr>
    <w:rPr>
      <w:rFonts w:asciiTheme="minorHAnsi" w:hAnsiTheme="minorHAnsi" w:eastAsiaTheme="minorEastAsia" w:cstheme="minorBidi"/>
      <w:b/>
      <w:sz w:val="32"/>
      <w:szCs w:val="22"/>
    </w:rPr>
  </w:style>
  <w:style w:type="paragraph" w:styleId="45">
    <w:name w:val="annotation subject"/>
    <w:basedOn w:val="16"/>
    <w:next w:val="16"/>
    <w:link w:val="101"/>
    <w:autoRedefine/>
    <w:qFormat/>
    <w:uiPriority w:val="0"/>
    <w:rPr>
      <w:b/>
      <w:bCs/>
    </w:rPr>
  </w:style>
  <w:style w:type="paragraph" w:styleId="46">
    <w:name w:val="Body Text First Indent"/>
    <w:basedOn w:val="19"/>
    <w:link w:val="147"/>
    <w:autoRedefine/>
    <w:qFormat/>
    <w:uiPriority w:val="0"/>
    <w:pPr>
      <w:ind w:firstLine="100" w:firstLineChars="100"/>
    </w:pPr>
    <w:rPr>
      <w:szCs w:val="20"/>
    </w:rPr>
  </w:style>
  <w:style w:type="paragraph" w:styleId="47">
    <w:name w:val="Body Text First Indent 2"/>
    <w:basedOn w:val="20"/>
    <w:next w:val="13"/>
    <w:autoRedefine/>
    <w:qFormat/>
    <w:uiPriority w:val="0"/>
    <w:pPr>
      <w:autoSpaceDE w:val="0"/>
      <w:autoSpaceDN w:val="0"/>
      <w:adjustRightInd w:val="0"/>
      <w:ind w:firstLine="420"/>
      <w:jc w:val="left"/>
    </w:pPr>
    <w:rPr>
      <w:rFonts w:ascii="Calibri" w:hAnsi="Calibri"/>
      <w:kern w:val="0"/>
    </w:rPr>
  </w:style>
  <w:style w:type="table" w:styleId="49">
    <w:name w:val="Table Grid"/>
    <w:basedOn w:val="4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autoRedefine/>
    <w:qFormat/>
    <w:uiPriority w:val="0"/>
    <w:rPr>
      <w:b/>
      <w:bCs/>
    </w:rPr>
  </w:style>
  <w:style w:type="character" w:styleId="52">
    <w:name w:val="page number"/>
    <w:basedOn w:val="50"/>
    <w:autoRedefine/>
    <w:qFormat/>
    <w:uiPriority w:val="0"/>
  </w:style>
  <w:style w:type="character" w:styleId="53">
    <w:name w:val="FollowedHyperlink"/>
    <w:basedOn w:val="50"/>
    <w:autoRedefine/>
    <w:qFormat/>
    <w:uiPriority w:val="0"/>
    <w:rPr>
      <w:color w:val="428BCA"/>
      <w:u w:val="none"/>
    </w:rPr>
  </w:style>
  <w:style w:type="character" w:styleId="54">
    <w:name w:val="Emphasis"/>
    <w:autoRedefine/>
    <w:qFormat/>
    <w:uiPriority w:val="0"/>
    <w:rPr>
      <w:i/>
      <w:iCs/>
    </w:rPr>
  </w:style>
  <w:style w:type="character" w:styleId="55">
    <w:name w:val="HTML Definition"/>
    <w:basedOn w:val="50"/>
    <w:autoRedefine/>
    <w:semiHidden/>
    <w:unhideWhenUsed/>
    <w:qFormat/>
    <w:uiPriority w:val="99"/>
    <w:rPr>
      <w:i/>
      <w:iCs/>
    </w:rPr>
  </w:style>
  <w:style w:type="character" w:styleId="56">
    <w:name w:val="Hyperlink"/>
    <w:autoRedefine/>
    <w:qFormat/>
    <w:uiPriority w:val="0"/>
    <w:rPr>
      <w:color w:val="136EC2"/>
      <w:u w:val="single"/>
    </w:rPr>
  </w:style>
  <w:style w:type="character" w:styleId="57">
    <w:name w:val="HTML Code"/>
    <w:basedOn w:val="50"/>
    <w:autoRedefine/>
    <w:semiHidden/>
    <w:unhideWhenUsed/>
    <w:qFormat/>
    <w:uiPriority w:val="99"/>
    <w:rPr>
      <w:rFonts w:hint="default" w:ascii="Consolas" w:hAnsi="Consolas" w:eastAsia="Consolas" w:cs="Consolas"/>
      <w:color w:val="C7254E"/>
      <w:sz w:val="21"/>
      <w:szCs w:val="21"/>
      <w:shd w:val="clear" w:color="auto" w:fill="F9F2F4"/>
    </w:rPr>
  </w:style>
  <w:style w:type="character" w:styleId="58">
    <w:name w:val="annotation reference"/>
    <w:autoRedefine/>
    <w:qFormat/>
    <w:uiPriority w:val="0"/>
    <w:rPr>
      <w:sz w:val="21"/>
      <w:szCs w:val="21"/>
    </w:rPr>
  </w:style>
  <w:style w:type="character" w:styleId="59">
    <w:name w:val="HTML Keyboard"/>
    <w:basedOn w:val="50"/>
    <w:autoRedefine/>
    <w:semiHidden/>
    <w:unhideWhenUsed/>
    <w:qFormat/>
    <w:uiPriority w:val="99"/>
    <w:rPr>
      <w:rFonts w:ascii="Consolas" w:hAnsi="Consolas" w:eastAsia="Consolas" w:cs="Consolas"/>
      <w:color w:val="FFFFFF"/>
      <w:sz w:val="21"/>
      <w:szCs w:val="21"/>
      <w:shd w:val="clear" w:color="auto" w:fill="333333"/>
    </w:rPr>
  </w:style>
  <w:style w:type="character" w:styleId="60">
    <w:name w:val="HTML Sample"/>
    <w:basedOn w:val="50"/>
    <w:autoRedefine/>
    <w:semiHidden/>
    <w:unhideWhenUsed/>
    <w:qFormat/>
    <w:uiPriority w:val="99"/>
    <w:rPr>
      <w:rFonts w:hint="default" w:ascii="Consolas" w:hAnsi="Consolas" w:eastAsia="Consolas" w:cs="Consolas"/>
      <w:sz w:val="21"/>
      <w:szCs w:val="21"/>
    </w:rPr>
  </w:style>
  <w:style w:type="paragraph" w:customStyle="1" w:styleId="61">
    <w:name w:val="样式 小四 行距: 1.5 倍行距"/>
    <w:basedOn w:val="1"/>
    <w:autoRedefine/>
    <w:qFormat/>
    <w:uiPriority w:val="0"/>
    <w:pPr>
      <w:ind w:firstLine="480"/>
    </w:pPr>
    <w:rPr>
      <w:szCs w:val="20"/>
    </w:rPr>
  </w:style>
  <w:style w:type="paragraph" w:customStyle="1" w:styleId="62">
    <w:name w:val="正文缩进1"/>
    <w:basedOn w:val="1"/>
    <w:autoRedefine/>
    <w:qFormat/>
    <w:uiPriority w:val="0"/>
    <w:pPr>
      <w:widowControl/>
      <w:ind w:firstLine="420"/>
      <w:jc w:val="left"/>
    </w:pPr>
    <w:rPr>
      <w:kern w:val="0"/>
    </w:rPr>
  </w:style>
  <w:style w:type="character" w:customStyle="1" w:styleId="63">
    <w:name w:val="标题 1 Char"/>
    <w:basedOn w:val="50"/>
    <w:qFormat/>
    <w:uiPriority w:val="0"/>
    <w:rPr>
      <w:rFonts w:ascii="Times New Roman" w:hAnsi="Times New Roman" w:eastAsia="宋体" w:cs="Times New Roman"/>
      <w:b/>
      <w:bCs/>
      <w:sz w:val="24"/>
      <w:szCs w:val="20"/>
    </w:rPr>
  </w:style>
  <w:style w:type="character" w:customStyle="1" w:styleId="64">
    <w:name w:val="标题 2 Char"/>
    <w:basedOn w:val="50"/>
    <w:autoRedefine/>
    <w:qFormat/>
    <w:uiPriority w:val="0"/>
    <w:rPr>
      <w:rFonts w:ascii="Arial" w:hAnsi="Arial" w:eastAsia="宋体" w:cs="Times New Roman"/>
      <w:b/>
      <w:bCs/>
      <w:sz w:val="24"/>
      <w:szCs w:val="32"/>
    </w:rPr>
  </w:style>
  <w:style w:type="character" w:customStyle="1" w:styleId="65">
    <w:name w:val="标题 3 Char"/>
    <w:basedOn w:val="50"/>
    <w:link w:val="5"/>
    <w:autoRedefine/>
    <w:qFormat/>
    <w:uiPriority w:val="0"/>
    <w:rPr>
      <w:rFonts w:ascii="Times New Roman" w:hAnsi="Times New Roman" w:eastAsia="宋体" w:cs="Times New Roman"/>
      <w:b/>
      <w:bCs/>
      <w:sz w:val="32"/>
      <w:szCs w:val="32"/>
    </w:rPr>
  </w:style>
  <w:style w:type="character" w:customStyle="1" w:styleId="66">
    <w:name w:val="标题 4 Char"/>
    <w:basedOn w:val="50"/>
    <w:link w:val="6"/>
    <w:autoRedefine/>
    <w:qFormat/>
    <w:uiPriority w:val="0"/>
    <w:rPr>
      <w:rFonts w:ascii="Arial" w:hAnsi="Arial" w:eastAsia="黑体" w:cs="Times New Roman"/>
      <w:b/>
      <w:bCs/>
      <w:sz w:val="28"/>
      <w:szCs w:val="28"/>
    </w:rPr>
  </w:style>
  <w:style w:type="character" w:customStyle="1" w:styleId="67">
    <w:name w:val="标题 5 Char"/>
    <w:basedOn w:val="50"/>
    <w:link w:val="7"/>
    <w:autoRedefine/>
    <w:qFormat/>
    <w:uiPriority w:val="0"/>
    <w:rPr>
      <w:rFonts w:ascii="Times New Roman" w:hAnsi="Times New Roman" w:eastAsia="宋体" w:cs="Times New Roman"/>
      <w:b/>
      <w:bCs/>
      <w:kern w:val="0"/>
      <w:sz w:val="28"/>
      <w:szCs w:val="28"/>
    </w:rPr>
  </w:style>
  <w:style w:type="character" w:customStyle="1" w:styleId="68">
    <w:name w:val="标题 6 Char"/>
    <w:basedOn w:val="50"/>
    <w:link w:val="8"/>
    <w:qFormat/>
    <w:uiPriority w:val="0"/>
    <w:rPr>
      <w:rFonts w:ascii="Arial" w:hAnsi="Arial" w:eastAsia="黑体" w:cs="Times New Roman"/>
      <w:b/>
      <w:bCs/>
      <w:kern w:val="0"/>
      <w:sz w:val="24"/>
      <w:szCs w:val="24"/>
    </w:rPr>
  </w:style>
  <w:style w:type="character" w:customStyle="1" w:styleId="69">
    <w:name w:val="标题 7 Char"/>
    <w:basedOn w:val="50"/>
    <w:link w:val="9"/>
    <w:autoRedefine/>
    <w:qFormat/>
    <w:uiPriority w:val="0"/>
    <w:rPr>
      <w:rFonts w:ascii="Times New Roman" w:hAnsi="Times New Roman" w:eastAsia="宋体" w:cs="Times New Roman"/>
      <w:b/>
      <w:bCs/>
      <w:kern w:val="0"/>
      <w:sz w:val="24"/>
      <w:szCs w:val="24"/>
    </w:rPr>
  </w:style>
  <w:style w:type="character" w:customStyle="1" w:styleId="70">
    <w:name w:val="标题 8 Char"/>
    <w:basedOn w:val="50"/>
    <w:link w:val="10"/>
    <w:qFormat/>
    <w:uiPriority w:val="0"/>
    <w:rPr>
      <w:rFonts w:ascii="Arial" w:hAnsi="Arial" w:eastAsia="黑体" w:cs="Times New Roman"/>
      <w:kern w:val="0"/>
      <w:sz w:val="24"/>
      <w:szCs w:val="24"/>
    </w:rPr>
  </w:style>
  <w:style w:type="character" w:customStyle="1" w:styleId="71">
    <w:name w:val="标题 9 Char"/>
    <w:basedOn w:val="50"/>
    <w:link w:val="11"/>
    <w:qFormat/>
    <w:uiPriority w:val="0"/>
    <w:rPr>
      <w:rFonts w:ascii="Arial" w:hAnsi="Arial" w:eastAsia="黑体" w:cs="Times New Roman"/>
      <w:kern w:val="0"/>
      <w:szCs w:val="21"/>
    </w:rPr>
  </w:style>
  <w:style w:type="paragraph" w:customStyle="1" w:styleId="72">
    <w:name w:val="表格内容"/>
    <w:basedOn w:val="19"/>
    <w:qFormat/>
    <w:uiPriority w:val="0"/>
    <w:pPr>
      <w:suppressLineNumbers/>
      <w:suppressAutoHyphens/>
      <w:jc w:val="left"/>
    </w:pPr>
    <w:rPr>
      <w:rFonts w:cs="Tahoma"/>
      <w:kern w:val="0"/>
      <w:sz w:val="24"/>
    </w:rPr>
  </w:style>
  <w:style w:type="character" w:customStyle="1" w:styleId="73">
    <w:name w:val="正文文本 Char"/>
    <w:basedOn w:val="50"/>
    <w:link w:val="19"/>
    <w:autoRedefine/>
    <w:qFormat/>
    <w:uiPriority w:val="0"/>
    <w:rPr>
      <w:rFonts w:ascii="Times New Roman" w:hAnsi="Times New Roman" w:eastAsia="宋体" w:cs="Times New Roman"/>
      <w:szCs w:val="24"/>
    </w:rPr>
  </w:style>
  <w:style w:type="character" w:customStyle="1" w:styleId="74">
    <w:name w:val="页脚 Char"/>
    <w:basedOn w:val="50"/>
    <w:link w:val="30"/>
    <w:autoRedefine/>
    <w:qFormat/>
    <w:uiPriority w:val="99"/>
    <w:rPr>
      <w:rFonts w:ascii="Times New Roman" w:hAnsi="Times New Roman" w:eastAsia="宋体" w:cs="Times New Roman"/>
      <w:sz w:val="18"/>
      <w:szCs w:val="18"/>
    </w:rPr>
  </w:style>
  <w:style w:type="character" w:customStyle="1" w:styleId="75">
    <w:name w:val="页眉 Char"/>
    <w:basedOn w:val="50"/>
    <w:link w:val="32"/>
    <w:autoRedefine/>
    <w:qFormat/>
    <w:uiPriority w:val="99"/>
    <w:rPr>
      <w:rFonts w:ascii="Times New Roman" w:hAnsi="Times New Roman" w:eastAsia="宋体" w:cs="Times New Roman"/>
      <w:sz w:val="18"/>
      <w:szCs w:val="18"/>
    </w:rPr>
  </w:style>
  <w:style w:type="character" w:customStyle="1" w:styleId="76">
    <w:name w:val="正文文本缩进 Char"/>
    <w:basedOn w:val="50"/>
    <w:link w:val="20"/>
    <w:autoRedefine/>
    <w:qFormat/>
    <w:uiPriority w:val="0"/>
    <w:rPr>
      <w:rFonts w:ascii="Times New Roman" w:hAnsi="Times New Roman" w:eastAsia="宋体" w:cs="Times New Roman"/>
      <w:szCs w:val="24"/>
    </w:rPr>
  </w:style>
  <w:style w:type="paragraph" w:customStyle="1" w:styleId="77">
    <w:name w:val="Char Char Char Char Char Char Char"/>
    <w:basedOn w:val="1"/>
    <w:autoRedefine/>
    <w:qFormat/>
    <w:uiPriority w:val="0"/>
    <w:pPr>
      <w:snapToGrid w:val="0"/>
      <w:spacing w:line="360" w:lineRule="auto"/>
      <w:ind w:firstLine="200" w:firstLineChars="200"/>
    </w:pPr>
    <w:rPr>
      <w:rFonts w:eastAsia="仿宋_GB2312"/>
      <w:sz w:val="24"/>
    </w:rPr>
  </w:style>
  <w:style w:type="character" w:customStyle="1" w:styleId="78">
    <w:name w:val="纯文本 Char"/>
    <w:basedOn w:val="50"/>
    <w:link w:val="26"/>
    <w:autoRedefine/>
    <w:qFormat/>
    <w:uiPriority w:val="0"/>
    <w:rPr>
      <w:rFonts w:ascii="宋体" w:hAnsi="Courier New" w:eastAsia="宋体" w:cs="Courier New"/>
      <w:szCs w:val="21"/>
    </w:rPr>
  </w:style>
  <w:style w:type="character" w:customStyle="1" w:styleId="79">
    <w:name w:val="批注文字 Char"/>
    <w:basedOn w:val="50"/>
    <w:link w:val="16"/>
    <w:autoRedefine/>
    <w:semiHidden/>
    <w:qFormat/>
    <w:uiPriority w:val="0"/>
    <w:rPr>
      <w:rFonts w:ascii="Times New Roman" w:hAnsi="Times New Roman" w:eastAsia="宋体" w:cs="Times New Roman"/>
      <w:szCs w:val="24"/>
    </w:rPr>
  </w:style>
  <w:style w:type="paragraph" w:customStyle="1" w:styleId="80">
    <w:name w:val="Char Char Char Char Char Char Char1"/>
    <w:basedOn w:val="1"/>
    <w:autoRedefine/>
    <w:qFormat/>
    <w:uiPriority w:val="0"/>
    <w:pPr>
      <w:snapToGrid w:val="0"/>
      <w:spacing w:line="360" w:lineRule="auto"/>
      <w:ind w:firstLine="200" w:firstLineChars="200"/>
    </w:pPr>
    <w:rPr>
      <w:rFonts w:eastAsia="仿宋_GB2312"/>
      <w:sz w:val="24"/>
    </w:rPr>
  </w:style>
  <w:style w:type="paragraph" w:customStyle="1" w:styleId="81">
    <w:name w:val="Char Char Char"/>
    <w:basedOn w:val="1"/>
    <w:autoRedefine/>
    <w:qFormat/>
    <w:uiPriority w:val="0"/>
    <w:rPr>
      <w:rFonts w:ascii="宋体" w:hAnsi="宋体"/>
      <w:b/>
      <w:sz w:val="28"/>
      <w:szCs w:val="28"/>
    </w:rPr>
  </w:style>
  <w:style w:type="paragraph" w:customStyle="1" w:styleId="82">
    <w:name w:val="Char Char1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character" w:customStyle="1" w:styleId="83">
    <w:name w:val="HTML 预设格式 Char"/>
    <w:basedOn w:val="50"/>
    <w:link w:val="40"/>
    <w:autoRedefine/>
    <w:qFormat/>
    <w:uiPriority w:val="0"/>
    <w:rPr>
      <w:rFonts w:ascii="Arial" w:hAnsi="Arial" w:eastAsia="宋体" w:cs="Arial"/>
      <w:kern w:val="0"/>
      <w:sz w:val="24"/>
      <w:szCs w:val="24"/>
    </w:rPr>
  </w:style>
  <w:style w:type="character" w:customStyle="1" w:styleId="84">
    <w:name w:val="称呼 Char"/>
    <w:basedOn w:val="50"/>
    <w:link w:val="17"/>
    <w:autoRedefine/>
    <w:qFormat/>
    <w:uiPriority w:val="0"/>
    <w:rPr>
      <w:rFonts w:ascii="仿宋_GB2312" w:hAnsi="Times New Roman" w:eastAsia="仿宋_GB2312" w:cs="Times New Roman"/>
      <w:sz w:val="24"/>
      <w:szCs w:val="24"/>
    </w:rPr>
  </w:style>
  <w:style w:type="character" w:customStyle="1" w:styleId="85">
    <w:name w:val="正文文本 2 Char"/>
    <w:basedOn w:val="50"/>
    <w:link w:val="39"/>
    <w:autoRedefine/>
    <w:qFormat/>
    <w:uiPriority w:val="0"/>
    <w:rPr>
      <w:rFonts w:ascii="Times New Roman" w:hAnsi="Times New Roman" w:eastAsia="宋体" w:cs="Times New Roman"/>
      <w:szCs w:val="24"/>
    </w:rPr>
  </w:style>
  <w:style w:type="character" w:customStyle="1" w:styleId="86">
    <w:name w:val="正文文本缩进 2 Char"/>
    <w:basedOn w:val="50"/>
    <w:link w:val="21"/>
    <w:autoRedefine/>
    <w:qFormat/>
    <w:uiPriority w:val="0"/>
    <w:rPr>
      <w:rFonts w:ascii="Times New Roman" w:hAnsi="Times New Roman" w:eastAsia="宋体" w:cs="Times New Roman"/>
      <w:szCs w:val="24"/>
    </w:rPr>
  </w:style>
  <w:style w:type="paragraph" w:customStyle="1" w:styleId="87">
    <w:name w:val="Char"/>
    <w:basedOn w:val="1"/>
    <w:autoRedefine/>
    <w:qFormat/>
    <w:uiPriority w:val="0"/>
    <w:pPr>
      <w:tabs>
        <w:tab w:val="left" w:pos="360"/>
      </w:tabs>
      <w:ind w:left="360" w:hanging="360" w:hangingChars="200"/>
    </w:pPr>
    <w:rPr>
      <w:sz w:val="24"/>
    </w:rPr>
  </w:style>
  <w:style w:type="character" w:customStyle="1" w:styleId="88">
    <w:name w:val="正文文本缩进 3 Char"/>
    <w:basedOn w:val="50"/>
    <w:link w:val="36"/>
    <w:autoRedefine/>
    <w:qFormat/>
    <w:uiPriority w:val="0"/>
    <w:rPr>
      <w:rFonts w:ascii="Times New Roman" w:hAnsi="Times New Roman" w:eastAsia="宋体" w:cs="Times New Roman"/>
      <w:sz w:val="16"/>
      <w:szCs w:val="16"/>
    </w:rPr>
  </w:style>
  <w:style w:type="character" w:customStyle="1" w:styleId="89">
    <w:name w:val="日期 Char"/>
    <w:basedOn w:val="50"/>
    <w:link w:val="28"/>
    <w:autoRedefine/>
    <w:qFormat/>
    <w:uiPriority w:val="0"/>
    <w:rPr>
      <w:rFonts w:ascii="Times New Roman" w:hAnsi="Times New Roman" w:eastAsia="宋体" w:cs="Times New Roman"/>
      <w:sz w:val="24"/>
      <w:szCs w:val="20"/>
    </w:rPr>
  </w:style>
  <w:style w:type="paragraph" w:customStyle="1" w:styleId="90">
    <w:name w:val="样式1"/>
    <w:basedOn w:val="1"/>
    <w:link w:val="121"/>
    <w:autoRedefine/>
    <w:qFormat/>
    <w:uiPriority w:val="0"/>
    <w:pPr>
      <w:tabs>
        <w:tab w:val="left" w:pos="360"/>
      </w:tabs>
      <w:adjustRightInd w:val="0"/>
      <w:ind w:left="360" w:hanging="360"/>
      <w:textAlignment w:val="baseline"/>
    </w:pPr>
    <w:rPr>
      <w:rFonts w:ascii="宋体" w:hAnsi="宋体"/>
      <w:kern w:val="0"/>
      <w:szCs w:val="21"/>
    </w:rPr>
  </w:style>
  <w:style w:type="character" w:customStyle="1" w:styleId="91">
    <w:name w:val="p0 Char"/>
    <w:link w:val="92"/>
    <w:autoRedefine/>
    <w:qFormat/>
    <w:uiPriority w:val="0"/>
    <w:rPr>
      <w:rFonts w:eastAsia="宋体"/>
      <w:szCs w:val="21"/>
    </w:rPr>
  </w:style>
  <w:style w:type="paragraph" w:customStyle="1" w:styleId="92">
    <w:name w:val="p0"/>
    <w:basedOn w:val="1"/>
    <w:link w:val="91"/>
    <w:autoRedefine/>
    <w:qFormat/>
    <w:uiPriority w:val="0"/>
    <w:pPr>
      <w:widowControl/>
    </w:pPr>
    <w:rPr>
      <w:rFonts w:asciiTheme="minorHAnsi" w:hAnsiTheme="minorHAnsi" w:cstheme="minorBidi"/>
      <w:szCs w:val="21"/>
    </w:rPr>
  </w:style>
  <w:style w:type="paragraph" w:customStyle="1" w:styleId="93">
    <w:name w:val="Char1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94">
    <w:name w:val="Char Char1 Char Char Char Char Char1 Char Char Char Char"/>
    <w:basedOn w:val="15"/>
    <w:autoRedefine/>
    <w:qFormat/>
    <w:uiPriority w:val="0"/>
    <w:rPr>
      <w:rFonts w:ascii="Tahoma" w:hAnsi="Tahoma"/>
    </w:rPr>
  </w:style>
  <w:style w:type="character" w:customStyle="1" w:styleId="95">
    <w:name w:val="文档结构图 Char"/>
    <w:basedOn w:val="50"/>
    <w:link w:val="15"/>
    <w:autoRedefine/>
    <w:semiHidden/>
    <w:qFormat/>
    <w:uiPriority w:val="0"/>
    <w:rPr>
      <w:rFonts w:ascii="Times New Roman" w:hAnsi="Times New Roman" w:eastAsia="宋体" w:cs="Times New Roman"/>
      <w:szCs w:val="24"/>
      <w:shd w:val="clear" w:color="auto" w:fill="000080"/>
    </w:rPr>
  </w:style>
  <w:style w:type="paragraph" w:customStyle="1" w:styleId="96">
    <w:name w:val="样式 样式 样式 样式 标题 2 + 宋体 五号 非加粗 黑色 + 段前: 6 磅 段后: 0 磅 行距: 单倍行距 + 段前:..."/>
    <w:basedOn w:val="1"/>
    <w:autoRedefine/>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97">
    <w:name w:val="Char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98">
    <w:name w:val="1"/>
    <w:basedOn w:val="1"/>
    <w:autoRedefine/>
    <w:qFormat/>
    <w:uiPriority w:val="0"/>
    <w:pPr>
      <w:spacing w:afterLines="50" w:line="360" w:lineRule="auto"/>
    </w:pPr>
    <w:rPr>
      <w:rFonts w:ascii="宋体" w:hAnsi="宋体"/>
      <w:b/>
      <w:sz w:val="30"/>
      <w:szCs w:val="21"/>
    </w:rPr>
  </w:style>
  <w:style w:type="paragraph" w:customStyle="1" w:styleId="99">
    <w:name w:val="样式 标题 2 + 宋体 五号 行距: 单倍行距"/>
    <w:basedOn w:val="4"/>
    <w:autoRedefine/>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100">
    <w:name w:val="标题 1 +"/>
    <w:basedOn w:val="3"/>
    <w:next w:val="1"/>
    <w:autoRedefine/>
    <w:qFormat/>
    <w:uiPriority w:val="0"/>
    <w:pPr>
      <w:keepLines/>
      <w:spacing w:line="600" w:lineRule="auto"/>
    </w:pPr>
    <w:rPr>
      <w:rFonts w:eastAsia="黑体"/>
      <w:kern w:val="0"/>
      <w:sz w:val="32"/>
      <w:szCs w:val="32"/>
    </w:rPr>
  </w:style>
  <w:style w:type="character" w:customStyle="1" w:styleId="101">
    <w:name w:val="批注主题 Char"/>
    <w:basedOn w:val="79"/>
    <w:link w:val="45"/>
    <w:autoRedefine/>
    <w:qFormat/>
    <w:uiPriority w:val="0"/>
    <w:rPr>
      <w:rFonts w:ascii="Times New Roman" w:hAnsi="Times New Roman" w:eastAsia="宋体" w:cs="Times New Roman"/>
      <w:b/>
      <w:bCs/>
      <w:szCs w:val="24"/>
    </w:rPr>
  </w:style>
  <w:style w:type="character" w:customStyle="1" w:styleId="102">
    <w:name w:val="批注框文本 Char"/>
    <w:basedOn w:val="50"/>
    <w:link w:val="29"/>
    <w:autoRedefine/>
    <w:qFormat/>
    <w:uiPriority w:val="0"/>
    <w:rPr>
      <w:rFonts w:ascii="Times New Roman" w:hAnsi="Times New Roman" w:eastAsia="宋体" w:cs="Times New Roman"/>
      <w:sz w:val="18"/>
      <w:szCs w:val="18"/>
    </w:rPr>
  </w:style>
  <w:style w:type="paragraph" w:customStyle="1" w:styleId="103">
    <w:name w:val="样式 标题 2 + Times New Roman 四号 非加粗 段前: 5 磅 段后: 0 磅 行距: 固定值 20..."/>
    <w:basedOn w:val="4"/>
    <w:autoRedefine/>
    <w:qFormat/>
    <w:uiPriority w:val="0"/>
    <w:pPr>
      <w:spacing w:before="100" w:line="400" w:lineRule="exact"/>
    </w:pPr>
    <w:rPr>
      <w:rFonts w:ascii="Times New Roman" w:hAnsi="Times New Roman" w:eastAsia="黑体"/>
      <w:b w:val="0"/>
      <w:bCs w:val="0"/>
      <w:sz w:val="28"/>
      <w:szCs w:val="20"/>
    </w:rPr>
  </w:style>
  <w:style w:type="paragraph" w:customStyle="1" w:styleId="104">
    <w:name w:val="p15"/>
    <w:basedOn w:val="1"/>
    <w:autoRedefine/>
    <w:qFormat/>
    <w:uiPriority w:val="0"/>
    <w:pPr>
      <w:widowControl/>
      <w:spacing w:line="220" w:lineRule="atLeast"/>
      <w:jc w:val="center"/>
    </w:pPr>
    <w:rPr>
      <w:rFonts w:ascii="仿宋_GB2312" w:hAnsi="宋体" w:eastAsia="仿宋_GB2312" w:cs="宋体"/>
      <w:kern w:val="0"/>
      <w:szCs w:val="21"/>
    </w:rPr>
  </w:style>
  <w:style w:type="paragraph" w:customStyle="1" w:styleId="105">
    <w:name w:val="Char1 Char Char Char 字元 Char Char 字元 Char 字元 Char1 Char Char Char"/>
    <w:basedOn w:val="1"/>
    <w:autoRedefine/>
    <w:qFormat/>
    <w:uiPriority w:val="0"/>
    <w:rPr>
      <w:szCs w:val="20"/>
    </w:rPr>
  </w:style>
  <w:style w:type="paragraph" w:customStyle="1" w:styleId="106">
    <w:name w:val="p16"/>
    <w:basedOn w:val="1"/>
    <w:autoRedefine/>
    <w:qFormat/>
    <w:uiPriority w:val="0"/>
    <w:pPr>
      <w:widowControl/>
      <w:jc w:val="left"/>
    </w:pPr>
    <w:rPr>
      <w:kern w:val="0"/>
      <w:szCs w:val="21"/>
    </w:rPr>
  </w:style>
  <w:style w:type="paragraph" w:customStyle="1" w:styleId="107">
    <w:name w:val="xl31"/>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08">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109">
    <w:name w:val="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10">
    <w:name w:val="xl25"/>
    <w:basedOn w:val="1"/>
    <w:autoRedefine/>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111">
    <w:name w:val="Char Char Char1 Char"/>
    <w:basedOn w:val="1"/>
    <w:autoRedefine/>
    <w:qFormat/>
    <w:uiPriority w:val="0"/>
    <w:pPr>
      <w:tabs>
        <w:tab w:val="left" w:pos="360"/>
      </w:tabs>
      <w:snapToGrid w:val="0"/>
      <w:spacing w:line="360" w:lineRule="auto"/>
    </w:pPr>
    <w:rPr>
      <w:rFonts w:eastAsia="仿宋_GB2312" w:cs="宋体"/>
      <w:sz w:val="24"/>
    </w:rPr>
  </w:style>
  <w:style w:type="paragraph" w:customStyle="1" w:styleId="112">
    <w:name w:val="列出段落1"/>
    <w:basedOn w:val="1"/>
    <w:link w:val="118"/>
    <w:autoRedefine/>
    <w:qFormat/>
    <w:uiPriority w:val="0"/>
    <w:pPr>
      <w:ind w:firstLine="420" w:firstLineChars="200"/>
    </w:pPr>
  </w:style>
  <w:style w:type="character" w:customStyle="1" w:styleId="113">
    <w:name w:val="fontstyle01"/>
    <w:basedOn w:val="50"/>
    <w:autoRedefine/>
    <w:qFormat/>
    <w:uiPriority w:val="0"/>
    <w:rPr>
      <w:rFonts w:hint="eastAsia" w:ascii="宋体" w:hAnsi="宋体" w:eastAsia="宋体"/>
      <w:color w:val="000000"/>
      <w:sz w:val="24"/>
      <w:szCs w:val="24"/>
    </w:rPr>
  </w:style>
  <w:style w:type="character" w:customStyle="1" w:styleId="114">
    <w:name w:val="fontstyle11"/>
    <w:basedOn w:val="50"/>
    <w:autoRedefine/>
    <w:qFormat/>
    <w:uiPriority w:val="0"/>
    <w:rPr>
      <w:rFonts w:hint="default" w:ascii="TimesNewRomanPSMT" w:hAnsi="TimesNewRomanPSMT"/>
      <w:color w:val="000000"/>
      <w:sz w:val="24"/>
      <w:szCs w:val="24"/>
    </w:rPr>
  </w:style>
  <w:style w:type="paragraph" w:customStyle="1" w:styleId="115">
    <w:name w:val="TOC 标题1"/>
    <w:basedOn w:val="3"/>
    <w:next w:val="1"/>
    <w:autoRedefine/>
    <w:unhideWhenUsed/>
    <w:qFormat/>
    <w:uiPriority w:val="39"/>
    <w:pPr>
      <w:keepLines/>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16">
    <w:name w:val="fontstyle21"/>
    <w:basedOn w:val="50"/>
    <w:autoRedefine/>
    <w:qFormat/>
    <w:uiPriority w:val="0"/>
    <w:rPr>
      <w:rFonts w:hint="eastAsia" w:ascii="宋体" w:hAnsi="宋体" w:eastAsia="宋体"/>
      <w:color w:val="993300"/>
      <w:sz w:val="24"/>
      <w:szCs w:val="24"/>
    </w:rPr>
  </w:style>
  <w:style w:type="character" w:customStyle="1" w:styleId="117">
    <w:name w:val="fontstyle31"/>
    <w:basedOn w:val="50"/>
    <w:autoRedefine/>
    <w:qFormat/>
    <w:uiPriority w:val="0"/>
    <w:rPr>
      <w:rFonts w:hint="default" w:ascii="Arial" w:hAnsi="Arial" w:cs="Arial"/>
      <w:color w:val="993300"/>
      <w:sz w:val="24"/>
      <w:szCs w:val="24"/>
    </w:rPr>
  </w:style>
  <w:style w:type="character" w:customStyle="1" w:styleId="118">
    <w:name w:val="列出段落 Char"/>
    <w:link w:val="112"/>
    <w:autoRedefine/>
    <w:qFormat/>
    <w:uiPriority w:val="0"/>
    <w:rPr>
      <w:rFonts w:ascii="Times New Roman" w:hAnsi="Times New Roman" w:eastAsia="宋体" w:cs="Times New Roman"/>
      <w:szCs w:val="24"/>
    </w:rPr>
  </w:style>
  <w:style w:type="character" w:customStyle="1" w:styleId="119">
    <w:name w:val="标题 Char"/>
    <w:link w:val="44"/>
    <w:autoRedefine/>
    <w:qFormat/>
    <w:uiPriority w:val="0"/>
    <w:rPr>
      <w:b/>
      <w:sz w:val="32"/>
    </w:rPr>
  </w:style>
  <w:style w:type="character" w:customStyle="1" w:styleId="120">
    <w:name w:val="标题 Char1"/>
    <w:basedOn w:val="50"/>
    <w:autoRedefine/>
    <w:qFormat/>
    <w:uiPriority w:val="10"/>
    <w:rPr>
      <w:rFonts w:eastAsia="宋体" w:asciiTheme="majorHAnsi" w:hAnsiTheme="majorHAnsi" w:cstheme="majorBidi"/>
      <w:b/>
      <w:bCs/>
      <w:sz w:val="32"/>
      <w:szCs w:val="32"/>
    </w:rPr>
  </w:style>
  <w:style w:type="character" w:customStyle="1" w:styleId="121">
    <w:name w:val="样式1 Char Char"/>
    <w:link w:val="90"/>
    <w:autoRedefine/>
    <w:qFormat/>
    <w:uiPriority w:val="0"/>
    <w:rPr>
      <w:rFonts w:ascii="宋体" w:hAnsi="宋体" w:eastAsia="宋体" w:cs="Times New Roman"/>
      <w:kern w:val="0"/>
      <w:szCs w:val="21"/>
    </w:rPr>
  </w:style>
  <w:style w:type="character" w:customStyle="1" w:styleId="122">
    <w:name w:val="纯文本 Char1"/>
    <w:semiHidden/>
    <w:qFormat/>
    <w:locked/>
    <w:uiPriority w:val="0"/>
    <w:rPr>
      <w:rFonts w:ascii="宋体" w:hAnsi="Courier New" w:eastAsia="宋体" w:cs="Courier New"/>
      <w:kern w:val="2"/>
      <w:sz w:val="21"/>
      <w:szCs w:val="21"/>
      <w:lang w:val="en-US" w:eastAsia="zh-CN" w:bidi="ar-SA"/>
    </w:rPr>
  </w:style>
  <w:style w:type="paragraph" w:customStyle="1" w:styleId="123">
    <w:name w:val="证明文件"/>
    <w:next w:val="1"/>
    <w:qFormat/>
    <w:uiPriority w:val="0"/>
    <w:pPr>
      <w:numPr>
        <w:ilvl w:val="0"/>
        <w:numId w:val="1"/>
      </w:numPr>
      <w:tabs>
        <w:tab w:val="right" w:leader="dot" w:pos="9030"/>
        <w:tab w:val="clear" w:pos="0"/>
      </w:tabs>
      <w:spacing w:line="360" w:lineRule="auto"/>
      <w:ind w:left="0" w:firstLine="0"/>
      <w:outlineLvl w:val="2"/>
    </w:pPr>
    <w:rPr>
      <w:rFonts w:ascii="Times New Roman" w:hAnsi="Times New Roman" w:eastAsia="宋体" w:cs="Times New Roman"/>
      <w:sz w:val="24"/>
      <w:szCs w:val="22"/>
      <w:lang w:val="en-US" w:eastAsia="zh-CN" w:bidi="ar-SA"/>
    </w:rPr>
  </w:style>
  <w:style w:type="table" w:customStyle="1" w:styleId="124">
    <w:name w:val="网格型1"/>
    <w:basedOn w:val="48"/>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5">
    <w:name w:val="font11"/>
    <w:basedOn w:val="50"/>
    <w:qFormat/>
    <w:uiPriority w:val="0"/>
    <w:rPr>
      <w:rFonts w:hint="eastAsia" w:ascii="宋体" w:hAnsi="宋体" w:eastAsia="宋体" w:cs="宋体"/>
      <w:color w:val="000000"/>
      <w:sz w:val="28"/>
      <w:szCs w:val="28"/>
      <w:u w:val="none"/>
    </w:rPr>
  </w:style>
  <w:style w:type="character" w:customStyle="1" w:styleId="126">
    <w:name w:val="font21"/>
    <w:basedOn w:val="50"/>
    <w:qFormat/>
    <w:uiPriority w:val="0"/>
    <w:rPr>
      <w:rFonts w:hint="default" w:ascii="仿宋_GB2312" w:eastAsia="仿宋_GB2312" w:cs="仿宋_GB2312"/>
      <w:color w:val="000000"/>
      <w:sz w:val="28"/>
      <w:szCs w:val="28"/>
      <w:u w:val="none"/>
    </w:rPr>
  </w:style>
  <w:style w:type="character" w:customStyle="1" w:styleId="127">
    <w:name w:val="font01"/>
    <w:basedOn w:val="50"/>
    <w:qFormat/>
    <w:uiPriority w:val="0"/>
    <w:rPr>
      <w:rFonts w:ascii="Arial" w:hAnsi="Arial" w:cs="Arial"/>
      <w:color w:val="000000"/>
      <w:sz w:val="28"/>
      <w:szCs w:val="28"/>
      <w:u w:val="none"/>
    </w:rPr>
  </w:style>
  <w:style w:type="paragraph" w:customStyle="1" w:styleId="128">
    <w:name w:val="表文"/>
    <w:basedOn w:val="1"/>
    <w:autoRedefine/>
    <w:qFormat/>
    <w:uiPriority w:val="0"/>
    <w:pPr>
      <w:keepLines/>
      <w:widowControl/>
      <w:tabs>
        <w:tab w:val="right" w:pos="9660"/>
      </w:tabs>
      <w:topLinePunct/>
      <w:jc w:val="center"/>
      <w:textAlignment w:val="center"/>
    </w:pPr>
    <w:rPr>
      <w:rFonts w:ascii="等线" w:hAnsi="Calibri" w:eastAsia="等线"/>
      <w:szCs w:val="21"/>
    </w:rPr>
  </w:style>
  <w:style w:type="character" w:customStyle="1" w:styleId="129">
    <w:name w:val="标题 1 Char1"/>
    <w:link w:val="3"/>
    <w:qFormat/>
    <w:uiPriority w:val="0"/>
    <w:rPr>
      <w:rFonts w:eastAsia="宋体"/>
      <w:b/>
      <w:bCs/>
      <w:kern w:val="2"/>
      <w:sz w:val="24"/>
      <w:lang w:val="en-US" w:eastAsia="zh-CN" w:bidi="ar-SA"/>
    </w:rPr>
  </w:style>
  <w:style w:type="character" w:customStyle="1" w:styleId="130">
    <w:name w:val="标题 2 Char1"/>
    <w:link w:val="4"/>
    <w:qFormat/>
    <w:uiPriority w:val="0"/>
    <w:rPr>
      <w:rFonts w:ascii="Arial" w:hAnsi="Arial" w:eastAsia="宋体"/>
      <w:b/>
      <w:bCs/>
      <w:kern w:val="2"/>
      <w:sz w:val="24"/>
      <w:szCs w:val="32"/>
      <w:lang w:val="en-US" w:eastAsia="zh-CN" w:bidi="ar-SA"/>
    </w:rPr>
  </w:style>
  <w:style w:type="paragraph" w:styleId="131">
    <w:name w:val="List Paragraph"/>
    <w:basedOn w:val="1"/>
    <w:qFormat/>
    <w:uiPriority w:val="0"/>
    <w:pPr>
      <w:ind w:firstLine="420" w:firstLineChars="200"/>
    </w:pPr>
  </w:style>
  <w:style w:type="character" w:customStyle="1" w:styleId="132">
    <w:name w:val="正文缩进 Char"/>
    <w:link w:val="13"/>
    <w:autoRedefine/>
    <w:qFormat/>
    <w:locked/>
    <w:uiPriority w:val="99"/>
  </w:style>
  <w:style w:type="paragraph" w:customStyle="1" w:styleId="133">
    <w:name w:val="TOC 标题2"/>
    <w:basedOn w:val="3"/>
    <w:next w:val="1"/>
    <w:autoRedefine/>
    <w:unhideWhenUsed/>
    <w:qFormat/>
    <w:uiPriority w:val="39"/>
    <w:pPr>
      <w:keepLines/>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134">
    <w:name w:val="纯文本 字符1"/>
    <w:basedOn w:val="50"/>
    <w:autoRedefine/>
    <w:qFormat/>
    <w:uiPriority w:val="99"/>
    <w:rPr>
      <w:rFonts w:ascii="宋体" w:hAnsi="Courier New" w:eastAsia="宋体" w:cs="Courier New"/>
      <w:szCs w:val="21"/>
    </w:rPr>
  </w:style>
  <w:style w:type="paragraph" w:customStyle="1" w:styleId="135">
    <w:name w:val="ZW"/>
    <w:basedOn w:val="1"/>
    <w:link w:val="136"/>
    <w:autoRedefine/>
    <w:qFormat/>
    <w:uiPriority w:val="0"/>
    <w:pPr>
      <w:adjustRightInd w:val="0"/>
      <w:ind w:firstLine="510"/>
      <w:textAlignment w:val="baseline"/>
    </w:pPr>
    <w:rPr>
      <w:rFonts w:ascii="仿宋_GB2312" w:hAnsi="仿宋_GB2312" w:eastAsia="仿宋_GB2312" w:cs="仿宋_GB2312"/>
      <w:color w:val="000000"/>
      <w:sz w:val="24"/>
      <w:lang w:val="en-GB"/>
    </w:rPr>
  </w:style>
  <w:style w:type="character" w:customStyle="1" w:styleId="136">
    <w:name w:val="ZW Char"/>
    <w:link w:val="135"/>
    <w:autoRedefine/>
    <w:qFormat/>
    <w:uiPriority w:val="0"/>
    <w:rPr>
      <w:rFonts w:ascii="仿宋_GB2312" w:hAnsi="仿宋_GB2312" w:eastAsia="仿宋_GB2312" w:cs="仿宋_GB2312"/>
      <w:color w:val="000000"/>
      <w:kern w:val="2"/>
      <w:sz w:val="24"/>
      <w:szCs w:val="24"/>
      <w:lang w:val="en-GB"/>
    </w:rPr>
  </w:style>
  <w:style w:type="paragraph" w:customStyle="1" w:styleId="137">
    <w:name w:val="B2"/>
    <w:basedOn w:val="1"/>
    <w:autoRedefine/>
    <w:qFormat/>
    <w:uiPriority w:val="0"/>
    <w:pPr>
      <w:adjustRightInd w:val="0"/>
      <w:spacing w:line="560" w:lineRule="exact"/>
      <w:jc w:val="left"/>
      <w:textAlignment w:val="baseline"/>
      <w:outlineLvl w:val="1"/>
    </w:pPr>
    <w:rPr>
      <w:rFonts w:eastAsia="黑体"/>
      <w:b/>
      <w:sz w:val="30"/>
      <w:szCs w:val="30"/>
    </w:rPr>
  </w:style>
  <w:style w:type="paragraph" w:customStyle="1" w:styleId="138">
    <w:name w:val="正文ql"/>
    <w:basedOn w:val="139"/>
    <w:autoRedefine/>
    <w:qFormat/>
    <w:uiPriority w:val="0"/>
    <w:pPr>
      <w:ind w:firstLine="480" w:firstLineChars="200"/>
    </w:pPr>
  </w:style>
  <w:style w:type="paragraph" w:customStyle="1" w:styleId="139">
    <w:name w:val="首行缩进小四"/>
    <w:basedOn w:val="1"/>
    <w:autoRedefine/>
    <w:qFormat/>
    <w:uiPriority w:val="0"/>
    <w:pPr>
      <w:spacing w:line="360" w:lineRule="auto"/>
      <w:ind w:firstLine="454"/>
    </w:pPr>
    <w:rPr>
      <w:rFonts w:ascii="宋体" w:hAnsi="宋体"/>
      <w:sz w:val="24"/>
    </w:rPr>
  </w:style>
  <w:style w:type="character" w:customStyle="1" w:styleId="140">
    <w:name w:val="hover19"/>
    <w:basedOn w:val="50"/>
    <w:autoRedefine/>
    <w:qFormat/>
    <w:uiPriority w:val="0"/>
    <w:rPr>
      <w:color w:val="000000"/>
      <w:shd w:val="clear" w:color="auto" w:fill="FFFFFF"/>
    </w:rPr>
  </w:style>
  <w:style w:type="character" w:customStyle="1" w:styleId="141">
    <w:name w:val="wx-space"/>
    <w:basedOn w:val="50"/>
    <w:autoRedefine/>
    <w:qFormat/>
    <w:uiPriority w:val="0"/>
  </w:style>
  <w:style w:type="character" w:customStyle="1" w:styleId="142">
    <w:name w:val="wx-space1"/>
    <w:basedOn w:val="50"/>
    <w:autoRedefine/>
    <w:qFormat/>
    <w:uiPriority w:val="0"/>
  </w:style>
  <w:style w:type="character" w:customStyle="1" w:styleId="143">
    <w:name w:val="hover18"/>
    <w:basedOn w:val="50"/>
    <w:autoRedefine/>
    <w:qFormat/>
    <w:uiPriority w:val="0"/>
    <w:rPr>
      <w:color w:val="000000"/>
      <w:shd w:val="clear" w:color="auto" w:fill="FFFFFF"/>
    </w:rPr>
  </w:style>
  <w:style w:type="paragraph" w:customStyle="1" w:styleId="144">
    <w:name w:val="正文 A"/>
    <w:autoRedefine/>
    <w:qFormat/>
    <w:uiPriority w:val="0"/>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宋体" w:cs="Calibri"/>
      <w:color w:val="000000"/>
      <w:kern w:val="2"/>
      <w:sz w:val="21"/>
      <w:szCs w:val="21"/>
      <w:u w:color="000000"/>
      <w:lang w:val="en-US" w:eastAsia="zh-CN" w:bidi="ar-SA"/>
    </w:rPr>
  </w:style>
  <w:style w:type="paragraph" w:customStyle="1" w:styleId="145">
    <w:name w:val="Normal_0"/>
    <w:autoRedefine/>
    <w:qFormat/>
    <w:uiPriority w:val="0"/>
    <w:rPr>
      <w:rFonts w:ascii="Times New Roman" w:hAnsi="Times New Roman" w:eastAsia="Times New Roman" w:cs="Times New Roman"/>
      <w:sz w:val="24"/>
      <w:szCs w:val="24"/>
      <w:lang w:val="en-US" w:eastAsia="zh-CN" w:bidi="ar-SA"/>
    </w:rPr>
  </w:style>
  <w:style w:type="character" w:customStyle="1" w:styleId="146">
    <w:name w:val="正文文本 3 Char"/>
    <w:basedOn w:val="50"/>
    <w:link w:val="18"/>
    <w:autoRedefine/>
    <w:qFormat/>
    <w:uiPriority w:val="0"/>
    <w:rPr>
      <w:rFonts w:ascii="宋体"/>
      <w:color w:val="000000"/>
      <w:kern w:val="2"/>
      <w:sz w:val="21"/>
      <w:szCs w:val="24"/>
    </w:rPr>
  </w:style>
  <w:style w:type="character" w:customStyle="1" w:styleId="147">
    <w:name w:val="正文首行缩进 Char"/>
    <w:basedOn w:val="73"/>
    <w:link w:val="46"/>
    <w:autoRedefine/>
    <w:qFormat/>
    <w:uiPriority w:val="0"/>
    <w:rPr>
      <w:kern w:val="2"/>
      <w:sz w:val="21"/>
    </w:rPr>
  </w:style>
  <w:style w:type="character" w:customStyle="1" w:styleId="148">
    <w:name w:val="mark13"/>
    <w:basedOn w:val="50"/>
    <w:autoRedefine/>
    <w:qFormat/>
    <w:uiPriority w:val="0"/>
  </w:style>
  <w:style w:type="character" w:customStyle="1" w:styleId="149">
    <w:name w:val=" Char Char16"/>
    <w:autoRedefine/>
    <w:qFormat/>
    <w:uiPriority w:val="0"/>
    <w:rPr>
      <w:rFonts w:eastAsia="宋体"/>
      <w:b/>
      <w:kern w:val="2"/>
      <w:sz w:val="32"/>
      <w:lang w:val="en-US" w:eastAsia="zh-CN" w:bidi="ar-SA"/>
    </w:rPr>
  </w:style>
  <w:style w:type="character" w:customStyle="1" w:styleId="150">
    <w:name w:val="font91"/>
    <w:basedOn w:val="50"/>
    <w:autoRedefine/>
    <w:qFormat/>
    <w:uiPriority w:val="0"/>
    <w:rPr>
      <w:rFonts w:hint="eastAsia" w:ascii="仿宋" w:hAnsi="仿宋" w:eastAsia="仿宋" w:cs="仿宋"/>
      <w:color w:val="000000"/>
      <w:sz w:val="20"/>
      <w:szCs w:val="20"/>
      <w:u w:val="none"/>
    </w:rPr>
  </w:style>
  <w:style w:type="character" w:customStyle="1" w:styleId="151">
    <w:name w:val=" Char Char5"/>
    <w:autoRedefine/>
    <w:qFormat/>
    <w:uiPriority w:val="0"/>
    <w:rPr>
      <w:rFonts w:ascii="MS Sans Serif" w:hAnsi="MS Sans Serif" w:eastAsia="Times New Roman" w:cs="Times New Roman"/>
      <w:kern w:val="0"/>
      <w:sz w:val="18"/>
      <w:szCs w:val="20"/>
      <w:lang w:bidi="ar-SA"/>
    </w:rPr>
  </w:style>
  <w:style w:type="character" w:customStyle="1" w:styleId="152">
    <w:name w:val="font81"/>
    <w:basedOn w:val="50"/>
    <w:autoRedefine/>
    <w:qFormat/>
    <w:uiPriority w:val="0"/>
    <w:rPr>
      <w:rFonts w:hint="eastAsia" w:ascii="仿宋" w:hAnsi="仿宋" w:eastAsia="仿宋" w:cs="仿宋"/>
      <w:color w:val="000000"/>
      <w:sz w:val="18"/>
      <w:szCs w:val="18"/>
      <w:u w:val="none"/>
    </w:rPr>
  </w:style>
  <w:style w:type="character" w:customStyle="1" w:styleId="153">
    <w:name w:val="样式2 Char Char"/>
    <w:autoRedefine/>
    <w:qFormat/>
    <w:uiPriority w:val="0"/>
    <w:rPr>
      <w:rFonts w:eastAsia="宋体"/>
      <w:kern w:val="2"/>
      <w:sz w:val="18"/>
      <w:szCs w:val="18"/>
      <w:lang w:val="en-US" w:eastAsia="zh-CN" w:bidi="ar-SA"/>
    </w:rPr>
  </w:style>
  <w:style w:type="character" w:customStyle="1" w:styleId="154">
    <w:name w:val="日期 Char1"/>
    <w:autoRedefine/>
    <w:qFormat/>
    <w:uiPriority w:val="0"/>
    <w:rPr>
      <w:rFonts w:ascii="Times New Roman" w:hAnsi="Times New Roman" w:eastAsia="宋体" w:cs="Times New Roman"/>
      <w:sz w:val="24"/>
      <w:szCs w:val="20"/>
      <w:lang w:bidi="ar-SA"/>
    </w:rPr>
  </w:style>
  <w:style w:type="character" w:customStyle="1" w:styleId="155">
    <w:name w:val="content1"/>
    <w:autoRedefine/>
    <w:qFormat/>
    <w:uiPriority w:val="0"/>
    <w:rPr>
      <w:sz w:val="21"/>
      <w:szCs w:val="21"/>
    </w:rPr>
  </w:style>
  <w:style w:type="character" w:customStyle="1" w:styleId="156">
    <w:name w:val="普通文字 Char Char1"/>
    <w:autoRedefine/>
    <w:qFormat/>
    <w:uiPriority w:val="0"/>
    <w:rPr>
      <w:rFonts w:ascii="宋体" w:eastAsia="宋体"/>
      <w:kern w:val="2"/>
      <w:sz w:val="21"/>
      <w:szCs w:val="21"/>
      <w:lang w:val="en-US" w:eastAsia="zh-CN" w:bidi="ar-SA"/>
    </w:rPr>
  </w:style>
  <w:style w:type="character" w:customStyle="1" w:styleId="157">
    <w:name w:val="ask-title2"/>
    <w:basedOn w:val="50"/>
    <w:autoRedefine/>
    <w:qFormat/>
    <w:uiPriority w:val="0"/>
  </w:style>
  <w:style w:type="character" w:customStyle="1" w:styleId="158">
    <w:name w:val="font41"/>
    <w:basedOn w:val="50"/>
    <w:autoRedefine/>
    <w:qFormat/>
    <w:uiPriority w:val="0"/>
    <w:rPr>
      <w:rFonts w:hint="default" w:ascii="华文中宋" w:hAnsi="华文中宋" w:eastAsia="华文中宋" w:cs="华文中宋"/>
      <w:b/>
      <w:bCs/>
      <w:color w:val="000000"/>
      <w:sz w:val="24"/>
      <w:szCs w:val="24"/>
      <w:u w:val="none"/>
    </w:rPr>
  </w:style>
  <w:style w:type="character" w:customStyle="1" w:styleId="159">
    <w:name w:val=" Char Char"/>
    <w:autoRedefine/>
    <w:qFormat/>
    <w:uiPriority w:val="0"/>
    <w:rPr>
      <w:rFonts w:eastAsia="宋体"/>
      <w:spacing w:val="10"/>
      <w:sz w:val="24"/>
      <w:lang w:val="en-US" w:eastAsia="zh-CN" w:bidi="ar-SA"/>
    </w:rPr>
  </w:style>
  <w:style w:type="character" w:customStyle="1" w:styleId="160">
    <w:name w:val="font31"/>
    <w:basedOn w:val="50"/>
    <w:autoRedefine/>
    <w:qFormat/>
    <w:uiPriority w:val="0"/>
    <w:rPr>
      <w:rFonts w:ascii="宋体" w:hAnsi="宋体" w:eastAsia="宋体" w:cs="宋体"/>
      <w:color w:val="000000"/>
      <w:sz w:val="24"/>
      <w:szCs w:val="24"/>
      <w:u w:val="none"/>
    </w:rPr>
  </w:style>
  <w:style w:type="character" w:customStyle="1" w:styleId="161">
    <w:name w:val=" Char Char4"/>
    <w:autoRedefine/>
    <w:qFormat/>
    <w:uiPriority w:val="0"/>
    <w:rPr>
      <w:rFonts w:ascii="MS Sans Serif" w:hAnsi="MS Sans Serif" w:eastAsia="Times New Roman" w:cs="Times New Roman"/>
      <w:kern w:val="0"/>
      <w:sz w:val="18"/>
      <w:szCs w:val="20"/>
      <w:lang w:bidi="ar-SA"/>
    </w:rPr>
  </w:style>
  <w:style w:type="character" w:customStyle="1" w:styleId="162">
    <w:name w:val="CharAttribute0"/>
    <w:autoRedefine/>
    <w:qFormat/>
    <w:uiPriority w:val="0"/>
    <w:rPr>
      <w:rFonts w:ascii="Times New Roman" w:eastAsia="宋体"/>
      <w:sz w:val="21"/>
    </w:rPr>
  </w:style>
  <w:style w:type="character" w:customStyle="1" w:styleId="163">
    <w:name w:val="普通文字 Char2"/>
    <w:autoRedefine/>
    <w:qFormat/>
    <w:uiPriority w:val="0"/>
    <w:rPr>
      <w:rFonts w:ascii="宋体" w:eastAsia="宋体" w:cs="Courier New"/>
      <w:kern w:val="2"/>
      <w:sz w:val="21"/>
      <w:szCs w:val="21"/>
      <w:lang w:val="en-US" w:eastAsia="zh-CN" w:bidi="ar-SA"/>
    </w:rPr>
  </w:style>
  <w:style w:type="character" w:customStyle="1" w:styleId="164">
    <w:name w:val="font101"/>
    <w:basedOn w:val="50"/>
    <w:autoRedefine/>
    <w:qFormat/>
    <w:uiPriority w:val="0"/>
    <w:rPr>
      <w:rFonts w:hint="eastAsia" w:ascii="宋体" w:hAnsi="宋体" w:eastAsia="宋体" w:cs="宋体"/>
      <w:color w:val="000000"/>
      <w:sz w:val="20"/>
      <w:szCs w:val="20"/>
      <w:u w:val="none"/>
    </w:rPr>
  </w:style>
  <w:style w:type="character" w:customStyle="1" w:styleId="165">
    <w:name w:val="p0 Char Char"/>
    <w:autoRedefine/>
    <w:qFormat/>
    <w:uiPriority w:val="0"/>
    <w:rPr>
      <w:rFonts w:eastAsia="宋体"/>
      <w:sz w:val="21"/>
      <w:szCs w:val="21"/>
      <w:lang w:val="en-US" w:eastAsia="zh-CN" w:bidi="ar-SA"/>
    </w:rPr>
  </w:style>
  <w:style w:type="character" w:customStyle="1" w:styleId="166">
    <w:name w:val="font71"/>
    <w:basedOn w:val="50"/>
    <w:autoRedefine/>
    <w:qFormat/>
    <w:uiPriority w:val="0"/>
    <w:rPr>
      <w:rFonts w:ascii="Arial" w:hAnsi="Arial" w:cs="Arial"/>
      <w:color w:val="000000"/>
      <w:sz w:val="18"/>
      <w:szCs w:val="18"/>
      <w:u w:val="none"/>
    </w:rPr>
  </w:style>
  <w:style w:type="character" w:customStyle="1" w:styleId="167">
    <w:name w:val=" Char Char9"/>
    <w:autoRedefine/>
    <w:qFormat/>
    <w:uiPriority w:val="0"/>
    <w:rPr>
      <w:rFonts w:eastAsia="宋体"/>
      <w:kern w:val="2"/>
      <w:sz w:val="21"/>
      <w:lang w:val="en-US" w:eastAsia="zh-CN" w:bidi="ar-SA"/>
    </w:rPr>
  </w:style>
  <w:style w:type="character" w:customStyle="1" w:styleId="168">
    <w:name w:val="h21"/>
    <w:autoRedefine/>
    <w:qFormat/>
    <w:uiPriority w:val="0"/>
    <w:rPr>
      <w:sz w:val="19"/>
    </w:rPr>
  </w:style>
  <w:style w:type="character" w:customStyle="1" w:styleId="169">
    <w:name w:val="h31"/>
    <w:autoRedefine/>
    <w:qFormat/>
    <w:uiPriority w:val="0"/>
    <w:rPr>
      <w:sz w:val="28"/>
    </w:rPr>
  </w:style>
  <w:style w:type="paragraph" w:customStyle="1" w:styleId="170">
    <w:name w:val="表体"/>
    <w:basedOn w:val="1"/>
    <w:autoRedefine/>
    <w:qFormat/>
    <w:uiPriority w:val="0"/>
    <w:rPr>
      <w:rFonts w:ascii="黑体" w:eastAsia="黑体"/>
      <w:szCs w:val="20"/>
    </w:rPr>
  </w:style>
  <w:style w:type="paragraph" w:customStyle="1" w:styleId="171">
    <w:name w:val="标3"/>
    <w:basedOn w:val="1"/>
    <w:autoRedefine/>
    <w:qFormat/>
    <w:uiPriority w:val="0"/>
    <w:pPr>
      <w:tabs>
        <w:tab w:val="left" w:pos="425"/>
      </w:tabs>
      <w:adjustRightInd w:val="0"/>
      <w:snapToGrid w:val="0"/>
      <w:spacing w:beforeLines="50"/>
      <w:ind w:left="425" w:hanging="425"/>
      <w:outlineLvl w:val="2"/>
    </w:pPr>
    <w:rPr>
      <w:rFonts w:ascii="Arial Narrow" w:hAnsi="Arial Narrow" w:eastAsia="仿宋_GB2312"/>
      <w:sz w:val="24"/>
      <w:szCs w:val="20"/>
    </w:rPr>
  </w:style>
  <w:style w:type="paragraph" w:customStyle="1" w:styleId="172">
    <w:name w:val="表内文字"/>
    <w:basedOn w:val="1"/>
    <w:autoRedefine/>
    <w:qFormat/>
    <w:uiPriority w:val="0"/>
    <w:pPr>
      <w:adjustRightInd w:val="0"/>
      <w:snapToGrid w:val="0"/>
      <w:spacing w:before="60" w:after="60" w:line="280" w:lineRule="atLeast"/>
    </w:pPr>
    <w:rPr>
      <w:rFonts w:eastAsia="仿宋_GB2312"/>
      <w:sz w:val="24"/>
    </w:rPr>
  </w:style>
  <w:style w:type="paragraph" w:customStyle="1" w:styleId="173">
    <w:name w:val="默认段落字体 Para Char Char Char Char Char Char Char Char Char1 Char"/>
    <w:basedOn w:val="1"/>
    <w:autoRedefine/>
    <w:qFormat/>
    <w:uiPriority w:val="0"/>
    <w:rPr>
      <w:rFonts w:ascii="Tahoma" w:hAnsi="Tahoma"/>
      <w:sz w:val="24"/>
      <w:szCs w:val="20"/>
    </w:rPr>
  </w:style>
  <w:style w:type="paragraph" w:customStyle="1" w:styleId="174">
    <w:name w:val="正文（绿盟科技）"/>
    <w:autoRedefine/>
    <w:qFormat/>
    <w:uiPriority w:val="0"/>
    <w:pPr>
      <w:spacing w:line="300" w:lineRule="auto"/>
    </w:pPr>
    <w:rPr>
      <w:rFonts w:ascii="Arial" w:hAnsi="Arial" w:eastAsia="Times New Roman" w:cs="Times New Roman"/>
      <w:szCs w:val="21"/>
      <w:lang w:val="en-US" w:eastAsia="zh-CN" w:bidi="ar-SA"/>
    </w:rPr>
  </w:style>
  <w:style w:type="paragraph" w:customStyle="1" w:styleId="175">
    <w:name w:val=" Char"/>
    <w:basedOn w:val="1"/>
    <w:autoRedefine/>
    <w:qFormat/>
    <w:uiPriority w:val="0"/>
  </w:style>
  <w:style w:type="paragraph" w:customStyle="1" w:styleId="176">
    <w:name w:val="Heading 5"/>
    <w:basedOn w:val="1"/>
    <w:autoRedefine/>
    <w:qFormat/>
    <w:uiPriority w:val="0"/>
    <w:pPr>
      <w:autoSpaceDE w:val="0"/>
      <w:autoSpaceDN w:val="0"/>
      <w:adjustRightInd w:val="0"/>
      <w:spacing w:before="120"/>
      <w:ind w:left="140"/>
      <w:jc w:val="left"/>
      <w:outlineLvl w:val="4"/>
    </w:pPr>
    <w:rPr>
      <w:rFonts w:ascii="Microsoft JhengHei" w:hAnsi="Microsoft JhengHei" w:eastAsia="Microsoft JhengHei" w:cs="Microsoft JhengHei"/>
      <w:b/>
      <w:bCs/>
      <w:kern w:val="0"/>
      <w:sz w:val="28"/>
      <w:szCs w:val="28"/>
    </w:rPr>
  </w:style>
  <w:style w:type="paragraph" w:customStyle="1" w:styleId="177">
    <w:name w:val="表头"/>
    <w:basedOn w:val="1"/>
    <w:autoRedefine/>
    <w:qFormat/>
    <w:uiPriority w:val="0"/>
    <w:pPr>
      <w:adjustRightInd w:val="0"/>
      <w:snapToGrid w:val="0"/>
      <w:spacing w:before="80" w:after="80" w:line="280" w:lineRule="atLeast"/>
      <w:jc w:val="center"/>
    </w:pPr>
    <w:rPr>
      <w:rFonts w:eastAsia="黑体" w:cs="宋体"/>
      <w:sz w:val="28"/>
    </w:rPr>
  </w:style>
  <w:style w:type="paragraph" w:customStyle="1" w:styleId="178">
    <w:name w:val="样式 首行缩进:  0.75 厘米 段前: 6 磅 行距: 1.5 倍行距"/>
    <w:basedOn w:val="1"/>
    <w:autoRedefine/>
    <w:qFormat/>
    <w:uiPriority w:val="0"/>
    <w:pPr>
      <w:spacing w:before="60" w:after="60" w:line="360" w:lineRule="auto"/>
      <w:ind w:right="210"/>
      <w:jc w:val="left"/>
    </w:pPr>
    <w:rPr>
      <w:rFonts w:ascii="宋体" w:hAnsi="宋体" w:eastAsia="黑体" w:cs="Arial"/>
      <w:snapToGrid w:val="0"/>
      <w:kern w:val="0"/>
      <w:sz w:val="24"/>
      <w:szCs w:val="28"/>
    </w:rPr>
  </w:style>
  <w:style w:type="paragraph" w:customStyle="1" w:styleId="179">
    <w:name w:val="Char1 Char Char Char Char Char Char"/>
    <w:basedOn w:val="1"/>
    <w:autoRedefine/>
    <w:qFormat/>
    <w:uiPriority w:val="0"/>
  </w:style>
  <w:style w:type="paragraph" w:customStyle="1" w:styleId="180">
    <w:name w:val="Table Paragraph"/>
    <w:basedOn w:val="1"/>
    <w:autoRedefine/>
    <w:qFormat/>
    <w:uiPriority w:val="0"/>
    <w:pPr>
      <w:autoSpaceDE w:val="0"/>
      <w:autoSpaceDN w:val="0"/>
      <w:adjustRightInd w:val="0"/>
      <w:jc w:val="left"/>
    </w:pPr>
    <w:rPr>
      <w:kern w:val="0"/>
      <w:sz w:val="24"/>
    </w:rPr>
  </w:style>
  <w:style w:type="paragraph" w:customStyle="1" w:styleId="181">
    <w:name w:val="默认段落字体 Para Char"/>
    <w:basedOn w:val="1"/>
    <w:autoRedefine/>
    <w:qFormat/>
    <w:uiPriority w:val="0"/>
    <w:rPr>
      <w:rFonts w:ascii="Tahoma" w:hAnsi="Tahoma"/>
      <w:sz w:val="24"/>
      <w:szCs w:val="20"/>
    </w:rPr>
  </w:style>
  <w:style w:type="paragraph" w:customStyle="1" w:styleId="182">
    <w:name w:val=" Char Char Char Char Char Char Char"/>
    <w:basedOn w:val="1"/>
    <w:autoRedefine/>
    <w:qFormat/>
    <w:uiPriority w:val="0"/>
    <w:pPr>
      <w:snapToGrid w:val="0"/>
      <w:spacing w:line="360" w:lineRule="auto"/>
      <w:ind w:firstLine="200" w:firstLineChars="200"/>
    </w:pPr>
    <w:rPr>
      <w:rFonts w:eastAsia="仿宋_GB2312"/>
      <w:sz w:val="24"/>
    </w:rPr>
  </w:style>
  <w:style w:type="paragraph" w:customStyle="1" w:styleId="183">
    <w:name w:val="a2"/>
    <w:basedOn w:val="1"/>
    <w:autoRedefine/>
    <w:qFormat/>
    <w:uiPriority w:val="0"/>
    <w:pPr>
      <w:widowControl/>
      <w:spacing w:before="100" w:beforeAutospacing="1" w:after="100" w:afterAutospacing="1"/>
      <w:jc w:val="left"/>
    </w:pPr>
    <w:rPr>
      <w:rFonts w:ascii="宋体" w:cs="宋体"/>
      <w:kern w:val="0"/>
      <w:sz w:val="24"/>
    </w:rPr>
  </w:style>
  <w:style w:type="paragraph" w:customStyle="1" w:styleId="184">
    <w:name w:val=" Char1 Char Char Char"/>
    <w:basedOn w:val="1"/>
    <w:autoRedefine/>
    <w:qFormat/>
    <w:uiPriority w:val="0"/>
    <w:rPr>
      <w:rFonts w:ascii="Tahoma" w:hAnsi="Tahoma"/>
      <w:sz w:val="24"/>
      <w:szCs w:val="20"/>
    </w:rPr>
  </w:style>
  <w:style w:type="paragraph" w:customStyle="1" w:styleId="185">
    <w:name w:val="标4"/>
    <w:basedOn w:val="171"/>
    <w:autoRedefine/>
    <w:qFormat/>
    <w:uiPriority w:val="0"/>
    <w:pPr>
      <w:tabs>
        <w:tab w:val="left" w:pos="360"/>
        <w:tab w:val="left" w:pos="720"/>
        <w:tab w:val="left" w:pos="1680"/>
        <w:tab w:val="clear" w:pos="425"/>
      </w:tabs>
      <w:spacing w:beforeLines="0"/>
      <w:ind w:left="1680" w:hanging="420"/>
      <w:outlineLvl w:val="3"/>
    </w:pPr>
  </w:style>
  <w:style w:type="paragraph" w:customStyle="1" w:styleId="186">
    <w:name w:val="Item Step in Table"/>
    <w:autoRedefine/>
    <w:qFormat/>
    <w:uiPriority w:val="0"/>
    <w:pPr>
      <w:numPr>
        <w:ilvl w:val="0"/>
        <w:numId w:val="2"/>
      </w:numPr>
      <w:tabs>
        <w:tab w:val="left" w:pos="397"/>
      </w:tabs>
      <w:spacing w:before="40" w:after="40"/>
      <w:jc w:val="both"/>
    </w:pPr>
    <w:rPr>
      <w:rFonts w:ascii="Arial" w:hAnsi="Arial" w:eastAsia="Times New Roman" w:cs="Arial"/>
      <w:sz w:val="18"/>
      <w:szCs w:val="18"/>
      <w:lang w:val="en-US" w:eastAsia="zh-CN" w:bidi="ar-SA"/>
    </w:rPr>
  </w:style>
  <w:style w:type="paragraph" w:customStyle="1" w:styleId="187">
    <w:name w:val="Normal_8"/>
    <w:autoRedefine/>
    <w:qFormat/>
    <w:uiPriority w:val="0"/>
    <w:rPr>
      <w:rFonts w:ascii="Times New Roman" w:hAnsi="Times New Roman" w:eastAsia="Times New Roman" w:cs="Times New Roman"/>
      <w:sz w:val="24"/>
      <w:szCs w:val="24"/>
      <w:lang w:val="zh-CN" w:eastAsia="zh-CN" w:bidi="zh-CN"/>
    </w:rPr>
  </w:style>
  <w:style w:type="paragraph" w:customStyle="1" w:styleId="188">
    <w:name w:val="样式 标题 3标题31.1.1标题 3H3level_3PIM 3Level 3 HeadHeading 3 - ..."/>
    <w:basedOn w:val="5"/>
    <w:autoRedefine/>
    <w:qFormat/>
    <w:uiPriority w:val="0"/>
    <w:pPr>
      <w:numPr>
        <w:ilvl w:val="2"/>
        <w:numId w:val="1"/>
      </w:numPr>
      <w:tabs>
        <w:tab w:val="left" w:pos="720"/>
      </w:tabs>
      <w:spacing w:before="120" w:after="120" w:line="412" w:lineRule="auto"/>
    </w:pPr>
    <w:rPr>
      <w:rFonts w:ascii="宋体" w:cs="Arial"/>
      <w:sz w:val="24"/>
    </w:rPr>
  </w:style>
  <w:style w:type="paragraph" w:customStyle="1" w:styleId="189">
    <w:name w:val="List Paragraph1"/>
    <w:basedOn w:val="1"/>
    <w:autoRedefine/>
    <w:qFormat/>
    <w:uiPriority w:val="0"/>
    <w:pPr>
      <w:ind w:firstLine="200" w:firstLineChars="200"/>
    </w:pPr>
    <w:rPr>
      <w:szCs w:val="20"/>
    </w:rPr>
  </w:style>
  <w:style w:type="paragraph" w:customStyle="1" w:styleId="190">
    <w:name w:val="样式4"/>
    <w:basedOn w:val="1"/>
    <w:autoRedefine/>
    <w:qFormat/>
    <w:uiPriority w:val="0"/>
    <w:pPr>
      <w:spacing w:line="360" w:lineRule="auto"/>
      <w:outlineLvl w:val="3"/>
    </w:pPr>
    <w:rPr>
      <w:rFonts w:ascii="宋体"/>
      <w:b/>
      <w:snapToGrid w:val="0"/>
      <w:kern w:val="0"/>
      <w:sz w:val="24"/>
      <w:szCs w:val="20"/>
    </w:rPr>
  </w:style>
  <w:style w:type="paragraph" w:customStyle="1" w:styleId="191">
    <w:name w:val="标题3--y"/>
    <w:autoRedefine/>
    <w:qFormat/>
    <w:uiPriority w:val="0"/>
    <w:pPr>
      <w:spacing w:line="360" w:lineRule="auto"/>
      <w:ind w:firstLine="567"/>
      <w:jc w:val="both"/>
      <w:outlineLvl w:val="2"/>
    </w:pPr>
    <w:rPr>
      <w:rFonts w:ascii="宋体" w:hAnsi="Times New Roman" w:eastAsia="宋体" w:cs="宋体"/>
      <w:b/>
      <w:color w:val="000000"/>
      <w:kern w:val="2"/>
      <w:sz w:val="28"/>
      <w:szCs w:val="28"/>
      <w:lang w:val="en-US" w:eastAsia="zh-CN" w:bidi="ar-SA"/>
    </w:rPr>
  </w:style>
  <w:style w:type="paragraph" w:customStyle="1" w:styleId="192">
    <w:name w:val=" Char1 Char Char Char Char Char Char"/>
    <w:basedOn w:val="1"/>
    <w:autoRedefine/>
    <w:qFormat/>
    <w:uiPriority w:val="0"/>
  </w:style>
  <w:style w:type="paragraph" w:customStyle="1" w:styleId="193">
    <w:name w:val="TOC Heading"/>
    <w:basedOn w:val="3"/>
    <w:next w:val="1"/>
    <w:autoRedefine/>
    <w:qFormat/>
    <w:uiPriority w:val="0"/>
    <w:pPr>
      <w:keepLines/>
      <w:widowControl/>
      <w:spacing w:before="480" w:line="276" w:lineRule="auto"/>
      <w:jc w:val="left"/>
      <w:outlineLvl w:val="9"/>
    </w:pPr>
    <w:rPr>
      <w:rFonts w:ascii="Cambria" w:hAnsi="Cambria"/>
      <w:color w:val="365F91"/>
      <w:kern w:val="0"/>
      <w:sz w:val="28"/>
      <w:szCs w:val="28"/>
    </w:rPr>
  </w:style>
  <w:style w:type="paragraph" w:customStyle="1" w:styleId="194">
    <w:name w:val="默认段落字体 Para Char Char Char Char Char Char Char Char Char Char Char Char Char Char Char Char Char Char Char"/>
    <w:basedOn w:val="1"/>
    <w:autoRedefine/>
    <w:qFormat/>
    <w:uiPriority w:val="0"/>
    <w:rPr>
      <w:rFonts w:ascii="Tahoma" w:hAnsi="Tahoma"/>
      <w:sz w:val="24"/>
      <w:szCs w:val="20"/>
    </w:rPr>
  </w:style>
  <w:style w:type="paragraph" w:customStyle="1" w:styleId="195">
    <w:name w:val="封面"/>
    <w:basedOn w:val="1"/>
    <w:autoRedefine/>
    <w:qFormat/>
    <w:uiPriority w:val="0"/>
    <w:pPr>
      <w:adjustRightInd w:val="0"/>
      <w:spacing w:line="360" w:lineRule="atLeast"/>
      <w:jc w:val="right"/>
      <w:textAlignment w:val="baseline"/>
    </w:pPr>
    <w:rPr>
      <w:rFonts w:ascii="Arial" w:hAnsi="Arial"/>
      <w:kern w:val="0"/>
      <w:sz w:val="24"/>
      <w:szCs w:val="20"/>
    </w:rPr>
  </w:style>
  <w:style w:type="paragraph" w:customStyle="1" w:styleId="196">
    <w:name w:val="Char Char1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7">
    <w:name w:val="表文字"/>
    <w:autoRedefine/>
    <w:qFormat/>
    <w:uiPriority w:val="0"/>
    <w:rPr>
      <w:rFonts w:ascii="宋体" w:hAnsi="Times New Roman" w:eastAsia="宋体" w:cs="Times New Roman"/>
      <w:kern w:val="2"/>
      <w:lang w:val="en-US" w:eastAsia="zh-CN" w:bidi="ar-SA"/>
    </w:rPr>
  </w:style>
  <w:style w:type="paragraph" w:customStyle="1" w:styleId="198">
    <w:name w:val=" Char Char Char"/>
    <w:basedOn w:val="1"/>
    <w:autoRedefine/>
    <w:qFormat/>
    <w:uiPriority w:val="0"/>
    <w:rPr>
      <w:rFonts w:ascii="宋体"/>
      <w:b/>
      <w:sz w:val="28"/>
      <w:szCs w:val="28"/>
    </w:rPr>
  </w:style>
  <w:style w:type="paragraph" w:customStyle="1" w:styleId="199">
    <w:name w:val="文档正文"/>
    <w:basedOn w:val="1"/>
    <w:autoRedefine/>
    <w:qFormat/>
    <w:uiPriority w:val="0"/>
    <w:pPr>
      <w:adjustRightInd w:val="0"/>
      <w:spacing w:line="312" w:lineRule="atLeast"/>
      <w:ind w:firstLine="567"/>
      <w:textAlignment w:val="baseline"/>
    </w:pPr>
    <w:rPr>
      <w:rFonts w:ascii="长城仿宋" w:eastAsia="长城仿宋"/>
      <w:kern w:val="0"/>
      <w:sz w:val="28"/>
      <w:szCs w:val="20"/>
    </w:rPr>
  </w:style>
  <w:style w:type="paragraph" w:customStyle="1" w:styleId="200">
    <w:name w:val="样式2"/>
    <w:basedOn w:val="1"/>
    <w:autoRedefine/>
    <w:qFormat/>
    <w:uiPriority w:val="0"/>
    <w:pPr>
      <w:widowControl/>
      <w:shd w:val="clear" w:color="auto" w:fill="FFFFFF"/>
      <w:spacing w:before="100" w:beforeAutospacing="1" w:after="100" w:afterAutospacing="1"/>
      <w:ind w:left="562"/>
      <w:jc w:val="center"/>
    </w:pPr>
    <w:rPr>
      <w:rFonts w:ascii="宋体"/>
      <w:b/>
      <w:bCs/>
      <w:szCs w:val="20"/>
    </w:rPr>
  </w:style>
  <w:style w:type="paragraph" w:customStyle="1" w:styleId="201">
    <w:name w:val="表格"/>
    <w:basedOn w:val="1"/>
    <w:autoRedefine/>
    <w:qFormat/>
    <w:uiPriority w:val="0"/>
    <w:pPr>
      <w:snapToGrid w:val="0"/>
      <w:spacing w:line="360" w:lineRule="auto"/>
      <w:ind w:firstLine="21" w:firstLineChars="21"/>
    </w:pPr>
    <w:rPr>
      <w:rFonts w:ascii="宋体"/>
      <w:kern w:val="0"/>
      <w:sz w:val="20"/>
      <w:szCs w:val="20"/>
    </w:rPr>
  </w:style>
  <w:style w:type="paragraph" w:customStyle="1" w:styleId="202">
    <w:name w:val="标书正文11"/>
    <w:basedOn w:val="1"/>
    <w:autoRedefine/>
    <w:qFormat/>
    <w:uiPriority w:val="0"/>
    <w:pPr>
      <w:spacing w:line="360" w:lineRule="auto"/>
      <w:ind w:firstLine="200" w:firstLineChars="200"/>
    </w:pPr>
    <w:rPr>
      <w:rFonts w:ascii="宋体"/>
      <w:kern w:val="44"/>
      <w:sz w:val="24"/>
      <w:szCs w:val="20"/>
    </w:rPr>
  </w:style>
  <w:style w:type="character" w:customStyle="1" w:styleId="203">
    <w:name w:val="font51"/>
    <w:basedOn w:val="50"/>
    <w:autoRedefine/>
    <w:qFormat/>
    <w:uiPriority w:val="0"/>
    <w:rPr>
      <w:rFonts w:hint="eastAsia" w:ascii="宋体" w:hAnsi="宋体" w:eastAsia="宋体" w:cs="宋体"/>
      <w:color w:val="000000"/>
      <w:sz w:val="18"/>
      <w:szCs w:val="18"/>
      <w:u w:val="none"/>
    </w:rPr>
  </w:style>
  <w:style w:type="character" w:customStyle="1" w:styleId="204">
    <w:name w:val="font112"/>
    <w:basedOn w:val="50"/>
    <w:autoRedefine/>
    <w:qFormat/>
    <w:uiPriority w:val="0"/>
    <w:rPr>
      <w:rFonts w:hint="eastAsia" w:ascii="宋体" w:hAnsi="宋体" w:eastAsia="宋体" w:cs="宋体"/>
      <w:color w:val="000000"/>
      <w:sz w:val="18"/>
      <w:szCs w:val="18"/>
      <w:u w:val="none"/>
      <w:vertAlign w:val="superscript"/>
    </w:rPr>
  </w:style>
  <w:style w:type="character" w:customStyle="1" w:styleId="205">
    <w:name w:val="font61"/>
    <w:basedOn w:val="50"/>
    <w:autoRedefine/>
    <w:qFormat/>
    <w:uiPriority w:val="0"/>
    <w:rPr>
      <w:rFonts w:hint="default" w:ascii="Calibri" w:hAnsi="Calibri" w:cs="Calibri"/>
      <w:color w:val="000000"/>
      <w:sz w:val="18"/>
      <w:szCs w:val="18"/>
      <w:u w:val="none"/>
    </w:rPr>
  </w:style>
  <w:style w:type="character" w:customStyle="1" w:styleId="206">
    <w:name w:val="font131"/>
    <w:basedOn w:val="50"/>
    <w:autoRedefine/>
    <w:qFormat/>
    <w:uiPriority w:val="0"/>
    <w:rPr>
      <w:rFonts w:hint="default" w:ascii="Calibri" w:hAnsi="Calibri" w:cs="Calibri"/>
      <w:color w:val="000000"/>
      <w:sz w:val="18"/>
      <w:szCs w:val="18"/>
      <w:u w:val="none"/>
      <w:vertAlign w:val="superscript"/>
    </w:rPr>
  </w:style>
  <w:style w:type="paragraph" w:customStyle="1" w:styleId="207">
    <w:name w:val="Body text|1"/>
    <w:basedOn w:val="1"/>
    <w:qFormat/>
    <w:uiPriority w:val="0"/>
    <w:pPr>
      <w:widowControl w:val="0"/>
      <w:shd w:val="clear" w:color="auto" w:fill="auto"/>
      <w:spacing w:line="444"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34</Pages>
  <Words>3743</Words>
  <Characters>4080</Characters>
  <Lines>1</Lines>
  <Paragraphs>1</Paragraphs>
  <TotalTime>2</TotalTime>
  <ScaleCrop>false</ScaleCrop>
  <LinksUpToDate>false</LinksUpToDate>
  <CharactersWithSpaces>4176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2022-07-19T19:08:00Z</dcterms:created>
  <dc:creator>admin</dc:creator>
  <cp:lastModifiedBy>晨枫</cp:lastModifiedBy>
  <cp:lastPrinted>2024-02-04T14:39:00Z</cp:lastPrinted>
  <dcterms:modified xsi:type="dcterms:W3CDTF">2025-04-22T09:24:36Z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A9D653D2CA9F494BA4F8D4270E8E6FFB_13</vt:lpwstr>
  </property>
  <property fmtid="{D5CDD505-2E9C-101B-9397-08002B2CF9AE}" pid="4" name="KSOTemplateDocerSaveRecord">
    <vt:lpwstr>eyJoZGlkIjoiMzFlN2ZkNWU1Zjk0NDcyZTU5Njk0Y2RmODI2ZWZjOWEiLCJ1c2VySWQiOiI0OTkxMDY4ODQifQ==</vt:lpwstr>
  </property>
</Properties>
</file>