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5BB4BBD">
      <w:pPr>
        <w:widowControl/>
        <w:jc w:val="left"/>
        <w:rPr>
          <w:sz w:val="18"/>
          <w:szCs w:val="18"/>
        </w:rPr>
      </w:pPr>
    </w:p>
    <w:p w14:paraId="008ECD18">
      <w:pPr>
        <w:widowControl/>
        <w:ind w:left="1441" w:leftChars="342" w:hanging="723" w:hangingChars="100"/>
        <w:rPr>
          <w:b/>
          <w:sz w:val="72"/>
          <w:szCs w:val="72"/>
        </w:rPr>
      </w:pPr>
      <w:r>
        <w:rPr>
          <w:rFonts w:hint="eastAsia"/>
          <w:b/>
          <w:sz w:val="72"/>
          <w:szCs w:val="72"/>
        </w:rPr>
        <w:t>湘潭市“十四五”城市         管理系统建设规划</w:t>
      </w:r>
    </w:p>
    <w:p w14:paraId="58530BE4">
      <w:pPr>
        <w:widowControl/>
        <w:ind w:firstLine="3132" w:firstLineChars="600"/>
        <w:rPr>
          <w:b/>
          <w:sz w:val="52"/>
          <w:szCs w:val="52"/>
        </w:rPr>
      </w:pPr>
    </w:p>
    <w:p w14:paraId="244C9A02">
      <w:pPr>
        <w:widowControl/>
        <w:jc w:val="left"/>
        <w:rPr>
          <w:sz w:val="18"/>
          <w:szCs w:val="18"/>
        </w:rPr>
      </w:pPr>
    </w:p>
    <w:p w14:paraId="7CBCEB65">
      <w:pPr>
        <w:widowControl/>
        <w:jc w:val="left"/>
        <w:rPr>
          <w:sz w:val="18"/>
          <w:szCs w:val="18"/>
        </w:rPr>
      </w:pPr>
    </w:p>
    <w:p w14:paraId="0B817CDE">
      <w:pPr>
        <w:widowControl/>
        <w:jc w:val="left"/>
        <w:rPr>
          <w:sz w:val="18"/>
          <w:szCs w:val="18"/>
        </w:rPr>
      </w:pPr>
    </w:p>
    <w:p w14:paraId="71B0BE14">
      <w:pPr>
        <w:widowControl/>
        <w:jc w:val="left"/>
        <w:rPr>
          <w:sz w:val="18"/>
          <w:szCs w:val="18"/>
        </w:rPr>
      </w:pPr>
    </w:p>
    <w:p w14:paraId="53284E40">
      <w:pPr>
        <w:widowControl/>
        <w:jc w:val="left"/>
        <w:rPr>
          <w:sz w:val="18"/>
          <w:szCs w:val="18"/>
        </w:rPr>
      </w:pPr>
    </w:p>
    <w:p w14:paraId="643F28AD">
      <w:pPr>
        <w:widowControl/>
        <w:jc w:val="left"/>
        <w:rPr>
          <w:sz w:val="18"/>
          <w:szCs w:val="18"/>
        </w:rPr>
      </w:pPr>
    </w:p>
    <w:p w14:paraId="19282601">
      <w:pPr>
        <w:widowControl/>
        <w:jc w:val="left"/>
        <w:rPr>
          <w:sz w:val="18"/>
          <w:szCs w:val="18"/>
        </w:rPr>
      </w:pPr>
    </w:p>
    <w:p w14:paraId="2C2F45A2">
      <w:pPr>
        <w:widowControl/>
        <w:jc w:val="left"/>
        <w:rPr>
          <w:sz w:val="18"/>
          <w:szCs w:val="18"/>
        </w:rPr>
      </w:pPr>
    </w:p>
    <w:p w14:paraId="3DDD2024">
      <w:pPr>
        <w:widowControl/>
        <w:jc w:val="left"/>
        <w:rPr>
          <w:sz w:val="18"/>
          <w:szCs w:val="18"/>
        </w:rPr>
      </w:pPr>
    </w:p>
    <w:p w14:paraId="32853B93">
      <w:pPr>
        <w:widowControl/>
        <w:jc w:val="left"/>
        <w:rPr>
          <w:sz w:val="18"/>
          <w:szCs w:val="18"/>
        </w:rPr>
      </w:pPr>
    </w:p>
    <w:p w14:paraId="24B81EBF">
      <w:pPr>
        <w:widowControl/>
        <w:jc w:val="left"/>
        <w:rPr>
          <w:sz w:val="18"/>
          <w:szCs w:val="18"/>
        </w:rPr>
      </w:pPr>
    </w:p>
    <w:p w14:paraId="32028D46">
      <w:pPr>
        <w:widowControl/>
        <w:jc w:val="left"/>
        <w:rPr>
          <w:sz w:val="18"/>
          <w:szCs w:val="18"/>
        </w:rPr>
      </w:pPr>
    </w:p>
    <w:p w14:paraId="2F30905A">
      <w:pPr>
        <w:widowControl/>
        <w:jc w:val="left"/>
        <w:rPr>
          <w:sz w:val="18"/>
          <w:szCs w:val="18"/>
        </w:rPr>
      </w:pPr>
    </w:p>
    <w:p w14:paraId="3F95CF34">
      <w:pPr>
        <w:widowControl/>
        <w:jc w:val="left"/>
        <w:rPr>
          <w:sz w:val="18"/>
          <w:szCs w:val="18"/>
        </w:rPr>
      </w:pPr>
    </w:p>
    <w:p w14:paraId="71AC952E">
      <w:pPr>
        <w:widowControl/>
        <w:jc w:val="left"/>
        <w:rPr>
          <w:sz w:val="18"/>
          <w:szCs w:val="18"/>
        </w:rPr>
      </w:pPr>
    </w:p>
    <w:p w14:paraId="07F686CE">
      <w:pPr>
        <w:widowControl/>
        <w:jc w:val="left"/>
        <w:rPr>
          <w:sz w:val="18"/>
          <w:szCs w:val="18"/>
        </w:rPr>
      </w:pPr>
    </w:p>
    <w:p w14:paraId="4A2F5765">
      <w:pPr>
        <w:widowControl/>
        <w:jc w:val="left"/>
        <w:rPr>
          <w:sz w:val="18"/>
          <w:szCs w:val="18"/>
        </w:rPr>
      </w:pPr>
    </w:p>
    <w:p w14:paraId="3405ECB0">
      <w:pPr>
        <w:widowControl/>
        <w:jc w:val="left"/>
        <w:rPr>
          <w:sz w:val="18"/>
          <w:szCs w:val="18"/>
        </w:rPr>
      </w:pPr>
    </w:p>
    <w:p w14:paraId="6AA69116">
      <w:pPr>
        <w:widowControl/>
        <w:jc w:val="left"/>
        <w:rPr>
          <w:sz w:val="18"/>
          <w:szCs w:val="18"/>
        </w:rPr>
      </w:pPr>
    </w:p>
    <w:p w14:paraId="1C03EBC2">
      <w:pPr>
        <w:widowControl/>
        <w:jc w:val="left"/>
        <w:rPr>
          <w:sz w:val="18"/>
          <w:szCs w:val="18"/>
        </w:rPr>
      </w:pPr>
    </w:p>
    <w:p w14:paraId="2C2706D2">
      <w:pPr>
        <w:widowControl/>
        <w:jc w:val="center"/>
        <w:rPr>
          <w:b/>
          <w:bCs/>
          <w:sz w:val="32"/>
          <w:szCs w:val="32"/>
        </w:rPr>
      </w:pPr>
      <w:r>
        <w:rPr>
          <w:rFonts w:hint="eastAsia"/>
          <w:b/>
          <w:bCs/>
          <w:sz w:val="32"/>
          <w:szCs w:val="32"/>
        </w:rPr>
        <w:t>湘潭市城市管理和综合执法局</w:t>
      </w:r>
    </w:p>
    <w:p w14:paraId="30A055EE">
      <w:pPr>
        <w:widowControl/>
        <w:jc w:val="center"/>
        <w:rPr>
          <w:sz w:val="32"/>
          <w:szCs w:val="32"/>
        </w:rPr>
      </w:pPr>
    </w:p>
    <w:p w14:paraId="71D5F984">
      <w:pPr>
        <w:widowControl/>
        <w:jc w:val="center"/>
        <w:rPr>
          <w:b/>
          <w:sz w:val="32"/>
          <w:szCs w:val="32"/>
        </w:rPr>
      </w:pPr>
      <w:r>
        <w:rPr>
          <w:b/>
          <w:sz w:val="32"/>
          <w:szCs w:val="32"/>
        </w:rPr>
        <w:t>2021</w:t>
      </w:r>
      <w:r>
        <w:rPr>
          <w:rFonts w:hint="eastAsia"/>
          <w:b/>
          <w:sz w:val="32"/>
          <w:szCs w:val="32"/>
        </w:rPr>
        <w:t>年8月</w:t>
      </w:r>
    </w:p>
    <w:p w14:paraId="4378ECC6">
      <w:pPr>
        <w:widowControl/>
        <w:jc w:val="left"/>
        <w:rPr>
          <w:b/>
          <w:sz w:val="32"/>
          <w:szCs w:val="32"/>
        </w:rPr>
      </w:pPr>
    </w:p>
    <w:p w14:paraId="3D050DA5">
      <w:pPr>
        <w:widowControl/>
        <w:jc w:val="left"/>
        <w:rPr>
          <w:b/>
          <w:sz w:val="32"/>
          <w:szCs w:val="32"/>
        </w:rPr>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pgNumType w:fmt="upperRoman" w:start="0" w:chapSep="emDash"/>
          <w:cols w:space="425" w:num="1"/>
          <w:titlePg/>
          <w:docGrid w:type="lines" w:linePitch="312" w:charSpace="0"/>
        </w:sectPr>
      </w:pPr>
    </w:p>
    <w:p w14:paraId="5DAB1993">
      <w:pPr>
        <w:jc w:val="center"/>
        <w:rPr>
          <w:b/>
          <w:bCs/>
          <w:sz w:val="32"/>
          <w:szCs w:val="32"/>
        </w:rPr>
      </w:pPr>
      <w:r>
        <w:rPr>
          <w:rFonts w:hint="eastAsia"/>
          <w:b/>
          <w:bCs/>
          <w:sz w:val="32"/>
          <w:szCs w:val="32"/>
        </w:rPr>
        <w:t>前言</w:t>
      </w:r>
    </w:p>
    <w:p w14:paraId="74727628">
      <w:pPr>
        <w:spacing w:line="520" w:lineRule="exact"/>
        <w:ind w:firstLine="560" w:firstLineChars="200"/>
        <w:rPr>
          <w:rFonts w:ascii="宋体" w:cs="宋体"/>
          <w:kern w:val="0"/>
          <w:sz w:val="28"/>
          <w:szCs w:val="28"/>
        </w:rPr>
      </w:pPr>
      <w:r>
        <w:rPr>
          <w:rFonts w:hint="eastAsia" w:ascii="宋体" w:hAnsi="宋体" w:cs="Helvetica"/>
          <w:sz w:val="28"/>
          <w:szCs w:val="28"/>
        </w:rPr>
        <w:t>习近平总书记强调</w:t>
      </w:r>
      <w:r>
        <w:rPr>
          <w:rFonts w:hint="eastAsia" w:ascii="宋体" w:cs="Helvetica"/>
          <w:sz w:val="28"/>
          <w:szCs w:val="28"/>
        </w:rPr>
        <w:t>“</w:t>
      </w:r>
      <w:r>
        <w:rPr>
          <w:rFonts w:hint="eastAsia" w:ascii="宋体" w:hAnsi="宋体" w:cs="Helvetica"/>
          <w:sz w:val="28"/>
          <w:szCs w:val="28"/>
        </w:rPr>
        <w:t>推进国家治理体系和治理能力现代化，必须抓好城市治理体系和治理能力现代化。</w:t>
      </w:r>
      <w:r>
        <w:rPr>
          <w:rFonts w:hint="eastAsia" w:ascii="宋体" w:cs="Helvetica"/>
          <w:sz w:val="28"/>
          <w:szCs w:val="28"/>
        </w:rPr>
        <w:t>”</w:t>
      </w:r>
      <w:r>
        <w:rPr>
          <w:rFonts w:hint="eastAsia" w:ascii="宋体" w:hAnsi="宋体" w:cs="Helvetica"/>
          <w:sz w:val="28"/>
          <w:szCs w:val="28"/>
        </w:rPr>
        <w:t>让城市更聪明一些、更智慧一些，是推动城市治理体系和治理能力现代化的必由之路，要充分运用大数据、云计算、区块链、人工智能等前沿技术推动城市管理手段、管理模式、管理理念创新；要在科学化、精细化、智能化上下功夫。提高城市管理水平，</w:t>
      </w:r>
      <w:r>
        <w:rPr>
          <w:rFonts w:hint="eastAsia" w:ascii="宋体" w:hAnsi="宋体" w:cs="宋体"/>
          <w:kern w:val="0"/>
          <w:sz w:val="28"/>
          <w:szCs w:val="28"/>
        </w:rPr>
        <w:t>推进执法体制改革，要主动适应新型城镇化发展要求和人民群众生产生活需要，以城市管理现代化为指向，坚持以人为本、源头治理、权责一致、协调创新的原则，理顺管理体制，提高执法水平，完善城市管理，构建权责明晰、服务为先、管理优化、执法规范、安全有序的城市管理体制，让城市成为人民追求更加美好生活的有力依托。</w:t>
      </w:r>
    </w:p>
    <w:p w14:paraId="28E33838">
      <w:pPr>
        <w:spacing w:line="520" w:lineRule="exact"/>
        <w:ind w:firstLine="420"/>
        <w:rPr>
          <w:rFonts w:ascii="宋体" w:hAnsi="宋体"/>
          <w:bCs/>
          <w:sz w:val="28"/>
          <w:szCs w:val="28"/>
        </w:rPr>
        <w:sectPr>
          <w:footerReference r:id="rId9" w:type="default"/>
          <w:pgSz w:w="11906" w:h="16838"/>
          <w:pgMar w:top="1440" w:right="1800" w:bottom="1440" w:left="1800" w:header="851" w:footer="992" w:gutter="0"/>
          <w:pgNumType w:fmt="upperRoman" w:start="0" w:chapSep="emDash"/>
          <w:cols w:space="425" w:num="1"/>
          <w:titlePg/>
          <w:docGrid w:type="lines" w:linePitch="312" w:charSpace="0"/>
        </w:sectPr>
      </w:pPr>
      <w:r>
        <w:rPr>
          <w:rFonts w:hint="eastAsia" w:ascii="宋体" w:hAnsi="宋体" w:cs="仿宋"/>
          <w:sz w:val="28"/>
          <w:szCs w:val="28"/>
        </w:rPr>
        <w:t>“十四五”规划是党的十九大开启社会主义现代化新征程后制定的第一个五年规划，“十四五”时期是在全面建成小康社会的基础上，开启全面建设社会主义现代化</w:t>
      </w:r>
      <w:r>
        <w:rPr>
          <w:rFonts w:hint="eastAsia" w:ascii="宋体" w:hAnsi="宋体" w:cs="仿宋"/>
          <w:sz w:val="28"/>
          <w:szCs w:val="28"/>
          <w:lang w:eastAsia="zh-CN"/>
        </w:rPr>
        <w:t>国家</w:t>
      </w:r>
      <w:r>
        <w:rPr>
          <w:rFonts w:hint="eastAsia" w:ascii="宋体" w:hAnsi="宋体" w:cs="仿宋"/>
          <w:sz w:val="28"/>
          <w:szCs w:val="28"/>
        </w:rPr>
        <w:t>新征程，向第二个百年奋斗目标进军的关键期。按照《关于编制湘潭市“十四五”专项规划的通知》</w:t>
      </w:r>
      <w:r>
        <w:rPr>
          <w:rFonts w:hint="eastAsia" w:ascii="宋体" w:hAnsi="宋体"/>
          <w:bCs/>
          <w:sz w:val="28"/>
          <w:szCs w:val="28"/>
        </w:rPr>
        <w:t>（潭政办函〔</w:t>
      </w:r>
      <w:r>
        <w:rPr>
          <w:rFonts w:ascii="宋体" w:hAnsi="宋体"/>
          <w:bCs/>
          <w:sz w:val="28"/>
          <w:szCs w:val="28"/>
        </w:rPr>
        <w:t>2020</w:t>
      </w:r>
      <w:r>
        <w:rPr>
          <w:rFonts w:hint="eastAsia" w:ascii="宋体" w:hAnsi="宋体"/>
          <w:bCs/>
          <w:sz w:val="28"/>
          <w:szCs w:val="28"/>
        </w:rPr>
        <w:t>〕</w:t>
      </w:r>
      <w:r>
        <w:rPr>
          <w:rFonts w:ascii="宋体" w:hAnsi="宋体"/>
          <w:bCs/>
          <w:sz w:val="28"/>
          <w:szCs w:val="28"/>
        </w:rPr>
        <w:t>13</w:t>
      </w:r>
      <w:r>
        <w:rPr>
          <w:rFonts w:hint="eastAsia" w:ascii="宋体" w:hAnsi="宋体"/>
          <w:bCs/>
          <w:sz w:val="28"/>
          <w:szCs w:val="28"/>
        </w:rPr>
        <w:t>号）</w:t>
      </w:r>
      <w:r>
        <w:rPr>
          <w:rFonts w:hint="eastAsia" w:ascii="宋体" w:hAnsi="宋体" w:cs="仿宋"/>
          <w:sz w:val="28"/>
          <w:szCs w:val="28"/>
        </w:rPr>
        <w:t>文件要求需要编制《湘潭市“十四五”城市管理系统建设规划》。湘潭市城市管理和综合执法局依据中央、省市城市管理工作部署精神，深入学习党的十九大、十九届二中、三中、四中、五中全会精神和习近平总书记关于城市管理的重要论述，依据《湘潭市国民经济和社会发展第十四个五年规划和二</w:t>
      </w:r>
      <w:r>
        <w:rPr>
          <w:rFonts w:ascii="宋体" w:hAnsi="宋体" w:cs="仿宋"/>
          <w:sz w:val="28"/>
          <w:szCs w:val="28"/>
        </w:rPr>
        <w:t>O</w:t>
      </w:r>
      <w:r>
        <w:rPr>
          <w:rFonts w:hint="eastAsia" w:ascii="宋体" w:hAnsi="宋体" w:cs="仿宋"/>
          <w:sz w:val="28"/>
          <w:szCs w:val="28"/>
        </w:rPr>
        <w:t>三五年远景目标纲要》，结合湘潭市城市管理系统建设实际，遵循</w:t>
      </w:r>
      <w:r>
        <w:rPr>
          <w:rFonts w:hint="eastAsia" w:ascii="宋体" w:hAnsi="宋体" w:cs="Helvetica"/>
          <w:sz w:val="28"/>
          <w:szCs w:val="28"/>
        </w:rPr>
        <w:t>科学化、精细化、智能化要求编制，</w:t>
      </w:r>
      <w:r>
        <w:rPr>
          <w:rFonts w:hint="eastAsia" w:ascii="宋体" w:hAnsi="宋体"/>
          <w:bCs/>
          <w:sz w:val="28"/>
          <w:szCs w:val="28"/>
        </w:rPr>
        <w:t>主要阐明“十四五”期间湘潭城市管理系统建设的目标、任务与实施路径，明确城市管理系统建设重点，提升城市治理能力，是未来五年湘潭市城市管理系统建设的蓝图，是湘潭市城市管理和综合执法的行动纲领。</w:t>
      </w:r>
    </w:p>
    <w:p w14:paraId="78AF7E93">
      <w:pPr>
        <w:pStyle w:val="56"/>
        <w:tabs>
          <w:tab w:val="center" w:pos="4214"/>
          <w:tab w:val="left" w:pos="6538"/>
        </w:tabs>
        <w:spacing w:line="440" w:lineRule="exact"/>
        <w:rPr>
          <w:rFonts w:ascii="宋体" w:hAnsi="宋体"/>
          <w:color w:val="000000"/>
          <w:lang w:val="zh-CN"/>
        </w:rPr>
      </w:pPr>
      <w:r>
        <w:rPr>
          <w:rFonts w:hint="eastAsia" w:ascii="宋体" w:hAnsi="宋体"/>
          <w:color w:val="000000"/>
          <w:sz w:val="32"/>
          <w:szCs w:val="32"/>
          <w:lang w:val="zh-CN"/>
        </w:rPr>
        <w:tab/>
      </w:r>
      <w:r>
        <w:rPr>
          <w:rFonts w:hint="eastAsia" w:ascii="宋体" w:hAnsi="宋体"/>
          <w:color w:val="000000"/>
          <w:sz w:val="32"/>
          <w:szCs w:val="32"/>
          <w:lang w:val="zh-CN"/>
        </w:rPr>
        <w:t>目录</w:t>
      </w:r>
      <w:r>
        <w:rPr>
          <w:rFonts w:hint="eastAsia" w:ascii="宋体" w:hAnsi="宋体"/>
          <w:color w:val="000000"/>
          <w:sz w:val="32"/>
          <w:szCs w:val="32"/>
          <w:lang w:val="zh-CN"/>
        </w:rPr>
        <w:tab/>
      </w:r>
    </w:p>
    <w:p w14:paraId="2FA7ED79"/>
    <w:p w14:paraId="10F1BB25">
      <w:pPr>
        <w:pStyle w:val="19"/>
        <w:tabs>
          <w:tab w:val="right" w:leader="dot" w:pos="8306"/>
          <w:tab w:val="clear" w:pos="8296"/>
        </w:tabs>
        <w:rPr>
          <w:rFonts w:ascii="宋体" w:hAnsi="宋体" w:cs="宋体"/>
          <w:sz w:val="28"/>
          <w:szCs w:val="28"/>
        </w:rPr>
      </w:pPr>
      <w:r>
        <w:rPr>
          <w:rFonts w:hint="eastAsia" w:ascii="宋体" w:hAnsi="宋体" w:cs="宋体"/>
          <w:sz w:val="28"/>
          <w:szCs w:val="28"/>
        </w:rPr>
        <w:fldChar w:fldCharType="begin"/>
      </w:r>
      <w:r>
        <w:rPr>
          <w:rFonts w:hint="eastAsia" w:ascii="宋体" w:hAnsi="宋体" w:cs="宋体"/>
          <w:sz w:val="28"/>
          <w:szCs w:val="28"/>
        </w:rPr>
        <w:instrText xml:space="preserve"> TOC \o "1-3" \h \z \u </w:instrText>
      </w:r>
      <w:r>
        <w:rPr>
          <w:rFonts w:hint="eastAsia" w:ascii="宋体" w:hAnsi="宋体" w:cs="宋体"/>
          <w:sz w:val="28"/>
          <w:szCs w:val="28"/>
        </w:rPr>
        <w:fldChar w:fldCharType="separate"/>
      </w:r>
      <w:r>
        <w:fldChar w:fldCharType="begin"/>
      </w:r>
      <w:r>
        <w:instrText xml:space="preserve"> HYPERLINK \l "_Toc11226" </w:instrText>
      </w:r>
      <w:r>
        <w:fldChar w:fldCharType="separate"/>
      </w:r>
      <w:r>
        <w:rPr>
          <w:rFonts w:hint="eastAsia" w:ascii="宋体" w:hAnsi="宋体" w:cs="宋体"/>
          <w:sz w:val="28"/>
          <w:szCs w:val="28"/>
        </w:rPr>
        <w:t>第一章  湘潭“十三五”城市管理系统建设工作回顾</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_Toc11226 \h </w:instrText>
      </w:r>
      <w:r>
        <w:rPr>
          <w:rFonts w:hint="eastAsia" w:ascii="宋体" w:hAnsi="宋体" w:cs="宋体"/>
          <w:sz w:val="28"/>
          <w:szCs w:val="28"/>
        </w:rPr>
        <w:fldChar w:fldCharType="separate"/>
      </w:r>
      <w:r>
        <w:rPr>
          <w:rFonts w:hint="eastAsia" w:ascii="宋体" w:hAnsi="宋体" w:cs="宋体"/>
          <w:sz w:val="28"/>
          <w:szCs w:val="28"/>
        </w:rPr>
        <w:t>1</w:t>
      </w:r>
      <w:r>
        <w:rPr>
          <w:rFonts w:hint="eastAsia" w:ascii="宋体" w:hAnsi="宋体" w:cs="宋体"/>
          <w:sz w:val="28"/>
          <w:szCs w:val="28"/>
        </w:rPr>
        <w:fldChar w:fldCharType="end"/>
      </w:r>
      <w:r>
        <w:rPr>
          <w:rFonts w:hint="eastAsia" w:ascii="宋体" w:hAnsi="宋体" w:cs="宋体"/>
          <w:sz w:val="28"/>
          <w:szCs w:val="28"/>
        </w:rPr>
        <w:fldChar w:fldCharType="end"/>
      </w:r>
    </w:p>
    <w:p w14:paraId="7A163201">
      <w:pPr>
        <w:pStyle w:val="22"/>
        <w:tabs>
          <w:tab w:val="right" w:leader="dot" w:pos="8306"/>
          <w:tab w:val="clear" w:pos="8296"/>
        </w:tabs>
        <w:rPr>
          <w:rFonts w:ascii="宋体" w:hAnsi="宋体" w:cs="宋体"/>
          <w:sz w:val="28"/>
          <w:szCs w:val="28"/>
        </w:rPr>
      </w:pPr>
      <w:r>
        <w:fldChar w:fldCharType="begin"/>
      </w:r>
      <w:r>
        <w:instrText xml:space="preserve"> HYPERLINK \l "_Toc8969" </w:instrText>
      </w:r>
      <w:r>
        <w:fldChar w:fldCharType="separate"/>
      </w:r>
      <w:r>
        <w:rPr>
          <w:rFonts w:hint="eastAsia" w:ascii="宋体" w:hAnsi="宋体" w:cs="宋体"/>
          <w:sz w:val="28"/>
          <w:szCs w:val="28"/>
        </w:rPr>
        <w:t>第一节  湘潭“十三五”城市管理系统建设工作成绩</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_Toc8969 \h </w:instrText>
      </w:r>
      <w:r>
        <w:rPr>
          <w:rFonts w:hint="eastAsia" w:ascii="宋体" w:hAnsi="宋体" w:cs="宋体"/>
          <w:sz w:val="28"/>
          <w:szCs w:val="28"/>
        </w:rPr>
        <w:fldChar w:fldCharType="separate"/>
      </w:r>
      <w:r>
        <w:rPr>
          <w:rFonts w:hint="eastAsia" w:ascii="宋体" w:hAnsi="宋体" w:cs="宋体"/>
          <w:sz w:val="28"/>
          <w:szCs w:val="28"/>
        </w:rPr>
        <w:t>1</w:t>
      </w:r>
      <w:r>
        <w:rPr>
          <w:rFonts w:hint="eastAsia" w:ascii="宋体" w:hAnsi="宋体" w:cs="宋体"/>
          <w:sz w:val="28"/>
          <w:szCs w:val="28"/>
        </w:rPr>
        <w:fldChar w:fldCharType="end"/>
      </w:r>
      <w:r>
        <w:rPr>
          <w:rFonts w:hint="eastAsia" w:ascii="宋体" w:hAnsi="宋体" w:cs="宋体"/>
          <w:sz w:val="28"/>
          <w:szCs w:val="28"/>
        </w:rPr>
        <w:fldChar w:fldCharType="end"/>
      </w:r>
    </w:p>
    <w:p w14:paraId="29B5D864">
      <w:pPr>
        <w:pStyle w:val="11"/>
        <w:tabs>
          <w:tab w:val="right" w:leader="dot" w:pos="8306"/>
          <w:tab w:val="clear" w:pos="8296"/>
        </w:tabs>
        <w:rPr>
          <w:rFonts w:ascii="宋体" w:hAnsi="宋体" w:cs="宋体"/>
          <w:sz w:val="28"/>
          <w:szCs w:val="28"/>
        </w:rPr>
      </w:pPr>
      <w:r>
        <w:fldChar w:fldCharType="begin"/>
      </w:r>
      <w:r>
        <w:instrText xml:space="preserve"> HYPERLINK \l "_Toc10632" </w:instrText>
      </w:r>
      <w:r>
        <w:fldChar w:fldCharType="separate"/>
      </w:r>
      <w:r>
        <w:rPr>
          <w:rFonts w:hint="eastAsia" w:ascii="宋体" w:hAnsi="宋体" w:cs="宋体"/>
          <w:sz w:val="28"/>
          <w:szCs w:val="28"/>
        </w:rPr>
        <w:t>一、巩固了“国家园林城市”成果</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_Toc10632 \h </w:instrText>
      </w:r>
      <w:r>
        <w:rPr>
          <w:rFonts w:hint="eastAsia" w:ascii="宋体" w:hAnsi="宋体" w:cs="宋体"/>
          <w:sz w:val="28"/>
          <w:szCs w:val="28"/>
        </w:rPr>
        <w:fldChar w:fldCharType="separate"/>
      </w:r>
      <w:r>
        <w:rPr>
          <w:rFonts w:hint="eastAsia" w:ascii="宋体" w:hAnsi="宋体" w:cs="宋体"/>
          <w:sz w:val="28"/>
          <w:szCs w:val="28"/>
        </w:rPr>
        <w:t>1</w:t>
      </w:r>
      <w:r>
        <w:rPr>
          <w:rFonts w:hint="eastAsia" w:ascii="宋体" w:hAnsi="宋体" w:cs="宋体"/>
          <w:sz w:val="28"/>
          <w:szCs w:val="28"/>
        </w:rPr>
        <w:fldChar w:fldCharType="end"/>
      </w:r>
      <w:r>
        <w:rPr>
          <w:rFonts w:hint="eastAsia" w:ascii="宋体" w:hAnsi="宋体" w:cs="宋体"/>
          <w:sz w:val="28"/>
          <w:szCs w:val="28"/>
        </w:rPr>
        <w:fldChar w:fldCharType="end"/>
      </w:r>
    </w:p>
    <w:p w14:paraId="33A54488">
      <w:pPr>
        <w:pStyle w:val="11"/>
        <w:tabs>
          <w:tab w:val="right" w:leader="dot" w:pos="8306"/>
          <w:tab w:val="clear" w:pos="8296"/>
        </w:tabs>
        <w:rPr>
          <w:rFonts w:ascii="宋体" w:hAnsi="宋体" w:cs="宋体"/>
          <w:sz w:val="28"/>
          <w:szCs w:val="28"/>
        </w:rPr>
      </w:pPr>
      <w:r>
        <w:fldChar w:fldCharType="begin"/>
      </w:r>
      <w:r>
        <w:instrText xml:space="preserve"> HYPERLINK \l "_Toc7833" </w:instrText>
      </w:r>
      <w:r>
        <w:fldChar w:fldCharType="separate"/>
      </w:r>
      <w:r>
        <w:rPr>
          <w:rFonts w:hint="eastAsia" w:ascii="宋体" w:hAnsi="宋体" w:cs="宋体"/>
          <w:sz w:val="28"/>
          <w:szCs w:val="28"/>
        </w:rPr>
        <w:t>二、成功创建国家文明城市</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_Toc7833 \h </w:instrText>
      </w:r>
      <w:r>
        <w:rPr>
          <w:rFonts w:hint="eastAsia" w:ascii="宋体" w:hAnsi="宋体" w:cs="宋体"/>
          <w:sz w:val="28"/>
          <w:szCs w:val="28"/>
        </w:rPr>
        <w:fldChar w:fldCharType="separate"/>
      </w:r>
      <w:r>
        <w:rPr>
          <w:rFonts w:hint="eastAsia" w:ascii="宋体" w:hAnsi="宋体" w:cs="宋体"/>
          <w:sz w:val="28"/>
          <w:szCs w:val="28"/>
        </w:rPr>
        <w:t>3</w:t>
      </w:r>
      <w:r>
        <w:rPr>
          <w:rFonts w:hint="eastAsia" w:ascii="宋体" w:hAnsi="宋体" w:cs="宋体"/>
          <w:sz w:val="28"/>
          <w:szCs w:val="28"/>
        </w:rPr>
        <w:fldChar w:fldCharType="end"/>
      </w:r>
      <w:r>
        <w:rPr>
          <w:rFonts w:hint="eastAsia" w:ascii="宋体" w:hAnsi="宋体" w:cs="宋体"/>
          <w:sz w:val="28"/>
          <w:szCs w:val="28"/>
        </w:rPr>
        <w:fldChar w:fldCharType="end"/>
      </w:r>
    </w:p>
    <w:p w14:paraId="31FE2123">
      <w:pPr>
        <w:pStyle w:val="11"/>
        <w:tabs>
          <w:tab w:val="right" w:leader="dot" w:pos="8306"/>
          <w:tab w:val="clear" w:pos="8296"/>
        </w:tabs>
        <w:rPr>
          <w:rFonts w:ascii="宋体" w:hAnsi="宋体" w:cs="宋体"/>
          <w:sz w:val="28"/>
          <w:szCs w:val="28"/>
        </w:rPr>
      </w:pPr>
      <w:r>
        <w:fldChar w:fldCharType="begin"/>
      </w:r>
      <w:r>
        <w:instrText xml:space="preserve"> HYPERLINK \l "_Toc32685" </w:instrText>
      </w:r>
      <w:r>
        <w:fldChar w:fldCharType="separate"/>
      </w:r>
      <w:r>
        <w:rPr>
          <w:rFonts w:hint="eastAsia" w:ascii="宋体" w:hAnsi="宋体" w:cs="宋体"/>
          <w:sz w:val="28"/>
          <w:szCs w:val="28"/>
        </w:rPr>
        <w:t>三、成功创建国家卫生城市</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_Toc32685 \h </w:instrText>
      </w:r>
      <w:r>
        <w:rPr>
          <w:rFonts w:hint="eastAsia" w:ascii="宋体" w:hAnsi="宋体" w:cs="宋体"/>
          <w:sz w:val="28"/>
          <w:szCs w:val="28"/>
        </w:rPr>
        <w:fldChar w:fldCharType="separate"/>
      </w:r>
      <w:r>
        <w:rPr>
          <w:rFonts w:hint="eastAsia" w:ascii="宋体" w:hAnsi="宋体" w:cs="宋体"/>
          <w:sz w:val="28"/>
          <w:szCs w:val="28"/>
        </w:rPr>
        <w:t>5</w:t>
      </w:r>
      <w:r>
        <w:rPr>
          <w:rFonts w:hint="eastAsia" w:ascii="宋体" w:hAnsi="宋体" w:cs="宋体"/>
          <w:sz w:val="28"/>
          <w:szCs w:val="28"/>
        </w:rPr>
        <w:fldChar w:fldCharType="end"/>
      </w:r>
      <w:r>
        <w:rPr>
          <w:rFonts w:hint="eastAsia" w:ascii="宋体" w:hAnsi="宋体" w:cs="宋体"/>
          <w:sz w:val="28"/>
          <w:szCs w:val="28"/>
        </w:rPr>
        <w:fldChar w:fldCharType="end"/>
      </w:r>
    </w:p>
    <w:p w14:paraId="788535F6">
      <w:pPr>
        <w:pStyle w:val="11"/>
        <w:tabs>
          <w:tab w:val="right" w:leader="dot" w:pos="8306"/>
          <w:tab w:val="clear" w:pos="8296"/>
        </w:tabs>
        <w:rPr>
          <w:rFonts w:ascii="宋体" w:hAnsi="宋体" w:cs="宋体"/>
          <w:sz w:val="28"/>
          <w:szCs w:val="28"/>
        </w:rPr>
      </w:pPr>
      <w:r>
        <w:fldChar w:fldCharType="begin"/>
      </w:r>
      <w:r>
        <w:instrText xml:space="preserve"> HYPERLINK \l "_Toc19916" </w:instrText>
      </w:r>
      <w:r>
        <w:fldChar w:fldCharType="separate"/>
      </w:r>
      <w:r>
        <w:rPr>
          <w:rFonts w:hint="eastAsia" w:ascii="宋体" w:hAnsi="宋体" w:cs="宋体"/>
          <w:sz w:val="28"/>
          <w:szCs w:val="28"/>
        </w:rPr>
        <w:t>四、加快建设市政基础设施</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_Toc19916 \h </w:instrText>
      </w:r>
      <w:r>
        <w:rPr>
          <w:rFonts w:hint="eastAsia" w:ascii="宋体" w:hAnsi="宋体" w:cs="宋体"/>
          <w:sz w:val="28"/>
          <w:szCs w:val="28"/>
        </w:rPr>
        <w:fldChar w:fldCharType="separate"/>
      </w:r>
      <w:r>
        <w:rPr>
          <w:rFonts w:hint="eastAsia" w:ascii="宋体" w:hAnsi="宋体" w:cs="宋体"/>
          <w:sz w:val="28"/>
          <w:szCs w:val="28"/>
        </w:rPr>
        <w:t>7</w:t>
      </w:r>
      <w:r>
        <w:rPr>
          <w:rFonts w:hint="eastAsia" w:ascii="宋体" w:hAnsi="宋体" w:cs="宋体"/>
          <w:sz w:val="28"/>
          <w:szCs w:val="28"/>
        </w:rPr>
        <w:fldChar w:fldCharType="end"/>
      </w:r>
      <w:r>
        <w:rPr>
          <w:rFonts w:hint="eastAsia" w:ascii="宋体" w:hAnsi="宋体" w:cs="宋体"/>
          <w:sz w:val="28"/>
          <w:szCs w:val="28"/>
        </w:rPr>
        <w:fldChar w:fldCharType="end"/>
      </w:r>
    </w:p>
    <w:p w14:paraId="51521A0A">
      <w:pPr>
        <w:pStyle w:val="11"/>
        <w:tabs>
          <w:tab w:val="right" w:leader="dot" w:pos="8306"/>
          <w:tab w:val="clear" w:pos="8296"/>
        </w:tabs>
        <w:rPr>
          <w:rFonts w:ascii="宋体" w:hAnsi="宋体" w:cs="宋体"/>
          <w:sz w:val="28"/>
          <w:szCs w:val="28"/>
        </w:rPr>
      </w:pPr>
      <w:r>
        <w:fldChar w:fldCharType="begin"/>
      </w:r>
      <w:r>
        <w:instrText xml:space="preserve"> HYPERLINK \l "_Toc14539" </w:instrText>
      </w:r>
      <w:r>
        <w:fldChar w:fldCharType="separate"/>
      </w:r>
      <w:r>
        <w:rPr>
          <w:rFonts w:hint="eastAsia" w:ascii="宋体" w:hAnsi="宋体" w:cs="宋体"/>
          <w:sz w:val="28"/>
          <w:szCs w:val="28"/>
        </w:rPr>
        <w:t>五、勇担城市管理中心工作</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_Toc14539 \h </w:instrText>
      </w:r>
      <w:r>
        <w:rPr>
          <w:rFonts w:hint="eastAsia" w:ascii="宋体" w:hAnsi="宋体" w:cs="宋体"/>
          <w:sz w:val="28"/>
          <w:szCs w:val="28"/>
        </w:rPr>
        <w:fldChar w:fldCharType="separate"/>
      </w:r>
      <w:r>
        <w:rPr>
          <w:rFonts w:hint="eastAsia" w:ascii="宋体" w:hAnsi="宋体" w:cs="宋体"/>
          <w:sz w:val="28"/>
          <w:szCs w:val="28"/>
        </w:rPr>
        <w:t>10</w:t>
      </w:r>
      <w:r>
        <w:rPr>
          <w:rFonts w:hint="eastAsia" w:ascii="宋体" w:hAnsi="宋体" w:cs="宋体"/>
          <w:sz w:val="28"/>
          <w:szCs w:val="28"/>
        </w:rPr>
        <w:fldChar w:fldCharType="end"/>
      </w:r>
      <w:r>
        <w:rPr>
          <w:rFonts w:hint="eastAsia" w:ascii="宋体" w:hAnsi="宋体" w:cs="宋体"/>
          <w:sz w:val="28"/>
          <w:szCs w:val="28"/>
        </w:rPr>
        <w:fldChar w:fldCharType="end"/>
      </w:r>
    </w:p>
    <w:p w14:paraId="6885BD8B">
      <w:pPr>
        <w:pStyle w:val="11"/>
        <w:tabs>
          <w:tab w:val="right" w:leader="dot" w:pos="8306"/>
          <w:tab w:val="clear" w:pos="8296"/>
        </w:tabs>
        <w:rPr>
          <w:rFonts w:ascii="宋体" w:hAnsi="宋体" w:cs="宋体"/>
          <w:sz w:val="28"/>
          <w:szCs w:val="28"/>
        </w:rPr>
      </w:pPr>
      <w:r>
        <w:fldChar w:fldCharType="begin"/>
      </w:r>
      <w:r>
        <w:instrText xml:space="preserve"> HYPERLINK \l "_Toc15207" </w:instrText>
      </w:r>
      <w:r>
        <w:fldChar w:fldCharType="separate"/>
      </w:r>
      <w:r>
        <w:rPr>
          <w:rFonts w:hint="eastAsia" w:ascii="宋体" w:hAnsi="宋体" w:cs="宋体"/>
          <w:sz w:val="28"/>
          <w:szCs w:val="28"/>
        </w:rPr>
        <w:t>六、深化城市管理综合执法</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_Toc15207 \h </w:instrText>
      </w:r>
      <w:r>
        <w:rPr>
          <w:rFonts w:hint="eastAsia" w:ascii="宋体" w:hAnsi="宋体" w:cs="宋体"/>
          <w:sz w:val="28"/>
          <w:szCs w:val="28"/>
        </w:rPr>
        <w:fldChar w:fldCharType="separate"/>
      </w:r>
      <w:r>
        <w:rPr>
          <w:rFonts w:hint="eastAsia" w:ascii="宋体" w:hAnsi="宋体" w:cs="宋体"/>
          <w:sz w:val="28"/>
          <w:szCs w:val="28"/>
        </w:rPr>
        <w:t>13</w:t>
      </w:r>
      <w:r>
        <w:rPr>
          <w:rFonts w:hint="eastAsia" w:ascii="宋体" w:hAnsi="宋体" w:cs="宋体"/>
          <w:sz w:val="28"/>
          <w:szCs w:val="28"/>
        </w:rPr>
        <w:fldChar w:fldCharType="end"/>
      </w:r>
      <w:r>
        <w:rPr>
          <w:rFonts w:hint="eastAsia" w:ascii="宋体" w:hAnsi="宋体" w:cs="宋体"/>
          <w:sz w:val="28"/>
          <w:szCs w:val="28"/>
        </w:rPr>
        <w:fldChar w:fldCharType="end"/>
      </w:r>
    </w:p>
    <w:p w14:paraId="13885DDF">
      <w:pPr>
        <w:pStyle w:val="22"/>
        <w:tabs>
          <w:tab w:val="right" w:leader="dot" w:pos="8306"/>
          <w:tab w:val="clear" w:pos="8296"/>
        </w:tabs>
        <w:rPr>
          <w:rFonts w:ascii="宋体" w:hAnsi="宋体" w:cs="宋体"/>
          <w:sz w:val="28"/>
          <w:szCs w:val="28"/>
        </w:rPr>
      </w:pPr>
      <w:r>
        <w:fldChar w:fldCharType="begin"/>
      </w:r>
      <w:r>
        <w:instrText xml:space="preserve"> HYPERLINK \l "_Toc23993" </w:instrText>
      </w:r>
      <w:r>
        <w:fldChar w:fldCharType="separate"/>
      </w:r>
      <w:r>
        <w:rPr>
          <w:rFonts w:hint="eastAsia" w:ascii="宋体" w:hAnsi="宋体" w:cs="宋体"/>
          <w:sz w:val="28"/>
          <w:szCs w:val="28"/>
        </w:rPr>
        <w:t>第二节  湘潭“十三五”城市管理系统建设存在的问题</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_Toc23993 \h </w:instrText>
      </w:r>
      <w:r>
        <w:rPr>
          <w:rFonts w:hint="eastAsia" w:ascii="宋体" w:hAnsi="宋体" w:cs="宋体"/>
          <w:sz w:val="28"/>
          <w:szCs w:val="28"/>
        </w:rPr>
        <w:fldChar w:fldCharType="separate"/>
      </w:r>
      <w:r>
        <w:rPr>
          <w:rFonts w:hint="eastAsia" w:ascii="宋体" w:hAnsi="宋体" w:cs="宋体"/>
          <w:sz w:val="28"/>
          <w:szCs w:val="28"/>
        </w:rPr>
        <w:t>15</w:t>
      </w:r>
      <w:r>
        <w:rPr>
          <w:rFonts w:hint="eastAsia" w:ascii="宋体" w:hAnsi="宋体" w:cs="宋体"/>
          <w:sz w:val="28"/>
          <w:szCs w:val="28"/>
        </w:rPr>
        <w:fldChar w:fldCharType="end"/>
      </w:r>
      <w:r>
        <w:rPr>
          <w:rFonts w:hint="eastAsia" w:ascii="宋体" w:hAnsi="宋体" w:cs="宋体"/>
          <w:sz w:val="28"/>
          <w:szCs w:val="28"/>
        </w:rPr>
        <w:fldChar w:fldCharType="end"/>
      </w:r>
    </w:p>
    <w:p w14:paraId="72CD9027">
      <w:pPr>
        <w:pStyle w:val="22"/>
        <w:tabs>
          <w:tab w:val="right" w:leader="dot" w:pos="8306"/>
          <w:tab w:val="clear" w:pos="8296"/>
        </w:tabs>
        <w:ind w:left="0" w:leftChars="0" w:firstLine="630" w:firstLineChars="300"/>
        <w:rPr>
          <w:rFonts w:ascii="宋体" w:hAnsi="宋体" w:cs="宋体"/>
          <w:sz w:val="28"/>
          <w:szCs w:val="28"/>
        </w:rPr>
      </w:pPr>
      <w:r>
        <w:fldChar w:fldCharType="begin"/>
      </w:r>
      <w:r>
        <w:instrText xml:space="preserve"> HYPERLINK \l "_Toc22913" </w:instrText>
      </w:r>
      <w:r>
        <w:fldChar w:fldCharType="separate"/>
      </w:r>
      <w:r>
        <w:rPr>
          <w:rFonts w:hint="eastAsia" w:ascii="宋体" w:hAnsi="宋体" w:cs="宋体"/>
          <w:sz w:val="28"/>
          <w:szCs w:val="28"/>
        </w:rPr>
        <w:t>一、“法治城管”需完善</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_Toc22913 \h </w:instrText>
      </w:r>
      <w:r>
        <w:rPr>
          <w:rFonts w:hint="eastAsia" w:ascii="宋体" w:hAnsi="宋体" w:cs="宋体"/>
          <w:sz w:val="28"/>
          <w:szCs w:val="28"/>
        </w:rPr>
        <w:fldChar w:fldCharType="separate"/>
      </w:r>
      <w:r>
        <w:rPr>
          <w:rFonts w:hint="eastAsia" w:ascii="宋体" w:hAnsi="宋体" w:cs="宋体"/>
          <w:sz w:val="28"/>
          <w:szCs w:val="28"/>
        </w:rPr>
        <w:t>15</w:t>
      </w:r>
      <w:r>
        <w:rPr>
          <w:rFonts w:hint="eastAsia" w:ascii="宋体" w:hAnsi="宋体" w:cs="宋体"/>
          <w:sz w:val="28"/>
          <w:szCs w:val="28"/>
        </w:rPr>
        <w:fldChar w:fldCharType="end"/>
      </w:r>
      <w:r>
        <w:rPr>
          <w:rFonts w:hint="eastAsia" w:ascii="宋体" w:hAnsi="宋体" w:cs="宋体"/>
          <w:sz w:val="28"/>
          <w:szCs w:val="28"/>
        </w:rPr>
        <w:fldChar w:fldCharType="end"/>
      </w:r>
    </w:p>
    <w:p w14:paraId="1707B02C">
      <w:pPr>
        <w:pStyle w:val="11"/>
        <w:tabs>
          <w:tab w:val="right" w:leader="dot" w:pos="8306"/>
          <w:tab w:val="clear" w:pos="8296"/>
        </w:tabs>
        <w:rPr>
          <w:rFonts w:ascii="宋体" w:hAnsi="宋体" w:cs="宋体"/>
          <w:sz w:val="28"/>
          <w:szCs w:val="28"/>
        </w:rPr>
      </w:pPr>
      <w:r>
        <w:fldChar w:fldCharType="begin"/>
      </w:r>
      <w:r>
        <w:instrText xml:space="preserve"> HYPERLINK \l "_Toc23139" </w:instrText>
      </w:r>
      <w:r>
        <w:fldChar w:fldCharType="separate"/>
      </w:r>
      <w:r>
        <w:rPr>
          <w:rFonts w:hint="eastAsia" w:ascii="宋体" w:hAnsi="宋体" w:cs="宋体"/>
          <w:sz w:val="28"/>
          <w:szCs w:val="28"/>
        </w:rPr>
        <w:t>二、“民生城管”尚不够</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_Toc23139 \h </w:instrText>
      </w:r>
      <w:r>
        <w:rPr>
          <w:rFonts w:hint="eastAsia" w:ascii="宋体" w:hAnsi="宋体" w:cs="宋体"/>
          <w:sz w:val="28"/>
          <w:szCs w:val="28"/>
        </w:rPr>
        <w:fldChar w:fldCharType="separate"/>
      </w:r>
      <w:r>
        <w:rPr>
          <w:rFonts w:hint="eastAsia" w:ascii="宋体" w:hAnsi="宋体" w:cs="宋体"/>
          <w:sz w:val="28"/>
          <w:szCs w:val="28"/>
        </w:rPr>
        <w:t>15</w:t>
      </w:r>
      <w:r>
        <w:rPr>
          <w:rFonts w:hint="eastAsia" w:ascii="宋体" w:hAnsi="宋体" w:cs="宋体"/>
          <w:sz w:val="28"/>
          <w:szCs w:val="28"/>
        </w:rPr>
        <w:fldChar w:fldCharType="end"/>
      </w:r>
      <w:r>
        <w:rPr>
          <w:rFonts w:hint="eastAsia" w:ascii="宋体" w:hAnsi="宋体" w:cs="宋体"/>
          <w:sz w:val="28"/>
          <w:szCs w:val="28"/>
        </w:rPr>
        <w:fldChar w:fldCharType="end"/>
      </w:r>
    </w:p>
    <w:p w14:paraId="04EBF6FD">
      <w:pPr>
        <w:pStyle w:val="11"/>
        <w:tabs>
          <w:tab w:val="right" w:leader="dot" w:pos="8306"/>
          <w:tab w:val="clear" w:pos="8296"/>
        </w:tabs>
        <w:rPr>
          <w:rFonts w:ascii="宋体" w:hAnsi="宋体" w:cs="宋体"/>
          <w:sz w:val="28"/>
          <w:szCs w:val="28"/>
        </w:rPr>
      </w:pPr>
      <w:r>
        <w:fldChar w:fldCharType="begin"/>
      </w:r>
      <w:r>
        <w:instrText xml:space="preserve"> HYPERLINK \l "_Toc26043" </w:instrText>
      </w:r>
      <w:r>
        <w:fldChar w:fldCharType="separate"/>
      </w:r>
      <w:r>
        <w:rPr>
          <w:rFonts w:hint="eastAsia" w:ascii="宋体" w:hAnsi="宋体" w:cs="宋体"/>
          <w:sz w:val="28"/>
          <w:szCs w:val="28"/>
        </w:rPr>
        <w:t>三、“智慧城管”程度低</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_Toc26043 \h </w:instrText>
      </w:r>
      <w:r>
        <w:rPr>
          <w:rFonts w:hint="eastAsia" w:ascii="宋体" w:hAnsi="宋体" w:cs="宋体"/>
          <w:sz w:val="28"/>
          <w:szCs w:val="28"/>
        </w:rPr>
        <w:fldChar w:fldCharType="separate"/>
      </w:r>
      <w:r>
        <w:rPr>
          <w:rFonts w:hint="eastAsia" w:ascii="宋体" w:hAnsi="宋体" w:cs="宋体"/>
          <w:sz w:val="28"/>
          <w:szCs w:val="28"/>
        </w:rPr>
        <w:t>16</w:t>
      </w:r>
      <w:r>
        <w:rPr>
          <w:rFonts w:hint="eastAsia" w:ascii="宋体" w:hAnsi="宋体" w:cs="宋体"/>
          <w:sz w:val="28"/>
          <w:szCs w:val="28"/>
        </w:rPr>
        <w:fldChar w:fldCharType="end"/>
      </w:r>
      <w:r>
        <w:rPr>
          <w:rFonts w:hint="eastAsia" w:ascii="宋体" w:hAnsi="宋体" w:cs="宋体"/>
          <w:sz w:val="28"/>
          <w:szCs w:val="28"/>
        </w:rPr>
        <w:fldChar w:fldCharType="end"/>
      </w:r>
    </w:p>
    <w:p w14:paraId="2AC6979C">
      <w:pPr>
        <w:pStyle w:val="11"/>
        <w:tabs>
          <w:tab w:val="right" w:leader="dot" w:pos="8306"/>
          <w:tab w:val="clear" w:pos="8296"/>
        </w:tabs>
        <w:rPr>
          <w:rFonts w:ascii="宋体" w:hAnsi="宋体" w:cs="宋体"/>
          <w:sz w:val="28"/>
          <w:szCs w:val="28"/>
        </w:rPr>
      </w:pPr>
      <w:r>
        <w:fldChar w:fldCharType="begin"/>
      </w:r>
      <w:r>
        <w:instrText xml:space="preserve"> HYPERLINK \l "_Toc6567" </w:instrText>
      </w:r>
      <w:r>
        <w:fldChar w:fldCharType="separate"/>
      </w:r>
      <w:r>
        <w:rPr>
          <w:rFonts w:hint="eastAsia" w:ascii="宋体" w:hAnsi="宋体" w:cs="宋体"/>
          <w:sz w:val="28"/>
          <w:szCs w:val="28"/>
        </w:rPr>
        <w:t>四、“人文城管”应加强</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_Toc6567 \h </w:instrText>
      </w:r>
      <w:r>
        <w:rPr>
          <w:rFonts w:hint="eastAsia" w:ascii="宋体" w:hAnsi="宋体" w:cs="宋体"/>
          <w:sz w:val="28"/>
          <w:szCs w:val="28"/>
        </w:rPr>
        <w:fldChar w:fldCharType="separate"/>
      </w:r>
      <w:r>
        <w:rPr>
          <w:rFonts w:hint="eastAsia" w:ascii="宋体" w:hAnsi="宋体" w:cs="宋体"/>
          <w:sz w:val="28"/>
          <w:szCs w:val="28"/>
        </w:rPr>
        <w:t>16</w:t>
      </w:r>
      <w:r>
        <w:rPr>
          <w:rFonts w:hint="eastAsia" w:ascii="宋体" w:hAnsi="宋体" w:cs="宋体"/>
          <w:sz w:val="28"/>
          <w:szCs w:val="28"/>
        </w:rPr>
        <w:fldChar w:fldCharType="end"/>
      </w:r>
      <w:r>
        <w:rPr>
          <w:rFonts w:hint="eastAsia" w:ascii="宋体" w:hAnsi="宋体" w:cs="宋体"/>
          <w:sz w:val="28"/>
          <w:szCs w:val="28"/>
        </w:rPr>
        <w:fldChar w:fldCharType="end"/>
      </w:r>
    </w:p>
    <w:p w14:paraId="1D1D7257">
      <w:pPr>
        <w:pStyle w:val="11"/>
        <w:tabs>
          <w:tab w:val="right" w:leader="dot" w:pos="8306"/>
          <w:tab w:val="clear" w:pos="8296"/>
        </w:tabs>
        <w:rPr>
          <w:rFonts w:ascii="宋体" w:hAnsi="宋体" w:cs="宋体"/>
          <w:sz w:val="28"/>
          <w:szCs w:val="28"/>
        </w:rPr>
      </w:pPr>
      <w:r>
        <w:fldChar w:fldCharType="begin"/>
      </w:r>
      <w:r>
        <w:instrText xml:space="preserve"> HYPERLINK \l "_Toc15420" </w:instrText>
      </w:r>
      <w:r>
        <w:fldChar w:fldCharType="separate"/>
      </w:r>
      <w:r>
        <w:rPr>
          <w:rFonts w:hint="eastAsia" w:ascii="宋体" w:hAnsi="宋体" w:cs="宋体"/>
          <w:sz w:val="28"/>
          <w:szCs w:val="28"/>
        </w:rPr>
        <w:t>五、“品质城管”要提升</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_Toc15420 \h </w:instrText>
      </w:r>
      <w:r>
        <w:rPr>
          <w:rFonts w:hint="eastAsia" w:ascii="宋体" w:hAnsi="宋体" w:cs="宋体"/>
          <w:sz w:val="28"/>
          <w:szCs w:val="28"/>
        </w:rPr>
        <w:fldChar w:fldCharType="separate"/>
      </w:r>
      <w:r>
        <w:rPr>
          <w:rFonts w:hint="eastAsia" w:ascii="宋体" w:hAnsi="宋体" w:cs="宋体"/>
          <w:sz w:val="28"/>
          <w:szCs w:val="28"/>
        </w:rPr>
        <w:t>16</w:t>
      </w:r>
      <w:r>
        <w:rPr>
          <w:rFonts w:hint="eastAsia" w:ascii="宋体" w:hAnsi="宋体" w:cs="宋体"/>
          <w:sz w:val="28"/>
          <w:szCs w:val="28"/>
        </w:rPr>
        <w:fldChar w:fldCharType="end"/>
      </w:r>
      <w:r>
        <w:rPr>
          <w:rFonts w:hint="eastAsia" w:ascii="宋体" w:hAnsi="宋体" w:cs="宋体"/>
          <w:sz w:val="28"/>
          <w:szCs w:val="28"/>
        </w:rPr>
        <w:fldChar w:fldCharType="end"/>
      </w:r>
    </w:p>
    <w:p w14:paraId="607E8715">
      <w:pPr>
        <w:pStyle w:val="19"/>
        <w:tabs>
          <w:tab w:val="right" w:leader="dot" w:pos="8306"/>
          <w:tab w:val="clear" w:pos="8296"/>
        </w:tabs>
        <w:rPr>
          <w:rFonts w:ascii="宋体" w:hAnsi="宋体" w:cs="宋体"/>
          <w:sz w:val="28"/>
          <w:szCs w:val="28"/>
        </w:rPr>
      </w:pPr>
      <w:r>
        <w:fldChar w:fldCharType="begin"/>
      </w:r>
      <w:r>
        <w:instrText xml:space="preserve"> HYPERLINK \l "_Toc6370" </w:instrText>
      </w:r>
      <w:r>
        <w:fldChar w:fldCharType="separate"/>
      </w:r>
      <w:r>
        <w:rPr>
          <w:rFonts w:hint="eastAsia" w:ascii="宋体" w:hAnsi="宋体" w:cs="宋体"/>
          <w:sz w:val="28"/>
          <w:szCs w:val="28"/>
        </w:rPr>
        <w:t>第二章  湘潭市“十四五”城市管理系统建设发展环境分析</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_Toc6370 \h </w:instrText>
      </w:r>
      <w:r>
        <w:rPr>
          <w:rFonts w:hint="eastAsia" w:ascii="宋体" w:hAnsi="宋体" w:cs="宋体"/>
          <w:sz w:val="28"/>
          <w:szCs w:val="28"/>
        </w:rPr>
        <w:fldChar w:fldCharType="separate"/>
      </w:r>
      <w:r>
        <w:rPr>
          <w:rFonts w:hint="eastAsia" w:ascii="宋体" w:hAnsi="宋体" w:cs="宋体"/>
          <w:sz w:val="28"/>
          <w:szCs w:val="28"/>
        </w:rPr>
        <w:t>18</w:t>
      </w:r>
      <w:r>
        <w:rPr>
          <w:rFonts w:hint="eastAsia" w:ascii="宋体" w:hAnsi="宋体" w:cs="宋体"/>
          <w:sz w:val="28"/>
          <w:szCs w:val="28"/>
        </w:rPr>
        <w:fldChar w:fldCharType="end"/>
      </w:r>
      <w:r>
        <w:rPr>
          <w:rFonts w:hint="eastAsia" w:ascii="宋体" w:hAnsi="宋体" w:cs="宋体"/>
          <w:sz w:val="28"/>
          <w:szCs w:val="28"/>
        </w:rPr>
        <w:fldChar w:fldCharType="end"/>
      </w:r>
    </w:p>
    <w:p w14:paraId="3C547E4F">
      <w:pPr>
        <w:pStyle w:val="22"/>
        <w:tabs>
          <w:tab w:val="right" w:leader="dot" w:pos="8306"/>
          <w:tab w:val="clear" w:pos="8296"/>
        </w:tabs>
        <w:rPr>
          <w:rFonts w:ascii="宋体" w:hAnsi="宋体" w:cs="宋体"/>
          <w:sz w:val="28"/>
          <w:szCs w:val="28"/>
        </w:rPr>
      </w:pPr>
      <w:r>
        <w:fldChar w:fldCharType="begin"/>
      </w:r>
      <w:r>
        <w:instrText xml:space="preserve"> HYPERLINK \l "_Toc30576" </w:instrText>
      </w:r>
      <w:r>
        <w:fldChar w:fldCharType="separate"/>
      </w:r>
      <w:r>
        <w:rPr>
          <w:rFonts w:hint="eastAsia" w:ascii="宋体" w:hAnsi="宋体" w:cs="宋体"/>
          <w:sz w:val="28"/>
          <w:szCs w:val="28"/>
        </w:rPr>
        <w:t>第一节  湘潭市“十四五”城市管理系统建设发展机遇分析</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_Toc30576 \h </w:instrText>
      </w:r>
      <w:r>
        <w:rPr>
          <w:rFonts w:hint="eastAsia" w:ascii="宋体" w:hAnsi="宋体" w:cs="宋体"/>
          <w:sz w:val="28"/>
          <w:szCs w:val="28"/>
        </w:rPr>
        <w:fldChar w:fldCharType="separate"/>
      </w:r>
      <w:r>
        <w:rPr>
          <w:rFonts w:hint="eastAsia" w:ascii="宋体" w:hAnsi="宋体" w:cs="宋体"/>
          <w:sz w:val="28"/>
          <w:szCs w:val="28"/>
        </w:rPr>
        <w:t>18</w:t>
      </w:r>
      <w:r>
        <w:rPr>
          <w:rFonts w:hint="eastAsia" w:ascii="宋体" w:hAnsi="宋体" w:cs="宋体"/>
          <w:sz w:val="28"/>
          <w:szCs w:val="28"/>
        </w:rPr>
        <w:fldChar w:fldCharType="end"/>
      </w:r>
      <w:r>
        <w:rPr>
          <w:rFonts w:hint="eastAsia" w:ascii="宋体" w:hAnsi="宋体" w:cs="宋体"/>
          <w:sz w:val="28"/>
          <w:szCs w:val="28"/>
        </w:rPr>
        <w:fldChar w:fldCharType="end"/>
      </w:r>
    </w:p>
    <w:p w14:paraId="5CC8E76C">
      <w:pPr>
        <w:pStyle w:val="11"/>
        <w:tabs>
          <w:tab w:val="right" w:leader="dot" w:pos="8306"/>
          <w:tab w:val="clear" w:pos="8296"/>
        </w:tabs>
        <w:rPr>
          <w:rFonts w:ascii="宋体" w:hAnsi="宋体" w:cs="宋体"/>
          <w:sz w:val="28"/>
          <w:szCs w:val="28"/>
        </w:rPr>
      </w:pPr>
      <w:r>
        <w:fldChar w:fldCharType="begin"/>
      </w:r>
      <w:r>
        <w:instrText xml:space="preserve"> HYPERLINK \l "_Toc31026" </w:instrText>
      </w:r>
      <w:r>
        <w:fldChar w:fldCharType="separate"/>
      </w:r>
      <w:r>
        <w:rPr>
          <w:rFonts w:hint="eastAsia" w:ascii="宋体" w:hAnsi="宋体" w:cs="宋体"/>
          <w:sz w:val="28"/>
          <w:szCs w:val="28"/>
        </w:rPr>
        <w:t>一、国家治理现代化为城市管理体制改革创造了条件</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_Toc31026 \h </w:instrText>
      </w:r>
      <w:r>
        <w:rPr>
          <w:rFonts w:hint="eastAsia" w:ascii="宋体" w:hAnsi="宋体" w:cs="宋体"/>
          <w:sz w:val="28"/>
          <w:szCs w:val="28"/>
        </w:rPr>
        <w:fldChar w:fldCharType="separate"/>
      </w:r>
      <w:r>
        <w:rPr>
          <w:rFonts w:hint="eastAsia" w:ascii="宋体" w:hAnsi="宋体" w:cs="宋体"/>
          <w:sz w:val="28"/>
          <w:szCs w:val="28"/>
        </w:rPr>
        <w:t>18</w:t>
      </w:r>
      <w:r>
        <w:rPr>
          <w:rFonts w:hint="eastAsia" w:ascii="宋体" w:hAnsi="宋体" w:cs="宋体"/>
          <w:sz w:val="28"/>
          <w:szCs w:val="28"/>
        </w:rPr>
        <w:fldChar w:fldCharType="end"/>
      </w:r>
      <w:r>
        <w:rPr>
          <w:rFonts w:hint="eastAsia" w:ascii="宋体" w:hAnsi="宋体" w:cs="宋体"/>
          <w:sz w:val="28"/>
          <w:szCs w:val="28"/>
        </w:rPr>
        <w:fldChar w:fldCharType="end"/>
      </w:r>
    </w:p>
    <w:p w14:paraId="62121CE5">
      <w:pPr>
        <w:pStyle w:val="11"/>
        <w:tabs>
          <w:tab w:val="right" w:leader="dot" w:pos="8306"/>
          <w:tab w:val="clear" w:pos="8296"/>
        </w:tabs>
        <w:rPr>
          <w:rFonts w:ascii="宋体" w:hAnsi="宋体" w:cs="宋体"/>
          <w:sz w:val="28"/>
          <w:szCs w:val="28"/>
        </w:rPr>
      </w:pPr>
      <w:r>
        <w:fldChar w:fldCharType="begin"/>
      </w:r>
      <w:r>
        <w:instrText xml:space="preserve"> HYPERLINK \l "_Toc27358" </w:instrText>
      </w:r>
      <w:r>
        <w:fldChar w:fldCharType="separate"/>
      </w:r>
      <w:r>
        <w:rPr>
          <w:rFonts w:hint="eastAsia" w:ascii="宋体" w:hAnsi="宋体" w:cs="宋体"/>
          <w:sz w:val="28"/>
          <w:szCs w:val="28"/>
        </w:rPr>
        <w:t>二、习近平生态文明思想为城市管理系统优化指明了方向</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_Toc27358 \h </w:instrText>
      </w:r>
      <w:r>
        <w:rPr>
          <w:rFonts w:hint="eastAsia" w:ascii="宋体" w:hAnsi="宋体" w:cs="宋体"/>
          <w:sz w:val="28"/>
          <w:szCs w:val="28"/>
        </w:rPr>
        <w:fldChar w:fldCharType="separate"/>
      </w:r>
      <w:r>
        <w:rPr>
          <w:rFonts w:hint="eastAsia" w:ascii="宋体" w:hAnsi="宋体" w:cs="宋体"/>
          <w:sz w:val="28"/>
          <w:szCs w:val="28"/>
        </w:rPr>
        <w:t>18</w:t>
      </w:r>
      <w:r>
        <w:rPr>
          <w:rFonts w:hint="eastAsia" w:ascii="宋体" w:hAnsi="宋体" w:cs="宋体"/>
          <w:sz w:val="28"/>
          <w:szCs w:val="28"/>
        </w:rPr>
        <w:fldChar w:fldCharType="end"/>
      </w:r>
      <w:r>
        <w:rPr>
          <w:rFonts w:hint="eastAsia" w:ascii="宋体" w:hAnsi="宋体" w:cs="宋体"/>
          <w:sz w:val="28"/>
          <w:szCs w:val="28"/>
        </w:rPr>
        <w:fldChar w:fldCharType="end"/>
      </w:r>
    </w:p>
    <w:p w14:paraId="79F4560B">
      <w:pPr>
        <w:pStyle w:val="11"/>
        <w:tabs>
          <w:tab w:val="right" w:leader="dot" w:pos="8306"/>
          <w:tab w:val="clear" w:pos="8296"/>
        </w:tabs>
        <w:rPr>
          <w:rFonts w:ascii="宋体" w:hAnsi="宋体" w:cs="宋体"/>
          <w:sz w:val="28"/>
          <w:szCs w:val="28"/>
        </w:rPr>
      </w:pPr>
      <w:r>
        <w:fldChar w:fldCharType="begin"/>
      </w:r>
      <w:r>
        <w:instrText xml:space="preserve"> HYPERLINK \l "_Toc884" </w:instrText>
      </w:r>
      <w:r>
        <w:fldChar w:fldCharType="separate"/>
      </w:r>
      <w:r>
        <w:rPr>
          <w:rFonts w:hint="eastAsia" w:ascii="宋体" w:hAnsi="宋体" w:cs="宋体"/>
          <w:sz w:val="28"/>
          <w:szCs w:val="28"/>
        </w:rPr>
        <w:t>三、新基建、新技术为城市管理系统创新提供了支撑</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_Toc884 \h </w:instrText>
      </w:r>
      <w:r>
        <w:rPr>
          <w:rFonts w:hint="eastAsia" w:ascii="宋体" w:hAnsi="宋体" w:cs="宋体"/>
          <w:sz w:val="28"/>
          <w:szCs w:val="28"/>
        </w:rPr>
        <w:fldChar w:fldCharType="separate"/>
      </w:r>
      <w:r>
        <w:rPr>
          <w:rFonts w:hint="eastAsia" w:ascii="宋体" w:hAnsi="宋体" w:cs="宋体"/>
          <w:sz w:val="28"/>
          <w:szCs w:val="28"/>
        </w:rPr>
        <w:t>19</w:t>
      </w:r>
      <w:r>
        <w:rPr>
          <w:rFonts w:hint="eastAsia" w:ascii="宋体" w:hAnsi="宋体" w:cs="宋体"/>
          <w:sz w:val="28"/>
          <w:szCs w:val="28"/>
        </w:rPr>
        <w:fldChar w:fldCharType="end"/>
      </w:r>
      <w:r>
        <w:rPr>
          <w:rFonts w:hint="eastAsia" w:ascii="宋体" w:hAnsi="宋体" w:cs="宋体"/>
          <w:sz w:val="28"/>
          <w:szCs w:val="28"/>
        </w:rPr>
        <w:fldChar w:fldCharType="end"/>
      </w:r>
    </w:p>
    <w:p w14:paraId="51515B9D">
      <w:pPr>
        <w:pStyle w:val="11"/>
        <w:tabs>
          <w:tab w:val="right" w:leader="dot" w:pos="8306"/>
          <w:tab w:val="clear" w:pos="8296"/>
        </w:tabs>
        <w:rPr>
          <w:rFonts w:ascii="宋体" w:hAnsi="宋体" w:cs="宋体"/>
          <w:sz w:val="28"/>
          <w:szCs w:val="28"/>
        </w:rPr>
      </w:pPr>
      <w:r>
        <w:fldChar w:fldCharType="begin"/>
      </w:r>
      <w:r>
        <w:instrText xml:space="preserve"> HYPERLINK \l "_Toc14737" </w:instrText>
      </w:r>
      <w:r>
        <w:fldChar w:fldCharType="separate"/>
      </w:r>
      <w:r>
        <w:rPr>
          <w:rFonts w:hint="eastAsia" w:ascii="宋体" w:hAnsi="宋体" w:cs="宋体"/>
          <w:sz w:val="28"/>
          <w:szCs w:val="28"/>
        </w:rPr>
        <w:t>四、城市区位优势为完善市政基础设施带来了契机</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_Toc14737 \h </w:instrText>
      </w:r>
      <w:r>
        <w:rPr>
          <w:rFonts w:hint="eastAsia" w:ascii="宋体" w:hAnsi="宋体" w:cs="宋体"/>
          <w:sz w:val="28"/>
          <w:szCs w:val="28"/>
        </w:rPr>
        <w:fldChar w:fldCharType="separate"/>
      </w:r>
      <w:r>
        <w:rPr>
          <w:rFonts w:hint="eastAsia" w:ascii="宋体" w:hAnsi="宋体" w:cs="宋体"/>
          <w:sz w:val="28"/>
          <w:szCs w:val="28"/>
        </w:rPr>
        <w:t>20</w:t>
      </w:r>
      <w:r>
        <w:rPr>
          <w:rFonts w:hint="eastAsia" w:ascii="宋体" w:hAnsi="宋体" w:cs="宋体"/>
          <w:sz w:val="28"/>
          <w:szCs w:val="28"/>
        </w:rPr>
        <w:fldChar w:fldCharType="end"/>
      </w:r>
      <w:r>
        <w:rPr>
          <w:rFonts w:hint="eastAsia" w:ascii="宋体" w:hAnsi="宋体" w:cs="宋体"/>
          <w:sz w:val="28"/>
          <w:szCs w:val="28"/>
        </w:rPr>
        <w:fldChar w:fldCharType="end"/>
      </w:r>
    </w:p>
    <w:p w14:paraId="3ADD8D12">
      <w:pPr>
        <w:pStyle w:val="22"/>
        <w:tabs>
          <w:tab w:val="right" w:leader="dot" w:pos="8306"/>
          <w:tab w:val="clear" w:pos="8296"/>
        </w:tabs>
        <w:rPr>
          <w:rFonts w:ascii="宋体" w:hAnsi="宋体" w:cs="宋体"/>
          <w:sz w:val="28"/>
          <w:szCs w:val="28"/>
        </w:rPr>
      </w:pPr>
      <w:r>
        <w:fldChar w:fldCharType="begin"/>
      </w:r>
      <w:r>
        <w:instrText xml:space="preserve"> HYPERLINK \l "_Toc32137" </w:instrText>
      </w:r>
      <w:r>
        <w:fldChar w:fldCharType="separate"/>
      </w:r>
      <w:r>
        <w:rPr>
          <w:rFonts w:hint="eastAsia" w:ascii="宋体" w:hAnsi="宋体" w:cs="宋体"/>
          <w:sz w:val="28"/>
          <w:szCs w:val="28"/>
        </w:rPr>
        <w:t>第二节  湘潭“十四五”城市管理系统建设发展面临的挑战</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_Toc32137 \h </w:instrText>
      </w:r>
      <w:r>
        <w:rPr>
          <w:rFonts w:hint="eastAsia" w:ascii="宋体" w:hAnsi="宋体" w:cs="宋体"/>
          <w:sz w:val="28"/>
          <w:szCs w:val="28"/>
        </w:rPr>
        <w:fldChar w:fldCharType="separate"/>
      </w:r>
      <w:r>
        <w:rPr>
          <w:rFonts w:hint="eastAsia" w:ascii="宋体" w:hAnsi="宋体" w:cs="宋体"/>
          <w:sz w:val="28"/>
          <w:szCs w:val="28"/>
        </w:rPr>
        <w:t>21</w:t>
      </w:r>
      <w:r>
        <w:rPr>
          <w:rFonts w:hint="eastAsia" w:ascii="宋体" w:hAnsi="宋体" w:cs="宋体"/>
          <w:sz w:val="28"/>
          <w:szCs w:val="28"/>
        </w:rPr>
        <w:fldChar w:fldCharType="end"/>
      </w:r>
      <w:r>
        <w:rPr>
          <w:rFonts w:hint="eastAsia" w:ascii="宋体" w:hAnsi="宋体" w:cs="宋体"/>
          <w:sz w:val="28"/>
          <w:szCs w:val="28"/>
        </w:rPr>
        <w:fldChar w:fldCharType="end"/>
      </w:r>
    </w:p>
    <w:p w14:paraId="11D62D73">
      <w:pPr>
        <w:pStyle w:val="11"/>
        <w:tabs>
          <w:tab w:val="right" w:leader="dot" w:pos="8306"/>
          <w:tab w:val="clear" w:pos="8296"/>
        </w:tabs>
        <w:rPr>
          <w:rFonts w:ascii="宋体" w:hAnsi="宋体" w:cs="宋体"/>
          <w:sz w:val="28"/>
          <w:szCs w:val="28"/>
        </w:rPr>
      </w:pPr>
      <w:r>
        <w:fldChar w:fldCharType="begin"/>
      </w:r>
      <w:r>
        <w:instrText xml:space="preserve"> HYPERLINK \l "_Toc3305" </w:instrText>
      </w:r>
      <w:r>
        <w:fldChar w:fldCharType="separate"/>
      </w:r>
      <w:r>
        <w:rPr>
          <w:rFonts w:hint="eastAsia" w:ascii="宋体" w:hAnsi="宋体" w:cs="宋体"/>
          <w:sz w:val="28"/>
          <w:szCs w:val="28"/>
        </w:rPr>
        <w:t>一、经济下行加剧了幸福生活需求与城市管理的新矛盾</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_Toc3305 \h </w:instrText>
      </w:r>
      <w:r>
        <w:rPr>
          <w:rFonts w:hint="eastAsia" w:ascii="宋体" w:hAnsi="宋体" w:cs="宋体"/>
          <w:sz w:val="28"/>
          <w:szCs w:val="28"/>
        </w:rPr>
        <w:fldChar w:fldCharType="separate"/>
      </w:r>
      <w:r>
        <w:rPr>
          <w:rFonts w:hint="eastAsia" w:ascii="宋体" w:hAnsi="宋体" w:cs="宋体"/>
          <w:sz w:val="28"/>
          <w:szCs w:val="28"/>
        </w:rPr>
        <w:t>21</w:t>
      </w:r>
      <w:r>
        <w:rPr>
          <w:rFonts w:hint="eastAsia" w:ascii="宋体" w:hAnsi="宋体" w:cs="宋体"/>
          <w:sz w:val="28"/>
          <w:szCs w:val="28"/>
        </w:rPr>
        <w:fldChar w:fldCharType="end"/>
      </w:r>
      <w:r>
        <w:rPr>
          <w:rFonts w:hint="eastAsia" w:ascii="宋体" w:hAnsi="宋体" w:cs="宋体"/>
          <w:sz w:val="28"/>
          <w:szCs w:val="28"/>
        </w:rPr>
        <w:fldChar w:fldCharType="end"/>
      </w:r>
    </w:p>
    <w:p w14:paraId="135E6C3D">
      <w:pPr>
        <w:pStyle w:val="11"/>
        <w:tabs>
          <w:tab w:val="right" w:leader="dot" w:pos="8306"/>
          <w:tab w:val="clear" w:pos="8296"/>
        </w:tabs>
        <w:rPr>
          <w:rFonts w:ascii="宋体" w:hAnsi="宋体" w:cs="宋体"/>
          <w:sz w:val="28"/>
          <w:szCs w:val="28"/>
        </w:rPr>
      </w:pPr>
      <w:r>
        <w:fldChar w:fldCharType="begin"/>
      </w:r>
      <w:r>
        <w:instrText xml:space="preserve"> HYPERLINK \l "_Toc25189" </w:instrText>
      </w:r>
      <w:r>
        <w:fldChar w:fldCharType="separate"/>
      </w:r>
      <w:r>
        <w:rPr>
          <w:rFonts w:hint="eastAsia" w:ascii="宋体" w:hAnsi="宋体" w:cs="宋体"/>
          <w:sz w:val="28"/>
          <w:szCs w:val="28"/>
        </w:rPr>
        <w:t>二、后疫情时代提出了基础设施建设和综合执法新要求</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_Toc25189 \h </w:instrText>
      </w:r>
      <w:r>
        <w:rPr>
          <w:rFonts w:hint="eastAsia" w:ascii="宋体" w:hAnsi="宋体" w:cs="宋体"/>
          <w:sz w:val="28"/>
          <w:szCs w:val="28"/>
        </w:rPr>
        <w:fldChar w:fldCharType="separate"/>
      </w:r>
      <w:r>
        <w:rPr>
          <w:rFonts w:hint="eastAsia" w:ascii="宋体" w:hAnsi="宋体" w:cs="宋体"/>
          <w:sz w:val="28"/>
          <w:szCs w:val="28"/>
        </w:rPr>
        <w:t>21</w:t>
      </w:r>
      <w:r>
        <w:rPr>
          <w:rFonts w:hint="eastAsia" w:ascii="宋体" w:hAnsi="宋体" w:cs="宋体"/>
          <w:sz w:val="28"/>
          <w:szCs w:val="28"/>
        </w:rPr>
        <w:fldChar w:fldCharType="end"/>
      </w:r>
      <w:r>
        <w:rPr>
          <w:rFonts w:hint="eastAsia" w:ascii="宋体" w:hAnsi="宋体" w:cs="宋体"/>
          <w:sz w:val="28"/>
          <w:szCs w:val="28"/>
        </w:rPr>
        <w:fldChar w:fldCharType="end"/>
      </w:r>
    </w:p>
    <w:p w14:paraId="583F2320">
      <w:pPr>
        <w:pStyle w:val="11"/>
        <w:tabs>
          <w:tab w:val="right" w:leader="dot" w:pos="8306"/>
          <w:tab w:val="clear" w:pos="8296"/>
        </w:tabs>
        <w:rPr>
          <w:rFonts w:ascii="宋体" w:hAnsi="宋体" w:cs="宋体"/>
          <w:sz w:val="28"/>
          <w:szCs w:val="28"/>
        </w:rPr>
      </w:pPr>
      <w:r>
        <w:fldChar w:fldCharType="begin"/>
      </w:r>
      <w:r>
        <w:instrText xml:space="preserve"> HYPERLINK \l "_Toc22220" </w:instrText>
      </w:r>
      <w:r>
        <w:fldChar w:fldCharType="separate"/>
      </w:r>
      <w:r>
        <w:rPr>
          <w:rFonts w:hint="eastAsia" w:ascii="宋体" w:hAnsi="宋体" w:cs="宋体"/>
          <w:sz w:val="28"/>
          <w:szCs w:val="28"/>
        </w:rPr>
        <w:t>三、城乡一体化对城市管理系统建设形成新压力</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_Toc22220 \h </w:instrText>
      </w:r>
      <w:r>
        <w:rPr>
          <w:rFonts w:hint="eastAsia" w:ascii="宋体" w:hAnsi="宋体" w:cs="宋体"/>
          <w:sz w:val="28"/>
          <w:szCs w:val="28"/>
        </w:rPr>
        <w:fldChar w:fldCharType="separate"/>
      </w:r>
      <w:r>
        <w:rPr>
          <w:rFonts w:hint="eastAsia" w:ascii="宋体" w:hAnsi="宋体" w:cs="宋体"/>
          <w:sz w:val="28"/>
          <w:szCs w:val="28"/>
        </w:rPr>
        <w:t>22</w:t>
      </w:r>
      <w:r>
        <w:rPr>
          <w:rFonts w:hint="eastAsia" w:ascii="宋体" w:hAnsi="宋体" w:cs="宋体"/>
          <w:sz w:val="28"/>
          <w:szCs w:val="28"/>
        </w:rPr>
        <w:fldChar w:fldCharType="end"/>
      </w:r>
      <w:r>
        <w:rPr>
          <w:rFonts w:hint="eastAsia" w:ascii="宋体" w:hAnsi="宋体" w:cs="宋体"/>
          <w:sz w:val="28"/>
          <w:szCs w:val="28"/>
        </w:rPr>
        <w:fldChar w:fldCharType="end"/>
      </w:r>
    </w:p>
    <w:p w14:paraId="144E9A6F">
      <w:pPr>
        <w:pStyle w:val="11"/>
        <w:tabs>
          <w:tab w:val="right" w:leader="dot" w:pos="8306"/>
          <w:tab w:val="clear" w:pos="8296"/>
        </w:tabs>
        <w:rPr>
          <w:rFonts w:ascii="宋体" w:hAnsi="宋体" w:cs="宋体"/>
          <w:sz w:val="28"/>
          <w:szCs w:val="28"/>
        </w:rPr>
      </w:pPr>
      <w:r>
        <w:fldChar w:fldCharType="begin"/>
      </w:r>
      <w:r>
        <w:instrText xml:space="preserve"> HYPERLINK \l "_Toc23540" </w:instrText>
      </w:r>
      <w:r>
        <w:fldChar w:fldCharType="separate"/>
      </w:r>
      <w:r>
        <w:rPr>
          <w:rFonts w:hint="eastAsia" w:ascii="宋体" w:hAnsi="宋体" w:cs="宋体"/>
          <w:sz w:val="28"/>
          <w:szCs w:val="28"/>
        </w:rPr>
        <w:t>四、“三高四新”战略为城市管理建设提出了新目标</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_Toc23540 \h </w:instrText>
      </w:r>
      <w:r>
        <w:rPr>
          <w:rFonts w:hint="eastAsia" w:ascii="宋体" w:hAnsi="宋体" w:cs="宋体"/>
          <w:sz w:val="28"/>
          <w:szCs w:val="28"/>
        </w:rPr>
        <w:fldChar w:fldCharType="separate"/>
      </w:r>
      <w:r>
        <w:rPr>
          <w:rFonts w:hint="eastAsia" w:ascii="宋体" w:hAnsi="宋体" w:cs="宋体"/>
          <w:sz w:val="28"/>
          <w:szCs w:val="28"/>
        </w:rPr>
        <w:t>22</w:t>
      </w:r>
      <w:r>
        <w:rPr>
          <w:rFonts w:hint="eastAsia" w:ascii="宋体" w:hAnsi="宋体" w:cs="宋体"/>
          <w:sz w:val="28"/>
          <w:szCs w:val="28"/>
        </w:rPr>
        <w:fldChar w:fldCharType="end"/>
      </w:r>
      <w:r>
        <w:rPr>
          <w:rFonts w:hint="eastAsia" w:ascii="宋体" w:hAnsi="宋体" w:cs="宋体"/>
          <w:sz w:val="28"/>
          <w:szCs w:val="28"/>
        </w:rPr>
        <w:fldChar w:fldCharType="end"/>
      </w:r>
    </w:p>
    <w:p w14:paraId="6A13F07C">
      <w:pPr>
        <w:pStyle w:val="19"/>
        <w:tabs>
          <w:tab w:val="right" w:leader="dot" w:pos="8306"/>
          <w:tab w:val="clear" w:pos="8296"/>
        </w:tabs>
        <w:rPr>
          <w:rFonts w:ascii="宋体" w:hAnsi="宋体" w:cs="宋体"/>
          <w:sz w:val="28"/>
          <w:szCs w:val="28"/>
        </w:rPr>
      </w:pPr>
      <w:r>
        <w:fldChar w:fldCharType="begin"/>
      </w:r>
      <w:r>
        <w:instrText xml:space="preserve"> HYPERLINK \l "_Toc8850" </w:instrText>
      </w:r>
      <w:r>
        <w:fldChar w:fldCharType="separate"/>
      </w:r>
      <w:r>
        <w:rPr>
          <w:rFonts w:hint="eastAsia" w:ascii="宋体" w:hAnsi="宋体" w:cs="宋体"/>
          <w:sz w:val="28"/>
          <w:szCs w:val="28"/>
        </w:rPr>
        <w:t>第三章   湘潭“十四五”城市管理系统建设的总体思路</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_Toc8850 \h </w:instrText>
      </w:r>
      <w:r>
        <w:rPr>
          <w:rFonts w:hint="eastAsia" w:ascii="宋体" w:hAnsi="宋体" w:cs="宋体"/>
          <w:sz w:val="28"/>
          <w:szCs w:val="28"/>
        </w:rPr>
        <w:fldChar w:fldCharType="separate"/>
      </w:r>
      <w:r>
        <w:rPr>
          <w:rFonts w:hint="eastAsia" w:ascii="宋体" w:hAnsi="宋体" w:cs="宋体"/>
          <w:sz w:val="28"/>
          <w:szCs w:val="28"/>
        </w:rPr>
        <w:t>24</w:t>
      </w:r>
      <w:r>
        <w:rPr>
          <w:rFonts w:hint="eastAsia" w:ascii="宋体" w:hAnsi="宋体" w:cs="宋体"/>
          <w:sz w:val="28"/>
          <w:szCs w:val="28"/>
        </w:rPr>
        <w:fldChar w:fldCharType="end"/>
      </w:r>
      <w:r>
        <w:rPr>
          <w:rFonts w:hint="eastAsia" w:ascii="宋体" w:hAnsi="宋体" w:cs="宋体"/>
          <w:sz w:val="28"/>
          <w:szCs w:val="28"/>
        </w:rPr>
        <w:fldChar w:fldCharType="end"/>
      </w:r>
    </w:p>
    <w:p w14:paraId="3B50FAD5">
      <w:pPr>
        <w:pStyle w:val="22"/>
        <w:tabs>
          <w:tab w:val="right" w:leader="dot" w:pos="8306"/>
          <w:tab w:val="clear" w:pos="8296"/>
        </w:tabs>
        <w:rPr>
          <w:rFonts w:ascii="宋体" w:hAnsi="宋体" w:cs="宋体"/>
          <w:sz w:val="28"/>
          <w:szCs w:val="28"/>
        </w:rPr>
      </w:pPr>
      <w:r>
        <w:fldChar w:fldCharType="begin"/>
      </w:r>
      <w:r>
        <w:instrText xml:space="preserve"> HYPERLINK \l "_Toc5347" </w:instrText>
      </w:r>
      <w:r>
        <w:fldChar w:fldCharType="separate"/>
      </w:r>
      <w:r>
        <w:rPr>
          <w:rFonts w:hint="eastAsia" w:ascii="宋体" w:hAnsi="宋体" w:cs="宋体"/>
          <w:sz w:val="28"/>
          <w:szCs w:val="28"/>
        </w:rPr>
        <w:t>第一节  湘潭“十四五”城市管理系统建设的指导思想</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_Toc5347 \h </w:instrText>
      </w:r>
      <w:r>
        <w:rPr>
          <w:rFonts w:hint="eastAsia" w:ascii="宋体" w:hAnsi="宋体" w:cs="宋体"/>
          <w:sz w:val="28"/>
          <w:szCs w:val="28"/>
        </w:rPr>
        <w:fldChar w:fldCharType="separate"/>
      </w:r>
      <w:r>
        <w:rPr>
          <w:rFonts w:hint="eastAsia" w:ascii="宋体" w:hAnsi="宋体" w:cs="宋体"/>
          <w:sz w:val="28"/>
          <w:szCs w:val="28"/>
        </w:rPr>
        <w:t>24</w:t>
      </w:r>
      <w:r>
        <w:rPr>
          <w:rFonts w:hint="eastAsia" w:ascii="宋体" w:hAnsi="宋体" w:cs="宋体"/>
          <w:sz w:val="28"/>
          <w:szCs w:val="28"/>
        </w:rPr>
        <w:fldChar w:fldCharType="end"/>
      </w:r>
      <w:r>
        <w:rPr>
          <w:rFonts w:hint="eastAsia" w:ascii="宋体" w:hAnsi="宋体" w:cs="宋体"/>
          <w:sz w:val="28"/>
          <w:szCs w:val="28"/>
        </w:rPr>
        <w:fldChar w:fldCharType="end"/>
      </w:r>
    </w:p>
    <w:p w14:paraId="3D804F93">
      <w:pPr>
        <w:pStyle w:val="22"/>
        <w:tabs>
          <w:tab w:val="right" w:leader="dot" w:pos="8306"/>
          <w:tab w:val="clear" w:pos="8296"/>
        </w:tabs>
        <w:rPr>
          <w:rFonts w:ascii="宋体" w:hAnsi="宋体" w:cs="宋体"/>
          <w:sz w:val="28"/>
          <w:szCs w:val="28"/>
        </w:rPr>
      </w:pPr>
      <w:r>
        <w:fldChar w:fldCharType="begin"/>
      </w:r>
      <w:r>
        <w:instrText xml:space="preserve"> HYPERLINK \l "_Toc21027" </w:instrText>
      </w:r>
      <w:r>
        <w:fldChar w:fldCharType="separate"/>
      </w:r>
      <w:r>
        <w:rPr>
          <w:rFonts w:hint="eastAsia" w:ascii="宋体" w:hAnsi="宋体" w:cs="宋体"/>
          <w:sz w:val="28"/>
          <w:szCs w:val="28"/>
        </w:rPr>
        <w:t>第二节  湘潭“十四五”城市管理系统建设的原则</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_Toc21027 \h </w:instrText>
      </w:r>
      <w:r>
        <w:rPr>
          <w:rFonts w:hint="eastAsia" w:ascii="宋体" w:hAnsi="宋体" w:cs="宋体"/>
          <w:sz w:val="28"/>
          <w:szCs w:val="28"/>
        </w:rPr>
        <w:fldChar w:fldCharType="separate"/>
      </w:r>
      <w:r>
        <w:rPr>
          <w:rFonts w:hint="eastAsia" w:ascii="宋体" w:hAnsi="宋体" w:cs="宋体"/>
          <w:sz w:val="28"/>
          <w:szCs w:val="28"/>
        </w:rPr>
        <w:t>25</w:t>
      </w:r>
      <w:r>
        <w:rPr>
          <w:rFonts w:hint="eastAsia" w:ascii="宋体" w:hAnsi="宋体" w:cs="宋体"/>
          <w:sz w:val="28"/>
          <w:szCs w:val="28"/>
        </w:rPr>
        <w:fldChar w:fldCharType="end"/>
      </w:r>
      <w:r>
        <w:rPr>
          <w:rFonts w:hint="eastAsia" w:ascii="宋体" w:hAnsi="宋体" w:cs="宋体"/>
          <w:sz w:val="28"/>
          <w:szCs w:val="28"/>
        </w:rPr>
        <w:fldChar w:fldCharType="end"/>
      </w:r>
    </w:p>
    <w:p w14:paraId="3120E7E8">
      <w:pPr>
        <w:pStyle w:val="22"/>
        <w:tabs>
          <w:tab w:val="right" w:leader="dot" w:pos="8306"/>
          <w:tab w:val="clear" w:pos="8296"/>
        </w:tabs>
        <w:rPr>
          <w:rFonts w:ascii="宋体" w:hAnsi="宋体" w:cs="宋体"/>
          <w:sz w:val="28"/>
          <w:szCs w:val="28"/>
        </w:rPr>
      </w:pPr>
      <w:r>
        <w:fldChar w:fldCharType="begin"/>
      </w:r>
      <w:r>
        <w:instrText xml:space="preserve"> HYPERLINK \l "_Toc27067" </w:instrText>
      </w:r>
      <w:r>
        <w:fldChar w:fldCharType="separate"/>
      </w:r>
      <w:r>
        <w:rPr>
          <w:rFonts w:hint="eastAsia" w:ascii="宋体" w:hAnsi="宋体" w:cs="宋体"/>
          <w:sz w:val="28"/>
          <w:szCs w:val="28"/>
        </w:rPr>
        <w:t>第三节  湘潭“十四五”城市管理系统建设目标</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_Toc27067 \h </w:instrText>
      </w:r>
      <w:r>
        <w:rPr>
          <w:rFonts w:hint="eastAsia" w:ascii="宋体" w:hAnsi="宋体" w:cs="宋体"/>
          <w:sz w:val="28"/>
          <w:szCs w:val="28"/>
        </w:rPr>
        <w:fldChar w:fldCharType="separate"/>
      </w:r>
      <w:r>
        <w:rPr>
          <w:rFonts w:hint="eastAsia" w:ascii="宋体" w:hAnsi="宋体" w:cs="宋体"/>
          <w:sz w:val="28"/>
          <w:szCs w:val="28"/>
        </w:rPr>
        <w:t>26</w:t>
      </w:r>
      <w:r>
        <w:rPr>
          <w:rFonts w:hint="eastAsia" w:ascii="宋体" w:hAnsi="宋体" w:cs="宋体"/>
          <w:sz w:val="28"/>
          <w:szCs w:val="28"/>
        </w:rPr>
        <w:fldChar w:fldCharType="end"/>
      </w:r>
      <w:r>
        <w:rPr>
          <w:rFonts w:hint="eastAsia" w:ascii="宋体" w:hAnsi="宋体" w:cs="宋体"/>
          <w:sz w:val="28"/>
          <w:szCs w:val="28"/>
        </w:rPr>
        <w:fldChar w:fldCharType="end"/>
      </w:r>
    </w:p>
    <w:p w14:paraId="22CFD673">
      <w:pPr>
        <w:pStyle w:val="11"/>
        <w:tabs>
          <w:tab w:val="right" w:leader="dot" w:pos="8306"/>
          <w:tab w:val="clear" w:pos="8296"/>
        </w:tabs>
        <w:rPr>
          <w:rFonts w:ascii="宋体" w:hAnsi="宋体" w:cs="宋体"/>
          <w:sz w:val="28"/>
          <w:szCs w:val="28"/>
        </w:rPr>
      </w:pPr>
      <w:r>
        <w:fldChar w:fldCharType="begin"/>
      </w:r>
      <w:r>
        <w:instrText xml:space="preserve"> HYPERLINK \l "_Toc20760" </w:instrText>
      </w:r>
      <w:r>
        <w:fldChar w:fldCharType="separate"/>
      </w:r>
      <w:r>
        <w:rPr>
          <w:rFonts w:hint="eastAsia" w:ascii="宋体" w:hAnsi="宋体" w:cs="宋体"/>
          <w:sz w:val="28"/>
          <w:szCs w:val="28"/>
        </w:rPr>
        <w:t>一、建设目标</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_Toc20760 \h </w:instrText>
      </w:r>
      <w:r>
        <w:rPr>
          <w:rFonts w:hint="eastAsia" w:ascii="宋体" w:hAnsi="宋体" w:cs="宋体"/>
          <w:sz w:val="28"/>
          <w:szCs w:val="28"/>
        </w:rPr>
        <w:fldChar w:fldCharType="separate"/>
      </w:r>
      <w:r>
        <w:rPr>
          <w:rFonts w:hint="eastAsia" w:ascii="宋体" w:hAnsi="宋体" w:cs="宋体"/>
          <w:sz w:val="28"/>
          <w:szCs w:val="28"/>
        </w:rPr>
        <w:t>26</w:t>
      </w:r>
      <w:r>
        <w:rPr>
          <w:rFonts w:hint="eastAsia" w:ascii="宋体" w:hAnsi="宋体" w:cs="宋体"/>
          <w:sz w:val="28"/>
          <w:szCs w:val="28"/>
        </w:rPr>
        <w:fldChar w:fldCharType="end"/>
      </w:r>
      <w:r>
        <w:rPr>
          <w:rFonts w:hint="eastAsia" w:ascii="宋体" w:hAnsi="宋体" w:cs="宋体"/>
          <w:sz w:val="28"/>
          <w:szCs w:val="28"/>
        </w:rPr>
        <w:fldChar w:fldCharType="end"/>
      </w:r>
    </w:p>
    <w:p w14:paraId="601A10FF">
      <w:pPr>
        <w:pStyle w:val="11"/>
        <w:tabs>
          <w:tab w:val="right" w:leader="dot" w:pos="8306"/>
          <w:tab w:val="clear" w:pos="8296"/>
        </w:tabs>
        <w:rPr>
          <w:rFonts w:ascii="宋体" w:hAnsi="宋体" w:cs="宋体"/>
          <w:sz w:val="28"/>
          <w:szCs w:val="28"/>
        </w:rPr>
      </w:pPr>
      <w:r>
        <w:fldChar w:fldCharType="begin"/>
      </w:r>
      <w:r>
        <w:instrText xml:space="preserve"> HYPERLINK \l "_Toc31748" </w:instrText>
      </w:r>
      <w:r>
        <w:fldChar w:fldCharType="separate"/>
      </w:r>
      <w:r>
        <w:rPr>
          <w:rFonts w:hint="eastAsia" w:ascii="宋体" w:hAnsi="宋体" w:cs="宋体"/>
          <w:sz w:val="28"/>
          <w:szCs w:val="28"/>
        </w:rPr>
        <w:t>二、主要指标</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_Toc31748 \h </w:instrText>
      </w:r>
      <w:r>
        <w:rPr>
          <w:rFonts w:hint="eastAsia" w:ascii="宋体" w:hAnsi="宋体" w:cs="宋体"/>
          <w:sz w:val="28"/>
          <w:szCs w:val="28"/>
        </w:rPr>
        <w:fldChar w:fldCharType="separate"/>
      </w:r>
      <w:r>
        <w:rPr>
          <w:rFonts w:hint="eastAsia" w:ascii="宋体" w:hAnsi="宋体" w:cs="宋体"/>
          <w:sz w:val="28"/>
          <w:szCs w:val="28"/>
        </w:rPr>
        <w:t>26</w:t>
      </w:r>
      <w:r>
        <w:rPr>
          <w:rFonts w:hint="eastAsia" w:ascii="宋体" w:hAnsi="宋体" w:cs="宋体"/>
          <w:sz w:val="28"/>
          <w:szCs w:val="28"/>
        </w:rPr>
        <w:fldChar w:fldCharType="end"/>
      </w:r>
      <w:r>
        <w:rPr>
          <w:rFonts w:hint="eastAsia" w:ascii="宋体" w:hAnsi="宋体" w:cs="宋体"/>
          <w:sz w:val="28"/>
          <w:szCs w:val="28"/>
        </w:rPr>
        <w:fldChar w:fldCharType="end"/>
      </w:r>
    </w:p>
    <w:p w14:paraId="769A4D9A">
      <w:pPr>
        <w:pStyle w:val="22"/>
        <w:tabs>
          <w:tab w:val="right" w:leader="dot" w:pos="8306"/>
          <w:tab w:val="clear" w:pos="8296"/>
        </w:tabs>
        <w:rPr>
          <w:rFonts w:ascii="宋体" w:hAnsi="宋体" w:cs="宋体"/>
          <w:sz w:val="28"/>
          <w:szCs w:val="28"/>
        </w:rPr>
      </w:pPr>
      <w:r>
        <w:fldChar w:fldCharType="begin"/>
      </w:r>
      <w:r>
        <w:instrText xml:space="preserve"> HYPERLINK \l "_Toc21989" </w:instrText>
      </w:r>
      <w:r>
        <w:fldChar w:fldCharType="separate"/>
      </w:r>
      <w:r>
        <w:rPr>
          <w:rFonts w:hint="eastAsia" w:ascii="宋体" w:hAnsi="宋体" w:cs="宋体"/>
          <w:sz w:val="28"/>
          <w:szCs w:val="28"/>
        </w:rPr>
        <w:t>第四节  湘潭“十四五”城市管理系统建设任务</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_Toc21989 \h </w:instrText>
      </w:r>
      <w:r>
        <w:rPr>
          <w:rFonts w:hint="eastAsia" w:ascii="宋体" w:hAnsi="宋体" w:cs="宋体"/>
          <w:sz w:val="28"/>
          <w:szCs w:val="28"/>
        </w:rPr>
        <w:fldChar w:fldCharType="separate"/>
      </w:r>
      <w:r>
        <w:rPr>
          <w:rFonts w:hint="eastAsia" w:ascii="宋体" w:hAnsi="宋体" w:cs="宋体"/>
          <w:sz w:val="28"/>
          <w:szCs w:val="28"/>
        </w:rPr>
        <w:t>28</w:t>
      </w:r>
      <w:r>
        <w:rPr>
          <w:rFonts w:hint="eastAsia" w:ascii="宋体" w:hAnsi="宋体" w:cs="宋体"/>
          <w:sz w:val="28"/>
          <w:szCs w:val="28"/>
        </w:rPr>
        <w:fldChar w:fldCharType="end"/>
      </w:r>
      <w:r>
        <w:rPr>
          <w:rFonts w:hint="eastAsia" w:ascii="宋体" w:hAnsi="宋体" w:cs="宋体"/>
          <w:sz w:val="28"/>
          <w:szCs w:val="28"/>
        </w:rPr>
        <w:fldChar w:fldCharType="end"/>
      </w:r>
    </w:p>
    <w:p w14:paraId="2813A7B8">
      <w:pPr>
        <w:pStyle w:val="11"/>
        <w:tabs>
          <w:tab w:val="right" w:leader="dot" w:pos="8306"/>
          <w:tab w:val="clear" w:pos="8296"/>
        </w:tabs>
        <w:rPr>
          <w:rFonts w:ascii="宋体" w:hAnsi="宋体" w:cs="宋体"/>
          <w:sz w:val="28"/>
          <w:szCs w:val="28"/>
        </w:rPr>
      </w:pPr>
      <w:r>
        <w:fldChar w:fldCharType="begin"/>
      </w:r>
      <w:r>
        <w:instrText xml:space="preserve"> HYPERLINK \l "_Toc32580" </w:instrText>
      </w:r>
      <w:r>
        <w:fldChar w:fldCharType="separate"/>
      </w:r>
      <w:r>
        <w:rPr>
          <w:rFonts w:hint="eastAsia" w:ascii="宋体" w:hAnsi="宋体" w:cs="宋体"/>
          <w:sz w:val="28"/>
          <w:szCs w:val="28"/>
        </w:rPr>
        <w:t>一、提升行业管理水平</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_Toc32580 \h </w:instrText>
      </w:r>
      <w:r>
        <w:rPr>
          <w:rFonts w:hint="eastAsia" w:ascii="宋体" w:hAnsi="宋体" w:cs="宋体"/>
          <w:sz w:val="28"/>
          <w:szCs w:val="28"/>
        </w:rPr>
        <w:fldChar w:fldCharType="separate"/>
      </w:r>
      <w:r>
        <w:rPr>
          <w:rFonts w:hint="eastAsia" w:ascii="宋体" w:hAnsi="宋体" w:cs="宋体"/>
          <w:sz w:val="28"/>
          <w:szCs w:val="28"/>
        </w:rPr>
        <w:t>28</w:t>
      </w:r>
      <w:r>
        <w:rPr>
          <w:rFonts w:hint="eastAsia" w:ascii="宋体" w:hAnsi="宋体" w:cs="宋体"/>
          <w:sz w:val="28"/>
          <w:szCs w:val="28"/>
        </w:rPr>
        <w:fldChar w:fldCharType="end"/>
      </w:r>
      <w:r>
        <w:rPr>
          <w:rFonts w:hint="eastAsia" w:ascii="宋体" w:hAnsi="宋体" w:cs="宋体"/>
          <w:sz w:val="28"/>
          <w:szCs w:val="28"/>
        </w:rPr>
        <w:fldChar w:fldCharType="end"/>
      </w:r>
    </w:p>
    <w:p w14:paraId="1312B3B4">
      <w:pPr>
        <w:pStyle w:val="11"/>
        <w:tabs>
          <w:tab w:val="right" w:leader="dot" w:pos="8306"/>
          <w:tab w:val="clear" w:pos="8296"/>
        </w:tabs>
        <w:rPr>
          <w:rFonts w:ascii="宋体" w:hAnsi="宋体" w:cs="宋体"/>
          <w:sz w:val="28"/>
          <w:szCs w:val="28"/>
        </w:rPr>
      </w:pPr>
      <w:r>
        <w:fldChar w:fldCharType="begin"/>
      </w:r>
      <w:r>
        <w:instrText xml:space="preserve"> HYPERLINK \l "_Toc18773" </w:instrText>
      </w:r>
      <w:r>
        <w:fldChar w:fldCharType="separate"/>
      </w:r>
      <w:r>
        <w:rPr>
          <w:rFonts w:hint="eastAsia" w:ascii="宋体" w:hAnsi="宋体" w:cs="宋体"/>
          <w:sz w:val="28"/>
          <w:szCs w:val="28"/>
        </w:rPr>
        <w:t>二、打造城市综合管理服务平台</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_Toc18773 \h </w:instrText>
      </w:r>
      <w:r>
        <w:rPr>
          <w:rFonts w:hint="eastAsia" w:ascii="宋体" w:hAnsi="宋体" w:cs="宋体"/>
          <w:sz w:val="28"/>
          <w:szCs w:val="28"/>
        </w:rPr>
        <w:fldChar w:fldCharType="separate"/>
      </w:r>
      <w:r>
        <w:rPr>
          <w:rFonts w:hint="eastAsia" w:ascii="宋体" w:hAnsi="宋体" w:cs="宋体"/>
          <w:sz w:val="28"/>
          <w:szCs w:val="28"/>
        </w:rPr>
        <w:t>28</w:t>
      </w:r>
      <w:r>
        <w:rPr>
          <w:rFonts w:hint="eastAsia" w:ascii="宋体" w:hAnsi="宋体" w:cs="宋体"/>
          <w:sz w:val="28"/>
          <w:szCs w:val="28"/>
        </w:rPr>
        <w:fldChar w:fldCharType="end"/>
      </w:r>
      <w:r>
        <w:rPr>
          <w:rFonts w:hint="eastAsia" w:ascii="宋体" w:hAnsi="宋体" w:cs="宋体"/>
          <w:sz w:val="28"/>
          <w:szCs w:val="28"/>
        </w:rPr>
        <w:fldChar w:fldCharType="end"/>
      </w:r>
    </w:p>
    <w:p w14:paraId="7E1A07D3">
      <w:pPr>
        <w:pStyle w:val="11"/>
        <w:tabs>
          <w:tab w:val="right" w:leader="dot" w:pos="8306"/>
          <w:tab w:val="clear" w:pos="8296"/>
        </w:tabs>
        <w:rPr>
          <w:rFonts w:ascii="宋体" w:hAnsi="宋体" w:cs="宋体"/>
          <w:sz w:val="28"/>
          <w:szCs w:val="28"/>
        </w:rPr>
      </w:pPr>
      <w:r>
        <w:fldChar w:fldCharType="begin"/>
      </w:r>
      <w:r>
        <w:instrText xml:space="preserve"> HYPERLINK \l "_Toc5899" </w:instrText>
      </w:r>
      <w:r>
        <w:fldChar w:fldCharType="separate"/>
      </w:r>
      <w:r>
        <w:rPr>
          <w:rFonts w:hint="eastAsia" w:ascii="宋体" w:hAnsi="宋体" w:cs="宋体"/>
          <w:sz w:val="28"/>
          <w:szCs w:val="28"/>
        </w:rPr>
        <w:t>三、实现城乡环卫一体化</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_Toc5899 \h </w:instrText>
      </w:r>
      <w:r>
        <w:rPr>
          <w:rFonts w:hint="eastAsia" w:ascii="宋体" w:hAnsi="宋体" w:cs="宋体"/>
          <w:sz w:val="28"/>
          <w:szCs w:val="28"/>
        </w:rPr>
        <w:fldChar w:fldCharType="separate"/>
      </w:r>
      <w:r>
        <w:rPr>
          <w:rFonts w:hint="eastAsia" w:ascii="宋体" w:hAnsi="宋体" w:cs="宋体"/>
          <w:sz w:val="28"/>
          <w:szCs w:val="28"/>
        </w:rPr>
        <w:t>29</w:t>
      </w:r>
      <w:r>
        <w:rPr>
          <w:rFonts w:hint="eastAsia" w:ascii="宋体" w:hAnsi="宋体" w:cs="宋体"/>
          <w:sz w:val="28"/>
          <w:szCs w:val="28"/>
        </w:rPr>
        <w:fldChar w:fldCharType="end"/>
      </w:r>
      <w:r>
        <w:rPr>
          <w:rFonts w:hint="eastAsia" w:ascii="宋体" w:hAnsi="宋体" w:cs="宋体"/>
          <w:sz w:val="28"/>
          <w:szCs w:val="28"/>
        </w:rPr>
        <w:fldChar w:fldCharType="end"/>
      </w:r>
    </w:p>
    <w:p w14:paraId="5969F5AA">
      <w:pPr>
        <w:pStyle w:val="11"/>
        <w:tabs>
          <w:tab w:val="right" w:leader="dot" w:pos="8306"/>
          <w:tab w:val="clear" w:pos="8296"/>
        </w:tabs>
        <w:rPr>
          <w:rFonts w:ascii="宋体" w:hAnsi="宋体" w:cs="宋体"/>
          <w:sz w:val="28"/>
          <w:szCs w:val="28"/>
        </w:rPr>
      </w:pPr>
      <w:r>
        <w:fldChar w:fldCharType="begin"/>
      </w:r>
      <w:r>
        <w:instrText xml:space="preserve"> HYPERLINK \l "_Toc28381" </w:instrText>
      </w:r>
      <w:r>
        <w:fldChar w:fldCharType="separate"/>
      </w:r>
      <w:r>
        <w:rPr>
          <w:rFonts w:hint="eastAsia" w:ascii="宋体" w:hAnsi="宋体" w:cs="宋体"/>
          <w:sz w:val="28"/>
          <w:szCs w:val="28"/>
        </w:rPr>
        <w:t>四、推进垃圾资源化利用</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_Toc28381 \h </w:instrText>
      </w:r>
      <w:r>
        <w:rPr>
          <w:rFonts w:hint="eastAsia" w:ascii="宋体" w:hAnsi="宋体" w:cs="宋体"/>
          <w:sz w:val="28"/>
          <w:szCs w:val="28"/>
        </w:rPr>
        <w:fldChar w:fldCharType="separate"/>
      </w:r>
      <w:r>
        <w:rPr>
          <w:rFonts w:hint="eastAsia" w:ascii="宋体" w:hAnsi="宋体" w:cs="宋体"/>
          <w:sz w:val="28"/>
          <w:szCs w:val="28"/>
        </w:rPr>
        <w:t>30</w:t>
      </w:r>
      <w:r>
        <w:rPr>
          <w:rFonts w:hint="eastAsia" w:ascii="宋体" w:hAnsi="宋体" w:cs="宋体"/>
          <w:sz w:val="28"/>
          <w:szCs w:val="28"/>
        </w:rPr>
        <w:fldChar w:fldCharType="end"/>
      </w:r>
      <w:r>
        <w:rPr>
          <w:rFonts w:hint="eastAsia" w:ascii="宋体" w:hAnsi="宋体" w:cs="宋体"/>
          <w:sz w:val="28"/>
          <w:szCs w:val="28"/>
        </w:rPr>
        <w:fldChar w:fldCharType="end"/>
      </w:r>
    </w:p>
    <w:p w14:paraId="1F42A575">
      <w:pPr>
        <w:pStyle w:val="11"/>
        <w:tabs>
          <w:tab w:val="right" w:leader="dot" w:pos="8306"/>
          <w:tab w:val="clear" w:pos="8296"/>
        </w:tabs>
        <w:rPr>
          <w:rFonts w:ascii="宋体" w:hAnsi="宋体" w:cs="宋体"/>
          <w:sz w:val="28"/>
          <w:szCs w:val="28"/>
        </w:rPr>
      </w:pPr>
      <w:r>
        <w:fldChar w:fldCharType="begin"/>
      </w:r>
      <w:r>
        <w:instrText xml:space="preserve"> HYPERLINK \l "_Toc5755" </w:instrText>
      </w:r>
      <w:r>
        <w:fldChar w:fldCharType="separate"/>
      </w:r>
      <w:r>
        <w:rPr>
          <w:rFonts w:hint="eastAsia" w:ascii="宋体" w:hAnsi="宋体" w:cs="宋体"/>
          <w:sz w:val="28"/>
          <w:szCs w:val="28"/>
        </w:rPr>
        <w:t>五、提升管理系统承载力</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_Toc5755 \h </w:instrText>
      </w:r>
      <w:r>
        <w:rPr>
          <w:rFonts w:hint="eastAsia" w:ascii="宋体" w:hAnsi="宋体" w:cs="宋体"/>
          <w:sz w:val="28"/>
          <w:szCs w:val="28"/>
        </w:rPr>
        <w:fldChar w:fldCharType="separate"/>
      </w:r>
      <w:r>
        <w:rPr>
          <w:rFonts w:hint="eastAsia" w:ascii="宋体" w:hAnsi="宋体" w:cs="宋体"/>
          <w:sz w:val="28"/>
          <w:szCs w:val="28"/>
        </w:rPr>
        <w:t>30</w:t>
      </w:r>
      <w:r>
        <w:rPr>
          <w:rFonts w:hint="eastAsia" w:ascii="宋体" w:hAnsi="宋体" w:cs="宋体"/>
          <w:sz w:val="28"/>
          <w:szCs w:val="28"/>
        </w:rPr>
        <w:fldChar w:fldCharType="end"/>
      </w:r>
      <w:r>
        <w:rPr>
          <w:rFonts w:hint="eastAsia" w:ascii="宋体" w:hAnsi="宋体" w:cs="宋体"/>
          <w:sz w:val="28"/>
          <w:szCs w:val="28"/>
        </w:rPr>
        <w:fldChar w:fldCharType="end"/>
      </w:r>
    </w:p>
    <w:p w14:paraId="5F9B6E7E">
      <w:pPr>
        <w:pStyle w:val="11"/>
        <w:tabs>
          <w:tab w:val="right" w:leader="dot" w:pos="8306"/>
          <w:tab w:val="clear" w:pos="8296"/>
        </w:tabs>
        <w:rPr>
          <w:rFonts w:ascii="宋体" w:hAnsi="宋体" w:cs="宋体"/>
          <w:sz w:val="28"/>
          <w:szCs w:val="28"/>
        </w:rPr>
      </w:pPr>
      <w:r>
        <w:fldChar w:fldCharType="begin"/>
      </w:r>
      <w:r>
        <w:instrText xml:space="preserve"> HYPERLINK \l "_Toc31891" </w:instrText>
      </w:r>
      <w:r>
        <w:fldChar w:fldCharType="separate"/>
      </w:r>
      <w:r>
        <w:rPr>
          <w:rFonts w:hint="eastAsia" w:ascii="宋体" w:hAnsi="宋体" w:cs="宋体"/>
          <w:sz w:val="28"/>
          <w:szCs w:val="28"/>
        </w:rPr>
        <w:t>六、推进城市治理现代化</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_Toc31891 \h </w:instrText>
      </w:r>
      <w:r>
        <w:rPr>
          <w:rFonts w:hint="eastAsia" w:ascii="宋体" w:hAnsi="宋体" w:cs="宋体"/>
          <w:sz w:val="28"/>
          <w:szCs w:val="28"/>
        </w:rPr>
        <w:fldChar w:fldCharType="separate"/>
      </w:r>
      <w:r>
        <w:rPr>
          <w:rFonts w:hint="eastAsia" w:ascii="宋体" w:hAnsi="宋体" w:cs="宋体"/>
          <w:sz w:val="28"/>
          <w:szCs w:val="28"/>
        </w:rPr>
        <w:t>31</w:t>
      </w:r>
      <w:r>
        <w:rPr>
          <w:rFonts w:hint="eastAsia" w:ascii="宋体" w:hAnsi="宋体" w:cs="宋体"/>
          <w:sz w:val="28"/>
          <w:szCs w:val="28"/>
        </w:rPr>
        <w:fldChar w:fldCharType="end"/>
      </w:r>
      <w:r>
        <w:rPr>
          <w:rFonts w:hint="eastAsia" w:ascii="宋体" w:hAnsi="宋体" w:cs="宋体"/>
          <w:sz w:val="28"/>
          <w:szCs w:val="28"/>
        </w:rPr>
        <w:fldChar w:fldCharType="end"/>
      </w:r>
    </w:p>
    <w:p w14:paraId="49B58786">
      <w:pPr>
        <w:pStyle w:val="11"/>
        <w:tabs>
          <w:tab w:val="right" w:leader="dot" w:pos="8306"/>
          <w:tab w:val="clear" w:pos="8296"/>
        </w:tabs>
        <w:rPr>
          <w:rFonts w:ascii="宋体" w:hAnsi="宋体" w:cs="宋体"/>
          <w:sz w:val="28"/>
          <w:szCs w:val="28"/>
        </w:rPr>
      </w:pPr>
      <w:r>
        <w:fldChar w:fldCharType="begin"/>
      </w:r>
      <w:r>
        <w:instrText xml:space="preserve"> HYPERLINK \l "_Toc13543" </w:instrText>
      </w:r>
      <w:r>
        <w:fldChar w:fldCharType="separate"/>
      </w:r>
      <w:r>
        <w:rPr>
          <w:rFonts w:hint="eastAsia" w:ascii="宋体" w:hAnsi="宋体" w:cs="宋体"/>
          <w:sz w:val="28"/>
          <w:szCs w:val="28"/>
        </w:rPr>
        <w:t>七、构建安全保障体系</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_Toc13543 \h </w:instrText>
      </w:r>
      <w:r>
        <w:rPr>
          <w:rFonts w:hint="eastAsia" w:ascii="宋体" w:hAnsi="宋体" w:cs="宋体"/>
          <w:sz w:val="28"/>
          <w:szCs w:val="28"/>
        </w:rPr>
        <w:fldChar w:fldCharType="separate"/>
      </w:r>
      <w:r>
        <w:rPr>
          <w:rFonts w:hint="eastAsia" w:ascii="宋体" w:hAnsi="宋体" w:cs="宋体"/>
          <w:sz w:val="28"/>
          <w:szCs w:val="28"/>
        </w:rPr>
        <w:t>32</w:t>
      </w:r>
      <w:r>
        <w:rPr>
          <w:rFonts w:hint="eastAsia" w:ascii="宋体" w:hAnsi="宋体" w:cs="宋体"/>
          <w:sz w:val="28"/>
          <w:szCs w:val="28"/>
        </w:rPr>
        <w:fldChar w:fldCharType="end"/>
      </w:r>
      <w:r>
        <w:rPr>
          <w:rFonts w:hint="eastAsia" w:ascii="宋体" w:hAnsi="宋体" w:cs="宋体"/>
          <w:sz w:val="28"/>
          <w:szCs w:val="28"/>
        </w:rPr>
        <w:fldChar w:fldCharType="end"/>
      </w:r>
    </w:p>
    <w:p w14:paraId="3EB746EF">
      <w:pPr>
        <w:pStyle w:val="19"/>
        <w:tabs>
          <w:tab w:val="right" w:leader="dot" w:pos="8306"/>
          <w:tab w:val="clear" w:pos="8296"/>
        </w:tabs>
        <w:rPr>
          <w:rFonts w:ascii="宋体" w:hAnsi="宋体" w:cs="宋体"/>
          <w:sz w:val="28"/>
          <w:szCs w:val="28"/>
        </w:rPr>
      </w:pPr>
      <w:r>
        <w:fldChar w:fldCharType="begin"/>
      </w:r>
      <w:r>
        <w:instrText xml:space="preserve"> HYPERLINK \l "_Toc1993" </w:instrText>
      </w:r>
      <w:r>
        <w:fldChar w:fldCharType="separate"/>
      </w:r>
      <w:r>
        <w:rPr>
          <w:rFonts w:hint="eastAsia" w:ascii="宋体" w:hAnsi="宋体" w:cs="宋体"/>
          <w:sz w:val="28"/>
          <w:szCs w:val="28"/>
        </w:rPr>
        <w:t>第四章 全面加强城市精细化管理，提升现代化管理水平</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_Toc1993 \h </w:instrText>
      </w:r>
      <w:r>
        <w:rPr>
          <w:rFonts w:hint="eastAsia" w:ascii="宋体" w:hAnsi="宋体" w:cs="宋体"/>
          <w:sz w:val="28"/>
          <w:szCs w:val="28"/>
        </w:rPr>
        <w:fldChar w:fldCharType="separate"/>
      </w:r>
      <w:r>
        <w:rPr>
          <w:rFonts w:hint="eastAsia" w:ascii="宋体" w:hAnsi="宋体" w:cs="宋体"/>
          <w:sz w:val="28"/>
          <w:szCs w:val="28"/>
        </w:rPr>
        <w:t>33</w:t>
      </w:r>
      <w:r>
        <w:rPr>
          <w:rFonts w:hint="eastAsia" w:ascii="宋体" w:hAnsi="宋体" w:cs="宋体"/>
          <w:sz w:val="28"/>
          <w:szCs w:val="28"/>
        </w:rPr>
        <w:fldChar w:fldCharType="end"/>
      </w:r>
      <w:r>
        <w:rPr>
          <w:rFonts w:hint="eastAsia" w:ascii="宋体" w:hAnsi="宋体" w:cs="宋体"/>
          <w:sz w:val="28"/>
          <w:szCs w:val="28"/>
        </w:rPr>
        <w:fldChar w:fldCharType="end"/>
      </w:r>
    </w:p>
    <w:p w14:paraId="1CC11B08">
      <w:pPr>
        <w:pStyle w:val="22"/>
        <w:tabs>
          <w:tab w:val="right" w:leader="dot" w:pos="8306"/>
          <w:tab w:val="clear" w:pos="8296"/>
        </w:tabs>
        <w:rPr>
          <w:rFonts w:ascii="宋体" w:hAnsi="宋体" w:cs="宋体"/>
          <w:sz w:val="28"/>
          <w:szCs w:val="28"/>
        </w:rPr>
      </w:pPr>
      <w:r>
        <w:fldChar w:fldCharType="begin"/>
      </w:r>
      <w:r>
        <w:instrText xml:space="preserve"> HYPERLINK \l "_Toc10358" </w:instrText>
      </w:r>
      <w:r>
        <w:fldChar w:fldCharType="separate"/>
      </w:r>
      <w:r>
        <w:rPr>
          <w:rFonts w:hint="eastAsia" w:ascii="宋体" w:hAnsi="宋体" w:cs="宋体"/>
          <w:sz w:val="28"/>
          <w:szCs w:val="28"/>
        </w:rPr>
        <w:t>第一节  城市精细化管理理念与目标</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_Toc10358 \h </w:instrText>
      </w:r>
      <w:r>
        <w:rPr>
          <w:rFonts w:hint="eastAsia" w:ascii="宋体" w:hAnsi="宋体" w:cs="宋体"/>
          <w:sz w:val="28"/>
          <w:szCs w:val="28"/>
        </w:rPr>
        <w:fldChar w:fldCharType="separate"/>
      </w:r>
      <w:r>
        <w:rPr>
          <w:rFonts w:hint="eastAsia" w:ascii="宋体" w:hAnsi="宋体" w:cs="宋体"/>
          <w:sz w:val="28"/>
          <w:szCs w:val="28"/>
        </w:rPr>
        <w:t>33</w:t>
      </w:r>
      <w:r>
        <w:rPr>
          <w:rFonts w:hint="eastAsia" w:ascii="宋体" w:hAnsi="宋体" w:cs="宋体"/>
          <w:sz w:val="28"/>
          <w:szCs w:val="28"/>
        </w:rPr>
        <w:fldChar w:fldCharType="end"/>
      </w:r>
      <w:r>
        <w:rPr>
          <w:rFonts w:hint="eastAsia" w:ascii="宋体" w:hAnsi="宋体" w:cs="宋体"/>
          <w:sz w:val="28"/>
          <w:szCs w:val="28"/>
        </w:rPr>
        <w:fldChar w:fldCharType="end"/>
      </w:r>
    </w:p>
    <w:p w14:paraId="702C4C86">
      <w:pPr>
        <w:pStyle w:val="11"/>
        <w:tabs>
          <w:tab w:val="right" w:leader="dot" w:pos="8306"/>
          <w:tab w:val="clear" w:pos="8296"/>
        </w:tabs>
        <w:rPr>
          <w:rFonts w:ascii="宋体" w:hAnsi="宋体" w:cs="宋体"/>
          <w:sz w:val="28"/>
          <w:szCs w:val="28"/>
        </w:rPr>
      </w:pPr>
      <w:r>
        <w:fldChar w:fldCharType="begin"/>
      </w:r>
      <w:r>
        <w:instrText xml:space="preserve"> HYPERLINK \l "_Toc5024" </w:instrText>
      </w:r>
      <w:r>
        <w:fldChar w:fldCharType="separate"/>
      </w:r>
      <w:r>
        <w:rPr>
          <w:rFonts w:hint="eastAsia" w:ascii="宋体" w:hAnsi="宋体" w:cs="宋体"/>
          <w:sz w:val="28"/>
          <w:szCs w:val="28"/>
        </w:rPr>
        <w:t>一、城市精细化管理理念</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_Toc5024 \h </w:instrText>
      </w:r>
      <w:r>
        <w:rPr>
          <w:rFonts w:hint="eastAsia" w:ascii="宋体" w:hAnsi="宋体" w:cs="宋体"/>
          <w:sz w:val="28"/>
          <w:szCs w:val="28"/>
        </w:rPr>
        <w:fldChar w:fldCharType="separate"/>
      </w:r>
      <w:r>
        <w:rPr>
          <w:rFonts w:hint="eastAsia" w:ascii="宋体" w:hAnsi="宋体" w:cs="宋体"/>
          <w:sz w:val="28"/>
          <w:szCs w:val="28"/>
        </w:rPr>
        <w:t>33</w:t>
      </w:r>
      <w:r>
        <w:rPr>
          <w:rFonts w:hint="eastAsia" w:ascii="宋体" w:hAnsi="宋体" w:cs="宋体"/>
          <w:sz w:val="28"/>
          <w:szCs w:val="28"/>
        </w:rPr>
        <w:fldChar w:fldCharType="end"/>
      </w:r>
      <w:r>
        <w:rPr>
          <w:rFonts w:hint="eastAsia" w:ascii="宋体" w:hAnsi="宋体" w:cs="宋体"/>
          <w:sz w:val="28"/>
          <w:szCs w:val="28"/>
        </w:rPr>
        <w:fldChar w:fldCharType="end"/>
      </w:r>
    </w:p>
    <w:p w14:paraId="44CE9BB5">
      <w:pPr>
        <w:pStyle w:val="11"/>
        <w:tabs>
          <w:tab w:val="right" w:leader="dot" w:pos="8306"/>
          <w:tab w:val="clear" w:pos="8296"/>
        </w:tabs>
        <w:rPr>
          <w:rFonts w:ascii="宋体" w:hAnsi="宋体" w:cs="宋体"/>
          <w:sz w:val="28"/>
          <w:szCs w:val="28"/>
        </w:rPr>
      </w:pPr>
      <w:r>
        <w:fldChar w:fldCharType="begin"/>
      </w:r>
      <w:r>
        <w:instrText xml:space="preserve"> HYPERLINK \l "_Toc24316" </w:instrText>
      </w:r>
      <w:r>
        <w:fldChar w:fldCharType="separate"/>
      </w:r>
      <w:r>
        <w:rPr>
          <w:rFonts w:hint="eastAsia" w:ascii="宋体" w:hAnsi="宋体" w:cs="宋体"/>
          <w:sz w:val="28"/>
          <w:szCs w:val="28"/>
        </w:rPr>
        <w:t>二、城市精细化管理目标</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_Toc24316 \h </w:instrText>
      </w:r>
      <w:r>
        <w:rPr>
          <w:rFonts w:hint="eastAsia" w:ascii="宋体" w:hAnsi="宋体" w:cs="宋体"/>
          <w:sz w:val="28"/>
          <w:szCs w:val="28"/>
        </w:rPr>
        <w:fldChar w:fldCharType="separate"/>
      </w:r>
      <w:r>
        <w:rPr>
          <w:rFonts w:hint="eastAsia" w:ascii="宋体" w:hAnsi="宋体" w:cs="宋体"/>
          <w:sz w:val="28"/>
          <w:szCs w:val="28"/>
        </w:rPr>
        <w:t>33</w:t>
      </w:r>
      <w:r>
        <w:rPr>
          <w:rFonts w:hint="eastAsia" w:ascii="宋体" w:hAnsi="宋体" w:cs="宋体"/>
          <w:sz w:val="28"/>
          <w:szCs w:val="28"/>
        </w:rPr>
        <w:fldChar w:fldCharType="end"/>
      </w:r>
      <w:r>
        <w:rPr>
          <w:rFonts w:hint="eastAsia" w:ascii="宋体" w:hAnsi="宋体" w:cs="宋体"/>
          <w:sz w:val="28"/>
          <w:szCs w:val="28"/>
        </w:rPr>
        <w:fldChar w:fldCharType="end"/>
      </w:r>
    </w:p>
    <w:p w14:paraId="527742F0">
      <w:pPr>
        <w:pStyle w:val="22"/>
        <w:tabs>
          <w:tab w:val="right" w:leader="dot" w:pos="8306"/>
          <w:tab w:val="clear" w:pos="8296"/>
        </w:tabs>
        <w:rPr>
          <w:rFonts w:ascii="宋体" w:hAnsi="宋体" w:cs="宋体"/>
          <w:sz w:val="28"/>
          <w:szCs w:val="28"/>
        </w:rPr>
      </w:pPr>
      <w:r>
        <w:fldChar w:fldCharType="begin"/>
      </w:r>
      <w:r>
        <w:instrText xml:space="preserve"> HYPERLINK \l "_Toc14606" </w:instrText>
      </w:r>
      <w:r>
        <w:fldChar w:fldCharType="separate"/>
      </w:r>
      <w:r>
        <w:rPr>
          <w:rFonts w:hint="eastAsia" w:ascii="宋体" w:hAnsi="宋体" w:cs="宋体"/>
          <w:sz w:val="28"/>
          <w:szCs w:val="28"/>
        </w:rPr>
        <w:t>第二节  城市精细管理主要内容</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_Toc14606 \h </w:instrText>
      </w:r>
      <w:r>
        <w:rPr>
          <w:rFonts w:hint="eastAsia" w:ascii="宋体" w:hAnsi="宋体" w:cs="宋体"/>
          <w:sz w:val="28"/>
          <w:szCs w:val="28"/>
        </w:rPr>
        <w:fldChar w:fldCharType="separate"/>
      </w:r>
      <w:r>
        <w:rPr>
          <w:rFonts w:hint="eastAsia" w:ascii="宋体" w:hAnsi="宋体" w:cs="宋体"/>
          <w:sz w:val="28"/>
          <w:szCs w:val="28"/>
        </w:rPr>
        <w:t>34</w:t>
      </w:r>
      <w:r>
        <w:rPr>
          <w:rFonts w:hint="eastAsia" w:ascii="宋体" w:hAnsi="宋体" w:cs="宋体"/>
          <w:sz w:val="28"/>
          <w:szCs w:val="28"/>
        </w:rPr>
        <w:fldChar w:fldCharType="end"/>
      </w:r>
      <w:r>
        <w:rPr>
          <w:rFonts w:hint="eastAsia" w:ascii="宋体" w:hAnsi="宋体" w:cs="宋体"/>
          <w:sz w:val="28"/>
          <w:szCs w:val="28"/>
        </w:rPr>
        <w:fldChar w:fldCharType="end"/>
      </w:r>
    </w:p>
    <w:p w14:paraId="2740FAD5">
      <w:pPr>
        <w:pStyle w:val="11"/>
        <w:tabs>
          <w:tab w:val="right" w:leader="dot" w:pos="8306"/>
          <w:tab w:val="clear" w:pos="8296"/>
        </w:tabs>
        <w:rPr>
          <w:rFonts w:ascii="宋体" w:hAnsi="宋体" w:cs="宋体"/>
          <w:sz w:val="28"/>
          <w:szCs w:val="28"/>
        </w:rPr>
      </w:pPr>
      <w:r>
        <w:fldChar w:fldCharType="begin"/>
      </w:r>
      <w:r>
        <w:instrText xml:space="preserve"> HYPERLINK \l "_Toc3674" </w:instrText>
      </w:r>
      <w:r>
        <w:fldChar w:fldCharType="separate"/>
      </w:r>
      <w:r>
        <w:rPr>
          <w:rFonts w:hint="eastAsia" w:ascii="宋体" w:hAnsi="宋体" w:cs="宋体"/>
          <w:sz w:val="28"/>
          <w:szCs w:val="28"/>
        </w:rPr>
        <w:t>一、城市园林绿化精细化管理</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_Toc3674 \h </w:instrText>
      </w:r>
      <w:r>
        <w:rPr>
          <w:rFonts w:hint="eastAsia" w:ascii="宋体" w:hAnsi="宋体" w:cs="宋体"/>
          <w:sz w:val="28"/>
          <w:szCs w:val="28"/>
        </w:rPr>
        <w:fldChar w:fldCharType="separate"/>
      </w:r>
      <w:r>
        <w:rPr>
          <w:rFonts w:hint="eastAsia" w:ascii="宋体" w:hAnsi="宋体" w:cs="宋体"/>
          <w:sz w:val="28"/>
          <w:szCs w:val="28"/>
        </w:rPr>
        <w:t>34</w:t>
      </w:r>
      <w:r>
        <w:rPr>
          <w:rFonts w:hint="eastAsia" w:ascii="宋体" w:hAnsi="宋体" w:cs="宋体"/>
          <w:sz w:val="28"/>
          <w:szCs w:val="28"/>
        </w:rPr>
        <w:fldChar w:fldCharType="end"/>
      </w:r>
      <w:r>
        <w:rPr>
          <w:rFonts w:hint="eastAsia" w:ascii="宋体" w:hAnsi="宋体" w:cs="宋体"/>
          <w:sz w:val="28"/>
          <w:szCs w:val="28"/>
        </w:rPr>
        <w:fldChar w:fldCharType="end"/>
      </w:r>
    </w:p>
    <w:p w14:paraId="11B71AB4">
      <w:pPr>
        <w:pStyle w:val="11"/>
        <w:tabs>
          <w:tab w:val="right" w:leader="dot" w:pos="8306"/>
          <w:tab w:val="clear" w:pos="8296"/>
        </w:tabs>
        <w:rPr>
          <w:rFonts w:ascii="宋体" w:hAnsi="宋体" w:cs="宋体"/>
          <w:sz w:val="28"/>
          <w:szCs w:val="28"/>
        </w:rPr>
      </w:pPr>
      <w:r>
        <w:fldChar w:fldCharType="begin"/>
      </w:r>
      <w:r>
        <w:instrText xml:space="preserve"> HYPERLINK \l "_Toc23589" </w:instrText>
      </w:r>
      <w:r>
        <w:fldChar w:fldCharType="separate"/>
      </w:r>
      <w:r>
        <w:rPr>
          <w:rFonts w:hint="eastAsia" w:ascii="宋体" w:hAnsi="宋体" w:cs="宋体"/>
          <w:sz w:val="28"/>
          <w:szCs w:val="28"/>
        </w:rPr>
        <w:t>二、城市卫生精细化管理</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_Toc23589 \h </w:instrText>
      </w:r>
      <w:r>
        <w:rPr>
          <w:rFonts w:hint="eastAsia" w:ascii="宋体" w:hAnsi="宋体" w:cs="宋体"/>
          <w:sz w:val="28"/>
          <w:szCs w:val="28"/>
        </w:rPr>
        <w:fldChar w:fldCharType="separate"/>
      </w:r>
      <w:r>
        <w:rPr>
          <w:rFonts w:hint="eastAsia" w:ascii="宋体" w:hAnsi="宋体" w:cs="宋体"/>
          <w:sz w:val="28"/>
          <w:szCs w:val="28"/>
        </w:rPr>
        <w:t>35</w:t>
      </w:r>
      <w:r>
        <w:rPr>
          <w:rFonts w:hint="eastAsia" w:ascii="宋体" w:hAnsi="宋体" w:cs="宋体"/>
          <w:sz w:val="28"/>
          <w:szCs w:val="28"/>
        </w:rPr>
        <w:fldChar w:fldCharType="end"/>
      </w:r>
      <w:r>
        <w:rPr>
          <w:rFonts w:hint="eastAsia" w:ascii="宋体" w:hAnsi="宋体" w:cs="宋体"/>
          <w:sz w:val="28"/>
          <w:szCs w:val="28"/>
        </w:rPr>
        <w:fldChar w:fldCharType="end"/>
      </w:r>
    </w:p>
    <w:p w14:paraId="2A2ADCC6">
      <w:pPr>
        <w:pStyle w:val="11"/>
        <w:tabs>
          <w:tab w:val="right" w:leader="dot" w:pos="8306"/>
          <w:tab w:val="clear" w:pos="8296"/>
        </w:tabs>
        <w:rPr>
          <w:rFonts w:ascii="宋体" w:hAnsi="宋体" w:cs="宋体"/>
          <w:sz w:val="28"/>
          <w:szCs w:val="28"/>
        </w:rPr>
      </w:pPr>
      <w:r>
        <w:fldChar w:fldCharType="begin"/>
      </w:r>
      <w:r>
        <w:instrText xml:space="preserve"> HYPERLINK \l "_Toc24870" </w:instrText>
      </w:r>
      <w:r>
        <w:fldChar w:fldCharType="separate"/>
      </w:r>
      <w:r>
        <w:rPr>
          <w:rFonts w:hint="eastAsia" w:ascii="宋体" w:hAnsi="宋体" w:cs="宋体"/>
          <w:sz w:val="28"/>
          <w:szCs w:val="28"/>
        </w:rPr>
        <w:t>三、城市照明精细化管理</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_Toc24870 \h </w:instrText>
      </w:r>
      <w:r>
        <w:rPr>
          <w:rFonts w:hint="eastAsia" w:ascii="宋体" w:hAnsi="宋体" w:cs="宋体"/>
          <w:sz w:val="28"/>
          <w:szCs w:val="28"/>
        </w:rPr>
        <w:fldChar w:fldCharType="separate"/>
      </w:r>
      <w:r>
        <w:rPr>
          <w:rFonts w:hint="eastAsia" w:ascii="宋体" w:hAnsi="宋体" w:cs="宋体"/>
          <w:sz w:val="28"/>
          <w:szCs w:val="28"/>
        </w:rPr>
        <w:t>37</w:t>
      </w:r>
      <w:r>
        <w:rPr>
          <w:rFonts w:hint="eastAsia" w:ascii="宋体" w:hAnsi="宋体" w:cs="宋体"/>
          <w:sz w:val="28"/>
          <w:szCs w:val="28"/>
        </w:rPr>
        <w:fldChar w:fldCharType="end"/>
      </w:r>
      <w:r>
        <w:rPr>
          <w:rFonts w:hint="eastAsia" w:ascii="宋体" w:hAnsi="宋体" w:cs="宋体"/>
          <w:sz w:val="28"/>
          <w:szCs w:val="28"/>
        </w:rPr>
        <w:fldChar w:fldCharType="end"/>
      </w:r>
    </w:p>
    <w:p w14:paraId="64AACE7F">
      <w:pPr>
        <w:pStyle w:val="11"/>
        <w:tabs>
          <w:tab w:val="right" w:leader="dot" w:pos="8306"/>
          <w:tab w:val="clear" w:pos="8296"/>
        </w:tabs>
        <w:rPr>
          <w:rFonts w:ascii="宋体" w:hAnsi="宋体" w:cs="宋体"/>
          <w:sz w:val="28"/>
          <w:szCs w:val="28"/>
        </w:rPr>
      </w:pPr>
      <w:r>
        <w:fldChar w:fldCharType="begin"/>
      </w:r>
      <w:r>
        <w:instrText xml:space="preserve"> HYPERLINK \l "_Toc16553" </w:instrText>
      </w:r>
      <w:r>
        <w:fldChar w:fldCharType="separate"/>
      </w:r>
      <w:r>
        <w:rPr>
          <w:rFonts w:hint="eastAsia" w:ascii="宋体" w:hAnsi="宋体" w:cs="宋体"/>
          <w:sz w:val="28"/>
          <w:szCs w:val="28"/>
        </w:rPr>
        <w:t>四、城市户外广告精细化管理</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_Toc16553 \h </w:instrText>
      </w:r>
      <w:r>
        <w:rPr>
          <w:rFonts w:hint="eastAsia" w:ascii="宋体" w:hAnsi="宋体" w:cs="宋体"/>
          <w:sz w:val="28"/>
          <w:szCs w:val="28"/>
        </w:rPr>
        <w:fldChar w:fldCharType="separate"/>
      </w:r>
      <w:r>
        <w:rPr>
          <w:rFonts w:hint="eastAsia" w:ascii="宋体" w:hAnsi="宋体" w:cs="宋体"/>
          <w:sz w:val="28"/>
          <w:szCs w:val="28"/>
        </w:rPr>
        <w:t>38</w:t>
      </w:r>
      <w:r>
        <w:rPr>
          <w:rFonts w:hint="eastAsia" w:ascii="宋体" w:hAnsi="宋体" w:cs="宋体"/>
          <w:sz w:val="28"/>
          <w:szCs w:val="28"/>
        </w:rPr>
        <w:fldChar w:fldCharType="end"/>
      </w:r>
      <w:r>
        <w:rPr>
          <w:rFonts w:hint="eastAsia" w:ascii="宋体" w:hAnsi="宋体" w:cs="宋体"/>
          <w:sz w:val="28"/>
          <w:szCs w:val="28"/>
        </w:rPr>
        <w:fldChar w:fldCharType="end"/>
      </w:r>
    </w:p>
    <w:p w14:paraId="0A48FFAC">
      <w:pPr>
        <w:pStyle w:val="11"/>
        <w:tabs>
          <w:tab w:val="right" w:leader="dot" w:pos="8306"/>
          <w:tab w:val="clear" w:pos="8296"/>
        </w:tabs>
        <w:rPr>
          <w:rFonts w:ascii="宋体" w:hAnsi="宋体" w:cs="宋体"/>
          <w:sz w:val="28"/>
          <w:szCs w:val="28"/>
        </w:rPr>
      </w:pPr>
      <w:r>
        <w:fldChar w:fldCharType="begin"/>
      </w:r>
      <w:r>
        <w:instrText xml:space="preserve"> HYPERLINK \l "_Toc27000" </w:instrText>
      </w:r>
      <w:r>
        <w:fldChar w:fldCharType="separate"/>
      </w:r>
      <w:r>
        <w:rPr>
          <w:rFonts w:hint="eastAsia" w:ascii="宋体" w:hAnsi="宋体" w:cs="宋体"/>
          <w:sz w:val="28"/>
          <w:szCs w:val="28"/>
        </w:rPr>
        <w:t>五、建筑工地和渣土运输精细化管理</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_Toc27000 \h </w:instrText>
      </w:r>
      <w:r>
        <w:rPr>
          <w:rFonts w:hint="eastAsia" w:ascii="宋体" w:hAnsi="宋体" w:cs="宋体"/>
          <w:sz w:val="28"/>
          <w:szCs w:val="28"/>
        </w:rPr>
        <w:fldChar w:fldCharType="separate"/>
      </w:r>
      <w:r>
        <w:rPr>
          <w:rFonts w:hint="eastAsia" w:ascii="宋体" w:hAnsi="宋体" w:cs="宋体"/>
          <w:sz w:val="28"/>
          <w:szCs w:val="28"/>
        </w:rPr>
        <w:t>39</w:t>
      </w:r>
      <w:r>
        <w:rPr>
          <w:rFonts w:hint="eastAsia" w:ascii="宋体" w:hAnsi="宋体" w:cs="宋体"/>
          <w:sz w:val="28"/>
          <w:szCs w:val="28"/>
        </w:rPr>
        <w:fldChar w:fldCharType="end"/>
      </w:r>
      <w:r>
        <w:rPr>
          <w:rFonts w:hint="eastAsia" w:ascii="宋体" w:hAnsi="宋体" w:cs="宋体"/>
          <w:sz w:val="28"/>
          <w:szCs w:val="28"/>
        </w:rPr>
        <w:fldChar w:fldCharType="end"/>
      </w:r>
    </w:p>
    <w:p w14:paraId="5D5FA5AC">
      <w:pPr>
        <w:pStyle w:val="22"/>
        <w:tabs>
          <w:tab w:val="right" w:leader="dot" w:pos="8306"/>
          <w:tab w:val="clear" w:pos="8296"/>
        </w:tabs>
        <w:rPr>
          <w:rFonts w:ascii="宋体" w:hAnsi="宋体" w:cs="宋体"/>
          <w:sz w:val="28"/>
          <w:szCs w:val="28"/>
        </w:rPr>
      </w:pPr>
      <w:r>
        <w:fldChar w:fldCharType="begin"/>
      </w:r>
      <w:r>
        <w:instrText xml:space="preserve"> HYPERLINK \l "_Toc8243" </w:instrText>
      </w:r>
      <w:r>
        <w:fldChar w:fldCharType="separate"/>
      </w:r>
      <w:r>
        <w:rPr>
          <w:rFonts w:hint="eastAsia" w:ascii="宋体" w:hAnsi="宋体" w:cs="宋体"/>
          <w:sz w:val="28"/>
          <w:szCs w:val="28"/>
        </w:rPr>
        <w:t>第三节  城市精细化管理推进措施</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_Toc8243 \h </w:instrText>
      </w:r>
      <w:r>
        <w:rPr>
          <w:rFonts w:hint="eastAsia" w:ascii="宋体" w:hAnsi="宋体" w:cs="宋体"/>
          <w:sz w:val="28"/>
          <w:szCs w:val="28"/>
        </w:rPr>
        <w:fldChar w:fldCharType="separate"/>
      </w:r>
      <w:r>
        <w:rPr>
          <w:rFonts w:hint="eastAsia" w:ascii="宋体" w:hAnsi="宋体" w:cs="宋体"/>
          <w:sz w:val="28"/>
          <w:szCs w:val="28"/>
        </w:rPr>
        <w:t>40</w:t>
      </w:r>
      <w:r>
        <w:rPr>
          <w:rFonts w:hint="eastAsia" w:ascii="宋体" w:hAnsi="宋体" w:cs="宋体"/>
          <w:sz w:val="28"/>
          <w:szCs w:val="28"/>
        </w:rPr>
        <w:fldChar w:fldCharType="end"/>
      </w:r>
      <w:r>
        <w:rPr>
          <w:rFonts w:hint="eastAsia" w:ascii="宋体" w:hAnsi="宋体" w:cs="宋体"/>
          <w:sz w:val="28"/>
          <w:szCs w:val="28"/>
        </w:rPr>
        <w:fldChar w:fldCharType="end"/>
      </w:r>
    </w:p>
    <w:p w14:paraId="5FF8F7D2">
      <w:pPr>
        <w:pStyle w:val="11"/>
        <w:tabs>
          <w:tab w:val="right" w:leader="dot" w:pos="8306"/>
          <w:tab w:val="clear" w:pos="8296"/>
        </w:tabs>
        <w:rPr>
          <w:rFonts w:ascii="宋体" w:hAnsi="宋体" w:cs="宋体"/>
          <w:sz w:val="28"/>
          <w:szCs w:val="28"/>
        </w:rPr>
      </w:pPr>
      <w:r>
        <w:fldChar w:fldCharType="begin"/>
      </w:r>
      <w:r>
        <w:instrText xml:space="preserve"> HYPERLINK \l "_Toc4859" </w:instrText>
      </w:r>
      <w:r>
        <w:fldChar w:fldCharType="separate"/>
      </w:r>
      <w:r>
        <w:rPr>
          <w:rFonts w:hint="eastAsia" w:ascii="宋体" w:hAnsi="宋体" w:cs="宋体"/>
          <w:sz w:val="28"/>
          <w:szCs w:val="28"/>
        </w:rPr>
        <w:t>一、以党建领航推进城市精细化管理</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_Toc4859 \h </w:instrText>
      </w:r>
      <w:r>
        <w:rPr>
          <w:rFonts w:hint="eastAsia" w:ascii="宋体" w:hAnsi="宋体" w:cs="宋体"/>
          <w:sz w:val="28"/>
          <w:szCs w:val="28"/>
        </w:rPr>
        <w:fldChar w:fldCharType="separate"/>
      </w:r>
      <w:r>
        <w:rPr>
          <w:rFonts w:hint="eastAsia" w:ascii="宋体" w:hAnsi="宋体" w:cs="宋体"/>
          <w:sz w:val="28"/>
          <w:szCs w:val="28"/>
        </w:rPr>
        <w:t>40</w:t>
      </w:r>
      <w:r>
        <w:rPr>
          <w:rFonts w:hint="eastAsia" w:ascii="宋体" w:hAnsi="宋体" w:cs="宋体"/>
          <w:sz w:val="28"/>
          <w:szCs w:val="28"/>
        </w:rPr>
        <w:fldChar w:fldCharType="end"/>
      </w:r>
      <w:r>
        <w:rPr>
          <w:rFonts w:hint="eastAsia" w:ascii="宋体" w:hAnsi="宋体" w:cs="宋体"/>
          <w:sz w:val="28"/>
          <w:szCs w:val="28"/>
        </w:rPr>
        <w:fldChar w:fldCharType="end"/>
      </w:r>
    </w:p>
    <w:p w14:paraId="415B737F">
      <w:pPr>
        <w:pStyle w:val="11"/>
        <w:tabs>
          <w:tab w:val="right" w:leader="dot" w:pos="8306"/>
          <w:tab w:val="clear" w:pos="8296"/>
        </w:tabs>
        <w:rPr>
          <w:rFonts w:ascii="宋体" w:hAnsi="宋体" w:cs="宋体"/>
          <w:sz w:val="28"/>
          <w:szCs w:val="28"/>
        </w:rPr>
      </w:pPr>
      <w:r>
        <w:fldChar w:fldCharType="begin"/>
      </w:r>
      <w:r>
        <w:instrText xml:space="preserve"> HYPERLINK \l "_Toc13929" </w:instrText>
      </w:r>
      <w:r>
        <w:fldChar w:fldCharType="separate"/>
      </w:r>
      <w:r>
        <w:rPr>
          <w:rFonts w:hint="eastAsia" w:ascii="宋体" w:hAnsi="宋体" w:cs="宋体"/>
          <w:sz w:val="28"/>
          <w:szCs w:val="28"/>
        </w:rPr>
        <w:t>二、以组织协作推进城市精细化管理</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_Toc13929 \h </w:instrText>
      </w:r>
      <w:r>
        <w:rPr>
          <w:rFonts w:hint="eastAsia" w:ascii="宋体" w:hAnsi="宋体" w:cs="宋体"/>
          <w:sz w:val="28"/>
          <w:szCs w:val="28"/>
        </w:rPr>
        <w:fldChar w:fldCharType="separate"/>
      </w:r>
      <w:r>
        <w:rPr>
          <w:rFonts w:hint="eastAsia" w:ascii="宋体" w:hAnsi="宋体" w:cs="宋体"/>
          <w:sz w:val="28"/>
          <w:szCs w:val="28"/>
        </w:rPr>
        <w:t>40</w:t>
      </w:r>
      <w:r>
        <w:rPr>
          <w:rFonts w:hint="eastAsia" w:ascii="宋体" w:hAnsi="宋体" w:cs="宋体"/>
          <w:sz w:val="28"/>
          <w:szCs w:val="28"/>
        </w:rPr>
        <w:fldChar w:fldCharType="end"/>
      </w:r>
      <w:r>
        <w:rPr>
          <w:rFonts w:hint="eastAsia" w:ascii="宋体" w:hAnsi="宋体" w:cs="宋体"/>
          <w:sz w:val="28"/>
          <w:szCs w:val="28"/>
        </w:rPr>
        <w:fldChar w:fldCharType="end"/>
      </w:r>
    </w:p>
    <w:p w14:paraId="7A001ADA">
      <w:pPr>
        <w:pStyle w:val="11"/>
        <w:tabs>
          <w:tab w:val="right" w:leader="dot" w:pos="8306"/>
          <w:tab w:val="clear" w:pos="8296"/>
        </w:tabs>
        <w:rPr>
          <w:rFonts w:ascii="宋体" w:hAnsi="宋体" w:cs="宋体"/>
          <w:sz w:val="28"/>
          <w:szCs w:val="28"/>
        </w:rPr>
      </w:pPr>
      <w:r>
        <w:fldChar w:fldCharType="begin"/>
      </w:r>
      <w:r>
        <w:instrText xml:space="preserve"> HYPERLINK \l "_Toc22204" </w:instrText>
      </w:r>
      <w:r>
        <w:fldChar w:fldCharType="separate"/>
      </w:r>
      <w:r>
        <w:rPr>
          <w:rFonts w:hint="eastAsia" w:ascii="宋体" w:hAnsi="宋体" w:cs="宋体"/>
          <w:sz w:val="28"/>
          <w:szCs w:val="28"/>
        </w:rPr>
        <w:t>三、以制度建设推进城市精细化管理</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_Toc22204 \h </w:instrText>
      </w:r>
      <w:r>
        <w:rPr>
          <w:rFonts w:hint="eastAsia" w:ascii="宋体" w:hAnsi="宋体" w:cs="宋体"/>
          <w:sz w:val="28"/>
          <w:szCs w:val="28"/>
        </w:rPr>
        <w:fldChar w:fldCharType="separate"/>
      </w:r>
      <w:r>
        <w:rPr>
          <w:rFonts w:hint="eastAsia" w:ascii="宋体" w:hAnsi="宋体" w:cs="宋体"/>
          <w:sz w:val="28"/>
          <w:szCs w:val="28"/>
        </w:rPr>
        <w:t>41</w:t>
      </w:r>
      <w:r>
        <w:rPr>
          <w:rFonts w:hint="eastAsia" w:ascii="宋体" w:hAnsi="宋体" w:cs="宋体"/>
          <w:sz w:val="28"/>
          <w:szCs w:val="28"/>
        </w:rPr>
        <w:fldChar w:fldCharType="end"/>
      </w:r>
      <w:r>
        <w:rPr>
          <w:rFonts w:hint="eastAsia" w:ascii="宋体" w:hAnsi="宋体" w:cs="宋体"/>
          <w:sz w:val="28"/>
          <w:szCs w:val="28"/>
        </w:rPr>
        <w:fldChar w:fldCharType="end"/>
      </w:r>
    </w:p>
    <w:p w14:paraId="2EC292EA">
      <w:pPr>
        <w:pStyle w:val="11"/>
        <w:tabs>
          <w:tab w:val="right" w:leader="dot" w:pos="8306"/>
          <w:tab w:val="clear" w:pos="8296"/>
        </w:tabs>
        <w:rPr>
          <w:rFonts w:ascii="宋体" w:hAnsi="宋体" w:cs="宋体"/>
          <w:sz w:val="28"/>
          <w:szCs w:val="28"/>
        </w:rPr>
      </w:pPr>
      <w:r>
        <w:fldChar w:fldCharType="begin"/>
      </w:r>
      <w:r>
        <w:instrText xml:space="preserve"> HYPERLINK \l "_Toc7199" </w:instrText>
      </w:r>
      <w:r>
        <w:fldChar w:fldCharType="separate"/>
      </w:r>
      <w:r>
        <w:rPr>
          <w:rFonts w:hint="eastAsia" w:ascii="宋体" w:hAnsi="宋体" w:cs="宋体"/>
          <w:sz w:val="28"/>
          <w:szCs w:val="28"/>
        </w:rPr>
        <w:t>四、以科学技术推进城市精细化管理</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_Toc7199 \h </w:instrText>
      </w:r>
      <w:r>
        <w:rPr>
          <w:rFonts w:hint="eastAsia" w:ascii="宋体" w:hAnsi="宋体" w:cs="宋体"/>
          <w:sz w:val="28"/>
          <w:szCs w:val="28"/>
        </w:rPr>
        <w:fldChar w:fldCharType="separate"/>
      </w:r>
      <w:r>
        <w:rPr>
          <w:rFonts w:hint="eastAsia" w:ascii="宋体" w:hAnsi="宋体" w:cs="宋体"/>
          <w:sz w:val="28"/>
          <w:szCs w:val="28"/>
        </w:rPr>
        <w:t>41</w:t>
      </w:r>
      <w:r>
        <w:rPr>
          <w:rFonts w:hint="eastAsia" w:ascii="宋体" w:hAnsi="宋体" w:cs="宋体"/>
          <w:sz w:val="28"/>
          <w:szCs w:val="28"/>
        </w:rPr>
        <w:fldChar w:fldCharType="end"/>
      </w:r>
      <w:r>
        <w:rPr>
          <w:rFonts w:hint="eastAsia" w:ascii="宋体" w:hAnsi="宋体" w:cs="宋体"/>
          <w:sz w:val="28"/>
          <w:szCs w:val="28"/>
        </w:rPr>
        <w:fldChar w:fldCharType="end"/>
      </w:r>
    </w:p>
    <w:p w14:paraId="2E4E8E07">
      <w:pPr>
        <w:pStyle w:val="11"/>
        <w:tabs>
          <w:tab w:val="right" w:leader="dot" w:pos="8306"/>
          <w:tab w:val="clear" w:pos="8296"/>
        </w:tabs>
        <w:rPr>
          <w:rFonts w:ascii="宋体" w:hAnsi="宋体" w:cs="宋体"/>
          <w:sz w:val="28"/>
          <w:szCs w:val="28"/>
        </w:rPr>
      </w:pPr>
      <w:r>
        <w:fldChar w:fldCharType="begin"/>
      </w:r>
      <w:r>
        <w:instrText xml:space="preserve"> HYPERLINK \l "_Toc18001" </w:instrText>
      </w:r>
      <w:r>
        <w:fldChar w:fldCharType="separate"/>
      </w:r>
      <w:r>
        <w:rPr>
          <w:rFonts w:hint="eastAsia" w:ascii="宋体" w:hAnsi="宋体" w:cs="宋体"/>
          <w:sz w:val="28"/>
          <w:szCs w:val="28"/>
        </w:rPr>
        <w:t>五、以专项整治推进城市精细化管理</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_Toc18001 \h </w:instrText>
      </w:r>
      <w:r>
        <w:rPr>
          <w:rFonts w:hint="eastAsia" w:ascii="宋体" w:hAnsi="宋体" w:cs="宋体"/>
          <w:sz w:val="28"/>
          <w:szCs w:val="28"/>
        </w:rPr>
        <w:fldChar w:fldCharType="separate"/>
      </w:r>
      <w:r>
        <w:rPr>
          <w:rFonts w:hint="eastAsia" w:ascii="宋体" w:hAnsi="宋体" w:cs="宋体"/>
          <w:sz w:val="28"/>
          <w:szCs w:val="28"/>
        </w:rPr>
        <w:t>41</w:t>
      </w:r>
      <w:r>
        <w:rPr>
          <w:rFonts w:hint="eastAsia" w:ascii="宋体" w:hAnsi="宋体" w:cs="宋体"/>
          <w:sz w:val="28"/>
          <w:szCs w:val="28"/>
        </w:rPr>
        <w:fldChar w:fldCharType="end"/>
      </w:r>
      <w:r>
        <w:rPr>
          <w:rFonts w:hint="eastAsia" w:ascii="宋体" w:hAnsi="宋体" w:cs="宋体"/>
          <w:sz w:val="28"/>
          <w:szCs w:val="28"/>
        </w:rPr>
        <w:fldChar w:fldCharType="end"/>
      </w:r>
    </w:p>
    <w:p w14:paraId="4D54E68B">
      <w:pPr>
        <w:pStyle w:val="11"/>
        <w:tabs>
          <w:tab w:val="right" w:leader="dot" w:pos="8306"/>
          <w:tab w:val="clear" w:pos="8296"/>
        </w:tabs>
        <w:rPr>
          <w:rFonts w:ascii="宋体" w:hAnsi="宋体" w:cs="宋体"/>
          <w:sz w:val="28"/>
          <w:szCs w:val="28"/>
        </w:rPr>
      </w:pPr>
      <w:r>
        <w:fldChar w:fldCharType="begin"/>
      </w:r>
      <w:r>
        <w:instrText xml:space="preserve"> HYPERLINK \l "_Toc20571" </w:instrText>
      </w:r>
      <w:r>
        <w:fldChar w:fldCharType="separate"/>
      </w:r>
      <w:r>
        <w:rPr>
          <w:rFonts w:hint="eastAsia" w:ascii="宋体" w:hAnsi="宋体" w:cs="宋体"/>
          <w:sz w:val="28"/>
          <w:szCs w:val="28"/>
        </w:rPr>
        <w:t>六、以服务提升推进城市精细化管理</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_Toc20571 \h </w:instrText>
      </w:r>
      <w:r>
        <w:rPr>
          <w:rFonts w:hint="eastAsia" w:ascii="宋体" w:hAnsi="宋体" w:cs="宋体"/>
          <w:sz w:val="28"/>
          <w:szCs w:val="28"/>
        </w:rPr>
        <w:fldChar w:fldCharType="separate"/>
      </w:r>
      <w:r>
        <w:rPr>
          <w:rFonts w:hint="eastAsia" w:ascii="宋体" w:hAnsi="宋体" w:cs="宋体"/>
          <w:sz w:val="28"/>
          <w:szCs w:val="28"/>
        </w:rPr>
        <w:t>42</w:t>
      </w:r>
      <w:r>
        <w:rPr>
          <w:rFonts w:hint="eastAsia" w:ascii="宋体" w:hAnsi="宋体" w:cs="宋体"/>
          <w:sz w:val="28"/>
          <w:szCs w:val="28"/>
        </w:rPr>
        <w:fldChar w:fldCharType="end"/>
      </w:r>
      <w:r>
        <w:rPr>
          <w:rFonts w:hint="eastAsia" w:ascii="宋体" w:hAnsi="宋体" w:cs="宋体"/>
          <w:sz w:val="28"/>
          <w:szCs w:val="28"/>
        </w:rPr>
        <w:fldChar w:fldCharType="end"/>
      </w:r>
    </w:p>
    <w:p w14:paraId="3736F34E">
      <w:pPr>
        <w:pStyle w:val="19"/>
        <w:tabs>
          <w:tab w:val="right" w:leader="dot" w:pos="8306"/>
          <w:tab w:val="clear" w:pos="8296"/>
        </w:tabs>
        <w:rPr>
          <w:rFonts w:ascii="宋体" w:hAnsi="宋体" w:cs="宋体"/>
          <w:sz w:val="28"/>
          <w:szCs w:val="28"/>
        </w:rPr>
      </w:pPr>
      <w:r>
        <w:fldChar w:fldCharType="begin"/>
      </w:r>
      <w:r>
        <w:instrText xml:space="preserve"> HYPERLINK \l "_Toc29000" </w:instrText>
      </w:r>
      <w:r>
        <w:fldChar w:fldCharType="separate"/>
      </w:r>
      <w:r>
        <w:rPr>
          <w:rFonts w:hint="eastAsia" w:ascii="宋体" w:hAnsi="宋体" w:cs="宋体"/>
          <w:sz w:val="28"/>
          <w:szCs w:val="28"/>
        </w:rPr>
        <w:t>第五章  推进城管智慧化转型，打造城市综合管理服务平台</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_Toc29000 \h </w:instrText>
      </w:r>
      <w:r>
        <w:rPr>
          <w:rFonts w:hint="eastAsia" w:ascii="宋体" w:hAnsi="宋体" w:cs="宋体"/>
          <w:sz w:val="28"/>
          <w:szCs w:val="28"/>
        </w:rPr>
        <w:fldChar w:fldCharType="separate"/>
      </w:r>
      <w:r>
        <w:rPr>
          <w:rFonts w:hint="eastAsia" w:ascii="宋体" w:hAnsi="宋体" w:cs="宋体"/>
          <w:sz w:val="28"/>
          <w:szCs w:val="28"/>
        </w:rPr>
        <w:t>43</w:t>
      </w:r>
      <w:r>
        <w:rPr>
          <w:rFonts w:hint="eastAsia" w:ascii="宋体" w:hAnsi="宋体" w:cs="宋体"/>
          <w:sz w:val="28"/>
          <w:szCs w:val="28"/>
        </w:rPr>
        <w:fldChar w:fldCharType="end"/>
      </w:r>
      <w:r>
        <w:rPr>
          <w:rFonts w:hint="eastAsia" w:ascii="宋体" w:hAnsi="宋体" w:cs="宋体"/>
          <w:sz w:val="28"/>
          <w:szCs w:val="28"/>
        </w:rPr>
        <w:fldChar w:fldCharType="end"/>
      </w:r>
    </w:p>
    <w:p w14:paraId="0EC0A4FB">
      <w:pPr>
        <w:pStyle w:val="22"/>
        <w:tabs>
          <w:tab w:val="right" w:leader="dot" w:pos="8306"/>
          <w:tab w:val="clear" w:pos="8296"/>
        </w:tabs>
        <w:rPr>
          <w:rFonts w:ascii="宋体" w:hAnsi="宋体" w:cs="宋体"/>
          <w:sz w:val="28"/>
          <w:szCs w:val="28"/>
        </w:rPr>
      </w:pPr>
      <w:r>
        <w:fldChar w:fldCharType="begin"/>
      </w:r>
      <w:r>
        <w:instrText xml:space="preserve"> HYPERLINK \l "_Toc1680" </w:instrText>
      </w:r>
      <w:r>
        <w:fldChar w:fldCharType="separate"/>
      </w:r>
      <w:r>
        <w:rPr>
          <w:rFonts w:hint="eastAsia" w:ascii="宋体" w:hAnsi="宋体" w:cs="宋体"/>
          <w:sz w:val="28"/>
          <w:szCs w:val="28"/>
        </w:rPr>
        <w:t>第一节  完善城市综合管理服务平台一期</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_Toc1680 \h </w:instrText>
      </w:r>
      <w:r>
        <w:rPr>
          <w:rFonts w:hint="eastAsia" w:ascii="宋体" w:hAnsi="宋体" w:cs="宋体"/>
          <w:sz w:val="28"/>
          <w:szCs w:val="28"/>
        </w:rPr>
        <w:fldChar w:fldCharType="separate"/>
      </w:r>
      <w:r>
        <w:rPr>
          <w:rFonts w:hint="eastAsia" w:ascii="宋体" w:hAnsi="宋体" w:cs="宋体"/>
          <w:sz w:val="28"/>
          <w:szCs w:val="28"/>
        </w:rPr>
        <w:t>43</w:t>
      </w:r>
      <w:r>
        <w:rPr>
          <w:rFonts w:hint="eastAsia" w:ascii="宋体" w:hAnsi="宋体" w:cs="宋体"/>
          <w:sz w:val="28"/>
          <w:szCs w:val="28"/>
        </w:rPr>
        <w:fldChar w:fldCharType="end"/>
      </w:r>
      <w:r>
        <w:rPr>
          <w:rFonts w:hint="eastAsia" w:ascii="宋体" w:hAnsi="宋体" w:cs="宋体"/>
          <w:sz w:val="28"/>
          <w:szCs w:val="28"/>
        </w:rPr>
        <w:fldChar w:fldCharType="end"/>
      </w:r>
    </w:p>
    <w:p w14:paraId="4D212D5F">
      <w:pPr>
        <w:pStyle w:val="11"/>
        <w:tabs>
          <w:tab w:val="right" w:leader="dot" w:pos="8306"/>
          <w:tab w:val="clear" w:pos="8296"/>
        </w:tabs>
        <w:rPr>
          <w:rFonts w:ascii="宋体" w:hAnsi="宋体" w:cs="宋体"/>
          <w:sz w:val="28"/>
          <w:szCs w:val="28"/>
        </w:rPr>
      </w:pPr>
      <w:r>
        <w:fldChar w:fldCharType="begin"/>
      </w:r>
      <w:r>
        <w:instrText xml:space="preserve"> HYPERLINK \l "_Toc32513" </w:instrText>
      </w:r>
      <w:r>
        <w:fldChar w:fldCharType="separate"/>
      </w:r>
      <w:r>
        <w:rPr>
          <w:rFonts w:hint="eastAsia" w:ascii="宋体" w:hAnsi="宋体" w:cs="宋体"/>
          <w:sz w:val="28"/>
          <w:szCs w:val="28"/>
        </w:rPr>
        <w:t>一</w:t>
      </w:r>
      <w:r>
        <w:rPr>
          <w:rFonts w:hint="eastAsia" w:ascii="宋体" w:hAnsi="宋体" w:cs="宋体"/>
          <w:bCs/>
          <w:sz w:val="28"/>
          <w:szCs w:val="28"/>
        </w:rPr>
        <w:t>、完善智能监控系统</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_Toc32513 \h </w:instrText>
      </w:r>
      <w:r>
        <w:rPr>
          <w:rFonts w:hint="eastAsia" w:ascii="宋体" w:hAnsi="宋体" w:cs="宋体"/>
          <w:sz w:val="28"/>
          <w:szCs w:val="28"/>
        </w:rPr>
        <w:fldChar w:fldCharType="separate"/>
      </w:r>
      <w:r>
        <w:rPr>
          <w:rFonts w:hint="eastAsia" w:ascii="宋体" w:hAnsi="宋体" w:cs="宋体"/>
          <w:sz w:val="28"/>
          <w:szCs w:val="28"/>
        </w:rPr>
        <w:t>43</w:t>
      </w:r>
      <w:r>
        <w:rPr>
          <w:rFonts w:hint="eastAsia" w:ascii="宋体" w:hAnsi="宋体" w:cs="宋体"/>
          <w:sz w:val="28"/>
          <w:szCs w:val="28"/>
        </w:rPr>
        <w:fldChar w:fldCharType="end"/>
      </w:r>
      <w:r>
        <w:rPr>
          <w:rFonts w:hint="eastAsia" w:ascii="宋体" w:hAnsi="宋体" w:cs="宋体"/>
          <w:sz w:val="28"/>
          <w:szCs w:val="28"/>
        </w:rPr>
        <w:fldChar w:fldCharType="end"/>
      </w:r>
    </w:p>
    <w:p w14:paraId="364CA693">
      <w:pPr>
        <w:pStyle w:val="11"/>
        <w:tabs>
          <w:tab w:val="right" w:leader="dot" w:pos="8306"/>
          <w:tab w:val="clear" w:pos="8296"/>
        </w:tabs>
        <w:rPr>
          <w:rFonts w:ascii="宋体" w:hAnsi="宋体" w:cs="宋体"/>
          <w:sz w:val="28"/>
          <w:szCs w:val="28"/>
        </w:rPr>
      </w:pPr>
      <w:r>
        <w:fldChar w:fldCharType="begin"/>
      </w:r>
      <w:r>
        <w:instrText xml:space="preserve"> HYPERLINK \l "_Toc19334" </w:instrText>
      </w:r>
      <w:r>
        <w:fldChar w:fldCharType="separate"/>
      </w:r>
      <w:r>
        <w:rPr>
          <w:rFonts w:hint="eastAsia" w:ascii="宋体" w:hAnsi="宋体" w:cs="宋体"/>
          <w:sz w:val="28"/>
          <w:szCs w:val="28"/>
        </w:rPr>
        <w:t>二、完善渣土运输监管系统</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_Toc19334 \h </w:instrText>
      </w:r>
      <w:r>
        <w:rPr>
          <w:rFonts w:hint="eastAsia" w:ascii="宋体" w:hAnsi="宋体" w:cs="宋体"/>
          <w:sz w:val="28"/>
          <w:szCs w:val="28"/>
        </w:rPr>
        <w:fldChar w:fldCharType="separate"/>
      </w:r>
      <w:r>
        <w:rPr>
          <w:rFonts w:hint="eastAsia" w:ascii="宋体" w:hAnsi="宋体" w:cs="宋体"/>
          <w:sz w:val="28"/>
          <w:szCs w:val="28"/>
        </w:rPr>
        <w:t>43</w:t>
      </w:r>
      <w:r>
        <w:rPr>
          <w:rFonts w:hint="eastAsia" w:ascii="宋体" w:hAnsi="宋体" w:cs="宋体"/>
          <w:sz w:val="28"/>
          <w:szCs w:val="28"/>
        </w:rPr>
        <w:fldChar w:fldCharType="end"/>
      </w:r>
      <w:r>
        <w:rPr>
          <w:rFonts w:hint="eastAsia" w:ascii="宋体" w:hAnsi="宋体" w:cs="宋体"/>
          <w:sz w:val="28"/>
          <w:szCs w:val="28"/>
        </w:rPr>
        <w:fldChar w:fldCharType="end"/>
      </w:r>
    </w:p>
    <w:p w14:paraId="22D9A7A5">
      <w:pPr>
        <w:pStyle w:val="11"/>
        <w:tabs>
          <w:tab w:val="right" w:leader="dot" w:pos="8306"/>
          <w:tab w:val="clear" w:pos="8296"/>
        </w:tabs>
        <w:rPr>
          <w:rFonts w:ascii="宋体" w:hAnsi="宋体" w:cs="宋体"/>
          <w:sz w:val="28"/>
          <w:szCs w:val="28"/>
        </w:rPr>
      </w:pPr>
      <w:r>
        <w:fldChar w:fldCharType="begin"/>
      </w:r>
      <w:r>
        <w:instrText xml:space="preserve"> HYPERLINK \l "_Toc26716" </w:instrText>
      </w:r>
      <w:r>
        <w:fldChar w:fldCharType="separate"/>
      </w:r>
      <w:r>
        <w:rPr>
          <w:rFonts w:hint="eastAsia" w:ascii="宋体" w:hAnsi="宋体" w:cs="宋体"/>
          <w:sz w:val="28"/>
          <w:szCs w:val="28"/>
        </w:rPr>
        <w:t>三、完善“牛皮癣”治理系统</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_Toc26716 \h </w:instrText>
      </w:r>
      <w:r>
        <w:rPr>
          <w:rFonts w:hint="eastAsia" w:ascii="宋体" w:hAnsi="宋体" w:cs="宋体"/>
          <w:sz w:val="28"/>
          <w:szCs w:val="28"/>
        </w:rPr>
        <w:fldChar w:fldCharType="separate"/>
      </w:r>
      <w:r>
        <w:rPr>
          <w:rFonts w:hint="eastAsia" w:ascii="宋体" w:hAnsi="宋体" w:cs="宋体"/>
          <w:sz w:val="28"/>
          <w:szCs w:val="28"/>
        </w:rPr>
        <w:t>44</w:t>
      </w:r>
      <w:r>
        <w:rPr>
          <w:rFonts w:hint="eastAsia" w:ascii="宋体" w:hAnsi="宋体" w:cs="宋体"/>
          <w:sz w:val="28"/>
          <w:szCs w:val="28"/>
        </w:rPr>
        <w:fldChar w:fldCharType="end"/>
      </w:r>
      <w:r>
        <w:rPr>
          <w:rFonts w:hint="eastAsia" w:ascii="宋体" w:hAnsi="宋体" w:cs="宋体"/>
          <w:sz w:val="28"/>
          <w:szCs w:val="28"/>
        </w:rPr>
        <w:fldChar w:fldCharType="end"/>
      </w:r>
    </w:p>
    <w:p w14:paraId="1C85A2A6">
      <w:pPr>
        <w:pStyle w:val="11"/>
        <w:tabs>
          <w:tab w:val="right" w:leader="dot" w:pos="8306"/>
          <w:tab w:val="clear" w:pos="8296"/>
        </w:tabs>
        <w:rPr>
          <w:rFonts w:ascii="宋体" w:hAnsi="宋体" w:cs="宋体"/>
          <w:sz w:val="28"/>
          <w:szCs w:val="28"/>
        </w:rPr>
      </w:pPr>
      <w:r>
        <w:fldChar w:fldCharType="begin"/>
      </w:r>
      <w:r>
        <w:instrText xml:space="preserve"> HYPERLINK \l "_Toc24278" </w:instrText>
      </w:r>
      <w:r>
        <w:fldChar w:fldCharType="separate"/>
      </w:r>
      <w:r>
        <w:rPr>
          <w:rFonts w:hint="eastAsia" w:ascii="宋体" w:hAnsi="宋体" w:cs="宋体"/>
          <w:sz w:val="28"/>
          <w:szCs w:val="28"/>
        </w:rPr>
        <w:t>四、建好全行业综合评价系统</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_Toc24278 \h </w:instrText>
      </w:r>
      <w:r>
        <w:rPr>
          <w:rFonts w:hint="eastAsia" w:ascii="宋体" w:hAnsi="宋体" w:cs="宋体"/>
          <w:sz w:val="28"/>
          <w:szCs w:val="28"/>
        </w:rPr>
        <w:fldChar w:fldCharType="separate"/>
      </w:r>
      <w:r>
        <w:rPr>
          <w:rFonts w:hint="eastAsia" w:ascii="宋体" w:hAnsi="宋体" w:cs="宋体"/>
          <w:sz w:val="28"/>
          <w:szCs w:val="28"/>
        </w:rPr>
        <w:t>44</w:t>
      </w:r>
      <w:r>
        <w:rPr>
          <w:rFonts w:hint="eastAsia" w:ascii="宋体" w:hAnsi="宋体" w:cs="宋体"/>
          <w:sz w:val="28"/>
          <w:szCs w:val="28"/>
        </w:rPr>
        <w:fldChar w:fldCharType="end"/>
      </w:r>
      <w:r>
        <w:rPr>
          <w:rFonts w:hint="eastAsia" w:ascii="宋体" w:hAnsi="宋体" w:cs="宋体"/>
          <w:sz w:val="28"/>
          <w:szCs w:val="28"/>
        </w:rPr>
        <w:fldChar w:fldCharType="end"/>
      </w:r>
    </w:p>
    <w:p w14:paraId="0FE5297B">
      <w:pPr>
        <w:pStyle w:val="11"/>
        <w:tabs>
          <w:tab w:val="right" w:leader="dot" w:pos="8306"/>
          <w:tab w:val="clear" w:pos="8296"/>
        </w:tabs>
        <w:rPr>
          <w:rFonts w:ascii="宋体" w:hAnsi="宋体" w:cs="宋体"/>
          <w:sz w:val="28"/>
          <w:szCs w:val="28"/>
        </w:rPr>
      </w:pPr>
      <w:r>
        <w:fldChar w:fldCharType="begin"/>
      </w:r>
      <w:r>
        <w:instrText xml:space="preserve"> HYPERLINK \l "_Toc22506" </w:instrText>
      </w:r>
      <w:r>
        <w:fldChar w:fldCharType="separate"/>
      </w:r>
      <w:r>
        <w:rPr>
          <w:rFonts w:hint="eastAsia" w:ascii="宋体" w:hAnsi="宋体" w:cs="宋体"/>
          <w:sz w:val="28"/>
          <w:szCs w:val="28"/>
        </w:rPr>
        <w:t>五、建好城市管理“大脑”</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_Toc22506 \h </w:instrText>
      </w:r>
      <w:r>
        <w:rPr>
          <w:rFonts w:hint="eastAsia" w:ascii="宋体" w:hAnsi="宋体" w:cs="宋体"/>
          <w:sz w:val="28"/>
          <w:szCs w:val="28"/>
        </w:rPr>
        <w:fldChar w:fldCharType="separate"/>
      </w:r>
      <w:r>
        <w:rPr>
          <w:rFonts w:hint="eastAsia" w:ascii="宋体" w:hAnsi="宋体" w:cs="宋体"/>
          <w:sz w:val="28"/>
          <w:szCs w:val="28"/>
        </w:rPr>
        <w:t>44</w:t>
      </w:r>
      <w:r>
        <w:rPr>
          <w:rFonts w:hint="eastAsia" w:ascii="宋体" w:hAnsi="宋体" w:cs="宋体"/>
          <w:sz w:val="28"/>
          <w:szCs w:val="28"/>
        </w:rPr>
        <w:fldChar w:fldCharType="end"/>
      </w:r>
      <w:r>
        <w:rPr>
          <w:rFonts w:hint="eastAsia" w:ascii="宋体" w:hAnsi="宋体" w:cs="宋体"/>
          <w:sz w:val="28"/>
          <w:szCs w:val="28"/>
        </w:rPr>
        <w:fldChar w:fldCharType="end"/>
      </w:r>
    </w:p>
    <w:p w14:paraId="4E15DF7C">
      <w:pPr>
        <w:pStyle w:val="22"/>
        <w:tabs>
          <w:tab w:val="right" w:leader="dot" w:pos="8306"/>
          <w:tab w:val="clear" w:pos="8296"/>
        </w:tabs>
        <w:rPr>
          <w:rFonts w:ascii="宋体" w:hAnsi="宋体" w:cs="宋体"/>
          <w:sz w:val="28"/>
          <w:szCs w:val="28"/>
        </w:rPr>
      </w:pPr>
      <w:r>
        <w:fldChar w:fldCharType="begin"/>
      </w:r>
      <w:r>
        <w:instrText xml:space="preserve"> HYPERLINK \l "_Toc19673" </w:instrText>
      </w:r>
      <w:r>
        <w:fldChar w:fldCharType="separate"/>
      </w:r>
      <w:r>
        <w:rPr>
          <w:rFonts w:hint="eastAsia" w:ascii="宋体" w:hAnsi="宋体" w:cs="宋体"/>
          <w:sz w:val="28"/>
          <w:szCs w:val="28"/>
        </w:rPr>
        <w:t>第二节  建好城市综合管理服务平台二期</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_Toc19673 \h </w:instrText>
      </w:r>
      <w:r>
        <w:rPr>
          <w:rFonts w:hint="eastAsia" w:ascii="宋体" w:hAnsi="宋体" w:cs="宋体"/>
          <w:sz w:val="28"/>
          <w:szCs w:val="28"/>
        </w:rPr>
        <w:fldChar w:fldCharType="separate"/>
      </w:r>
      <w:r>
        <w:rPr>
          <w:rFonts w:hint="eastAsia" w:ascii="宋体" w:hAnsi="宋体" w:cs="宋体"/>
          <w:sz w:val="28"/>
          <w:szCs w:val="28"/>
        </w:rPr>
        <w:t>45</w:t>
      </w:r>
      <w:r>
        <w:rPr>
          <w:rFonts w:hint="eastAsia" w:ascii="宋体" w:hAnsi="宋体" w:cs="宋体"/>
          <w:sz w:val="28"/>
          <w:szCs w:val="28"/>
        </w:rPr>
        <w:fldChar w:fldCharType="end"/>
      </w:r>
      <w:r>
        <w:rPr>
          <w:rFonts w:hint="eastAsia" w:ascii="宋体" w:hAnsi="宋体" w:cs="宋体"/>
          <w:sz w:val="28"/>
          <w:szCs w:val="28"/>
        </w:rPr>
        <w:fldChar w:fldCharType="end"/>
      </w:r>
    </w:p>
    <w:p w14:paraId="488A093E">
      <w:pPr>
        <w:pStyle w:val="11"/>
        <w:tabs>
          <w:tab w:val="right" w:leader="dot" w:pos="8306"/>
          <w:tab w:val="clear" w:pos="8296"/>
        </w:tabs>
        <w:rPr>
          <w:rFonts w:ascii="宋体" w:hAnsi="宋体" w:cs="宋体"/>
          <w:sz w:val="28"/>
          <w:szCs w:val="28"/>
        </w:rPr>
      </w:pPr>
      <w:r>
        <w:fldChar w:fldCharType="begin"/>
      </w:r>
      <w:r>
        <w:instrText xml:space="preserve"> HYPERLINK \l "_Toc11385" </w:instrText>
      </w:r>
      <w:r>
        <w:fldChar w:fldCharType="separate"/>
      </w:r>
      <w:r>
        <w:rPr>
          <w:rFonts w:hint="eastAsia" w:ascii="宋体" w:hAnsi="宋体" w:cs="宋体"/>
          <w:sz w:val="28"/>
          <w:szCs w:val="28"/>
        </w:rPr>
        <w:t>一、深化智慧环卫平台</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_Toc11385 \h </w:instrText>
      </w:r>
      <w:r>
        <w:rPr>
          <w:rFonts w:hint="eastAsia" w:ascii="宋体" w:hAnsi="宋体" w:cs="宋体"/>
          <w:sz w:val="28"/>
          <w:szCs w:val="28"/>
        </w:rPr>
        <w:fldChar w:fldCharType="separate"/>
      </w:r>
      <w:r>
        <w:rPr>
          <w:rFonts w:hint="eastAsia" w:ascii="宋体" w:hAnsi="宋体" w:cs="宋体"/>
          <w:sz w:val="28"/>
          <w:szCs w:val="28"/>
        </w:rPr>
        <w:t>45</w:t>
      </w:r>
      <w:r>
        <w:rPr>
          <w:rFonts w:hint="eastAsia" w:ascii="宋体" w:hAnsi="宋体" w:cs="宋体"/>
          <w:sz w:val="28"/>
          <w:szCs w:val="28"/>
        </w:rPr>
        <w:fldChar w:fldCharType="end"/>
      </w:r>
      <w:r>
        <w:rPr>
          <w:rFonts w:hint="eastAsia" w:ascii="宋体" w:hAnsi="宋体" w:cs="宋体"/>
          <w:sz w:val="28"/>
          <w:szCs w:val="28"/>
        </w:rPr>
        <w:fldChar w:fldCharType="end"/>
      </w:r>
    </w:p>
    <w:p w14:paraId="1DA7ACAA">
      <w:pPr>
        <w:pStyle w:val="11"/>
        <w:tabs>
          <w:tab w:val="right" w:leader="dot" w:pos="8306"/>
          <w:tab w:val="clear" w:pos="8296"/>
        </w:tabs>
        <w:rPr>
          <w:rFonts w:ascii="宋体" w:hAnsi="宋体" w:cs="宋体"/>
          <w:sz w:val="28"/>
          <w:szCs w:val="28"/>
        </w:rPr>
      </w:pPr>
      <w:r>
        <w:fldChar w:fldCharType="begin"/>
      </w:r>
      <w:r>
        <w:instrText xml:space="preserve"> HYPERLINK \l "_Toc30077" </w:instrText>
      </w:r>
      <w:r>
        <w:fldChar w:fldCharType="separate"/>
      </w:r>
      <w:r>
        <w:rPr>
          <w:rFonts w:hint="eastAsia" w:ascii="宋体" w:hAnsi="宋体" w:cs="宋体"/>
          <w:sz w:val="28"/>
          <w:szCs w:val="28"/>
        </w:rPr>
        <w:t>二、深化智慧园林平台</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_Toc30077 \h </w:instrText>
      </w:r>
      <w:r>
        <w:rPr>
          <w:rFonts w:hint="eastAsia" w:ascii="宋体" w:hAnsi="宋体" w:cs="宋体"/>
          <w:sz w:val="28"/>
          <w:szCs w:val="28"/>
        </w:rPr>
        <w:fldChar w:fldCharType="separate"/>
      </w:r>
      <w:r>
        <w:rPr>
          <w:rFonts w:hint="eastAsia" w:ascii="宋体" w:hAnsi="宋体" w:cs="宋体"/>
          <w:sz w:val="28"/>
          <w:szCs w:val="28"/>
        </w:rPr>
        <w:t>45</w:t>
      </w:r>
      <w:r>
        <w:rPr>
          <w:rFonts w:hint="eastAsia" w:ascii="宋体" w:hAnsi="宋体" w:cs="宋体"/>
          <w:sz w:val="28"/>
          <w:szCs w:val="28"/>
        </w:rPr>
        <w:fldChar w:fldCharType="end"/>
      </w:r>
      <w:r>
        <w:rPr>
          <w:rFonts w:hint="eastAsia" w:ascii="宋体" w:hAnsi="宋体" w:cs="宋体"/>
          <w:sz w:val="28"/>
          <w:szCs w:val="28"/>
        </w:rPr>
        <w:fldChar w:fldCharType="end"/>
      </w:r>
    </w:p>
    <w:p w14:paraId="1CFEAAAC">
      <w:pPr>
        <w:pStyle w:val="11"/>
        <w:tabs>
          <w:tab w:val="right" w:leader="dot" w:pos="8306"/>
          <w:tab w:val="clear" w:pos="8296"/>
        </w:tabs>
        <w:rPr>
          <w:rFonts w:ascii="宋体" w:hAnsi="宋体" w:cs="宋体"/>
          <w:sz w:val="28"/>
          <w:szCs w:val="28"/>
        </w:rPr>
      </w:pPr>
      <w:r>
        <w:fldChar w:fldCharType="begin"/>
      </w:r>
      <w:r>
        <w:instrText xml:space="preserve"> HYPERLINK \l "_Toc14648" </w:instrText>
      </w:r>
      <w:r>
        <w:fldChar w:fldCharType="separate"/>
      </w:r>
      <w:r>
        <w:rPr>
          <w:rFonts w:hint="eastAsia" w:ascii="宋体" w:hAnsi="宋体" w:cs="宋体"/>
          <w:sz w:val="28"/>
          <w:szCs w:val="28"/>
        </w:rPr>
        <w:t>三、深化智慧照明平台</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_Toc14648 \h </w:instrText>
      </w:r>
      <w:r>
        <w:rPr>
          <w:rFonts w:hint="eastAsia" w:ascii="宋体" w:hAnsi="宋体" w:cs="宋体"/>
          <w:sz w:val="28"/>
          <w:szCs w:val="28"/>
        </w:rPr>
        <w:fldChar w:fldCharType="separate"/>
      </w:r>
      <w:r>
        <w:rPr>
          <w:rFonts w:hint="eastAsia" w:ascii="宋体" w:hAnsi="宋体" w:cs="宋体"/>
          <w:sz w:val="28"/>
          <w:szCs w:val="28"/>
        </w:rPr>
        <w:t>45</w:t>
      </w:r>
      <w:r>
        <w:rPr>
          <w:rFonts w:hint="eastAsia" w:ascii="宋体" w:hAnsi="宋体" w:cs="宋体"/>
          <w:sz w:val="28"/>
          <w:szCs w:val="28"/>
        </w:rPr>
        <w:fldChar w:fldCharType="end"/>
      </w:r>
      <w:r>
        <w:rPr>
          <w:rFonts w:hint="eastAsia" w:ascii="宋体" w:hAnsi="宋体" w:cs="宋体"/>
          <w:sz w:val="28"/>
          <w:szCs w:val="28"/>
        </w:rPr>
        <w:fldChar w:fldCharType="end"/>
      </w:r>
    </w:p>
    <w:p w14:paraId="2ED0BC8A">
      <w:pPr>
        <w:pStyle w:val="11"/>
        <w:tabs>
          <w:tab w:val="right" w:leader="dot" w:pos="8306"/>
          <w:tab w:val="clear" w:pos="8296"/>
        </w:tabs>
        <w:rPr>
          <w:rFonts w:ascii="宋体" w:hAnsi="宋体" w:cs="宋体"/>
          <w:sz w:val="28"/>
          <w:szCs w:val="28"/>
        </w:rPr>
      </w:pPr>
      <w:r>
        <w:fldChar w:fldCharType="begin"/>
      </w:r>
      <w:r>
        <w:instrText xml:space="preserve"> HYPERLINK \l "_Toc20066" </w:instrText>
      </w:r>
      <w:r>
        <w:fldChar w:fldCharType="separate"/>
      </w:r>
      <w:r>
        <w:rPr>
          <w:rFonts w:hint="eastAsia" w:ascii="宋体" w:hAnsi="宋体" w:cs="宋体"/>
          <w:sz w:val="28"/>
          <w:szCs w:val="28"/>
        </w:rPr>
        <w:t>四、建好智慧市政平台</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_Toc20066 \h </w:instrText>
      </w:r>
      <w:r>
        <w:rPr>
          <w:rFonts w:hint="eastAsia" w:ascii="宋体" w:hAnsi="宋体" w:cs="宋体"/>
          <w:sz w:val="28"/>
          <w:szCs w:val="28"/>
        </w:rPr>
        <w:fldChar w:fldCharType="separate"/>
      </w:r>
      <w:r>
        <w:rPr>
          <w:rFonts w:hint="eastAsia" w:ascii="宋体" w:hAnsi="宋体" w:cs="宋体"/>
          <w:sz w:val="28"/>
          <w:szCs w:val="28"/>
        </w:rPr>
        <w:t>46</w:t>
      </w:r>
      <w:r>
        <w:rPr>
          <w:rFonts w:hint="eastAsia" w:ascii="宋体" w:hAnsi="宋体" w:cs="宋体"/>
          <w:sz w:val="28"/>
          <w:szCs w:val="28"/>
        </w:rPr>
        <w:fldChar w:fldCharType="end"/>
      </w:r>
      <w:r>
        <w:rPr>
          <w:rFonts w:hint="eastAsia" w:ascii="宋体" w:hAnsi="宋体" w:cs="宋体"/>
          <w:sz w:val="28"/>
          <w:szCs w:val="28"/>
        </w:rPr>
        <w:fldChar w:fldCharType="end"/>
      </w:r>
    </w:p>
    <w:p w14:paraId="47D532A4">
      <w:pPr>
        <w:pStyle w:val="11"/>
        <w:tabs>
          <w:tab w:val="right" w:leader="dot" w:pos="8306"/>
          <w:tab w:val="clear" w:pos="8296"/>
        </w:tabs>
        <w:rPr>
          <w:rFonts w:ascii="宋体" w:hAnsi="宋体" w:cs="宋体"/>
          <w:sz w:val="28"/>
          <w:szCs w:val="28"/>
        </w:rPr>
      </w:pPr>
      <w:r>
        <w:fldChar w:fldCharType="begin"/>
      </w:r>
      <w:r>
        <w:instrText xml:space="preserve"> HYPERLINK \l "_Toc30662" </w:instrText>
      </w:r>
      <w:r>
        <w:fldChar w:fldCharType="separate"/>
      </w:r>
      <w:r>
        <w:rPr>
          <w:rFonts w:hint="eastAsia" w:ascii="宋体" w:hAnsi="宋体" w:cs="宋体"/>
          <w:sz w:val="28"/>
          <w:szCs w:val="28"/>
        </w:rPr>
        <w:t>五、建好智慧执法平台</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_Toc30662 \h </w:instrText>
      </w:r>
      <w:r>
        <w:rPr>
          <w:rFonts w:hint="eastAsia" w:ascii="宋体" w:hAnsi="宋体" w:cs="宋体"/>
          <w:sz w:val="28"/>
          <w:szCs w:val="28"/>
        </w:rPr>
        <w:fldChar w:fldCharType="separate"/>
      </w:r>
      <w:r>
        <w:rPr>
          <w:rFonts w:hint="eastAsia" w:ascii="宋体" w:hAnsi="宋体" w:cs="宋体"/>
          <w:sz w:val="28"/>
          <w:szCs w:val="28"/>
        </w:rPr>
        <w:t>46</w:t>
      </w:r>
      <w:r>
        <w:rPr>
          <w:rFonts w:hint="eastAsia" w:ascii="宋体" w:hAnsi="宋体" w:cs="宋体"/>
          <w:sz w:val="28"/>
          <w:szCs w:val="28"/>
        </w:rPr>
        <w:fldChar w:fldCharType="end"/>
      </w:r>
      <w:r>
        <w:rPr>
          <w:rFonts w:hint="eastAsia" w:ascii="宋体" w:hAnsi="宋体" w:cs="宋体"/>
          <w:sz w:val="28"/>
          <w:szCs w:val="28"/>
        </w:rPr>
        <w:fldChar w:fldCharType="end"/>
      </w:r>
    </w:p>
    <w:p w14:paraId="69B160B6">
      <w:pPr>
        <w:pStyle w:val="11"/>
        <w:tabs>
          <w:tab w:val="right" w:leader="dot" w:pos="8306"/>
          <w:tab w:val="clear" w:pos="8296"/>
        </w:tabs>
        <w:rPr>
          <w:rFonts w:ascii="宋体" w:hAnsi="宋体" w:cs="宋体"/>
          <w:sz w:val="28"/>
          <w:szCs w:val="28"/>
        </w:rPr>
      </w:pPr>
      <w:r>
        <w:fldChar w:fldCharType="begin"/>
      </w:r>
      <w:r>
        <w:instrText xml:space="preserve"> HYPERLINK \l "_Toc25378" </w:instrText>
      </w:r>
      <w:r>
        <w:fldChar w:fldCharType="separate"/>
      </w:r>
      <w:r>
        <w:rPr>
          <w:rFonts w:hint="eastAsia" w:ascii="宋体" w:hAnsi="宋体" w:cs="宋体"/>
          <w:sz w:val="28"/>
          <w:szCs w:val="28"/>
        </w:rPr>
        <w:t>六、建好智慧停车平台</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_Toc25378 \h </w:instrText>
      </w:r>
      <w:r>
        <w:rPr>
          <w:rFonts w:hint="eastAsia" w:ascii="宋体" w:hAnsi="宋体" w:cs="宋体"/>
          <w:sz w:val="28"/>
          <w:szCs w:val="28"/>
        </w:rPr>
        <w:fldChar w:fldCharType="separate"/>
      </w:r>
      <w:r>
        <w:rPr>
          <w:rFonts w:hint="eastAsia" w:ascii="宋体" w:hAnsi="宋体" w:cs="宋体"/>
          <w:sz w:val="28"/>
          <w:szCs w:val="28"/>
        </w:rPr>
        <w:t>46</w:t>
      </w:r>
      <w:r>
        <w:rPr>
          <w:rFonts w:hint="eastAsia" w:ascii="宋体" w:hAnsi="宋体" w:cs="宋体"/>
          <w:sz w:val="28"/>
          <w:szCs w:val="28"/>
        </w:rPr>
        <w:fldChar w:fldCharType="end"/>
      </w:r>
      <w:r>
        <w:rPr>
          <w:rFonts w:hint="eastAsia" w:ascii="宋体" w:hAnsi="宋体" w:cs="宋体"/>
          <w:sz w:val="28"/>
          <w:szCs w:val="28"/>
        </w:rPr>
        <w:fldChar w:fldCharType="end"/>
      </w:r>
    </w:p>
    <w:p w14:paraId="72D5B6B2">
      <w:pPr>
        <w:pStyle w:val="11"/>
        <w:tabs>
          <w:tab w:val="right" w:leader="dot" w:pos="8306"/>
          <w:tab w:val="clear" w:pos="8296"/>
        </w:tabs>
        <w:rPr>
          <w:rFonts w:ascii="宋体" w:hAnsi="宋体" w:cs="宋体"/>
          <w:sz w:val="28"/>
          <w:szCs w:val="28"/>
        </w:rPr>
      </w:pPr>
      <w:r>
        <w:fldChar w:fldCharType="begin"/>
      </w:r>
      <w:r>
        <w:instrText xml:space="preserve"> HYPERLINK \l "_Toc17382" </w:instrText>
      </w:r>
      <w:r>
        <w:fldChar w:fldCharType="separate"/>
      </w:r>
      <w:r>
        <w:rPr>
          <w:rFonts w:hint="eastAsia" w:ascii="宋体" w:hAnsi="宋体" w:cs="宋体"/>
          <w:sz w:val="28"/>
          <w:szCs w:val="28"/>
        </w:rPr>
        <w:t>七、深化户外广告管理平台</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_Toc17382 \h </w:instrText>
      </w:r>
      <w:r>
        <w:rPr>
          <w:rFonts w:hint="eastAsia" w:ascii="宋体" w:hAnsi="宋体" w:cs="宋体"/>
          <w:sz w:val="28"/>
          <w:szCs w:val="28"/>
        </w:rPr>
        <w:fldChar w:fldCharType="separate"/>
      </w:r>
      <w:r>
        <w:rPr>
          <w:rFonts w:hint="eastAsia" w:ascii="宋体" w:hAnsi="宋体" w:cs="宋体"/>
          <w:sz w:val="28"/>
          <w:szCs w:val="28"/>
        </w:rPr>
        <w:t>47</w:t>
      </w:r>
      <w:r>
        <w:rPr>
          <w:rFonts w:hint="eastAsia" w:ascii="宋体" w:hAnsi="宋体" w:cs="宋体"/>
          <w:sz w:val="28"/>
          <w:szCs w:val="28"/>
        </w:rPr>
        <w:fldChar w:fldCharType="end"/>
      </w:r>
      <w:r>
        <w:rPr>
          <w:rFonts w:hint="eastAsia" w:ascii="宋体" w:hAnsi="宋体" w:cs="宋体"/>
          <w:sz w:val="28"/>
          <w:szCs w:val="28"/>
        </w:rPr>
        <w:fldChar w:fldCharType="end"/>
      </w:r>
    </w:p>
    <w:p w14:paraId="195D31FD">
      <w:pPr>
        <w:pStyle w:val="11"/>
        <w:tabs>
          <w:tab w:val="right" w:leader="dot" w:pos="8306"/>
          <w:tab w:val="clear" w:pos="8296"/>
        </w:tabs>
        <w:rPr>
          <w:rFonts w:ascii="宋体" w:hAnsi="宋体" w:cs="宋体"/>
          <w:sz w:val="28"/>
          <w:szCs w:val="28"/>
        </w:rPr>
      </w:pPr>
      <w:r>
        <w:fldChar w:fldCharType="begin"/>
      </w:r>
      <w:r>
        <w:instrText xml:space="preserve"> HYPERLINK \l "_Toc27841" </w:instrText>
      </w:r>
      <w:r>
        <w:fldChar w:fldCharType="separate"/>
      </w:r>
      <w:r>
        <w:rPr>
          <w:rFonts w:hint="eastAsia" w:ascii="宋体" w:hAnsi="宋体" w:cs="宋体"/>
          <w:sz w:val="28"/>
          <w:szCs w:val="28"/>
        </w:rPr>
        <w:t>八、完善燃气智能监管平台</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_Toc27841 \h </w:instrText>
      </w:r>
      <w:r>
        <w:rPr>
          <w:rFonts w:hint="eastAsia" w:ascii="宋体" w:hAnsi="宋体" w:cs="宋体"/>
          <w:sz w:val="28"/>
          <w:szCs w:val="28"/>
        </w:rPr>
        <w:fldChar w:fldCharType="separate"/>
      </w:r>
      <w:r>
        <w:rPr>
          <w:rFonts w:hint="eastAsia" w:ascii="宋体" w:hAnsi="宋体" w:cs="宋体"/>
          <w:sz w:val="28"/>
          <w:szCs w:val="28"/>
        </w:rPr>
        <w:t>47</w:t>
      </w:r>
      <w:r>
        <w:rPr>
          <w:rFonts w:hint="eastAsia" w:ascii="宋体" w:hAnsi="宋体" w:cs="宋体"/>
          <w:sz w:val="28"/>
          <w:szCs w:val="28"/>
        </w:rPr>
        <w:fldChar w:fldCharType="end"/>
      </w:r>
      <w:r>
        <w:rPr>
          <w:rFonts w:hint="eastAsia" w:ascii="宋体" w:hAnsi="宋体" w:cs="宋体"/>
          <w:sz w:val="28"/>
          <w:szCs w:val="28"/>
        </w:rPr>
        <w:fldChar w:fldCharType="end"/>
      </w:r>
    </w:p>
    <w:p w14:paraId="48074746">
      <w:pPr>
        <w:pStyle w:val="11"/>
        <w:tabs>
          <w:tab w:val="right" w:leader="dot" w:pos="8306"/>
          <w:tab w:val="clear" w:pos="8296"/>
        </w:tabs>
        <w:rPr>
          <w:rFonts w:ascii="宋体" w:hAnsi="宋体" w:cs="宋体"/>
          <w:sz w:val="28"/>
          <w:szCs w:val="28"/>
        </w:rPr>
      </w:pPr>
      <w:r>
        <w:fldChar w:fldCharType="begin"/>
      </w:r>
      <w:r>
        <w:instrText xml:space="preserve"> HYPERLINK \l "_Toc13746" </w:instrText>
      </w:r>
      <w:r>
        <w:fldChar w:fldCharType="separate"/>
      </w:r>
      <w:r>
        <w:rPr>
          <w:rFonts w:hint="eastAsia" w:ascii="宋体" w:hAnsi="宋体" w:cs="宋体"/>
          <w:sz w:val="28"/>
          <w:szCs w:val="28"/>
        </w:rPr>
        <w:t>九、完善餐饮油烟排放监控平台</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_Toc13746 \h </w:instrText>
      </w:r>
      <w:r>
        <w:rPr>
          <w:rFonts w:hint="eastAsia" w:ascii="宋体" w:hAnsi="宋体" w:cs="宋体"/>
          <w:sz w:val="28"/>
          <w:szCs w:val="28"/>
        </w:rPr>
        <w:fldChar w:fldCharType="separate"/>
      </w:r>
      <w:r>
        <w:rPr>
          <w:rFonts w:hint="eastAsia" w:ascii="宋体" w:hAnsi="宋体" w:cs="宋体"/>
          <w:sz w:val="28"/>
          <w:szCs w:val="28"/>
        </w:rPr>
        <w:t>47</w:t>
      </w:r>
      <w:r>
        <w:rPr>
          <w:rFonts w:hint="eastAsia" w:ascii="宋体" w:hAnsi="宋体" w:cs="宋体"/>
          <w:sz w:val="28"/>
          <w:szCs w:val="28"/>
        </w:rPr>
        <w:fldChar w:fldCharType="end"/>
      </w:r>
      <w:r>
        <w:rPr>
          <w:rFonts w:hint="eastAsia" w:ascii="宋体" w:hAnsi="宋体" w:cs="宋体"/>
          <w:sz w:val="28"/>
          <w:szCs w:val="28"/>
        </w:rPr>
        <w:fldChar w:fldCharType="end"/>
      </w:r>
    </w:p>
    <w:p w14:paraId="666AD83E">
      <w:pPr>
        <w:pStyle w:val="19"/>
        <w:tabs>
          <w:tab w:val="right" w:leader="dot" w:pos="8306"/>
          <w:tab w:val="clear" w:pos="8296"/>
        </w:tabs>
        <w:rPr>
          <w:rFonts w:ascii="宋体" w:hAnsi="宋体" w:cs="宋体"/>
          <w:sz w:val="28"/>
          <w:szCs w:val="28"/>
        </w:rPr>
      </w:pPr>
      <w:r>
        <w:fldChar w:fldCharType="begin"/>
      </w:r>
      <w:r>
        <w:instrText xml:space="preserve"> HYPERLINK \l "_Toc24966" </w:instrText>
      </w:r>
      <w:r>
        <w:fldChar w:fldCharType="separate"/>
      </w:r>
      <w:r>
        <w:rPr>
          <w:rFonts w:hint="eastAsia" w:ascii="宋体" w:hAnsi="宋体" w:cs="宋体"/>
          <w:sz w:val="28"/>
          <w:szCs w:val="28"/>
        </w:rPr>
        <w:t>第六章  统筹城乡环境卫生管理系统，实现城乡环卫一体化</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_Toc24966 \h </w:instrText>
      </w:r>
      <w:r>
        <w:rPr>
          <w:rFonts w:hint="eastAsia" w:ascii="宋体" w:hAnsi="宋体" w:cs="宋体"/>
          <w:sz w:val="28"/>
          <w:szCs w:val="28"/>
        </w:rPr>
        <w:fldChar w:fldCharType="separate"/>
      </w:r>
      <w:r>
        <w:rPr>
          <w:rFonts w:hint="eastAsia" w:ascii="宋体" w:hAnsi="宋体" w:cs="宋体"/>
          <w:sz w:val="28"/>
          <w:szCs w:val="28"/>
        </w:rPr>
        <w:t>49</w:t>
      </w:r>
      <w:r>
        <w:rPr>
          <w:rFonts w:hint="eastAsia" w:ascii="宋体" w:hAnsi="宋体" w:cs="宋体"/>
          <w:sz w:val="28"/>
          <w:szCs w:val="28"/>
        </w:rPr>
        <w:fldChar w:fldCharType="end"/>
      </w:r>
      <w:r>
        <w:rPr>
          <w:rFonts w:hint="eastAsia" w:ascii="宋体" w:hAnsi="宋体" w:cs="宋体"/>
          <w:sz w:val="28"/>
          <w:szCs w:val="28"/>
        </w:rPr>
        <w:fldChar w:fldCharType="end"/>
      </w:r>
    </w:p>
    <w:p w14:paraId="3D85471B">
      <w:pPr>
        <w:pStyle w:val="22"/>
        <w:tabs>
          <w:tab w:val="right" w:leader="dot" w:pos="8306"/>
          <w:tab w:val="clear" w:pos="8296"/>
        </w:tabs>
        <w:rPr>
          <w:rFonts w:ascii="宋体" w:hAnsi="宋体" w:cs="宋体"/>
          <w:sz w:val="28"/>
          <w:szCs w:val="28"/>
        </w:rPr>
      </w:pPr>
      <w:r>
        <w:fldChar w:fldCharType="begin"/>
      </w:r>
      <w:r>
        <w:instrText xml:space="preserve"> HYPERLINK \l "_Toc5761" </w:instrText>
      </w:r>
      <w:r>
        <w:fldChar w:fldCharType="separate"/>
      </w:r>
      <w:r>
        <w:rPr>
          <w:rFonts w:hint="eastAsia" w:ascii="宋体" w:hAnsi="宋体" w:cs="宋体"/>
          <w:sz w:val="28"/>
          <w:szCs w:val="28"/>
        </w:rPr>
        <w:t>第一节  统筹城乡垃圾收运处置管理</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_Toc5761 \h </w:instrText>
      </w:r>
      <w:r>
        <w:rPr>
          <w:rFonts w:hint="eastAsia" w:ascii="宋体" w:hAnsi="宋体" w:cs="宋体"/>
          <w:sz w:val="28"/>
          <w:szCs w:val="28"/>
        </w:rPr>
        <w:fldChar w:fldCharType="separate"/>
      </w:r>
      <w:r>
        <w:rPr>
          <w:rFonts w:hint="eastAsia" w:ascii="宋体" w:hAnsi="宋体" w:cs="宋体"/>
          <w:sz w:val="28"/>
          <w:szCs w:val="28"/>
        </w:rPr>
        <w:t>49</w:t>
      </w:r>
      <w:r>
        <w:rPr>
          <w:rFonts w:hint="eastAsia" w:ascii="宋体" w:hAnsi="宋体" w:cs="宋体"/>
          <w:sz w:val="28"/>
          <w:szCs w:val="28"/>
        </w:rPr>
        <w:fldChar w:fldCharType="end"/>
      </w:r>
      <w:r>
        <w:rPr>
          <w:rFonts w:hint="eastAsia" w:ascii="宋体" w:hAnsi="宋体" w:cs="宋体"/>
          <w:sz w:val="28"/>
          <w:szCs w:val="28"/>
        </w:rPr>
        <w:fldChar w:fldCharType="end"/>
      </w:r>
    </w:p>
    <w:p w14:paraId="508405ED">
      <w:pPr>
        <w:pStyle w:val="11"/>
        <w:tabs>
          <w:tab w:val="right" w:leader="dot" w:pos="8306"/>
          <w:tab w:val="clear" w:pos="8296"/>
        </w:tabs>
        <w:rPr>
          <w:rFonts w:ascii="宋体" w:hAnsi="宋体" w:cs="宋体"/>
          <w:sz w:val="28"/>
          <w:szCs w:val="28"/>
        </w:rPr>
      </w:pPr>
      <w:r>
        <w:fldChar w:fldCharType="begin"/>
      </w:r>
      <w:r>
        <w:instrText xml:space="preserve"> HYPERLINK \l "_Toc10459" </w:instrText>
      </w:r>
      <w:r>
        <w:fldChar w:fldCharType="separate"/>
      </w:r>
      <w:r>
        <w:rPr>
          <w:rFonts w:hint="eastAsia" w:ascii="宋体" w:hAnsi="宋体" w:cs="宋体"/>
          <w:sz w:val="28"/>
          <w:szCs w:val="28"/>
        </w:rPr>
        <w:t>一、统一垃圾分类标准</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_Toc10459 \h </w:instrText>
      </w:r>
      <w:r>
        <w:rPr>
          <w:rFonts w:hint="eastAsia" w:ascii="宋体" w:hAnsi="宋体" w:cs="宋体"/>
          <w:sz w:val="28"/>
          <w:szCs w:val="28"/>
        </w:rPr>
        <w:fldChar w:fldCharType="separate"/>
      </w:r>
      <w:r>
        <w:rPr>
          <w:rFonts w:hint="eastAsia" w:ascii="宋体" w:hAnsi="宋体" w:cs="宋体"/>
          <w:sz w:val="28"/>
          <w:szCs w:val="28"/>
        </w:rPr>
        <w:t>49</w:t>
      </w:r>
      <w:r>
        <w:rPr>
          <w:rFonts w:hint="eastAsia" w:ascii="宋体" w:hAnsi="宋体" w:cs="宋体"/>
          <w:sz w:val="28"/>
          <w:szCs w:val="28"/>
        </w:rPr>
        <w:fldChar w:fldCharType="end"/>
      </w:r>
      <w:r>
        <w:rPr>
          <w:rFonts w:hint="eastAsia" w:ascii="宋体" w:hAnsi="宋体" w:cs="宋体"/>
          <w:sz w:val="28"/>
          <w:szCs w:val="28"/>
        </w:rPr>
        <w:fldChar w:fldCharType="end"/>
      </w:r>
    </w:p>
    <w:p w14:paraId="2E04B620">
      <w:pPr>
        <w:pStyle w:val="11"/>
        <w:tabs>
          <w:tab w:val="right" w:leader="dot" w:pos="8306"/>
          <w:tab w:val="clear" w:pos="8296"/>
        </w:tabs>
        <w:rPr>
          <w:rFonts w:ascii="宋体" w:hAnsi="宋体" w:cs="宋体"/>
          <w:sz w:val="28"/>
          <w:szCs w:val="28"/>
        </w:rPr>
      </w:pPr>
      <w:r>
        <w:fldChar w:fldCharType="begin"/>
      </w:r>
      <w:r>
        <w:instrText xml:space="preserve"> HYPERLINK \l "_Toc3547" </w:instrText>
      </w:r>
      <w:r>
        <w:fldChar w:fldCharType="separate"/>
      </w:r>
      <w:r>
        <w:rPr>
          <w:rFonts w:hint="eastAsia" w:ascii="宋体" w:hAnsi="宋体" w:cs="宋体"/>
          <w:sz w:val="28"/>
          <w:szCs w:val="28"/>
        </w:rPr>
        <w:t>二、明确垃圾收运模式</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_Toc3547 \h </w:instrText>
      </w:r>
      <w:r>
        <w:rPr>
          <w:rFonts w:hint="eastAsia" w:ascii="宋体" w:hAnsi="宋体" w:cs="宋体"/>
          <w:sz w:val="28"/>
          <w:szCs w:val="28"/>
        </w:rPr>
        <w:fldChar w:fldCharType="separate"/>
      </w:r>
      <w:r>
        <w:rPr>
          <w:rFonts w:hint="eastAsia" w:ascii="宋体" w:hAnsi="宋体" w:cs="宋体"/>
          <w:sz w:val="28"/>
          <w:szCs w:val="28"/>
        </w:rPr>
        <w:t>49</w:t>
      </w:r>
      <w:r>
        <w:rPr>
          <w:rFonts w:hint="eastAsia" w:ascii="宋体" w:hAnsi="宋体" w:cs="宋体"/>
          <w:sz w:val="28"/>
          <w:szCs w:val="28"/>
        </w:rPr>
        <w:fldChar w:fldCharType="end"/>
      </w:r>
      <w:r>
        <w:rPr>
          <w:rFonts w:hint="eastAsia" w:ascii="宋体" w:hAnsi="宋体" w:cs="宋体"/>
          <w:sz w:val="28"/>
          <w:szCs w:val="28"/>
        </w:rPr>
        <w:fldChar w:fldCharType="end"/>
      </w:r>
    </w:p>
    <w:p w14:paraId="30D2238C">
      <w:pPr>
        <w:pStyle w:val="11"/>
        <w:tabs>
          <w:tab w:val="right" w:leader="dot" w:pos="8306"/>
          <w:tab w:val="clear" w:pos="8296"/>
        </w:tabs>
        <w:rPr>
          <w:rFonts w:ascii="宋体" w:hAnsi="宋体" w:cs="宋体"/>
          <w:sz w:val="28"/>
          <w:szCs w:val="28"/>
        </w:rPr>
      </w:pPr>
      <w:r>
        <w:fldChar w:fldCharType="begin"/>
      </w:r>
      <w:r>
        <w:instrText xml:space="preserve"> HYPERLINK \l "_Toc15073" </w:instrText>
      </w:r>
      <w:r>
        <w:fldChar w:fldCharType="separate"/>
      </w:r>
      <w:r>
        <w:rPr>
          <w:rFonts w:hint="eastAsia" w:ascii="宋体" w:hAnsi="宋体" w:cs="宋体"/>
          <w:sz w:val="28"/>
          <w:szCs w:val="28"/>
        </w:rPr>
        <w:t>三、完善垃圾收运设施</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_Toc15073 \h </w:instrText>
      </w:r>
      <w:r>
        <w:rPr>
          <w:rFonts w:hint="eastAsia" w:ascii="宋体" w:hAnsi="宋体" w:cs="宋体"/>
          <w:sz w:val="28"/>
          <w:szCs w:val="28"/>
        </w:rPr>
        <w:fldChar w:fldCharType="separate"/>
      </w:r>
      <w:r>
        <w:rPr>
          <w:rFonts w:hint="eastAsia" w:ascii="宋体" w:hAnsi="宋体" w:cs="宋体"/>
          <w:sz w:val="28"/>
          <w:szCs w:val="28"/>
        </w:rPr>
        <w:t>50</w:t>
      </w:r>
      <w:r>
        <w:rPr>
          <w:rFonts w:hint="eastAsia" w:ascii="宋体" w:hAnsi="宋体" w:cs="宋体"/>
          <w:sz w:val="28"/>
          <w:szCs w:val="28"/>
        </w:rPr>
        <w:fldChar w:fldCharType="end"/>
      </w:r>
      <w:r>
        <w:rPr>
          <w:rFonts w:hint="eastAsia" w:ascii="宋体" w:hAnsi="宋体" w:cs="宋体"/>
          <w:sz w:val="28"/>
          <w:szCs w:val="28"/>
        </w:rPr>
        <w:fldChar w:fldCharType="end"/>
      </w:r>
    </w:p>
    <w:p w14:paraId="729A027A">
      <w:pPr>
        <w:pStyle w:val="11"/>
        <w:tabs>
          <w:tab w:val="right" w:leader="dot" w:pos="8306"/>
          <w:tab w:val="clear" w:pos="8296"/>
        </w:tabs>
        <w:rPr>
          <w:rFonts w:ascii="宋体" w:hAnsi="宋体" w:cs="宋体"/>
          <w:sz w:val="28"/>
          <w:szCs w:val="28"/>
        </w:rPr>
      </w:pPr>
      <w:r>
        <w:fldChar w:fldCharType="begin"/>
      </w:r>
      <w:r>
        <w:instrText xml:space="preserve"> HYPERLINK \l "_Toc20271" </w:instrText>
      </w:r>
      <w:r>
        <w:fldChar w:fldCharType="separate"/>
      </w:r>
      <w:r>
        <w:rPr>
          <w:rFonts w:hint="eastAsia" w:ascii="宋体" w:hAnsi="宋体" w:cs="宋体"/>
          <w:sz w:val="28"/>
          <w:szCs w:val="28"/>
        </w:rPr>
        <w:t>四、科学处置各类垃圾</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_Toc20271 \h </w:instrText>
      </w:r>
      <w:r>
        <w:rPr>
          <w:rFonts w:hint="eastAsia" w:ascii="宋体" w:hAnsi="宋体" w:cs="宋体"/>
          <w:sz w:val="28"/>
          <w:szCs w:val="28"/>
        </w:rPr>
        <w:fldChar w:fldCharType="separate"/>
      </w:r>
      <w:r>
        <w:rPr>
          <w:rFonts w:hint="eastAsia" w:ascii="宋体" w:hAnsi="宋体" w:cs="宋体"/>
          <w:sz w:val="28"/>
          <w:szCs w:val="28"/>
        </w:rPr>
        <w:t>50</w:t>
      </w:r>
      <w:r>
        <w:rPr>
          <w:rFonts w:hint="eastAsia" w:ascii="宋体" w:hAnsi="宋体" w:cs="宋体"/>
          <w:sz w:val="28"/>
          <w:szCs w:val="28"/>
        </w:rPr>
        <w:fldChar w:fldCharType="end"/>
      </w:r>
      <w:r>
        <w:rPr>
          <w:rFonts w:hint="eastAsia" w:ascii="宋体" w:hAnsi="宋体" w:cs="宋体"/>
          <w:sz w:val="28"/>
          <w:szCs w:val="28"/>
        </w:rPr>
        <w:fldChar w:fldCharType="end"/>
      </w:r>
    </w:p>
    <w:p w14:paraId="6829E161">
      <w:pPr>
        <w:pStyle w:val="11"/>
        <w:tabs>
          <w:tab w:val="right" w:leader="dot" w:pos="8306"/>
          <w:tab w:val="clear" w:pos="8296"/>
        </w:tabs>
        <w:rPr>
          <w:rFonts w:ascii="宋体" w:hAnsi="宋体" w:cs="宋体"/>
          <w:sz w:val="28"/>
          <w:szCs w:val="28"/>
        </w:rPr>
      </w:pPr>
      <w:r>
        <w:fldChar w:fldCharType="begin"/>
      </w:r>
      <w:r>
        <w:instrText xml:space="preserve"> HYPERLINK \l "_Toc29139" </w:instrText>
      </w:r>
      <w:r>
        <w:fldChar w:fldCharType="separate"/>
      </w:r>
      <w:r>
        <w:rPr>
          <w:rFonts w:hint="eastAsia" w:ascii="宋体" w:hAnsi="宋体" w:cs="宋体"/>
          <w:sz w:val="28"/>
          <w:szCs w:val="28"/>
        </w:rPr>
        <w:t>五、严格垃圾收运管理监督</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_Toc29139 \h </w:instrText>
      </w:r>
      <w:r>
        <w:rPr>
          <w:rFonts w:hint="eastAsia" w:ascii="宋体" w:hAnsi="宋体" w:cs="宋体"/>
          <w:sz w:val="28"/>
          <w:szCs w:val="28"/>
        </w:rPr>
        <w:fldChar w:fldCharType="separate"/>
      </w:r>
      <w:r>
        <w:rPr>
          <w:rFonts w:hint="eastAsia" w:ascii="宋体" w:hAnsi="宋体" w:cs="宋体"/>
          <w:sz w:val="28"/>
          <w:szCs w:val="28"/>
        </w:rPr>
        <w:t>52</w:t>
      </w:r>
      <w:r>
        <w:rPr>
          <w:rFonts w:hint="eastAsia" w:ascii="宋体" w:hAnsi="宋体" w:cs="宋体"/>
          <w:sz w:val="28"/>
          <w:szCs w:val="28"/>
        </w:rPr>
        <w:fldChar w:fldCharType="end"/>
      </w:r>
      <w:r>
        <w:rPr>
          <w:rFonts w:hint="eastAsia" w:ascii="宋体" w:hAnsi="宋体" w:cs="宋体"/>
          <w:sz w:val="28"/>
          <w:szCs w:val="28"/>
        </w:rPr>
        <w:fldChar w:fldCharType="end"/>
      </w:r>
    </w:p>
    <w:p w14:paraId="72294F5A">
      <w:pPr>
        <w:pStyle w:val="22"/>
        <w:tabs>
          <w:tab w:val="right" w:leader="dot" w:pos="8306"/>
          <w:tab w:val="clear" w:pos="8296"/>
        </w:tabs>
        <w:rPr>
          <w:rFonts w:ascii="宋体" w:hAnsi="宋体" w:cs="宋体"/>
          <w:sz w:val="28"/>
          <w:szCs w:val="28"/>
        </w:rPr>
      </w:pPr>
      <w:r>
        <w:fldChar w:fldCharType="begin"/>
      </w:r>
      <w:r>
        <w:instrText xml:space="preserve"> HYPERLINK \l "_Toc5679" </w:instrText>
      </w:r>
      <w:r>
        <w:fldChar w:fldCharType="separate"/>
      </w:r>
      <w:r>
        <w:rPr>
          <w:rFonts w:hint="eastAsia" w:ascii="宋体" w:hAnsi="宋体" w:cs="宋体"/>
          <w:sz w:val="28"/>
          <w:szCs w:val="28"/>
        </w:rPr>
        <w:t>第二节  统筹城乡保洁管理</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_Toc5679 \h </w:instrText>
      </w:r>
      <w:r>
        <w:rPr>
          <w:rFonts w:hint="eastAsia" w:ascii="宋体" w:hAnsi="宋体" w:cs="宋体"/>
          <w:sz w:val="28"/>
          <w:szCs w:val="28"/>
        </w:rPr>
        <w:fldChar w:fldCharType="separate"/>
      </w:r>
      <w:r>
        <w:rPr>
          <w:rFonts w:hint="eastAsia" w:ascii="宋体" w:hAnsi="宋体" w:cs="宋体"/>
          <w:sz w:val="28"/>
          <w:szCs w:val="28"/>
        </w:rPr>
        <w:t>52</w:t>
      </w:r>
      <w:r>
        <w:rPr>
          <w:rFonts w:hint="eastAsia" w:ascii="宋体" w:hAnsi="宋体" w:cs="宋体"/>
          <w:sz w:val="28"/>
          <w:szCs w:val="28"/>
        </w:rPr>
        <w:fldChar w:fldCharType="end"/>
      </w:r>
      <w:r>
        <w:rPr>
          <w:rFonts w:hint="eastAsia" w:ascii="宋体" w:hAnsi="宋体" w:cs="宋体"/>
          <w:sz w:val="28"/>
          <w:szCs w:val="28"/>
        </w:rPr>
        <w:fldChar w:fldCharType="end"/>
      </w:r>
    </w:p>
    <w:p w14:paraId="0671E941">
      <w:pPr>
        <w:pStyle w:val="11"/>
        <w:tabs>
          <w:tab w:val="right" w:leader="dot" w:pos="8306"/>
          <w:tab w:val="clear" w:pos="8296"/>
        </w:tabs>
        <w:rPr>
          <w:rFonts w:ascii="宋体" w:hAnsi="宋体" w:cs="宋体"/>
          <w:sz w:val="28"/>
          <w:szCs w:val="28"/>
        </w:rPr>
      </w:pPr>
      <w:r>
        <w:fldChar w:fldCharType="begin"/>
      </w:r>
      <w:r>
        <w:instrText xml:space="preserve"> HYPERLINK \l "_Toc17273" </w:instrText>
      </w:r>
      <w:r>
        <w:fldChar w:fldCharType="separate"/>
      </w:r>
      <w:r>
        <w:rPr>
          <w:rFonts w:hint="eastAsia" w:ascii="宋体" w:hAnsi="宋体" w:cs="宋体"/>
          <w:sz w:val="28"/>
          <w:szCs w:val="28"/>
        </w:rPr>
        <w:t>一、统筹好城乡道路保洁</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_Toc17273 \h </w:instrText>
      </w:r>
      <w:r>
        <w:rPr>
          <w:rFonts w:hint="eastAsia" w:ascii="宋体" w:hAnsi="宋体" w:cs="宋体"/>
          <w:sz w:val="28"/>
          <w:szCs w:val="28"/>
        </w:rPr>
        <w:fldChar w:fldCharType="separate"/>
      </w:r>
      <w:r>
        <w:rPr>
          <w:rFonts w:hint="eastAsia" w:ascii="宋体" w:hAnsi="宋体" w:cs="宋体"/>
          <w:sz w:val="28"/>
          <w:szCs w:val="28"/>
        </w:rPr>
        <w:t>52</w:t>
      </w:r>
      <w:r>
        <w:rPr>
          <w:rFonts w:hint="eastAsia" w:ascii="宋体" w:hAnsi="宋体" w:cs="宋体"/>
          <w:sz w:val="28"/>
          <w:szCs w:val="28"/>
        </w:rPr>
        <w:fldChar w:fldCharType="end"/>
      </w:r>
      <w:r>
        <w:rPr>
          <w:rFonts w:hint="eastAsia" w:ascii="宋体" w:hAnsi="宋体" w:cs="宋体"/>
          <w:sz w:val="28"/>
          <w:szCs w:val="28"/>
        </w:rPr>
        <w:fldChar w:fldCharType="end"/>
      </w:r>
    </w:p>
    <w:p w14:paraId="6ECD5BFF">
      <w:pPr>
        <w:pStyle w:val="11"/>
        <w:tabs>
          <w:tab w:val="right" w:leader="dot" w:pos="8306"/>
          <w:tab w:val="clear" w:pos="8296"/>
        </w:tabs>
        <w:rPr>
          <w:rFonts w:ascii="宋体" w:hAnsi="宋体" w:cs="宋体"/>
          <w:sz w:val="28"/>
          <w:szCs w:val="28"/>
        </w:rPr>
      </w:pPr>
      <w:r>
        <w:fldChar w:fldCharType="begin"/>
      </w:r>
      <w:r>
        <w:instrText xml:space="preserve"> HYPERLINK \l "_Toc28401" </w:instrText>
      </w:r>
      <w:r>
        <w:fldChar w:fldCharType="separate"/>
      </w:r>
      <w:r>
        <w:rPr>
          <w:rFonts w:hint="eastAsia" w:ascii="宋体" w:hAnsi="宋体" w:cs="宋体"/>
          <w:sz w:val="28"/>
          <w:szCs w:val="28"/>
        </w:rPr>
        <w:t>二、统筹好城乡水域保洁</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_Toc28401 \h </w:instrText>
      </w:r>
      <w:r>
        <w:rPr>
          <w:rFonts w:hint="eastAsia" w:ascii="宋体" w:hAnsi="宋体" w:cs="宋体"/>
          <w:sz w:val="28"/>
          <w:szCs w:val="28"/>
        </w:rPr>
        <w:fldChar w:fldCharType="separate"/>
      </w:r>
      <w:r>
        <w:rPr>
          <w:rFonts w:hint="eastAsia" w:ascii="宋体" w:hAnsi="宋体" w:cs="宋体"/>
          <w:sz w:val="28"/>
          <w:szCs w:val="28"/>
        </w:rPr>
        <w:t>53</w:t>
      </w:r>
      <w:r>
        <w:rPr>
          <w:rFonts w:hint="eastAsia" w:ascii="宋体" w:hAnsi="宋体" w:cs="宋体"/>
          <w:sz w:val="28"/>
          <w:szCs w:val="28"/>
        </w:rPr>
        <w:fldChar w:fldCharType="end"/>
      </w:r>
      <w:r>
        <w:rPr>
          <w:rFonts w:hint="eastAsia" w:ascii="宋体" w:hAnsi="宋体" w:cs="宋体"/>
          <w:sz w:val="28"/>
          <w:szCs w:val="28"/>
        </w:rPr>
        <w:fldChar w:fldCharType="end"/>
      </w:r>
    </w:p>
    <w:p w14:paraId="14C0CF81">
      <w:pPr>
        <w:pStyle w:val="22"/>
        <w:tabs>
          <w:tab w:val="right" w:leader="dot" w:pos="8306"/>
          <w:tab w:val="clear" w:pos="8296"/>
        </w:tabs>
        <w:rPr>
          <w:rFonts w:ascii="宋体" w:hAnsi="宋体" w:cs="宋体"/>
          <w:sz w:val="28"/>
          <w:szCs w:val="28"/>
        </w:rPr>
      </w:pPr>
      <w:r>
        <w:fldChar w:fldCharType="begin"/>
      </w:r>
      <w:r>
        <w:instrText xml:space="preserve"> HYPERLINK \l "_Toc2870" </w:instrText>
      </w:r>
      <w:r>
        <w:fldChar w:fldCharType="separate"/>
      </w:r>
      <w:r>
        <w:rPr>
          <w:rFonts w:hint="eastAsia" w:ascii="宋体" w:hAnsi="宋体" w:cs="宋体"/>
          <w:sz w:val="28"/>
          <w:szCs w:val="28"/>
        </w:rPr>
        <w:t>第三节  统筹城乡环境卫生设施</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_Toc2870 \h </w:instrText>
      </w:r>
      <w:r>
        <w:rPr>
          <w:rFonts w:hint="eastAsia" w:ascii="宋体" w:hAnsi="宋体" w:cs="宋体"/>
          <w:sz w:val="28"/>
          <w:szCs w:val="28"/>
        </w:rPr>
        <w:fldChar w:fldCharType="separate"/>
      </w:r>
      <w:r>
        <w:rPr>
          <w:rFonts w:hint="eastAsia" w:ascii="宋体" w:hAnsi="宋体" w:cs="宋体"/>
          <w:sz w:val="28"/>
          <w:szCs w:val="28"/>
        </w:rPr>
        <w:t>53</w:t>
      </w:r>
      <w:r>
        <w:rPr>
          <w:rFonts w:hint="eastAsia" w:ascii="宋体" w:hAnsi="宋体" w:cs="宋体"/>
          <w:sz w:val="28"/>
          <w:szCs w:val="28"/>
        </w:rPr>
        <w:fldChar w:fldCharType="end"/>
      </w:r>
      <w:r>
        <w:rPr>
          <w:rFonts w:hint="eastAsia" w:ascii="宋体" w:hAnsi="宋体" w:cs="宋体"/>
          <w:sz w:val="28"/>
          <w:szCs w:val="28"/>
        </w:rPr>
        <w:fldChar w:fldCharType="end"/>
      </w:r>
    </w:p>
    <w:p w14:paraId="586E1937">
      <w:pPr>
        <w:pStyle w:val="11"/>
        <w:tabs>
          <w:tab w:val="right" w:leader="dot" w:pos="8306"/>
          <w:tab w:val="clear" w:pos="8296"/>
        </w:tabs>
        <w:rPr>
          <w:rFonts w:ascii="宋体" w:hAnsi="宋体" w:cs="宋体"/>
          <w:sz w:val="28"/>
          <w:szCs w:val="28"/>
        </w:rPr>
      </w:pPr>
      <w:r>
        <w:fldChar w:fldCharType="begin"/>
      </w:r>
      <w:r>
        <w:instrText xml:space="preserve"> HYPERLINK \l "_Toc28752" </w:instrText>
      </w:r>
      <w:r>
        <w:fldChar w:fldCharType="separate"/>
      </w:r>
      <w:r>
        <w:rPr>
          <w:rFonts w:hint="eastAsia" w:ascii="宋体" w:hAnsi="宋体" w:cs="宋体"/>
          <w:sz w:val="28"/>
          <w:szCs w:val="28"/>
        </w:rPr>
        <w:t>一、统筹环境卫生公共设施</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_Toc28752 \h </w:instrText>
      </w:r>
      <w:r>
        <w:rPr>
          <w:rFonts w:hint="eastAsia" w:ascii="宋体" w:hAnsi="宋体" w:cs="宋体"/>
          <w:sz w:val="28"/>
          <w:szCs w:val="28"/>
        </w:rPr>
        <w:fldChar w:fldCharType="separate"/>
      </w:r>
      <w:r>
        <w:rPr>
          <w:rFonts w:hint="eastAsia" w:ascii="宋体" w:hAnsi="宋体" w:cs="宋体"/>
          <w:sz w:val="28"/>
          <w:szCs w:val="28"/>
        </w:rPr>
        <w:t>53</w:t>
      </w:r>
      <w:r>
        <w:rPr>
          <w:rFonts w:hint="eastAsia" w:ascii="宋体" w:hAnsi="宋体" w:cs="宋体"/>
          <w:sz w:val="28"/>
          <w:szCs w:val="28"/>
        </w:rPr>
        <w:fldChar w:fldCharType="end"/>
      </w:r>
      <w:r>
        <w:rPr>
          <w:rFonts w:hint="eastAsia" w:ascii="宋体" w:hAnsi="宋体" w:cs="宋体"/>
          <w:sz w:val="28"/>
          <w:szCs w:val="28"/>
        </w:rPr>
        <w:fldChar w:fldCharType="end"/>
      </w:r>
    </w:p>
    <w:p w14:paraId="7F05BC8C">
      <w:pPr>
        <w:pStyle w:val="11"/>
        <w:tabs>
          <w:tab w:val="right" w:leader="dot" w:pos="8306"/>
          <w:tab w:val="clear" w:pos="8296"/>
        </w:tabs>
        <w:rPr>
          <w:rFonts w:ascii="宋体" w:hAnsi="宋体" w:cs="宋体"/>
          <w:sz w:val="28"/>
          <w:szCs w:val="28"/>
        </w:rPr>
      </w:pPr>
      <w:r>
        <w:fldChar w:fldCharType="begin"/>
      </w:r>
      <w:r>
        <w:instrText xml:space="preserve"> HYPERLINK \l "_Toc4466" </w:instrText>
      </w:r>
      <w:r>
        <w:fldChar w:fldCharType="separate"/>
      </w:r>
      <w:r>
        <w:rPr>
          <w:rFonts w:hint="eastAsia" w:ascii="宋体" w:hAnsi="宋体" w:cs="宋体"/>
          <w:sz w:val="28"/>
          <w:szCs w:val="28"/>
        </w:rPr>
        <w:t>二、统筹生活垃圾转运设施</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_Toc4466 \h </w:instrText>
      </w:r>
      <w:r>
        <w:rPr>
          <w:rFonts w:hint="eastAsia" w:ascii="宋体" w:hAnsi="宋体" w:cs="宋体"/>
          <w:sz w:val="28"/>
          <w:szCs w:val="28"/>
        </w:rPr>
        <w:fldChar w:fldCharType="separate"/>
      </w:r>
      <w:r>
        <w:rPr>
          <w:rFonts w:hint="eastAsia" w:ascii="宋体" w:hAnsi="宋体" w:cs="宋体"/>
          <w:sz w:val="28"/>
          <w:szCs w:val="28"/>
        </w:rPr>
        <w:t>55</w:t>
      </w:r>
      <w:r>
        <w:rPr>
          <w:rFonts w:hint="eastAsia" w:ascii="宋体" w:hAnsi="宋体" w:cs="宋体"/>
          <w:sz w:val="28"/>
          <w:szCs w:val="28"/>
        </w:rPr>
        <w:fldChar w:fldCharType="end"/>
      </w:r>
      <w:r>
        <w:rPr>
          <w:rFonts w:hint="eastAsia" w:ascii="宋体" w:hAnsi="宋体" w:cs="宋体"/>
          <w:sz w:val="28"/>
          <w:szCs w:val="28"/>
        </w:rPr>
        <w:fldChar w:fldCharType="end"/>
      </w:r>
    </w:p>
    <w:p w14:paraId="0D4ADDD1">
      <w:pPr>
        <w:pStyle w:val="11"/>
        <w:tabs>
          <w:tab w:val="right" w:leader="dot" w:pos="8306"/>
          <w:tab w:val="clear" w:pos="8296"/>
        </w:tabs>
        <w:rPr>
          <w:rFonts w:ascii="宋体" w:hAnsi="宋体" w:cs="宋体"/>
          <w:sz w:val="28"/>
          <w:szCs w:val="28"/>
        </w:rPr>
      </w:pPr>
      <w:r>
        <w:fldChar w:fldCharType="begin"/>
      </w:r>
      <w:r>
        <w:instrText xml:space="preserve"> HYPERLINK \l "_Toc549" </w:instrText>
      </w:r>
      <w:r>
        <w:fldChar w:fldCharType="separate"/>
      </w:r>
      <w:r>
        <w:rPr>
          <w:rFonts w:hint="eastAsia" w:ascii="宋体" w:hAnsi="宋体" w:cs="宋体"/>
          <w:sz w:val="28"/>
          <w:szCs w:val="28"/>
        </w:rPr>
        <w:t>三、统筹粪便处理设施</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_Toc549 \h </w:instrText>
      </w:r>
      <w:r>
        <w:rPr>
          <w:rFonts w:hint="eastAsia" w:ascii="宋体" w:hAnsi="宋体" w:cs="宋体"/>
          <w:sz w:val="28"/>
          <w:szCs w:val="28"/>
        </w:rPr>
        <w:fldChar w:fldCharType="separate"/>
      </w:r>
      <w:r>
        <w:rPr>
          <w:rFonts w:hint="eastAsia" w:ascii="宋体" w:hAnsi="宋体" w:cs="宋体"/>
          <w:sz w:val="28"/>
          <w:szCs w:val="28"/>
        </w:rPr>
        <w:t>55</w:t>
      </w:r>
      <w:r>
        <w:rPr>
          <w:rFonts w:hint="eastAsia" w:ascii="宋体" w:hAnsi="宋体" w:cs="宋体"/>
          <w:sz w:val="28"/>
          <w:szCs w:val="28"/>
        </w:rPr>
        <w:fldChar w:fldCharType="end"/>
      </w:r>
      <w:r>
        <w:rPr>
          <w:rFonts w:hint="eastAsia" w:ascii="宋体" w:hAnsi="宋体" w:cs="宋体"/>
          <w:sz w:val="28"/>
          <w:szCs w:val="28"/>
        </w:rPr>
        <w:fldChar w:fldCharType="end"/>
      </w:r>
    </w:p>
    <w:p w14:paraId="30D1B3AB">
      <w:pPr>
        <w:pStyle w:val="11"/>
        <w:tabs>
          <w:tab w:val="right" w:leader="dot" w:pos="8306"/>
          <w:tab w:val="clear" w:pos="8296"/>
        </w:tabs>
        <w:rPr>
          <w:rFonts w:ascii="宋体" w:hAnsi="宋体" w:cs="宋体"/>
          <w:sz w:val="28"/>
          <w:szCs w:val="28"/>
        </w:rPr>
      </w:pPr>
      <w:r>
        <w:fldChar w:fldCharType="begin"/>
      </w:r>
      <w:r>
        <w:instrText xml:space="preserve"> HYPERLINK \l "_Toc9077" </w:instrText>
      </w:r>
      <w:r>
        <w:fldChar w:fldCharType="separate"/>
      </w:r>
      <w:r>
        <w:rPr>
          <w:rFonts w:hint="eastAsia" w:ascii="宋体" w:hAnsi="宋体" w:cs="宋体"/>
          <w:sz w:val="28"/>
          <w:szCs w:val="28"/>
        </w:rPr>
        <w:t>四、统筹餐厨垃圾处置设施</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_Toc9077 \h </w:instrText>
      </w:r>
      <w:r>
        <w:rPr>
          <w:rFonts w:hint="eastAsia" w:ascii="宋体" w:hAnsi="宋体" w:cs="宋体"/>
          <w:sz w:val="28"/>
          <w:szCs w:val="28"/>
        </w:rPr>
        <w:fldChar w:fldCharType="separate"/>
      </w:r>
      <w:r>
        <w:rPr>
          <w:rFonts w:hint="eastAsia" w:ascii="宋体" w:hAnsi="宋体" w:cs="宋体"/>
          <w:sz w:val="28"/>
          <w:szCs w:val="28"/>
        </w:rPr>
        <w:t>56</w:t>
      </w:r>
      <w:r>
        <w:rPr>
          <w:rFonts w:hint="eastAsia" w:ascii="宋体" w:hAnsi="宋体" w:cs="宋体"/>
          <w:sz w:val="28"/>
          <w:szCs w:val="28"/>
        </w:rPr>
        <w:fldChar w:fldCharType="end"/>
      </w:r>
      <w:r>
        <w:rPr>
          <w:rFonts w:hint="eastAsia" w:ascii="宋体" w:hAnsi="宋体" w:cs="宋体"/>
          <w:sz w:val="28"/>
          <w:szCs w:val="28"/>
        </w:rPr>
        <w:fldChar w:fldCharType="end"/>
      </w:r>
    </w:p>
    <w:p w14:paraId="2FCA0BCE">
      <w:pPr>
        <w:pStyle w:val="11"/>
        <w:tabs>
          <w:tab w:val="right" w:leader="dot" w:pos="8306"/>
          <w:tab w:val="clear" w:pos="8296"/>
        </w:tabs>
        <w:rPr>
          <w:rFonts w:ascii="宋体" w:hAnsi="宋体" w:cs="宋体"/>
          <w:sz w:val="28"/>
          <w:szCs w:val="28"/>
        </w:rPr>
      </w:pPr>
      <w:r>
        <w:fldChar w:fldCharType="begin"/>
      </w:r>
      <w:r>
        <w:instrText xml:space="preserve"> HYPERLINK \l "_Toc22077" </w:instrText>
      </w:r>
      <w:r>
        <w:fldChar w:fldCharType="separate"/>
      </w:r>
      <w:r>
        <w:rPr>
          <w:rFonts w:hint="eastAsia" w:ascii="宋体" w:hAnsi="宋体" w:cs="宋体"/>
          <w:sz w:val="28"/>
          <w:szCs w:val="28"/>
        </w:rPr>
        <w:t>五、统筹建筑垃圾处置设施</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_Toc22077 \h </w:instrText>
      </w:r>
      <w:r>
        <w:rPr>
          <w:rFonts w:hint="eastAsia" w:ascii="宋体" w:hAnsi="宋体" w:cs="宋体"/>
          <w:sz w:val="28"/>
          <w:szCs w:val="28"/>
        </w:rPr>
        <w:fldChar w:fldCharType="separate"/>
      </w:r>
      <w:r>
        <w:rPr>
          <w:rFonts w:hint="eastAsia" w:ascii="宋体" w:hAnsi="宋体" w:cs="宋体"/>
          <w:sz w:val="28"/>
          <w:szCs w:val="28"/>
        </w:rPr>
        <w:t>56</w:t>
      </w:r>
      <w:r>
        <w:rPr>
          <w:rFonts w:hint="eastAsia" w:ascii="宋体" w:hAnsi="宋体" w:cs="宋体"/>
          <w:sz w:val="28"/>
          <w:szCs w:val="28"/>
        </w:rPr>
        <w:fldChar w:fldCharType="end"/>
      </w:r>
      <w:r>
        <w:rPr>
          <w:rFonts w:hint="eastAsia" w:ascii="宋体" w:hAnsi="宋体" w:cs="宋体"/>
          <w:sz w:val="28"/>
          <w:szCs w:val="28"/>
        </w:rPr>
        <w:fldChar w:fldCharType="end"/>
      </w:r>
    </w:p>
    <w:p w14:paraId="5015E719">
      <w:pPr>
        <w:pStyle w:val="11"/>
        <w:tabs>
          <w:tab w:val="right" w:leader="dot" w:pos="8306"/>
          <w:tab w:val="clear" w:pos="8296"/>
        </w:tabs>
        <w:rPr>
          <w:rFonts w:ascii="宋体" w:hAnsi="宋体" w:cs="宋体"/>
          <w:sz w:val="28"/>
          <w:szCs w:val="28"/>
        </w:rPr>
      </w:pPr>
      <w:r>
        <w:fldChar w:fldCharType="begin"/>
      </w:r>
      <w:r>
        <w:instrText xml:space="preserve"> HYPERLINK \l "_Toc26344" </w:instrText>
      </w:r>
      <w:r>
        <w:fldChar w:fldCharType="separate"/>
      </w:r>
      <w:r>
        <w:rPr>
          <w:rFonts w:hint="eastAsia" w:ascii="宋体" w:hAnsi="宋体" w:cs="宋体"/>
          <w:sz w:val="28"/>
          <w:szCs w:val="28"/>
        </w:rPr>
        <w:t>六、可回收物及大件处理设施</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_Toc26344 \h </w:instrText>
      </w:r>
      <w:r>
        <w:rPr>
          <w:rFonts w:hint="eastAsia" w:ascii="宋体" w:hAnsi="宋体" w:cs="宋体"/>
          <w:sz w:val="28"/>
          <w:szCs w:val="28"/>
        </w:rPr>
        <w:fldChar w:fldCharType="separate"/>
      </w:r>
      <w:r>
        <w:rPr>
          <w:rFonts w:hint="eastAsia" w:ascii="宋体" w:hAnsi="宋体" w:cs="宋体"/>
          <w:sz w:val="28"/>
          <w:szCs w:val="28"/>
        </w:rPr>
        <w:t>56</w:t>
      </w:r>
      <w:r>
        <w:rPr>
          <w:rFonts w:hint="eastAsia" w:ascii="宋体" w:hAnsi="宋体" w:cs="宋体"/>
          <w:sz w:val="28"/>
          <w:szCs w:val="28"/>
        </w:rPr>
        <w:fldChar w:fldCharType="end"/>
      </w:r>
      <w:r>
        <w:rPr>
          <w:rFonts w:hint="eastAsia" w:ascii="宋体" w:hAnsi="宋体" w:cs="宋体"/>
          <w:sz w:val="28"/>
          <w:szCs w:val="28"/>
        </w:rPr>
        <w:fldChar w:fldCharType="end"/>
      </w:r>
    </w:p>
    <w:p w14:paraId="10ECD008">
      <w:pPr>
        <w:pStyle w:val="11"/>
        <w:tabs>
          <w:tab w:val="right" w:leader="dot" w:pos="8306"/>
          <w:tab w:val="clear" w:pos="8296"/>
        </w:tabs>
        <w:rPr>
          <w:rFonts w:ascii="宋体" w:hAnsi="宋体" w:cs="宋体"/>
          <w:sz w:val="28"/>
          <w:szCs w:val="28"/>
        </w:rPr>
      </w:pPr>
      <w:r>
        <w:fldChar w:fldCharType="begin"/>
      </w:r>
      <w:r>
        <w:instrText xml:space="preserve"> HYPERLINK \l "_Toc12879" </w:instrText>
      </w:r>
      <w:r>
        <w:fldChar w:fldCharType="separate"/>
      </w:r>
      <w:r>
        <w:rPr>
          <w:rFonts w:hint="eastAsia" w:ascii="宋体" w:hAnsi="宋体" w:cs="宋体"/>
          <w:sz w:val="28"/>
          <w:szCs w:val="28"/>
        </w:rPr>
        <w:t>七、统筹水上环境卫生工程设施</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_Toc12879 \h </w:instrText>
      </w:r>
      <w:r>
        <w:rPr>
          <w:rFonts w:hint="eastAsia" w:ascii="宋体" w:hAnsi="宋体" w:cs="宋体"/>
          <w:sz w:val="28"/>
          <w:szCs w:val="28"/>
        </w:rPr>
        <w:fldChar w:fldCharType="separate"/>
      </w:r>
      <w:r>
        <w:rPr>
          <w:rFonts w:hint="eastAsia" w:ascii="宋体" w:hAnsi="宋体" w:cs="宋体"/>
          <w:sz w:val="28"/>
          <w:szCs w:val="28"/>
        </w:rPr>
        <w:t>57</w:t>
      </w:r>
      <w:r>
        <w:rPr>
          <w:rFonts w:hint="eastAsia" w:ascii="宋体" w:hAnsi="宋体" w:cs="宋体"/>
          <w:sz w:val="28"/>
          <w:szCs w:val="28"/>
        </w:rPr>
        <w:fldChar w:fldCharType="end"/>
      </w:r>
      <w:r>
        <w:rPr>
          <w:rFonts w:hint="eastAsia" w:ascii="宋体" w:hAnsi="宋体" w:cs="宋体"/>
          <w:sz w:val="28"/>
          <w:szCs w:val="28"/>
        </w:rPr>
        <w:fldChar w:fldCharType="end"/>
      </w:r>
    </w:p>
    <w:p w14:paraId="2D2DF7AD">
      <w:pPr>
        <w:pStyle w:val="22"/>
        <w:tabs>
          <w:tab w:val="right" w:leader="dot" w:pos="8306"/>
          <w:tab w:val="clear" w:pos="8296"/>
        </w:tabs>
        <w:rPr>
          <w:rFonts w:ascii="宋体" w:hAnsi="宋体" w:cs="宋体"/>
          <w:sz w:val="28"/>
          <w:szCs w:val="28"/>
        </w:rPr>
      </w:pPr>
      <w:r>
        <w:fldChar w:fldCharType="begin"/>
      </w:r>
      <w:r>
        <w:instrText xml:space="preserve"> HYPERLINK \l "_Toc11929" </w:instrText>
      </w:r>
      <w:r>
        <w:fldChar w:fldCharType="separate"/>
      </w:r>
      <w:r>
        <w:rPr>
          <w:rFonts w:hint="eastAsia" w:ascii="宋体" w:hAnsi="宋体" w:cs="宋体"/>
          <w:sz w:val="28"/>
          <w:szCs w:val="28"/>
        </w:rPr>
        <w:t>第四节  统筹城乡环境卫生管理体系</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_Toc11929 \h </w:instrText>
      </w:r>
      <w:r>
        <w:rPr>
          <w:rFonts w:hint="eastAsia" w:ascii="宋体" w:hAnsi="宋体" w:cs="宋体"/>
          <w:sz w:val="28"/>
          <w:szCs w:val="28"/>
        </w:rPr>
        <w:fldChar w:fldCharType="separate"/>
      </w:r>
      <w:r>
        <w:rPr>
          <w:rFonts w:hint="eastAsia" w:ascii="宋体" w:hAnsi="宋体" w:cs="宋体"/>
          <w:sz w:val="28"/>
          <w:szCs w:val="28"/>
        </w:rPr>
        <w:t>57</w:t>
      </w:r>
      <w:r>
        <w:rPr>
          <w:rFonts w:hint="eastAsia" w:ascii="宋体" w:hAnsi="宋体" w:cs="宋体"/>
          <w:sz w:val="28"/>
          <w:szCs w:val="28"/>
        </w:rPr>
        <w:fldChar w:fldCharType="end"/>
      </w:r>
      <w:r>
        <w:rPr>
          <w:rFonts w:hint="eastAsia" w:ascii="宋体" w:hAnsi="宋体" w:cs="宋体"/>
          <w:sz w:val="28"/>
          <w:szCs w:val="28"/>
        </w:rPr>
        <w:fldChar w:fldCharType="end"/>
      </w:r>
    </w:p>
    <w:p w14:paraId="521B4D67">
      <w:pPr>
        <w:pStyle w:val="11"/>
        <w:tabs>
          <w:tab w:val="right" w:leader="dot" w:pos="8306"/>
          <w:tab w:val="clear" w:pos="8296"/>
        </w:tabs>
        <w:rPr>
          <w:rFonts w:ascii="宋体" w:hAnsi="宋体" w:cs="宋体"/>
          <w:sz w:val="28"/>
          <w:szCs w:val="28"/>
        </w:rPr>
      </w:pPr>
      <w:r>
        <w:fldChar w:fldCharType="begin"/>
      </w:r>
      <w:r>
        <w:instrText xml:space="preserve"> HYPERLINK \l "_Toc23088" </w:instrText>
      </w:r>
      <w:r>
        <w:fldChar w:fldCharType="separate"/>
      </w:r>
      <w:r>
        <w:rPr>
          <w:rFonts w:hint="eastAsia" w:ascii="宋体" w:hAnsi="宋体" w:cs="宋体"/>
          <w:sz w:val="28"/>
          <w:szCs w:val="28"/>
        </w:rPr>
        <w:t>一、规范管理体制</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_Toc23088 \h </w:instrText>
      </w:r>
      <w:r>
        <w:rPr>
          <w:rFonts w:hint="eastAsia" w:ascii="宋体" w:hAnsi="宋体" w:cs="宋体"/>
          <w:sz w:val="28"/>
          <w:szCs w:val="28"/>
        </w:rPr>
        <w:fldChar w:fldCharType="separate"/>
      </w:r>
      <w:r>
        <w:rPr>
          <w:rFonts w:hint="eastAsia" w:ascii="宋体" w:hAnsi="宋体" w:cs="宋体"/>
          <w:sz w:val="28"/>
          <w:szCs w:val="28"/>
        </w:rPr>
        <w:t>57</w:t>
      </w:r>
      <w:r>
        <w:rPr>
          <w:rFonts w:hint="eastAsia" w:ascii="宋体" w:hAnsi="宋体" w:cs="宋体"/>
          <w:sz w:val="28"/>
          <w:szCs w:val="28"/>
        </w:rPr>
        <w:fldChar w:fldCharType="end"/>
      </w:r>
      <w:r>
        <w:rPr>
          <w:rFonts w:hint="eastAsia" w:ascii="宋体" w:hAnsi="宋体" w:cs="宋体"/>
          <w:sz w:val="28"/>
          <w:szCs w:val="28"/>
        </w:rPr>
        <w:fldChar w:fldCharType="end"/>
      </w:r>
    </w:p>
    <w:p w14:paraId="55D74596">
      <w:pPr>
        <w:pStyle w:val="11"/>
        <w:tabs>
          <w:tab w:val="right" w:leader="dot" w:pos="8306"/>
          <w:tab w:val="clear" w:pos="8296"/>
        </w:tabs>
        <w:rPr>
          <w:rFonts w:ascii="宋体" w:hAnsi="宋体" w:cs="宋体"/>
          <w:sz w:val="28"/>
          <w:szCs w:val="28"/>
        </w:rPr>
      </w:pPr>
      <w:r>
        <w:fldChar w:fldCharType="begin"/>
      </w:r>
      <w:r>
        <w:instrText xml:space="preserve"> HYPERLINK \l "_Toc571" </w:instrText>
      </w:r>
      <w:r>
        <w:fldChar w:fldCharType="separate"/>
      </w:r>
      <w:r>
        <w:rPr>
          <w:rFonts w:hint="eastAsia" w:ascii="宋体" w:hAnsi="宋体" w:cs="宋体"/>
          <w:sz w:val="28"/>
          <w:szCs w:val="28"/>
        </w:rPr>
        <w:t>二、健全法规建设</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_Toc571 \h </w:instrText>
      </w:r>
      <w:r>
        <w:rPr>
          <w:rFonts w:hint="eastAsia" w:ascii="宋体" w:hAnsi="宋体" w:cs="宋体"/>
          <w:sz w:val="28"/>
          <w:szCs w:val="28"/>
        </w:rPr>
        <w:fldChar w:fldCharType="separate"/>
      </w:r>
      <w:r>
        <w:rPr>
          <w:rFonts w:hint="eastAsia" w:ascii="宋体" w:hAnsi="宋体" w:cs="宋体"/>
          <w:sz w:val="28"/>
          <w:szCs w:val="28"/>
        </w:rPr>
        <w:t>57</w:t>
      </w:r>
      <w:r>
        <w:rPr>
          <w:rFonts w:hint="eastAsia" w:ascii="宋体" w:hAnsi="宋体" w:cs="宋体"/>
          <w:sz w:val="28"/>
          <w:szCs w:val="28"/>
        </w:rPr>
        <w:fldChar w:fldCharType="end"/>
      </w:r>
      <w:r>
        <w:rPr>
          <w:rFonts w:hint="eastAsia" w:ascii="宋体" w:hAnsi="宋体" w:cs="宋体"/>
          <w:sz w:val="28"/>
          <w:szCs w:val="28"/>
        </w:rPr>
        <w:fldChar w:fldCharType="end"/>
      </w:r>
    </w:p>
    <w:p w14:paraId="105B73C9">
      <w:pPr>
        <w:pStyle w:val="11"/>
        <w:tabs>
          <w:tab w:val="right" w:leader="dot" w:pos="8306"/>
          <w:tab w:val="clear" w:pos="8296"/>
        </w:tabs>
        <w:rPr>
          <w:rFonts w:ascii="宋体" w:hAnsi="宋体" w:cs="宋体"/>
          <w:sz w:val="28"/>
          <w:szCs w:val="28"/>
        </w:rPr>
      </w:pPr>
      <w:r>
        <w:fldChar w:fldCharType="begin"/>
      </w:r>
      <w:r>
        <w:instrText xml:space="preserve"> HYPERLINK \l "_Toc9496" </w:instrText>
      </w:r>
      <w:r>
        <w:fldChar w:fldCharType="separate"/>
      </w:r>
      <w:r>
        <w:rPr>
          <w:rFonts w:hint="eastAsia" w:ascii="宋体" w:hAnsi="宋体" w:cs="宋体"/>
          <w:sz w:val="28"/>
          <w:szCs w:val="28"/>
        </w:rPr>
        <w:t>三、强化技术支持</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_Toc9496 \h </w:instrText>
      </w:r>
      <w:r>
        <w:rPr>
          <w:rFonts w:hint="eastAsia" w:ascii="宋体" w:hAnsi="宋体" w:cs="宋体"/>
          <w:sz w:val="28"/>
          <w:szCs w:val="28"/>
        </w:rPr>
        <w:fldChar w:fldCharType="separate"/>
      </w:r>
      <w:r>
        <w:rPr>
          <w:rFonts w:hint="eastAsia" w:ascii="宋体" w:hAnsi="宋体" w:cs="宋体"/>
          <w:sz w:val="28"/>
          <w:szCs w:val="28"/>
        </w:rPr>
        <w:t>58</w:t>
      </w:r>
      <w:r>
        <w:rPr>
          <w:rFonts w:hint="eastAsia" w:ascii="宋体" w:hAnsi="宋体" w:cs="宋体"/>
          <w:sz w:val="28"/>
          <w:szCs w:val="28"/>
        </w:rPr>
        <w:fldChar w:fldCharType="end"/>
      </w:r>
      <w:r>
        <w:rPr>
          <w:rFonts w:hint="eastAsia" w:ascii="宋体" w:hAnsi="宋体" w:cs="宋体"/>
          <w:sz w:val="28"/>
          <w:szCs w:val="28"/>
        </w:rPr>
        <w:fldChar w:fldCharType="end"/>
      </w:r>
    </w:p>
    <w:p w14:paraId="37FF03F7">
      <w:pPr>
        <w:pStyle w:val="11"/>
        <w:tabs>
          <w:tab w:val="right" w:leader="dot" w:pos="8306"/>
          <w:tab w:val="clear" w:pos="8296"/>
        </w:tabs>
        <w:rPr>
          <w:rFonts w:ascii="宋体" w:hAnsi="宋体" w:cs="宋体"/>
          <w:sz w:val="28"/>
          <w:szCs w:val="28"/>
        </w:rPr>
      </w:pPr>
      <w:r>
        <w:fldChar w:fldCharType="begin"/>
      </w:r>
      <w:r>
        <w:instrText xml:space="preserve"> HYPERLINK \l "_Toc22834" </w:instrText>
      </w:r>
      <w:r>
        <w:fldChar w:fldCharType="separate"/>
      </w:r>
      <w:r>
        <w:rPr>
          <w:rFonts w:hint="eastAsia" w:ascii="宋体" w:hAnsi="宋体" w:cs="宋体"/>
          <w:sz w:val="28"/>
          <w:szCs w:val="28"/>
        </w:rPr>
        <w:t>四、加强宣传发动</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_Toc22834 \h </w:instrText>
      </w:r>
      <w:r>
        <w:rPr>
          <w:rFonts w:hint="eastAsia" w:ascii="宋体" w:hAnsi="宋体" w:cs="宋体"/>
          <w:sz w:val="28"/>
          <w:szCs w:val="28"/>
        </w:rPr>
        <w:fldChar w:fldCharType="separate"/>
      </w:r>
      <w:r>
        <w:rPr>
          <w:rFonts w:hint="eastAsia" w:ascii="宋体" w:hAnsi="宋体" w:cs="宋体"/>
          <w:sz w:val="28"/>
          <w:szCs w:val="28"/>
        </w:rPr>
        <w:t>58</w:t>
      </w:r>
      <w:r>
        <w:rPr>
          <w:rFonts w:hint="eastAsia" w:ascii="宋体" w:hAnsi="宋体" w:cs="宋体"/>
          <w:sz w:val="28"/>
          <w:szCs w:val="28"/>
        </w:rPr>
        <w:fldChar w:fldCharType="end"/>
      </w:r>
      <w:r>
        <w:rPr>
          <w:rFonts w:hint="eastAsia" w:ascii="宋体" w:hAnsi="宋体" w:cs="宋体"/>
          <w:sz w:val="28"/>
          <w:szCs w:val="28"/>
        </w:rPr>
        <w:fldChar w:fldCharType="end"/>
      </w:r>
    </w:p>
    <w:p w14:paraId="7210AC7B">
      <w:pPr>
        <w:pStyle w:val="22"/>
        <w:tabs>
          <w:tab w:val="right" w:leader="dot" w:pos="8306"/>
          <w:tab w:val="clear" w:pos="8296"/>
        </w:tabs>
        <w:rPr>
          <w:rFonts w:ascii="宋体" w:hAnsi="宋体" w:cs="宋体"/>
          <w:sz w:val="28"/>
          <w:szCs w:val="28"/>
        </w:rPr>
      </w:pPr>
      <w:r>
        <w:fldChar w:fldCharType="begin"/>
      </w:r>
      <w:r>
        <w:instrText xml:space="preserve"> HYPERLINK \l "_Toc24002" </w:instrText>
      </w:r>
      <w:r>
        <w:fldChar w:fldCharType="separate"/>
      </w:r>
      <w:r>
        <w:rPr>
          <w:rFonts w:hint="eastAsia" w:ascii="宋体" w:hAnsi="宋体" w:cs="宋体"/>
          <w:sz w:val="28"/>
          <w:szCs w:val="28"/>
        </w:rPr>
        <w:t>第五节  统筹城乡环卫一体化的保障措施</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_Toc24002 \h </w:instrText>
      </w:r>
      <w:r>
        <w:rPr>
          <w:rFonts w:hint="eastAsia" w:ascii="宋体" w:hAnsi="宋体" w:cs="宋体"/>
          <w:sz w:val="28"/>
          <w:szCs w:val="28"/>
        </w:rPr>
        <w:fldChar w:fldCharType="separate"/>
      </w:r>
      <w:r>
        <w:rPr>
          <w:rFonts w:hint="eastAsia" w:ascii="宋体" w:hAnsi="宋体" w:cs="宋体"/>
          <w:sz w:val="28"/>
          <w:szCs w:val="28"/>
        </w:rPr>
        <w:t>59</w:t>
      </w:r>
      <w:r>
        <w:rPr>
          <w:rFonts w:hint="eastAsia" w:ascii="宋体" w:hAnsi="宋体" w:cs="宋体"/>
          <w:sz w:val="28"/>
          <w:szCs w:val="28"/>
        </w:rPr>
        <w:fldChar w:fldCharType="end"/>
      </w:r>
      <w:r>
        <w:rPr>
          <w:rFonts w:hint="eastAsia" w:ascii="宋体" w:hAnsi="宋体" w:cs="宋体"/>
          <w:sz w:val="28"/>
          <w:szCs w:val="28"/>
        </w:rPr>
        <w:fldChar w:fldCharType="end"/>
      </w:r>
    </w:p>
    <w:p w14:paraId="03376B8B">
      <w:pPr>
        <w:pStyle w:val="11"/>
        <w:tabs>
          <w:tab w:val="right" w:leader="dot" w:pos="8306"/>
          <w:tab w:val="clear" w:pos="8296"/>
        </w:tabs>
        <w:rPr>
          <w:rFonts w:ascii="宋体" w:hAnsi="宋体" w:cs="宋体"/>
          <w:sz w:val="28"/>
          <w:szCs w:val="28"/>
        </w:rPr>
      </w:pPr>
      <w:r>
        <w:fldChar w:fldCharType="begin"/>
      </w:r>
      <w:r>
        <w:instrText xml:space="preserve"> HYPERLINK \l "_Toc18602" </w:instrText>
      </w:r>
      <w:r>
        <w:fldChar w:fldCharType="separate"/>
      </w:r>
      <w:r>
        <w:rPr>
          <w:rFonts w:hint="eastAsia" w:ascii="宋体" w:hAnsi="宋体" w:cs="宋体"/>
          <w:sz w:val="28"/>
          <w:szCs w:val="28"/>
        </w:rPr>
        <w:t>一、法律政策统筹保障</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_Toc18602 \h </w:instrText>
      </w:r>
      <w:r>
        <w:rPr>
          <w:rFonts w:hint="eastAsia" w:ascii="宋体" w:hAnsi="宋体" w:cs="宋体"/>
          <w:sz w:val="28"/>
          <w:szCs w:val="28"/>
        </w:rPr>
        <w:fldChar w:fldCharType="separate"/>
      </w:r>
      <w:r>
        <w:rPr>
          <w:rFonts w:hint="eastAsia" w:ascii="宋体" w:hAnsi="宋体" w:cs="宋体"/>
          <w:sz w:val="28"/>
          <w:szCs w:val="28"/>
        </w:rPr>
        <w:t>59</w:t>
      </w:r>
      <w:r>
        <w:rPr>
          <w:rFonts w:hint="eastAsia" w:ascii="宋体" w:hAnsi="宋体" w:cs="宋体"/>
          <w:sz w:val="28"/>
          <w:szCs w:val="28"/>
        </w:rPr>
        <w:fldChar w:fldCharType="end"/>
      </w:r>
      <w:r>
        <w:rPr>
          <w:rFonts w:hint="eastAsia" w:ascii="宋体" w:hAnsi="宋体" w:cs="宋体"/>
          <w:sz w:val="28"/>
          <w:szCs w:val="28"/>
        </w:rPr>
        <w:fldChar w:fldCharType="end"/>
      </w:r>
    </w:p>
    <w:p w14:paraId="7AE8F5A9">
      <w:pPr>
        <w:pStyle w:val="11"/>
        <w:tabs>
          <w:tab w:val="right" w:leader="dot" w:pos="8306"/>
          <w:tab w:val="clear" w:pos="8296"/>
        </w:tabs>
        <w:rPr>
          <w:rFonts w:ascii="宋体" w:hAnsi="宋体" w:cs="宋体"/>
          <w:sz w:val="28"/>
          <w:szCs w:val="28"/>
        </w:rPr>
      </w:pPr>
      <w:r>
        <w:fldChar w:fldCharType="begin"/>
      </w:r>
      <w:r>
        <w:instrText xml:space="preserve"> HYPERLINK \l "_Toc19607" </w:instrText>
      </w:r>
      <w:r>
        <w:fldChar w:fldCharType="separate"/>
      </w:r>
      <w:r>
        <w:rPr>
          <w:rFonts w:hint="eastAsia" w:ascii="宋体" w:hAnsi="宋体" w:cs="宋体"/>
          <w:sz w:val="28"/>
          <w:szCs w:val="28"/>
        </w:rPr>
        <w:t>二、</w:t>
      </w:r>
      <w:r>
        <w:rPr>
          <w:rFonts w:hint="eastAsia" w:ascii="宋体" w:hAnsi="宋体" w:cs="宋体"/>
          <w:bCs/>
          <w:sz w:val="28"/>
          <w:szCs w:val="28"/>
        </w:rPr>
        <w:t>环卫设施统筹保障</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_Toc19607 \h </w:instrText>
      </w:r>
      <w:r>
        <w:rPr>
          <w:rFonts w:hint="eastAsia" w:ascii="宋体" w:hAnsi="宋体" w:cs="宋体"/>
          <w:sz w:val="28"/>
          <w:szCs w:val="28"/>
        </w:rPr>
        <w:fldChar w:fldCharType="separate"/>
      </w:r>
      <w:r>
        <w:rPr>
          <w:rFonts w:hint="eastAsia" w:ascii="宋体" w:hAnsi="宋体" w:cs="宋体"/>
          <w:sz w:val="28"/>
          <w:szCs w:val="28"/>
        </w:rPr>
        <w:t>59</w:t>
      </w:r>
      <w:r>
        <w:rPr>
          <w:rFonts w:hint="eastAsia" w:ascii="宋体" w:hAnsi="宋体" w:cs="宋体"/>
          <w:sz w:val="28"/>
          <w:szCs w:val="28"/>
        </w:rPr>
        <w:fldChar w:fldCharType="end"/>
      </w:r>
      <w:r>
        <w:rPr>
          <w:rFonts w:hint="eastAsia" w:ascii="宋体" w:hAnsi="宋体" w:cs="宋体"/>
          <w:sz w:val="28"/>
          <w:szCs w:val="28"/>
        </w:rPr>
        <w:fldChar w:fldCharType="end"/>
      </w:r>
    </w:p>
    <w:p w14:paraId="38181E89">
      <w:pPr>
        <w:pStyle w:val="11"/>
        <w:tabs>
          <w:tab w:val="right" w:leader="dot" w:pos="8306"/>
          <w:tab w:val="clear" w:pos="8296"/>
        </w:tabs>
        <w:rPr>
          <w:rFonts w:ascii="宋体" w:hAnsi="宋体" w:cs="宋体"/>
          <w:sz w:val="28"/>
          <w:szCs w:val="28"/>
        </w:rPr>
      </w:pPr>
      <w:r>
        <w:fldChar w:fldCharType="begin"/>
      </w:r>
      <w:r>
        <w:instrText xml:space="preserve"> HYPERLINK \l "_Toc10128" </w:instrText>
      </w:r>
      <w:r>
        <w:fldChar w:fldCharType="separate"/>
      </w:r>
      <w:r>
        <w:rPr>
          <w:rFonts w:hint="eastAsia" w:ascii="宋体" w:hAnsi="宋体" w:cs="宋体"/>
          <w:bCs/>
          <w:sz w:val="28"/>
          <w:szCs w:val="28"/>
        </w:rPr>
        <w:t>三、多元资金统筹保障</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_Toc10128 \h </w:instrText>
      </w:r>
      <w:r>
        <w:rPr>
          <w:rFonts w:hint="eastAsia" w:ascii="宋体" w:hAnsi="宋体" w:cs="宋体"/>
          <w:sz w:val="28"/>
          <w:szCs w:val="28"/>
        </w:rPr>
        <w:fldChar w:fldCharType="separate"/>
      </w:r>
      <w:r>
        <w:rPr>
          <w:rFonts w:hint="eastAsia" w:ascii="宋体" w:hAnsi="宋体" w:cs="宋体"/>
          <w:sz w:val="28"/>
          <w:szCs w:val="28"/>
        </w:rPr>
        <w:t>59</w:t>
      </w:r>
      <w:r>
        <w:rPr>
          <w:rFonts w:hint="eastAsia" w:ascii="宋体" w:hAnsi="宋体" w:cs="宋体"/>
          <w:sz w:val="28"/>
          <w:szCs w:val="28"/>
        </w:rPr>
        <w:fldChar w:fldCharType="end"/>
      </w:r>
      <w:r>
        <w:rPr>
          <w:rFonts w:hint="eastAsia" w:ascii="宋体" w:hAnsi="宋体" w:cs="宋体"/>
          <w:sz w:val="28"/>
          <w:szCs w:val="28"/>
        </w:rPr>
        <w:fldChar w:fldCharType="end"/>
      </w:r>
    </w:p>
    <w:p w14:paraId="0A3C739F">
      <w:pPr>
        <w:pStyle w:val="11"/>
        <w:tabs>
          <w:tab w:val="right" w:leader="dot" w:pos="8306"/>
          <w:tab w:val="clear" w:pos="8296"/>
        </w:tabs>
        <w:rPr>
          <w:rFonts w:ascii="宋体" w:hAnsi="宋体" w:cs="宋体"/>
          <w:sz w:val="28"/>
          <w:szCs w:val="28"/>
        </w:rPr>
      </w:pPr>
      <w:r>
        <w:fldChar w:fldCharType="begin"/>
      </w:r>
      <w:r>
        <w:instrText xml:space="preserve"> HYPERLINK \l "_Toc1109" </w:instrText>
      </w:r>
      <w:r>
        <w:fldChar w:fldCharType="separate"/>
      </w:r>
      <w:r>
        <w:rPr>
          <w:rFonts w:hint="eastAsia" w:ascii="宋体" w:hAnsi="宋体" w:cs="宋体"/>
          <w:sz w:val="28"/>
          <w:szCs w:val="28"/>
        </w:rPr>
        <w:t>四、风险防控统筹保障</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_Toc1109 \h </w:instrText>
      </w:r>
      <w:r>
        <w:rPr>
          <w:rFonts w:hint="eastAsia" w:ascii="宋体" w:hAnsi="宋体" w:cs="宋体"/>
          <w:sz w:val="28"/>
          <w:szCs w:val="28"/>
        </w:rPr>
        <w:fldChar w:fldCharType="separate"/>
      </w:r>
      <w:r>
        <w:rPr>
          <w:rFonts w:hint="eastAsia" w:ascii="宋体" w:hAnsi="宋体" w:cs="宋体"/>
          <w:sz w:val="28"/>
          <w:szCs w:val="28"/>
        </w:rPr>
        <w:t>60</w:t>
      </w:r>
      <w:r>
        <w:rPr>
          <w:rFonts w:hint="eastAsia" w:ascii="宋体" w:hAnsi="宋体" w:cs="宋体"/>
          <w:sz w:val="28"/>
          <w:szCs w:val="28"/>
        </w:rPr>
        <w:fldChar w:fldCharType="end"/>
      </w:r>
      <w:r>
        <w:rPr>
          <w:rFonts w:hint="eastAsia" w:ascii="宋体" w:hAnsi="宋体" w:cs="宋体"/>
          <w:sz w:val="28"/>
          <w:szCs w:val="28"/>
        </w:rPr>
        <w:fldChar w:fldCharType="end"/>
      </w:r>
    </w:p>
    <w:p w14:paraId="31031E05">
      <w:pPr>
        <w:pStyle w:val="19"/>
        <w:tabs>
          <w:tab w:val="right" w:leader="dot" w:pos="8306"/>
          <w:tab w:val="clear" w:pos="8296"/>
        </w:tabs>
        <w:rPr>
          <w:rFonts w:ascii="宋体" w:hAnsi="宋体" w:cs="宋体"/>
          <w:sz w:val="28"/>
          <w:szCs w:val="28"/>
        </w:rPr>
      </w:pPr>
      <w:r>
        <w:fldChar w:fldCharType="begin"/>
      </w:r>
      <w:r>
        <w:instrText xml:space="preserve"> HYPERLINK \l "_Toc32548" </w:instrText>
      </w:r>
      <w:r>
        <w:fldChar w:fldCharType="separate"/>
      </w:r>
      <w:r>
        <w:rPr>
          <w:rFonts w:hint="eastAsia" w:ascii="宋体" w:hAnsi="宋体" w:cs="宋体"/>
          <w:sz w:val="28"/>
          <w:szCs w:val="28"/>
        </w:rPr>
        <w:t>第七章  全面实施垃圾分类收运处理，加速垃圾资源化利用</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_Toc32548 \h </w:instrText>
      </w:r>
      <w:r>
        <w:rPr>
          <w:rFonts w:hint="eastAsia" w:ascii="宋体" w:hAnsi="宋体" w:cs="宋体"/>
          <w:sz w:val="28"/>
          <w:szCs w:val="28"/>
        </w:rPr>
        <w:fldChar w:fldCharType="separate"/>
      </w:r>
      <w:r>
        <w:rPr>
          <w:rFonts w:hint="eastAsia" w:ascii="宋体" w:hAnsi="宋体" w:cs="宋体"/>
          <w:sz w:val="28"/>
          <w:szCs w:val="28"/>
        </w:rPr>
        <w:t>61</w:t>
      </w:r>
      <w:r>
        <w:rPr>
          <w:rFonts w:hint="eastAsia" w:ascii="宋体" w:hAnsi="宋体" w:cs="宋体"/>
          <w:sz w:val="28"/>
          <w:szCs w:val="28"/>
        </w:rPr>
        <w:fldChar w:fldCharType="end"/>
      </w:r>
      <w:r>
        <w:rPr>
          <w:rFonts w:hint="eastAsia" w:ascii="宋体" w:hAnsi="宋体" w:cs="宋体"/>
          <w:sz w:val="28"/>
          <w:szCs w:val="28"/>
        </w:rPr>
        <w:fldChar w:fldCharType="end"/>
      </w:r>
    </w:p>
    <w:p w14:paraId="537F0B04">
      <w:pPr>
        <w:pStyle w:val="22"/>
        <w:tabs>
          <w:tab w:val="right" w:leader="dot" w:pos="8306"/>
          <w:tab w:val="clear" w:pos="8296"/>
        </w:tabs>
        <w:rPr>
          <w:rFonts w:ascii="宋体" w:hAnsi="宋体" w:cs="宋体"/>
          <w:sz w:val="28"/>
          <w:szCs w:val="28"/>
        </w:rPr>
      </w:pPr>
      <w:r>
        <w:fldChar w:fldCharType="begin"/>
      </w:r>
      <w:r>
        <w:instrText xml:space="preserve"> HYPERLINK \l "_Toc3280" </w:instrText>
      </w:r>
      <w:r>
        <w:fldChar w:fldCharType="separate"/>
      </w:r>
      <w:r>
        <w:rPr>
          <w:rFonts w:hint="eastAsia" w:ascii="宋体" w:hAnsi="宋体" w:cs="宋体"/>
          <w:sz w:val="28"/>
          <w:szCs w:val="28"/>
        </w:rPr>
        <w:t>第一节  生活垃圾分类收运处理</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_Toc3280 \h </w:instrText>
      </w:r>
      <w:r>
        <w:rPr>
          <w:rFonts w:hint="eastAsia" w:ascii="宋体" w:hAnsi="宋体" w:cs="宋体"/>
          <w:sz w:val="28"/>
          <w:szCs w:val="28"/>
        </w:rPr>
        <w:fldChar w:fldCharType="separate"/>
      </w:r>
      <w:r>
        <w:rPr>
          <w:rFonts w:hint="eastAsia" w:ascii="宋体" w:hAnsi="宋体" w:cs="宋体"/>
          <w:sz w:val="28"/>
          <w:szCs w:val="28"/>
        </w:rPr>
        <w:t>61</w:t>
      </w:r>
      <w:r>
        <w:rPr>
          <w:rFonts w:hint="eastAsia" w:ascii="宋体" w:hAnsi="宋体" w:cs="宋体"/>
          <w:sz w:val="28"/>
          <w:szCs w:val="28"/>
        </w:rPr>
        <w:fldChar w:fldCharType="end"/>
      </w:r>
      <w:r>
        <w:rPr>
          <w:rFonts w:hint="eastAsia" w:ascii="宋体" w:hAnsi="宋体" w:cs="宋体"/>
          <w:sz w:val="28"/>
          <w:szCs w:val="28"/>
        </w:rPr>
        <w:fldChar w:fldCharType="end"/>
      </w:r>
    </w:p>
    <w:p w14:paraId="10050E80">
      <w:pPr>
        <w:pStyle w:val="11"/>
        <w:tabs>
          <w:tab w:val="right" w:leader="dot" w:pos="8306"/>
          <w:tab w:val="clear" w:pos="8296"/>
        </w:tabs>
        <w:rPr>
          <w:rFonts w:ascii="宋体" w:hAnsi="宋体" w:cs="宋体"/>
          <w:sz w:val="28"/>
          <w:szCs w:val="28"/>
        </w:rPr>
      </w:pPr>
      <w:r>
        <w:fldChar w:fldCharType="begin"/>
      </w:r>
      <w:r>
        <w:instrText xml:space="preserve"> HYPERLINK \l "_Toc5430" </w:instrText>
      </w:r>
      <w:r>
        <w:fldChar w:fldCharType="separate"/>
      </w:r>
      <w:r>
        <w:rPr>
          <w:rFonts w:hint="eastAsia" w:ascii="宋体" w:hAnsi="宋体" w:cs="宋体"/>
          <w:sz w:val="28"/>
          <w:szCs w:val="28"/>
        </w:rPr>
        <w:t>一、管理机制与要求</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_Toc5430 \h </w:instrText>
      </w:r>
      <w:r>
        <w:rPr>
          <w:rFonts w:hint="eastAsia" w:ascii="宋体" w:hAnsi="宋体" w:cs="宋体"/>
          <w:sz w:val="28"/>
          <w:szCs w:val="28"/>
        </w:rPr>
        <w:fldChar w:fldCharType="separate"/>
      </w:r>
      <w:r>
        <w:rPr>
          <w:rFonts w:hint="eastAsia" w:ascii="宋体" w:hAnsi="宋体" w:cs="宋体"/>
          <w:sz w:val="28"/>
          <w:szCs w:val="28"/>
        </w:rPr>
        <w:t>61</w:t>
      </w:r>
      <w:r>
        <w:rPr>
          <w:rFonts w:hint="eastAsia" w:ascii="宋体" w:hAnsi="宋体" w:cs="宋体"/>
          <w:sz w:val="28"/>
          <w:szCs w:val="28"/>
        </w:rPr>
        <w:fldChar w:fldCharType="end"/>
      </w:r>
      <w:r>
        <w:rPr>
          <w:rFonts w:hint="eastAsia" w:ascii="宋体" w:hAnsi="宋体" w:cs="宋体"/>
          <w:sz w:val="28"/>
          <w:szCs w:val="28"/>
        </w:rPr>
        <w:fldChar w:fldCharType="end"/>
      </w:r>
    </w:p>
    <w:p w14:paraId="42D04AA4">
      <w:pPr>
        <w:pStyle w:val="11"/>
        <w:tabs>
          <w:tab w:val="right" w:leader="dot" w:pos="8306"/>
          <w:tab w:val="clear" w:pos="8296"/>
        </w:tabs>
        <w:rPr>
          <w:rFonts w:ascii="宋体" w:hAnsi="宋体" w:cs="宋体"/>
          <w:sz w:val="28"/>
          <w:szCs w:val="28"/>
        </w:rPr>
      </w:pPr>
      <w:r>
        <w:fldChar w:fldCharType="begin"/>
      </w:r>
      <w:r>
        <w:instrText xml:space="preserve"> HYPERLINK \l "_Toc9395" </w:instrText>
      </w:r>
      <w:r>
        <w:fldChar w:fldCharType="separate"/>
      </w:r>
      <w:r>
        <w:rPr>
          <w:rFonts w:hint="eastAsia" w:ascii="宋体" w:hAnsi="宋体" w:cs="宋体"/>
          <w:sz w:val="28"/>
          <w:szCs w:val="28"/>
        </w:rPr>
        <w:t>二、生活垃圾分类收运</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_Toc9395 \h </w:instrText>
      </w:r>
      <w:r>
        <w:rPr>
          <w:rFonts w:hint="eastAsia" w:ascii="宋体" w:hAnsi="宋体" w:cs="宋体"/>
          <w:sz w:val="28"/>
          <w:szCs w:val="28"/>
        </w:rPr>
        <w:fldChar w:fldCharType="separate"/>
      </w:r>
      <w:r>
        <w:rPr>
          <w:rFonts w:hint="eastAsia" w:ascii="宋体" w:hAnsi="宋体" w:cs="宋体"/>
          <w:sz w:val="28"/>
          <w:szCs w:val="28"/>
        </w:rPr>
        <w:t>61</w:t>
      </w:r>
      <w:r>
        <w:rPr>
          <w:rFonts w:hint="eastAsia" w:ascii="宋体" w:hAnsi="宋体" w:cs="宋体"/>
          <w:sz w:val="28"/>
          <w:szCs w:val="28"/>
        </w:rPr>
        <w:fldChar w:fldCharType="end"/>
      </w:r>
      <w:r>
        <w:rPr>
          <w:rFonts w:hint="eastAsia" w:ascii="宋体" w:hAnsi="宋体" w:cs="宋体"/>
          <w:sz w:val="28"/>
          <w:szCs w:val="28"/>
        </w:rPr>
        <w:fldChar w:fldCharType="end"/>
      </w:r>
    </w:p>
    <w:p w14:paraId="05EC614A">
      <w:pPr>
        <w:pStyle w:val="11"/>
        <w:tabs>
          <w:tab w:val="right" w:leader="dot" w:pos="8306"/>
          <w:tab w:val="clear" w:pos="8296"/>
        </w:tabs>
        <w:rPr>
          <w:rFonts w:ascii="宋体" w:hAnsi="宋体" w:cs="宋体"/>
          <w:sz w:val="28"/>
          <w:szCs w:val="28"/>
        </w:rPr>
      </w:pPr>
      <w:r>
        <w:fldChar w:fldCharType="begin"/>
      </w:r>
      <w:r>
        <w:instrText xml:space="preserve"> HYPERLINK \l "_Toc1370" </w:instrText>
      </w:r>
      <w:r>
        <w:fldChar w:fldCharType="separate"/>
      </w:r>
      <w:r>
        <w:rPr>
          <w:rFonts w:hint="eastAsia" w:ascii="宋体" w:hAnsi="宋体" w:cs="宋体"/>
          <w:sz w:val="28"/>
          <w:szCs w:val="28"/>
        </w:rPr>
        <w:t>三、生活垃圾分类处理</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_Toc1370 \h </w:instrText>
      </w:r>
      <w:r>
        <w:rPr>
          <w:rFonts w:hint="eastAsia" w:ascii="宋体" w:hAnsi="宋体" w:cs="宋体"/>
          <w:sz w:val="28"/>
          <w:szCs w:val="28"/>
        </w:rPr>
        <w:fldChar w:fldCharType="separate"/>
      </w:r>
      <w:r>
        <w:rPr>
          <w:rFonts w:hint="eastAsia" w:ascii="宋体" w:hAnsi="宋体" w:cs="宋体"/>
          <w:sz w:val="28"/>
          <w:szCs w:val="28"/>
        </w:rPr>
        <w:t>63</w:t>
      </w:r>
      <w:r>
        <w:rPr>
          <w:rFonts w:hint="eastAsia" w:ascii="宋体" w:hAnsi="宋体" w:cs="宋体"/>
          <w:sz w:val="28"/>
          <w:szCs w:val="28"/>
        </w:rPr>
        <w:fldChar w:fldCharType="end"/>
      </w:r>
      <w:r>
        <w:rPr>
          <w:rFonts w:hint="eastAsia" w:ascii="宋体" w:hAnsi="宋体" w:cs="宋体"/>
          <w:sz w:val="28"/>
          <w:szCs w:val="28"/>
        </w:rPr>
        <w:fldChar w:fldCharType="end"/>
      </w:r>
    </w:p>
    <w:p w14:paraId="01CE40B2">
      <w:pPr>
        <w:pStyle w:val="11"/>
        <w:tabs>
          <w:tab w:val="right" w:leader="dot" w:pos="8306"/>
          <w:tab w:val="clear" w:pos="8296"/>
        </w:tabs>
        <w:rPr>
          <w:rFonts w:ascii="宋体" w:hAnsi="宋体" w:cs="宋体"/>
          <w:sz w:val="28"/>
          <w:szCs w:val="28"/>
        </w:rPr>
      </w:pPr>
      <w:r>
        <w:fldChar w:fldCharType="begin"/>
      </w:r>
      <w:r>
        <w:instrText xml:space="preserve"> HYPERLINK \l "_Toc23162" </w:instrText>
      </w:r>
      <w:r>
        <w:fldChar w:fldCharType="separate"/>
      </w:r>
      <w:r>
        <w:rPr>
          <w:rFonts w:hint="eastAsia" w:ascii="宋体" w:hAnsi="宋体" w:cs="宋体"/>
          <w:sz w:val="28"/>
          <w:szCs w:val="28"/>
        </w:rPr>
        <w:t>四、生活垃圾分类收运处理设施</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_Toc23162 \h </w:instrText>
      </w:r>
      <w:r>
        <w:rPr>
          <w:rFonts w:hint="eastAsia" w:ascii="宋体" w:hAnsi="宋体" w:cs="宋体"/>
          <w:sz w:val="28"/>
          <w:szCs w:val="28"/>
        </w:rPr>
        <w:fldChar w:fldCharType="separate"/>
      </w:r>
      <w:r>
        <w:rPr>
          <w:rFonts w:hint="eastAsia" w:ascii="宋体" w:hAnsi="宋体" w:cs="宋体"/>
          <w:sz w:val="28"/>
          <w:szCs w:val="28"/>
        </w:rPr>
        <w:t>65</w:t>
      </w:r>
      <w:r>
        <w:rPr>
          <w:rFonts w:hint="eastAsia" w:ascii="宋体" w:hAnsi="宋体" w:cs="宋体"/>
          <w:sz w:val="28"/>
          <w:szCs w:val="28"/>
        </w:rPr>
        <w:fldChar w:fldCharType="end"/>
      </w:r>
      <w:r>
        <w:rPr>
          <w:rFonts w:hint="eastAsia" w:ascii="宋体" w:hAnsi="宋体" w:cs="宋体"/>
          <w:sz w:val="28"/>
          <w:szCs w:val="28"/>
        </w:rPr>
        <w:fldChar w:fldCharType="end"/>
      </w:r>
    </w:p>
    <w:p w14:paraId="30A21F08">
      <w:pPr>
        <w:pStyle w:val="22"/>
        <w:tabs>
          <w:tab w:val="right" w:leader="dot" w:pos="8306"/>
          <w:tab w:val="clear" w:pos="8296"/>
        </w:tabs>
        <w:rPr>
          <w:rFonts w:ascii="宋体" w:hAnsi="宋体" w:cs="宋体"/>
          <w:sz w:val="28"/>
          <w:szCs w:val="28"/>
        </w:rPr>
      </w:pPr>
      <w:r>
        <w:fldChar w:fldCharType="begin"/>
      </w:r>
      <w:r>
        <w:instrText xml:space="preserve"> HYPERLINK \l "_Toc18572" </w:instrText>
      </w:r>
      <w:r>
        <w:fldChar w:fldCharType="separate"/>
      </w:r>
      <w:r>
        <w:rPr>
          <w:rFonts w:hint="eastAsia" w:ascii="宋体" w:hAnsi="宋体" w:cs="宋体"/>
          <w:sz w:val="28"/>
          <w:szCs w:val="28"/>
        </w:rPr>
        <w:t>第二节  餐厨垃圾分类收运处理</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_Toc18572 \h </w:instrText>
      </w:r>
      <w:r>
        <w:rPr>
          <w:rFonts w:hint="eastAsia" w:ascii="宋体" w:hAnsi="宋体" w:cs="宋体"/>
          <w:sz w:val="28"/>
          <w:szCs w:val="28"/>
        </w:rPr>
        <w:fldChar w:fldCharType="separate"/>
      </w:r>
      <w:r>
        <w:rPr>
          <w:rFonts w:hint="eastAsia" w:ascii="宋体" w:hAnsi="宋体" w:cs="宋体"/>
          <w:sz w:val="28"/>
          <w:szCs w:val="28"/>
        </w:rPr>
        <w:t>66</w:t>
      </w:r>
      <w:r>
        <w:rPr>
          <w:rFonts w:hint="eastAsia" w:ascii="宋体" w:hAnsi="宋体" w:cs="宋体"/>
          <w:sz w:val="28"/>
          <w:szCs w:val="28"/>
        </w:rPr>
        <w:fldChar w:fldCharType="end"/>
      </w:r>
      <w:r>
        <w:rPr>
          <w:rFonts w:hint="eastAsia" w:ascii="宋体" w:hAnsi="宋体" w:cs="宋体"/>
          <w:sz w:val="28"/>
          <w:szCs w:val="28"/>
        </w:rPr>
        <w:fldChar w:fldCharType="end"/>
      </w:r>
    </w:p>
    <w:p w14:paraId="1FEA20FB">
      <w:pPr>
        <w:pStyle w:val="11"/>
        <w:tabs>
          <w:tab w:val="right" w:leader="dot" w:pos="8306"/>
          <w:tab w:val="clear" w:pos="8296"/>
        </w:tabs>
        <w:rPr>
          <w:rFonts w:ascii="宋体" w:hAnsi="宋体" w:cs="宋体"/>
          <w:sz w:val="28"/>
          <w:szCs w:val="28"/>
        </w:rPr>
      </w:pPr>
      <w:r>
        <w:fldChar w:fldCharType="begin"/>
      </w:r>
      <w:r>
        <w:instrText xml:space="preserve"> HYPERLINK \l "_Toc32243" </w:instrText>
      </w:r>
      <w:r>
        <w:fldChar w:fldCharType="separate"/>
      </w:r>
      <w:r>
        <w:rPr>
          <w:rFonts w:hint="eastAsia" w:ascii="宋体" w:hAnsi="宋体" w:cs="宋体"/>
          <w:sz w:val="28"/>
          <w:szCs w:val="28"/>
        </w:rPr>
        <w:t>一、管理机制与要求</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_Toc32243 \h </w:instrText>
      </w:r>
      <w:r>
        <w:rPr>
          <w:rFonts w:hint="eastAsia" w:ascii="宋体" w:hAnsi="宋体" w:cs="宋体"/>
          <w:sz w:val="28"/>
          <w:szCs w:val="28"/>
        </w:rPr>
        <w:fldChar w:fldCharType="separate"/>
      </w:r>
      <w:r>
        <w:rPr>
          <w:rFonts w:hint="eastAsia" w:ascii="宋体" w:hAnsi="宋体" w:cs="宋体"/>
          <w:sz w:val="28"/>
          <w:szCs w:val="28"/>
        </w:rPr>
        <w:t>66</w:t>
      </w:r>
      <w:r>
        <w:rPr>
          <w:rFonts w:hint="eastAsia" w:ascii="宋体" w:hAnsi="宋体" w:cs="宋体"/>
          <w:sz w:val="28"/>
          <w:szCs w:val="28"/>
        </w:rPr>
        <w:fldChar w:fldCharType="end"/>
      </w:r>
      <w:r>
        <w:rPr>
          <w:rFonts w:hint="eastAsia" w:ascii="宋体" w:hAnsi="宋体" w:cs="宋体"/>
          <w:sz w:val="28"/>
          <w:szCs w:val="28"/>
        </w:rPr>
        <w:fldChar w:fldCharType="end"/>
      </w:r>
    </w:p>
    <w:p w14:paraId="53C786EE">
      <w:pPr>
        <w:pStyle w:val="11"/>
        <w:tabs>
          <w:tab w:val="right" w:leader="dot" w:pos="8306"/>
          <w:tab w:val="clear" w:pos="8296"/>
        </w:tabs>
        <w:rPr>
          <w:rFonts w:ascii="宋体" w:hAnsi="宋体" w:cs="宋体"/>
          <w:sz w:val="28"/>
          <w:szCs w:val="28"/>
        </w:rPr>
      </w:pPr>
      <w:r>
        <w:fldChar w:fldCharType="begin"/>
      </w:r>
      <w:r>
        <w:instrText xml:space="preserve"> HYPERLINK \l "_Toc18201" </w:instrText>
      </w:r>
      <w:r>
        <w:fldChar w:fldCharType="separate"/>
      </w:r>
      <w:r>
        <w:rPr>
          <w:rFonts w:hint="eastAsia" w:ascii="宋体" w:hAnsi="宋体" w:cs="宋体"/>
          <w:sz w:val="28"/>
          <w:szCs w:val="28"/>
        </w:rPr>
        <w:t>二、餐厨垃圾收运</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_Toc18201 \h </w:instrText>
      </w:r>
      <w:r>
        <w:rPr>
          <w:rFonts w:hint="eastAsia" w:ascii="宋体" w:hAnsi="宋体" w:cs="宋体"/>
          <w:sz w:val="28"/>
          <w:szCs w:val="28"/>
        </w:rPr>
        <w:fldChar w:fldCharType="separate"/>
      </w:r>
      <w:r>
        <w:rPr>
          <w:rFonts w:hint="eastAsia" w:ascii="宋体" w:hAnsi="宋体" w:cs="宋体"/>
          <w:sz w:val="28"/>
          <w:szCs w:val="28"/>
        </w:rPr>
        <w:t>66</w:t>
      </w:r>
      <w:r>
        <w:rPr>
          <w:rFonts w:hint="eastAsia" w:ascii="宋体" w:hAnsi="宋体" w:cs="宋体"/>
          <w:sz w:val="28"/>
          <w:szCs w:val="28"/>
        </w:rPr>
        <w:fldChar w:fldCharType="end"/>
      </w:r>
      <w:r>
        <w:rPr>
          <w:rFonts w:hint="eastAsia" w:ascii="宋体" w:hAnsi="宋体" w:cs="宋体"/>
          <w:sz w:val="28"/>
          <w:szCs w:val="28"/>
        </w:rPr>
        <w:fldChar w:fldCharType="end"/>
      </w:r>
    </w:p>
    <w:p w14:paraId="4DB1E235">
      <w:pPr>
        <w:pStyle w:val="11"/>
        <w:tabs>
          <w:tab w:val="right" w:leader="dot" w:pos="8306"/>
          <w:tab w:val="clear" w:pos="8296"/>
        </w:tabs>
        <w:rPr>
          <w:rFonts w:ascii="宋体" w:hAnsi="宋体" w:cs="宋体"/>
          <w:sz w:val="28"/>
          <w:szCs w:val="28"/>
        </w:rPr>
      </w:pPr>
      <w:r>
        <w:fldChar w:fldCharType="begin"/>
      </w:r>
      <w:r>
        <w:instrText xml:space="preserve"> HYPERLINK \l "_Toc14086" </w:instrText>
      </w:r>
      <w:r>
        <w:fldChar w:fldCharType="separate"/>
      </w:r>
      <w:r>
        <w:rPr>
          <w:rFonts w:hint="eastAsia" w:ascii="宋体" w:hAnsi="宋体" w:cs="宋体"/>
          <w:sz w:val="28"/>
          <w:szCs w:val="28"/>
        </w:rPr>
        <w:t>三、餐厨垃圾处理</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_Toc14086 \h </w:instrText>
      </w:r>
      <w:r>
        <w:rPr>
          <w:rFonts w:hint="eastAsia" w:ascii="宋体" w:hAnsi="宋体" w:cs="宋体"/>
          <w:sz w:val="28"/>
          <w:szCs w:val="28"/>
        </w:rPr>
        <w:fldChar w:fldCharType="separate"/>
      </w:r>
      <w:r>
        <w:rPr>
          <w:rFonts w:hint="eastAsia" w:ascii="宋体" w:hAnsi="宋体" w:cs="宋体"/>
          <w:sz w:val="28"/>
          <w:szCs w:val="28"/>
        </w:rPr>
        <w:t>67</w:t>
      </w:r>
      <w:r>
        <w:rPr>
          <w:rFonts w:hint="eastAsia" w:ascii="宋体" w:hAnsi="宋体" w:cs="宋体"/>
          <w:sz w:val="28"/>
          <w:szCs w:val="28"/>
        </w:rPr>
        <w:fldChar w:fldCharType="end"/>
      </w:r>
      <w:r>
        <w:rPr>
          <w:rFonts w:hint="eastAsia" w:ascii="宋体" w:hAnsi="宋体" w:cs="宋体"/>
          <w:sz w:val="28"/>
          <w:szCs w:val="28"/>
        </w:rPr>
        <w:fldChar w:fldCharType="end"/>
      </w:r>
    </w:p>
    <w:p w14:paraId="274FC314">
      <w:pPr>
        <w:pStyle w:val="22"/>
        <w:tabs>
          <w:tab w:val="right" w:leader="dot" w:pos="8306"/>
          <w:tab w:val="clear" w:pos="8296"/>
        </w:tabs>
        <w:rPr>
          <w:rFonts w:ascii="宋体" w:hAnsi="宋体" w:cs="宋体"/>
          <w:sz w:val="28"/>
          <w:szCs w:val="28"/>
        </w:rPr>
      </w:pPr>
      <w:r>
        <w:fldChar w:fldCharType="begin"/>
      </w:r>
      <w:r>
        <w:instrText xml:space="preserve"> HYPERLINK \l "_Toc11988" </w:instrText>
      </w:r>
      <w:r>
        <w:fldChar w:fldCharType="separate"/>
      </w:r>
      <w:r>
        <w:rPr>
          <w:rFonts w:hint="eastAsia" w:ascii="宋体" w:hAnsi="宋体" w:cs="宋体"/>
          <w:sz w:val="28"/>
          <w:szCs w:val="28"/>
        </w:rPr>
        <w:t>第三节  建筑垃圾分类收运处理</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_Toc11988 \h </w:instrText>
      </w:r>
      <w:r>
        <w:rPr>
          <w:rFonts w:hint="eastAsia" w:ascii="宋体" w:hAnsi="宋体" w:cs="宋体"/>
          <w:sz w:val="28"/>
          <w:szCs w:val="28"/>
        </w:rPr>
        <w:fldChar w:fldCharType="separate"/>
      </w:r>
      <w:r>
        <w:rPr>
          <w:rFonts w:hint="eastAsia" w:ascii="宋体" w:hAnsi="宋体" w:cs="宋体"/>
          <w:sz w:val="28"/>
          <w:szCs w:val="28"/>
        </w:rPr>
        <w:t>68</w:t>
      </w:r>
      <w:r>
        <w:rPr>
          <w:rFonts w:hint="eastAsia" w:ascii="宋体" w:hAnsi="宋体" w:cs="宋体"/>
          <w:sz w:val="28"/>
          <w:szCs w:val="28"/>
        </w:rPr>
        <w:fldChar w:fldCharType="end"/>
      </w:r>
      <w:r>
        <w:rPr>
          <w:rFonts w:hint="eastAsia" w:ascii="宋体" w:hAnsi="宋体" w:cs="宋体"/>
          <w:sz w:val="28"/>
          <w:szCs w:val="28"/>
        </w:rPr>
        <w:fldChar w:fldCharType="end"/>
      </w:r>
    </w:p>
    <w:p w14:paraId="7632A2B2">
      <w:pPr>
        <w:pStyle w:val="11"/>
        <w:tabs>
          <w:tab w:val="right" w:leader="dot" w:pos="8306"/>
          <w:tab w:val="clear" w:pos="8296"/>
        </w:tabs>
        <w:rPr>
          <w:rFonts w:ascii="宋体" w:hAnsi="宋体" w:cs="宋体"/>
          <w:sz w:val="28"/>
          <w:szCs w:val="28"/>
        </w:rPr>
      </w:pPr>
      <w:r>
        <w:fldChar w:fldCharType="begin"/>
      </w:r>
      <w:r>
        <w:instrText xml:space="preserve"> HYPERLINK \l "_Toc13213" </w:instrText>
      </w:r>
      <w:r>
        <w:fldChar w:fldCharType="separate"/>
      </w:r>
      <w:r>
        <w:rPr>
          <w:rFonts w:hint="eastAsia" w:ascii="宋体" w:hAnsi="宋体" w:cs="宋体"/>
          <w:sz w:val="28"/>
          <w:szCs w:val="28"/>
        </w:rPr>
        <w:t>一、管理机制与要求</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_Toc13213 \h </w:instrText>
      </w:r>
      <w:r>
        <w:rPr>
          <w:rFonts w:hint="eastAsia" w:ascii="宋体" w:hAnsi="宋体" w:cs="宋体"/>
          <w:sz w:val="28"/>
          <w:szCs w:val="28"/>
        </w:rPr>
        <w:fldChar w:fldCharType="separate"/>
      </w:r>
      <w:r>
        <w:rPr>
          <w:rFonts w:hint="eastAsia" w:ascii="宋体" w:hAnsi="宋体" w:cs="宋体"/>
          <w:sz w:val="28"/>
          <w:szCs w:val="28"/>
        </w:rPr>
        <w:t>68</w:t>
      </w:r>
      <w:r>
        <w:rPr>
          <w:rFonts w:hint="eastAsia" w:ascii="宋体" w:hAnsi="宋体" w:cs="宋体"/>
          <w:sz w:val="28"/>
          <w:szCs w:val="28"/>
        </w:rPr>
        <w:fldChar w:fldCharType="end"/>
      </w:r>
      <w:r>
        <w:rPr>
          <w:rFonts w:hint="eastAsia" w:ascii="宋体" w:hAnsi="宋体" w:cs="宋体"/>
          <w:sz w:val="28"/>
          <w:szCs w:val="28"/>
        </w:rPr>
        <w:fldChar w:fldCharType="end"/>
      </w:r>
    </w:p>
    <w:p w14:paraId="0A080EFE">
      <w:pPr>
        <w:pStyle w:val="11"/>
        <w:tabs>
          <w:tab w:val="right" w:leader="dot" w:pos="8306"/>
          <w:tab w:val="clear" w:pos="8296"/>
        </w:tabs>
        <w:rPr>
          <w:rFonts w:ascii="宋体" w:hAnsi="宋体" w:cs="宋体"/>
          <w:sz w:val="28"/>
          <w:szCs w:val="28"/>
        </w:rPr>
      </w:pPr>
      <w:r>
        <w:fldChar w:fldCharType="begin"/>
      </w:r>
      <w:r>
        <w:instrText xml:space="preserve"> HYPERLINK \l "_Toc22487" </w:instrText>
      </w:r>
      <w:r>
        <w:fldChar w:fldCharType="separate"/>
      </w:r>
      <w:r>
        <w:rPr>
          <w:rFonts w:hint="eastAsia" w:ascii="宋体" w:hAnsi="宋体" w:cs="宋体"/>
          <w:sz w:val="28"/>
          <w:szCs w:val="28"/>
        </w:rPr>
        <w:t>二、建筑垃圾收运</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_Toc22487 \h </w:instrText>
      </w:r>
      <w:r>
        <w:rPr>
          <w:rFonts w:hint="eastAsia" w:ascii="宋体" w:hAnsi="宋体" w:cs="宋体"/>
          <w:sz w:val="28"/>
          <w:szCs w:val="28"/>
        </w:rPr>
        <w:fldChar w:fldCharType="separate"/>
      </w:r>
      <w:r>
        <w:rPr>
          <w:rFonts w:hint="eastAsia" w:ascii="宋体" w:hAnsi="宋体" w:cs="宋体"/>
          <w:sz w:val="28"/>
          <w:szCs w:val="28"/>
        </w:rPr>
        <w:t>68</w:t>
      </w:r>
      <w:r>
        <w:rPr>
          <w:rFonts w:hint="eastAsia" w:ascii="宋体" w:hAnsi="宋体" w:cs="宋体"/>
          <w:sz w:val="28"/>
          <w:szCs w:val="28"/>
        </w:rPr>
        <w:fldChar w:fldCharType="end"/>
      </w:r>
      <w:r>
        <w:rPr>
          <w:rFonts w:hint="eastAsia" w:ascii="宋体" w:hAnsi="宋体" w:cs="宋体"/>
          <w:sz w:val="28"/>
          <w:szCs w:val="28"/>
        </w:rPr>
        <w:fldChar w:fldCharType="end"/>
      </w:r>
    </w:p>
    <w:p w14:paraId="3EC7C751">
      <w:pPr>
        <w:pStyle w:val="11"/>
        <w:tabs>
          <w:tab w:val="right" w:leader="dot" w:pos="8306"/>
          <w:tab w:val="clear" w:pos="8296"/>
        </w:tabs>
        <w:rPr>
          <w:rFonts w:ascii="宋体" w:hAnsi="宋体" w:cs="宋体"/>
          <w:sz w:val="28"/>
          <w:szCs w:val="28"/>
        </w:rPr>
      </w:pPr>
      <w:r>
        <w:fldChar w:fldCharType="begin"/>
      </w:r>
      <w:r>
        <w:instrText xml:space="preserve"> HYPERLINK \l "_Toc11740" </w:instrText>
      </w:r>
      <w:r>
        <w:fldChar w:fldCharType="separate"/>
      </w:r>
      <w:r>
        <w:rPr>
          <w:rFonts w:hint="eastAsia" w:ascii="宋体" w:hAnsi="宋体" w:cs="宋体"/>
          <w:sz w:val="28"/>
          <w:szCs w:val="28"/>
        </w:rPr>
        <w:t>三、建筑垃圾处置</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_Toc11740 \h </w:instrText>
      </w:r>
      <w:r>
        <w:rPr>
          <w:rFonts w:hint="eastAsia" w:ascii="宋体" w:hAnsi="宋体" w:cs="宋体"/>
          <w:sz w:val="28"/>
          <w:szCs w:val="28"/>
        </w:rPr>
        <w:fldChar w:fldCharType="separate"/>
      </w:r>
      <w:r>
        <w:rPr>
          <w:rFonts w:hint="eastAsia" w:ascii="宋体" w:hAnsi="宋体" w:cs="宋体"/>
          <w:sz w:val="28"/>
          <w:szCs w:val="28"/>
        </w:rPr>
        <w:t>70</w:t>
      </w:r>
      <w:r>
        <w:rPr>
          <w:rFonts w:hint="eastAsia" w:ascii="宋体" w:hAnsi="宋体" w:cs="宋体"/>
          <w:sz w:val="28"/>
          <w:szCs w:val="28"/>
        </w:rPr>
        <w:fldChar w:fldCharType="end"/>
      </w:r>
      <w:r>
        <w:rPr>
          <w:rFonts w:hint="eastAsia" w:ascii="宋体" w:hAnsi="宋体" w:cs="宋体"/>
          <w:sz w:val="28"/>
          <w:szCs w:val="28"/>
        </w:rPr>
        <w:fldChar w:fldCharType="end"/>
      </w:r>
    </w:p>
    <w:p w14:paraId="05AC36DB">
      <w:pPr>
        <w:pStyle w:val="22"/>
        <w:tabs>
          <w:tab w:val="right" w:leader="dot" w:pos="8306"/>
          <w:tab w:val="clear" w:pos="8296"/>
        </w:tabs>
        <w:rPr>
          <w:rFonts w:ascii="宋体" w:hAnsi="宋体" w:cs="宋体"/>
          <w:sz w:val="28"/>
          <w:szCs w:val="28"/>
        </w:rPr>
      </w:pPr>
      <w:r>
        <w:fldChar w:fldCharType="begin"/>
      </w:r>
      <w:r>
        <w:instrText xml:space="preserve"> HYPERLINK \l "_Toc5215" </w:instrText>
      </w:r>
      <w:r>
        <w:fldChar w:fldCharType="separate"/>
      </w:r>
      <w:r>
        <w:rPr>
          <w:rFonts w:hint="eastAsia" w:ascii="宋体" w:hAnsi="宋体" w:cs="宋体"/>
          <w:sz w:val="28"/>
          <w:szCs w:val="28"/>
        </w:rPr>
        <w:t>第四节  园林绿化垃圾分类收运处理</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_Toc5215 \h </w:instrText>
      </w:r>
      <w:r>
        <w:rPr>
          <w:rFonts w:hint="eastAsia" w:ascii="宋体" w:hAnsi="宋体" w:cs="宋体"/>
          <w:sz w:val="28"/>
          <w:szCs w:val="28"/>
        </w:rPr>
        <w:fldChar w:fldCharType="separate"/>
      </w:r>
      <w:r>
        <w:rPr>
          <w:rFonts w:hint="eastAsia" w:ascii="宋体" w:hAnsi="宋体" w:cs="宋体"/>
          <w:sz w:val="28"/>
          <w:szCs w:val="28"/>
        </w:rPr>
        <w:t>71</w:t>
      </w:r>
      <w:r>
        <w:rPr>
          <w:rFonts w:hint="eastAsia" w:ascii="宋体" w:hAnsi="宋体" w:cs="宋体"/>
          <w:sz w:val="28"/>
          <w:szCs w:val="28"/>
        </w:rPr>
        <w:fldChar w:fldCharType="end"/>
      </w:r>
      <w:r>
        <w:rPr>
          <w:rFonts w:hint="eastAsia" w:ascii="宋体" w:hAnsi="宋体" w:cs="宋体"/>
          <w:sz w:val="28"/>
          <w:szCs w:val="28"/>
        </w:rPr>
        <w:fldChar w:fldCharType="end"/>
      </w:r>
    </w:p>
    <w:p w14:paraId="65C7701D">
      <w:pPr>
        <w:pStyle w:val="11"/>
        <w:tabs>
          <w:tab w:val="right" w:leader="dot" w:pos="8306"/>
          <w:tab w:val="clear" w:pos="8296"/>
        </w:tabs>
        <w:rPr>
          <w:rFonts w:ascii="宋体" w:hAnsi="宋体" w:cs="宋体"/>
          <w:sz w:val="28"/>
          <w:szCs w:val="28"/>
        </w:rPr>
      </w:pPr>
      <w:r>
        <w:fldChar w:fldCharType="begin"/>
      </w:r>
      <w:r>
        <w:instrText xml:space="preserve"> HYPERLINK \l "_Toc21774" </w:instrText>
      </w:r>
      <w:r>
        <w:fldChar w:fldCharType="separate"/>
      </w:r>
      <w:r>
        <w:rPr>
          <w:rFonts w:hint="eastAsia" w:ascii="宋体" w:hAnsi="宋体" w:cs="宋体"/>
          <w:sz w:val="28"/>
          <w:szCs w:val="28"/>
        </w:rPr>
        <w:t>一、处置要求</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_Toc21774 \h </w:instrText>
      </w:r>
      <w:r>
        <w:rPr>
          <w:rFonts w:hint="eastAsia" w:ascii="宋体" w:hAnsi="宋体" w:cs="宋体"/>
          <w:sz w:val="28"/>
          <w:szCs w:val="28"/>
        </w:rPr>
        <w:fldChar w:fldCharType="separate"/>
      </w:r>
      <w:r>
        <w:rPr>
          <w:rFonts w:hint="eastAsia" w:ascii="宋体" w:hAnsi="宋体" w:cs="宋体"/>
          <w:sz w:val="28"/>
          <w:szCs w:val="28"/>
        </w:rPr>
        <w:t>71</w:t>
      </w:r>
      <w:r>
        <w:rPr>
          <w:rFonts w:hint="eastAsia" w:ascii="宋体" w:hAnsi="宋体" w:cs="宋体"/>
          <w:sz w:val="28"/>
          <w:szCs w:val="28"/>
        </w:rPr>
        <w:fldChar w:fldCharType="end"/>
      </w:r>
      <w:r>
        <w:rPr>
          <w:rFonts w:hint="eastAsia" w:ascii="宋体" w:hAnsi="宋体" w:cs="宋体"/>
          <w:sz w:val="28"/>
          <w:szCs w:val="28"/>
        </w:rPr>
        <w:fldChar w:fldCharType="end"/>
      </w:r>
    </w:p>
    <w:p w14:paraId="5C2A14EC">
      <w:pPr>
        <w:pStyle w:val="11"/>
        <w:tabs>
          <w:tab w:val="right" w:leader="dot" w:pos="8306"/>
          <w:tab w:val="clear" w:pos="8296"/>
        </w:tabs>
        <w:rPr>
          <w:rFonts w:ascii="宋体" w:hAnsi="宋体" w:cs="宋体"/>
          <w:sz w:val="28"/>
          <w:szCs w:val="28"/>
        </w:rPr>
      </w:pPr>
      <w:r>
        <w:fldChar w:fldCharType="begin"/>
      </w:r>
      <w:r>
        <w:instrText xml:space="preserve"> HYPERLINK \l "_Toc27788" </w:instrText>
      </w:r>
      <w:r>
        <w:fldChar w:fldCharType="separate"/>
      </w:r>
      <w:r>
        <w:rPr>
          <w:rFonts w:hint="eastAsia" w:ascii="宋体" w:hAnsi="宋体" w:cs="宋体"/>
          <w:sz w:val="28"/>
          <w:szCs w:val="28"/>
        </w:rPr>
        <w:t>二、园林绿化垃圾收运</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_Toc27788 \h </w:instrText>
      </w:r>
      <w:r>
        <w:rPr>
          <w:rFonts w:hint="eastAsia" w:ascii="宋体" w:hAnsi="宋体" w:cs="宋体"/>
          <w:sz w:val="28"/>
          <w:szCs w:val="28"/>
        </w:rPr>
        <w:fldChar w:fldCharType="separate"/>
      </w:r>
      <w:r>
        <w:rPr>
          <w:rFonts w:hint="eastAsia" w:ascii="宋体" w:hAnsi="宋体" w:cs="宋体"/>
          <w:sz w:val="28"/>
          <w:szCs w:val="28"/>
        </w:rPr>
        <w:t>71</w:t>
      </w:r>
      <w:r>
        <w:rPr>
          <w:rFonts w:hint="eastAsia" w:ascii="宋体" w:hAnsi="宋体" w:cs="宋体"/>
          <w:sz w:val="28"/>
          <w:szCs w:val="28"/>
        </w:rPr>
        <w:fldChar w:fldCharType="end"/>
      </w:r>
      <w:r>
        <w:rPr>
          <w:rFonts w:hint="eastAsia" w:ascii="宋体" w:hAnsi="宋体" w:cs="宋体"/>
          <w:sz w:val="28"/>
          <w:szCs w:val="28"/>
        </w:rPr>
        <w:fldChar w:fldCharType="end"/>
      </w:r>
    </w:p>
    <w:p w14:paraId="13A03256">
      <w:pPr>
        <w:pStyle w:val="11"/>
        <w:tabs>
          <w:tab w:val="right" w:leader="dot" w:pos="8306"/>
          <w:tab w:val="clear" w:pos="8296"/>
        </w:tabs>
        <w:rPr>
          <w:rFonts w:ascii="宋体" w:hAnsi="宋体" w:cs="宋体"/>
          <w:sz w:val="28"/>
          <w:szCs w:val="28"/>
        </w:rPr>
      </w:pPr>
      <w:r>
        <w:fldChar w:fldCharType="begin"/>
      </w:r>
      <w:r>
        <w:instrText xml:space="preserve"> HYPERLINK \l "_Toc14056" </w:instrText>
      </w:r>
      <w:r>
        <w:fldChar w:fldCharType="separate"/>
      </w:r>
      <w:r>
        <w:rPr>
          <w:rFonts w:hint="eastAsia" w:ascii="宋体" w:hAnsi="宋体" w:cs="宋体"/>
          <w:sz w:val="28"/>
          <w:szCs w:val="28"/>
        </w:rPr>
        <w:t>三、园林绿化垃圾处理</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_Toc14056 \h </w:instrText>
      </w:r>
      <w:r>
        <w:rPr>
          <w:rFonts w:hint="eastAsia" w:ascii="宋体" w:hAnsi="宋体" w:cs="宋体"/>
          <w:sz w:val="28"/>
          <w:szCs w:val="28"/>
        </w:rPr>
        <w:fldChar w:fldCharType="separate"/>
      </w:r>
      <w:r>
        <w:rPr>
          <w:rFonts w:hint="eastAsia" w:ascii="宋体" w:hAnsi="宋体" w:cs="宋体"/>
          <w:sz w:val="28"/>
          <w:szCs w:val="28"/>
        </w:rPr>
        <w:t>71</w:t>
      </w:r>
      <w:r>
        <w:rPr>
          <w:rFonts w:hint="eastAsia" w:ascii="宋体" w:hAnsi="宋体" w:cs="宋体"/>
          <w:sz w:val="28"/>
          <w:szCs w:val="28"/>
        </w:rPr>
        <w:fldChar w:fldCharType="end"/>
      </w:r>
      <w:r>
        <w:rPr>
          <w:rFonts w:hint="eastAsia" w:ascii="宋体" w:hAnsi="宋体" w:cs="宋体"/>
          <w:sz w:val="28"/>
          <w:szCs w:val="28"/>
        </w:rPr>
        <w:fldChar w:fldCharType="end"/>
      </w:r>
    </w:p>
    <w:p w14:paraId="78A7CC08">
      <w:pPr>
        <w:pStyle w:val="11"/>
        <w:tabs>
          <w:tab w:val="right" w:leader="dot" w:pos="8306"/>
          <w:tab w:val="clear" w:pos="8296"/>
        </w:tabs>
        <w:rPr>
          <w:rFonts w:ascii="宋体" w:hAnsi="宋体" w:cs="宋体"/>
          <w:sz w:val="28"/>
          <w:szCs w:val="28"/>
        </w:rPr>
      </w:pPr>
      <w:r>
        <w:fldChar w:fldCharType="begin"/>
      </w:r>
      <w:r>
        <w:instrText xml:space="preserve"> HYPERLINK \l "_Toc3329" </w:instrText>
      </w:r>
      <w:r>
        <w:fldChar w:fldCharType="separate"/>
      </w:r>
      <w:r>
        <w:rPr>
          <w:rFonts w:hint="eastAsia" w:ascii="宋体" w:hAnsi="宋体" w:cs="宋体"/>
          <w:sz w:val="28"/>
          <w:szCs w:val="28"/>
        </w:rPr>
        <w:t>四、园林绿化垃圾收运处理设施</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_Toc3329 \h </w:instrText>
      </w:r>
      <w:r>
        <w:rPr>
          <w:rFonts w:hint="eastAsia" w:ascii="宋体" w:hAnsi="宋体" w:cs="宋体"/>
          <w:sz w:val="28"/>
          <w:szCs w:val="28"/>
        </w:rPr>
        <w:fldChar w:fldCharType="separate"/>
      </w:r>
      <w:r>
        <w:rPr>
          <w:rFonts w:hint="eastAsia" w:ascii="宋体" w:hAnsi="宋体" w:cs="宋体"/>
          <w:sz w:val="28"/>
          <w:szCs w:val="28"/>
        </w:rPr>
        <w:t>71</w:t>
      </w:r>
      <w:r>
        <w:rPr>
          <w:rFonts w:hint="eastAsia" w:ascii="宋体" w:hAnsi="宋体" w:cs="宋体"/>
          <w:sz w:val="28"/>
          <w:szCs w:val="28"/>
        </w:rPr>
        <w:fldChar w:fldCharType="end"/>
      </w:r>
      <w:r>
        <w:rPr>
          <w:rFonts w:hint="eastAsia" w:ascii="宋体" w:hAnsi="宋体" w:cs="宋体"/>
          <w:sz w:val="28"/>
          <w:szCs w:val="28"/>
        </w:rPr>
        <w:fldChar w:fldCharType="end"/>
      </w:r>
    </w:p>
    <w:p w14:paraId="1CCCCD56">
      <w:pPr>
        <w:pStyle w:val="22"/>
        <w:tabs>
          <w:tab w:val="right" w:leader="dot" w:pos="8306"/>
          <w:tab w:val="clear" w:pos="8296"/>
        </w:tabs>
        <w:rPr>
          <w:rFonts w:ascii="宋体" w:hAnsi="宋体" w:cs="宋体"/>
          <w:sz w:val="28"/>
          <w:szCs w:val="28"/>
        </w:rPr>
      </w:pPr>
      <w:r>
        <w:fldChar w:fldCharType="begin"/>
      </w:r>
      <w:r>
        <w:instrText xml:space="preserve"> HYPERLINK \l "_Toc29725" </w:instrText>
      </w:r>
      <w:r>
        <w:fldChar w:fldCharType="separate"/>
      </w:r>
      <w:r>
        <w:rPr>
          <w:rFonts w:hint="eastAsia" w:ascii="宋体" w:hAnsi="宋体" w:cs="宋体"/>
          <w:sz w:val="28"/>
          <w:szCs w:val="28"/>
        </w:rPr>
        <w:t>第五节  农村生活垃圾分类收集系统</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_Toc29725 \h </w:instrText>
      </w:r>
      <w:r>
        <w:rPr>
          <w:rFonts w:hint="eastAsia" w:ascii="宋体" w:hAnsi="宋体" w:cs="宋体"/>
          <w:sz w:val="28"/>
          <w:szCs w:val="28"/>
        </w:rPr>
        <w:fldChar w:fldCharType="separate"/>
      </w:r>
      <w:r>
        <w:rPr>
          <w:rFonts w:hint="eastAsia" w:ascii="宋体" w:hAnsi="宋体" w:cs="宋体"/>
          <w:sz w:val="28"/>
          <w:szCs w:val="28"/>
        </w:rPr>
        <w:t>72</w:t>
      </w:r>
      <w:r>
        <w:rPr>
          <w:rFonts w:hint="eastAsia" w:ascii="宋体" w:hAnsi="宋体" w:cs="宋体"/>
          <w:sz w:val="28"/>
          <w:szCs w:val="28"/>
        </w:rPr>
        <w:fldChar w:fldCharType="end"/>
      </w:r>
      <w:r>
        <w:rPr>
          <w:rFonts w:hint="eastAsia" w:ascii="宋体" w:hAnsi="宋体" w:cs="宋体"/>
          <w:sz w:val="28"/>
          <w:szCs w:val="28"/>
        </w:rPr>
        <w:fldChar w:fldCharType="end"/>
      </w:r>
    </w:p>
    <w:p w14:paraId="3D838A7E">
      <w:pPr>
        <w:pStyle w:val="11"/>
        <w:tabs>
          <w:tab w:val="right" w:leader="dot" w:pos="8306"/>
          <w:tab w:val="clear" w:pos="8296"/>
        </w:tabs>
        <w:rPr>
          <w:rFonts w:ascii="宋体" w:hAnsi="宋体" w:cs="宋体"/>
          <w:sz w:val="28"/>
          <w:szCs w:val="28"/>
        </w:rPr>
      </w:pPr>
      <w:r>
        <w:fldChar w:fldCharType="begin"/>
      </w:r>
      <w:r>
        <w:instrText xml:space="preserve"> HYPERLINK \l "_Toc10179" </w:instrText>
      </w:r>
      <w:r>
        <w:fldChar w:fldCharType="separate"/>
      </w:r>
      <w:r>
        <w:rPr>
          <w:rFonts w:hint="eastAsia" w:ascii="宋体" w:hAnsi="宋体" w:cs="宋体"/>
          <w:sz w:val="28"/>
          <w:szCs w:val="28"/>
        </w:rPr>
        <w:t>一、管理机制与要求</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_Toc10179 \h </w:instrText>
      </w:r>
      <w:r>
        <w:rPr>
          <w:rFonts w:hint="eastAsia" w:ascii="宋体" w:hAnsi="宋体" w:cs="宋体"/>
          <w:sz w:val="28"/>
          <w:szCs w:val="28"/>
        </w:rPr>
        <w:fldChar w:fldCharType="separate"/>
      </w:r>
      <w:r>
        <w:rPr>
          <w:rFonts w:hint="eastAsia" w:ascii="宋体" w:hAnsi="宋体" w:cs="宋体"/>
          <w:sz w:val="28"/>
          <w:szCs w:val="28"/>
        </w:rPr>
        <w:t>72</w:t>
      </w:r>
      <w:r>
        <w:rPr>
          <w:rFonts w:hint="eastAsia" w:ascii="宋体" w:hAnsi="宋体" w:cs="宋体"/>
          <w:sz w:val="28"/>
          <w:szCs w:val="28"/>
        </w:rPr>
        <w:fldChar w:fldCharType="end"/>
      </w:r>
      <w:r>
        <w:rPr>
          <w:rFonts w:hint="eastAsia" w:ascii="宋体" w:hAnsi="宋体" w:cs="宋体"/>
          <w:sz w:val="28"/>
          <w:szCs w:val="28"/>
        </w:rPr>
        <w:fldChar w:fldCharType="end"/>
      </w:r>
    </w:p>
    <w:p w14:paraId="56B8FCBA">
      <w:pPr>
        <w:pStyle w:val="11"/>
        <w:tabs>
          <w:tab w:val="right" w:leader="dot" w:pos="8306"/>
          <w:tab w:val="clear" w:pos="8296"/>
        </w:tabs>
        <w:rPr>
          <w:rFonts w:ascii="宋体" w:hAnsi="宋体" w:cs="宋体"/>
          <w:sz w:val="28"/>
          <w:szCs w:val="28"/>
        </w:rPr>
      </w:pPr>
      <w:r>
        <w:fldChar w:fldCharType="begin"/>
      </w:r>
      <w:r>
        <w:instrText xml:space="preserve"> HYPERLINK \l "_Toc8789" </w:instrText>
      </w:r>
      <w:r>
        <w:fldChar w:fldCharType="separate"/>
      </w:r>
      <w:r>
        <w:rPr>
          <w:rFonts w:hint="eastAsia" w:ascii="宋体" w:hAnsi="宋体" w:cs="宋体"/>
          <w:sz w:val="28"/>
          <w:szCs w:val="28"/>
        </w:rPr>
        <w:t>二、分类收集系统</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_Toc8789 \h </w:instrText>
      </w:r>
      <w:r>
        <w:rPr>
          <w:rFonts w:hint="eastAsia" w:ascii="宋体" w:hAnsi="宋体" w:cs="宋体"/>
          <w:sz w:val="28"/>
          <w:szCs w:val="28"/>
        </w:rPr>
        <w:fldChar w:fldCharType="separate"/>
      </w:r>
      <w:r>
        <w:rPr>
          <w:rFonts w:hint="eastAsia" w:ascii="宋体" w:hAnsi="宋体" w:cs="宋体"/>
          <w:sz w:val="28"/>
          <w:szCs w:val="28"/>
        </w:rPr>
        <w:t>73</w:t>
      </w:r>
      <w:r>
        <w:rPr>
          <w:rFonts w:hint="eastAsia" w:ascii="宋体" w:hAnsi="宋体" w:cs="宋体"/>
          <w:sz w:val="28"/>
          <w:szCs w:val="28"/>
        </w:rPr>
        <w:fldChar w:fldCharType="end"/>
      </w:r>
      <w:r>
        <w:rPr>
          <w:rFonts w:hint="eastAsia" w:ascii="宋体" w:hAnsi="宋体" w:cs="宋体"/>
          <w:sz w:val="28"/>
          <w:szCs w:val="28"/>
        </w:rPr>
        <w:fldChar w:fldCharType="end"/>
      </w:r>
    </w:p>
    <w:p w14:paraId="5F5AB11A">
      <w:pPr>
        <w:pStyle w:val="19"/>
        <w:tabs>
          <w:tab w:val="right" w:leader="dot" w:pos="8306"/>
          <w:tab w:val="clear" w:pos="8296"/>
        </w:tabs>
        <w:rPr>
          <w:rFonts w:ascii="宋体" w:hAnsi="宋体" w:cs="宋体"/>
          <w:sz w:val="28"/>
          <w:szCs w:val="28"/>
        </w:rPr>
      </w:pPr>
      <w:r>
        <w:fldChar w:fldCharType="begin"/>
      </w:r>
      <w:r>
        <w:instrText xml:space="preserve"> HYPERLINK \l "_Toc16578" </w:instrText>
      </w:r>
      <w:r>
        <w:fldChar w:fldCharType="separate"/>
      </w:r>
      <w:r>
        <w:rPr>
          <w:rFonts w:hint="eastAsia" w:ascii="宋体" w:hAnsi="宋体" w:cs="宋体"/>
          <w:sz w:val="28"/>
          <w:szCs w:val="28"/>
        </w:rPr>
        <w:t>第八章  完善城市管理基础设施，提升管理系统承载力</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_Toc16578 \h </w:instrText>
      </w:r>
      <w:r>
        <w:rPr>
          <w:rFonts w:hint="eastAsia" w:ascii="宋体" w:hAnsi="宋体" w:cs="宋体"/>
          <w:sz w:val="28"/>
          <w:szCs w:val="28"/>
        </w:rPr>
        <w:fldChar w:fldCharType="separate"/>
      </w:r>
      <w:r>
        <w:rPr>
          <w:rFonts w:hint="eastAsia" w:ascii="宋体" w:hAnsi="宋体" w:cs="宋体"/>
          <w:sz w:val="28"/>
          <w:szCs w:val="28"/>
        </w:rPr>
        <w:t>75</w:t>
      </w:r>
      <w:r>
        <w:rPr>
          <w:rFonts w:hint="eastAsia" w:ascii="宋体" w:hAnsi="宋体" w:cs="宋体"/>
          <w:sz w:val="28"/>
          <w:szCs w:val="28"/>
        </w:rPr>
        <w:fldChar w:fldCharType="end"/>
      </w:r>
      <w:r>
        <w:rPr>
          <w:rFonts w:hint="eastAsia" w:ascii="宋体" w:hAnsi="宋体" w:cs="宋体"/>
          <w:sz w:val="28"/>
          <w:szCs w:val="28"/>
        </w:rPr>
        <w:fldChar w:fldCharType="end"/>
      </w:r>
    </w:p>
    <w:p w14:paraId="580091E6">
      <w:pPr>
        <w:pStyle w:val="22"/>
        <w:tabs>
          <w:tab w:val="right" w:leader="dot" w:pos="8306"/>
          <w:tab w:val="clear" w:pos="8296"/>
        </w:tabs>
        <w:rPr>
          <w:rFonts w:ascii="宋体" w:hAnsi="宋体" w:cs="宋体"/>
          <w:sz w:val="28"/>
          <w:szCs w:val="28"/>
        </w:rPr>
      </w:pPr>
      <w:r>
        <w:fldChar w:fldCharType="begin"/>
      </w:r>
      <w:r>
        <w:instrText xml:space="preserve"> HYPERLINK \l "_Toc3838" </w:instrText>
      </w:r>
      <w:r>
        <w:fldChar w:fldCharType="separate"/>
      </w:r>
      <w:r>
        <w:rPr>
          <w:rFonts w:hint="eastAsia" w:ascii="宋体" w:hAnsi="宋体" w:cs="宋体"/>
          <w:sz w:val="28"/>
          <w:szCs w:val="28"/>
        </w:rPr>
        <w:t>第一节 推进园林绿化高质量发展</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_Toc3838 \h </w:instrText>
      </w:r>
      <w:r>
        <w:rPr>
          <w:rFonts w:hint="eastAsia" w:ascii="宋体" w:hAnsi="宋体" w:cs="宋体"/>
          <w:sz w:val="28"/>
          <w:szCs w:val="28"/>
        </w:rPr>
        <w:fldChar w:fldCharType="separate"/>
      </w:r>
      <w:r>
        <w:rPr>
          <w:rFonts w:hint="eastAsia" w:ascii="宋体" w:hAnsi="宋体" w:cs="宋体"/>
          <w:sz w:val="28"/>
          <w:szCs w:val="28"/>
        </w:rPr>
        <w:t>75</w:t>
      </w:r>
      <w:r>
        <w:rPr>
          <w:rFonts w:hint="eastAsia" w:ascii="宋体" w:hAnsi="宋体" w:cs="宋体"/>
          <w:sz w:val="28"/>
          <w:szCs w:val="28"/>
        </w:rPr>
        <w:fldChar w:fldCharType="end"/>
      </w:r>
      <w:r>
        <w:rPr>
          <w:rFonts w:hint="eastAsia" w:ascii="宋体" w:hAnsi="宋体" w:cs="宋体"/>
          <w:sz w:val="28"/>
          <w:szCs w:val="28"/>
        </w:rPr>
        <w:fldChar w:fldCharType="end"/>
      </w:r>
    </w:p>
    <w:p w14:paraId="29222732">
      <w:pPr>
        <w:pStyle w:val="11"/>
        <w:tabs>
          <w:tab w:val="right" w:leader="dot" w:pos="8306"/>
          <w:tab w:val="clear" w:pos="8296"/>
        </w:tabs>
        <w:rPr>
          <w:rFonts w:ascii="宋体" w:hAnsi="宋体" w:cs="宋体"/>
          <w:sz w:val="28"/>
          <w:szCs w:val="28"/>
        </w:rPr>
      </w:pPr>
      <w:r>
        <w:fldChar w:fldCharType="begin"/>
      </w:r>
      <w:r>
        <w:instrText xml:space="preserve"> HYPERLINK \l "_Toc27632" </w:instrText>
      </w:r>
      <w:r>
        <w:fldChar w:fldCharType="separate"/>
      </w:r>
      <w:r>
        <w:rPr>
          <w:rFonts w:hint="eastAsia" w:ascii="宋体" w:hAnsi="宋体" w:cs="宋体"/>
          <w:sz w:val="28"/>
          <w:szCs w:val="28"/>
        </w:rPr>
        <w:t>一、建立健全法律法规体系</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_Toc27632 \h </w:instrText>
      </w:r>
      <w:r>
        <w:rPr>
          <w:rFonts w:hint="eastAsia" w:ascii="宋体" w:hAnsi="宋体" w:cs="宋体"/>
          <w:sz w:val="28"/>
          <w:szCs w:val="28"/>
        </w:rPr>
        <w:fldChar w:fldCharType="separate"/>
      </w:r>
      <w:r>
        <w:rPr>
          <w:rFonts w:hint="eastAsia" w:ascii="宋体" w:hAnsi="宋体" w:cs="宋体"/>
          <w:sz w:val="28"/>
          <w:szCs w:val="28"/>
        </w:rPr>
        <w:t>75</w:t>
      </w:r>
      <w:r>
        <w:rPr>
          <w:rFonts w:hint="eastAsia" w:ascii="宋体" w:hAnsi="宋体" w:cs="宋体"/>
          <w:sz w:val="28"/>
          <w:szCs w:val="28"/>
        </w:rPr>
        <w:fldChar w:fldCharType="end"/>
      </w:r>
      <w:r>
        <w:rPr>
          <w:rFonts w:hint="eastAsia" w:ascii="宋体" w:hAnsi="宋体" w:cs="宋体"/>
          <w:sz w:val="28"/>
          <w:szCs w:val="28"/>
        </w:rPr>
        <w:fldChar w:fldCharType="end"/>
      </w:r>
    </w:p>
    <w:p w14:paraId="4C0F973C">
      <w:pPr>
        <w:pStyle w:val="11"/>
        <w:tabs>
          <w:tab w:val="right" w:leader="dot" w:pos="8306"/>
          <w:tab w:val="clear" w:pos="8296"/>
        </w:tabs>
        <w:rPr>
          <w:rFonts w:ascii="宋体" w:hAnsi="宋体" w:cs="宋体"/>
          <w:sz w:val="28"/>
          <w:szCs w:val="28"/>
        </w:rPr>
      </w:pPr>
      <w:r>
        <w:fldChar w:fldCharType="begin"/>
      </w:r>
      <w:r>
        <w:instrText xml:space="preserve"> HYPERLINK \l "_Toc29080" </w:instrText>
      </w:r>
      <w:r>
        <w:fldChar w:fldCharType="separate"/>
      </w:r>
      <w:r>
        <w:rPr>
          <w:rFonts w:hint="eastAsia" w:ascii="宋体" w:hAnsi="宋体" w:cs="宋体"/>
          <w:sz w:val="28"/>
          <w:szCs w:val="28"/>
        </w:rPr>
        <w:t>二、提高园林绿化管控水平</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_Toc29080 \h </w:instrText>
      </w:r>
      <w:r>
        <w:rPr>
          <w:rFonts w:hint="eastAsia" w:ascii="宋体" w:hAnsi="宋体" w:cs="宋体"/>
          <w:sz w:val="28"/>
          <w:szCs w:val="28"/>
        </w:rPr>
        <w:fldChar w:fldCharType="separate"/>
      </w:r>
      <w:r>
        <w:rPr>
          <w:rFonts w:hint="eastAsia" w:ascii="宋体" w:hAnsi="宋体" w:cs="宋体"/>
          <w:sz w:val="28"/>
          <w:szCs w:val="28"/>
        </w:rPr>
        <w:t>75</w:t>
      </w:r>
      <w:r>
        <w:rPr>
          <w:rFonts w:hint="eastAsia" w:ascii="宋体" w:hAnsi="宋体" w:cs="宋体"/>
          <w:sz w:val="28"/>
          <w:szCs w:val="28"/>
        </w:rPr>
        <w:fldChar w:fldCharType="end"/>
      </w:r>
      <w:r>
        <w:rPr>
          <w:rFonts w:hint="eastAsia" w:ascii="宋体" w:hAnsi="宋体" w:cs="宋体"/>
          <w:sz w:val="28"/>
          <w:szCs w:val="28"/>
        </w:rPr>
        <w:fldChar w:fldCharType="end"/>
      </w:r>
    </w:p>
    <w:p w14:paraId="23DE7AD7">
      <w:pPr>
        <w:pStyle w:val="11"/>
        <w:tabs>
          <w:tab w:val="right" w:leader="dot" w:pos="8306"/>
          <w:tab w:val="clear" w:pos="8296"/>
        </w:tabs>
        <w:rPr>
          <w:rFonts w:ascii="宋体" w:hAnsi="宋体" w:cs="宋体"/>
          <w:sz w:val="28"/>
          <w:szCs w:val="28"/>
        </w:rPr>
      </w:pPr>
      <w:r>
        <w:fldChar w:fldCharType="begin"/>
      </w:r>
      <w:r>
        <w:instrText xml:space="preserve"> HYPERLINK \l "_Toc28886" </w:instrText>
      </w:r>
      <w:r>
        <w:fldChar w:fldCharType="separate"/>
      </w:r>
      <w:r>
        <w:rPr>
          <w:rFonts w:hint="eastAsia" w:ascii="宋体" w:hAnsi="宋体" w:cs="宋体"/>
          <w:sz w:val="28"/>
          <w:szCs w:val="28"/>
        </w:rPr>
        <w:t>三、建设生态园林城市</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_Toc28886 \h </w:instrText>
      </w:r>
      <w:r>
        <w:rPr>
          <w:rFonts w:hint="eastAsia" w:ascii="宋体" w:hAnsi="宋体" w:cs="宋体"/>
          <w:sz w:val="28"/>
          <w:szCs w:val="28"/>
        </w:rPr>
        <w:fldChar w:fldCharType="separate"/>
      </w:r>
      <w:r>
        <w:rPr>
          <w:rFonts w:hint="eastAsia" w:ascii="宋体" w:hAnsi="宋体" w:cs="宋体"/>
          <w:sz w:val="28"/>
          <w:szCs w:val="28"/>
        </w:rPr>
        <w:t>77</w:t>
      </w:r>
      <w:r>
        <w:rPr>
          <w:rFonts w:hint="eastAsia" w:ascii="宋体" w:hAnsi="宋体" w:cs="宋体"/>
          <w:sz w:val="28"/>
          <w:szCs w:val="28"/>
        </w:rPr>
        <w:fldChar w:fldCharType="end"/>
      </w:r>
      <w:r>
        <w:rPr>
          <w:rFonts w:hint="eastAsia" w:ascii="宋体" w:hAnsi="宋体" w:cs="宋体"/>
          <w:sz w:val="28"/>
          <w:szCs w:val="28"/>
        </w:rPr>
        <w:fldChar w:fldCharType="end"/>
      </w:r>
    </w:p>
    <w:p w14:paraId="1D7D283D">
      <w:pPr>
        <w:pStyle w:val="11"/>
        <w:tabs>
          <w:tab w:val="right" w:leader="dot" w:pos="8306"/>
          <w:tab w:val="clear" w:pos="8296"/>
        </w:tabs>
        <w:rPr>
          <w:rFonts w:ascii="宋体" w:hAnsi="宋体" w:cs="宋体"/>
          <w:sz w:val="28"/>
          <w:szCs w:val="28"/>
        </w:rPr>
      </w:pPr>
      <w:r>
        <w:fldChar w:fldCharType="begin"/>
      </w:r>
      <w:r>
        <w:instrText xml:space="preserve"> HYPERLINK \l "_Toc20839" </w:instrText>
      </w:r>
      <w:r>
        <w:fldChar w:fldCharType="separate"/>
      </w:r>
      <w:r>
        <w:rPr>
          <w:rFonts w:hint="eastAsia" w:ascii="宋体" w:hAnsi="宋体" w:cs="宋体"/>
          <w:sz w:val="28"/>
          <w:szCs w:val="28"/>
        </w:rPr>
        <w:t>四、推进园林绿化重点工程建设</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_Toc20839 \h </w:instrText>
      </w:r>
      <w:r>
        <w:rPr>
          <w:rFonts w:hint="eastAsia" w:ascii="宋体" w:hAnsi="宋体" w:cs="宋体"/>
          <w:sz w:val="28"/>
          <w:szCs w:val="28"/>
        </w:rPr>
        <w:fldChar w:fldCharType="separate"/>
      </w:r>
      <w:r>
        <w:rPr>
          <w:rFonts w:hint="eastAsia" w:ascii="宋体" w:hAnsi="宋体" w:cs="宋体"/>
          <w:sz w:val="28"/>
          <w:szCs w:val="28"/>
        </w:rPr>
        <w:t>78</w:t>
      </w:r>
      <w:r>
        <w:rPr>
          <w:rFonts w:hint="eastAsia" w:ascii="宋体" w:hAnsi="宋体" w:cs="宋体"/>
          <w:sz w:val="28"/>
          <w:szCs w:val="28"/>
        </w:rPr>
        <w:fldChar w:fldCharType="end"/>
      </w:r>
      <w:r>
        <w:rPr>
          <w:rFonts w:hint="eastAsia" w:ascii="宋体" w:hAnsi="宋体" w:cs="宋体"/>
          <w:sz w:val="28"/>
          <w:szCs w:val="28"/>
        </w:rPr>
        <w:fldChar w:fldCharType="end"/>
      </w:r>
    </w:p>
    <w:p w14:paraId="7D74BE04">
      <w:pPr>
        <w:pStyle w:val="22"/>
        <w:tabs>
          <w:tab w:val="right" w:leader="dot" w:pos="8306"/>
          <w:tab w:val="clear" w:pos="8296"/>
        </w:tabs>
        <w:rPr>
          <w:rFonts w:ascii="宋体" w:hAnsi="宋体" w:cs="宋体"/>
          <w:sz w:val="28"/>
          <w:szCs w:val="28"/>
        </w:rPr>
      </w:pPr>
      <w:r>
        <w:fldChar w:fldCharType="begin"/>
      </w:r>
      <w:r>
        <w:instrText xml:space="preserve"> HYPERLINK \l "_Toc10244" </w:instrText>
      </w:r>
      <w:r>
        <w:fldChar w:fldCharType="separate"/>
      </w:r>
      <w:r>
        <w:rPr>
          <w:rFonts w:hint="eastAsia" w:ascii="宋体" w:hAnsi="宋体" w:cs="宋体"/>
          <w:sz w:val="28"/>
          <w:szCs w:val="28"/>
        </w:rPr>
        <w:t>第二节  实施照明设施提质工程</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_Toc10244 \h </w:instrText>
      </w:r>
      <w:r>
        <w:rPr>
          <w:rFonts w:hint="eastAsia" w:ascii="宋体" w:hAnsi="宋体" w:cs="宋体"/>
          <w:sz w:val="28"/>
          <w:szCs w:val="28"/>
        </w:rPr>
        <w:fldChar w:fldCharType="separate"/>
      </w:r>
      <w:r>
        <w:rPr>
          <w:rFonts w:hint="eastAsia" w:ascii="宋体" w:hAnsi="宋体" w:cs="宋体"/>
          <w:sz w:val="28"/>
          <w:szCs w:val="28"/>
        </w:rPr>
        <w:t>80</w:t>
      </w:r>
      <w:r>
        <w:rPr>
          <w:rFonts w:hint="eastAsia" w:ascii="宋体" w:hAnsi="宋体" w:cs="宋体"/>
          <w:sz w:val="28"/>
          <w:szCs w:val="28"/>
        </w:rPr>
        <w:fldChar w:fldCharType="end"/>
      </w:r>
      <w:r>
        <w:rPr>
          <w:rFonts w:hint="eastAsia" w:ascii="宋体" w:hAnsi="宋体" w:cs="宋体"/>
          <w:sz w:val="28"/>
          <w:szCs w:val="28"/>
        </w:rPr>
        <w:fldChar w:fldCharType="end"/>
      </w:r>
    </w:p>
    <w:p w14:paraId="48C9FEDE">
      <w:pPr>
        <w:pStyle w:val="11"/>
        <w:tabs>
          <w:tab w:val="right" w:leader="dot" w:pos="8306"/>
          <w:tab w:val="clear" w:pos="8296"/>
        </w:tabs>
        <w:rPr>
          <w:rFonts w:ascii="宋体" w:hAnsi="宋体" w:cs="宋体"/>
          <w:sz w:val="28"/>
          <w:szCs w:val="28"/>
        </w:rPr>
      </w:pPr>
      <w:r>
        <w:fldChar w:fldCharType="begin"/>
      </w:r>
      <w:r>
        <w:instrText xml:space="preserve"> HYPERLINK \l "_Toc16817" </w:instrText>
      </w:r>
      <w:r>
        <w:fldChar w:fldCharType="separate"/>
      </w:r>
      <w:r>
        <w:rPr>
          <w:rFonts w:hint="eastAsia" w:ascii="宋体" w:hAnsi="宋体" w:cs="宋体"/>
          <w:sz w:val="28"/>
          <w:szCs w:val="28"/>
        </w:rPr>
        <w:t>一、继续推进绿色照明节能改造工作</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_Toc16817 \h </w:instrText>
      </w:r>
      <w:r>
        <w:rPr>
          <w:rFonts w:hint="eastAsia" w:ascii="宋体" w:hAnsi="宋体" w:cs="宋体"/>
          <w:sz w:val="28"/>
          <w:szCs w:val="28"/>
        </w:rPr>
        <w:fldChar w:fldCharType="separate"/>
      </w:r>
      <w:r>
        <w:rPr>
          <w:rFonts w:hint="eastAsia" w:ascii="宋体" w:hAnsi="宋体" w:cs="宋体"/>
          <w:sz w:val="28"/>
          <w:szCs w:val="28"/>
        </w:rPr>
        <w:t>80</w:t>
      </w:r>
      <w:r>
        <w:rPr>
          <w:rFonts w:hint="eastAsia" w:ascii="宋体" w:hAnsi="宋体" w:cs="宋体"/>
          <w:sz w:val="28"/>
          <w:szCs w:val="28"/>
        </w:rPr>
        <w:fldChar w:fldCharType="end"/>
      </w:r>
      <w:r>
        <w:rPr>
          <w:rFonts w:hint="eastAsia" w:ascii="宋体" w:hAnsi="宋体" w:cs="宋体"/>
          <w:sz w:val="28"/>
          <w:szCs w:val="28"/>
        </w:rPr>
        <w:fldChar w:fldCharType="end"/>
      </w:r>
    </w:p>
    <w:p w14:paraId="6841EB6F">
      <w:pPr>
        <w:pStyle w:val="11"/>
        <w:tabs>
          <w:tab w:val="right" w:leader="dot" w:pos="8306"/>
          <w:tab w:val="clear" w:pos="8296"/>
        </w:tabs>
        <w:rPr>
          <w:rFonts w:ascii="宋体" w:hAnsi="宋体" w:cs="宋体"/>
          <w:sz w:val="28"/>
          <w:szCs w:val="28"/>
        </w:rPr>
      </w:pPr>
      <w:r>
        <w:fldChar w:fldCharType="begin"/>
      </w:r>
      <w:r>
        <w:instrText xml:space="preserve"> HYPERLINK \l "_Toc18640" </w:instrText>
      </w:r>
      <w:r>
        <w:fldChar w:fldCharType="separate"/>
      </w:r>
      <w:r>
        <w:rPr>
          <w:rFonts w:hint="eastAsia" w:ascii="宋体" w:hAnsi="宋体" w:cs="宋体"/>
          <w:sz w:val="28"/>
          <w:szCs w:val="28"/>
        </w:rPr>
        <w:t>二、完成路灯集中控制系统三期建设</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_Toc18640 \h </w:instrText>
      </w:r>
      <w:r>
        <w:rPr>
          <w:rFonts w:hint="eastAsia" w:ascii="宋体" w:hAnsi="宋体" w:cs="宋体"/>
          <w:sz w:val="28"/>
          <w:szCs w:val="28"/>
        </w:rPr>
        <w:fldChar w:fldCharType="separate"/>
      </w:r>
      <w:r>
        <w:rPr>
          <w:rFonts w:hint="eastAsia" w:ascii="宋体" w:hAnsi="宋体" w:cs="宋体"/>
          <w:sz w:val="28"/>
          <w:szCs w:val="28"/>
        </w:rPr>
        <w:t>80</w:t>
      </w:r>
      <w:r>
        <w:rPr>
          <w:rFonts w:hint="eastAsia" w:ascii="宋体" w:hAnsi="宋体" w:cs="宋体"/>
          <w:sz w:val="28"/>
          <w:szCs w:val="28"/>
        </w:rPr>
        <w:fldChar w:fldCharType="end"/>
      </w:r>
      <w:r>
        <w:rPr>
          <w:rFonts w:hint="eastAsia" w:ascii="宋体" w:hAnsi="宋体" w:cs="宋体"/>
          <w:sz w:val="28"/>
          <w:szCs w:val="28"/>
        </w:rPr>
        <w:fldChar w:fldCharType="end"/>
      </w:r>
    </w:p>
    <w:p w14:paraId="591B70C9">
      <w:pPr>
        <w:pStyle w:val="11"/>
        <w:tabs>
          <w:tab w:val="right" w:leader="dot" w:pos="8306"/>
          <w:tab w:val="clear" w:pos="8296"/>
        </w:tabs>
        <w:rPr>
          <w:rFonts w:ascii="宋体" w:hAnsi="宋体" w:cs="宋体"/>
          <w:sz w:val="28"/>
          <w:szCs w:val="28"/>
        </w:rPr>
      </w:pPr>
      <w:r>
        <w:fldChar w:fldCharType="begin"/>
      </w:r>
      <w:r>
        <w:instrText xml:space="preserve"> HYPERLINK \l "_Toc28914" </w:instrText>
      </w:r>
      <w:r>
        <w:fldChar w:fldCharType="separate"/>
      </w:r>
      <w:r>
        <w:rPr>
          <w:rFonts w:hint="eastAsia" w:ascii="宋体" w:hAnsi="宋体" w:cs="宋体"/>
          <w:sz w:val="28"/>
          <w:szCs w:val="28"/>
        </w:rPr>
        <w:t>三、整改城市照明安全隐患项目</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_Toc28914 \h </w:instrText>
      </w:r>
      <w:r>
        <w:rPr>
          <w:rFonts w:hint="eastAsia" w:ascii="宋体" w:hAnsi="宋体" w:cs="宋体"/>
          <w:sz w:val="28"/>
          <w:szCs w:val="28"/>
        </w:rPr>
        <w:fldChar w:fldCharType="separate"/>
      </w:r>
      <w:r>
        <w:rPr>
          <w:rFonts w:hint="eastAsia" w:ascii="宋体" w:hAnsi="宋体" w:cs="宋体"/>
          <w:sz w:val="28"/>
          <w:szCs w:val="28"/>
        </w:rPr>
        <w:t>80</w:t>
      </w:r>
      <w:r>
        <w:rPr>
          <w:rFonts w:hint="eastAsia" w:ascii="宋体" w:hAnsi="宋体" w:cs="宋体"/>
          <w:sz w:val="28"/>
          <w:szCs w:val="28"/>
        </w:rPr>
        <w:fldChar w:fldCharType="end"/>
      </w:r>
      <w:r>
        <w:rPr>
          <w:rFonts w:hint="eastAsia" w:ascii="宋体" w:hAnsi="宋体" w:cs="宋体"/>
          <w:sz w:val="28"/>
          <w:szCs w:val="28"/>
        </w:rPr>
        <w:fldChar w:fldCharType="end"/>
      </w:r>
    </w:p>
    <w:p w14:paraId="4F48B396">
      <w:pPr>
        <w:pStyle w:val="11"/>
        <w:tabs>
          <w:tab w:val="right" w:leader="dot" w:pos="8306"/>
          <w:tab w:val="clear" w:pos="8296"/>
        </w:tabs>
        <w:rPr>
          <w:rFonts w:ascii="宋体" w:hAnsi="宋体" w:cs="宋体"/>
          <w:sz w:val="28"/>
          <w:szCs w:val="28"/>
        </w:rPr>
      </w:pPr>
      <w:r>
        <w:fldChar w:fldCharType="begin"/>
      </w:r>
      <w:r>
        <w:instrText xml:space="preserve"> HYPERLINK \l "_Toc21055" </w:instrText>
      </w:r>
      <w:r>
        <w:fldChar w:fldCharType="separate"/>
      </w:r>
      <w:r>
        <w:rPr>
          <w:rFonts w:hint="eastAsia" w:ascii="宋体" w:hAnsi="宋体" w:cs="宋体"/>
          <w:sz w:val="28"/>
          <w:szCs w:val="28"/>
        </w:rPr>
        <w:t>四、推进城市照明“微亮化”建设</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_Toc21055 \h </w:instrText>
      </w:r>
      <w:r>
        <w:rPr>
          <w:rFonts w:hint="eastAsia" w:ascii="宋体" w:hAnsi="宋体" w:cs="宋体"/>
          <w:sz w:val="28"/>
          <w:szCs w:val="28"/>
        </w:rPr>
        <w:fldChar w:fldCharType="separate"/>
      </w:r>
      <w:r>
        <w:rPr>
          <w:rFonts w:hint="eastAsia" w:ascii="宋体" w:hAnsi="宋体" w:cs="宋体"/>
          <w:sz w:val="28"/>
          <w:szCs w:val="28"/>
        </w:rPr>
        <w:t>81</w:t>
      </w:r>
      <w:r>
        <w:rPr>
          <w:rFonts w:hint="eastAsia" w:ascii="宋体" w:hAnsi="宋体" w:cs="宋体"/>
          <w:sz w:val="28"/>
          <w:szCs w:val="28"/>
        </w:rPr>
        <w:fldChar w:fldCharType="end"/>
      </w:r>
      <w:r>
        <w:rPr>
          <w:rFonts w:hint="eastAsia" w:ascii="宋体" w:hAnsi="宋体" w:cs="宋体"/>
          <w:sz w:val="28"/>
          <w:szCs w:val="28"/>
        </w:rPr>
        <w:fldChar w:fldCharType="end"/>
      </w:r>
    </w:p>
    <w:p w14:paraId="6B8C067E">
      <w:pPr>
        <w:pStyle w:val="22"/>
        <w:tabs>
          <w:tab w:val="right" w:leader="dot" w:pos="8306"/>
          <w:tab w:val="clear" w:pos="8296"/>
        </w:tabs>
        <w:rPr>
          <w:rFonts w:ascii="宋体" w:hAnsi="宋体" w:cs="宋体"/>
          <w:sz w:val="28"/>
          <w:szCs w:val="28"/>
        </w:rPr>
      </w:pPr>
      <w:r>
        <w:fldChar w:fldCharType="begin"/>
      </w:r>
      <w:r>
        <w:instrText xml:space="preserve"> HYPERLINK \l "_Toc10925" </w:instrText>
      </w:r>
      <w:r>
        <w:fldChar w:fldCharType="separate"/>
      </w:r>
      <w:r>
        <w:rPr>
          <w:rFonts w:hint="eastAsia" w:ascii="宋体" w:hAnsi="宋体" w:cs="宋体"/>
          <w:sz w:val="28"/>
          <w:szCs w:val="28"/>
        </w:rPr>
        <w:t>第三节  实施燃气可持续发展工程</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_Toc10925 \h </w:instrText>
      </w:r>
      <w:r>
        <w:rPr>
          <w:rFonts w:hint="eastAsia" w:ascii="宋体" w:hAnsi="宋体" w:cs="宋体"/>
          <w:sz w:val="28"/>
          <w:szCs w:val="28"/>
        </w:rPr>
        <w:fldChar w:fldCharType="separate"/>
      </w:r>
      <w:r>
        <w:rPr>
          <w:rFonts w:hint="eastAsia" w:ascii="宋体" w:hAnsi="宋体" w:cs="宋体"/>
          <w:sz w:val="28"/>
          <w:szCs w:val="28"/>
        </w:rPr>
        <w:t>81</w:t>
      </w:r>
      <w:r>
        <w:rPr>
          <w:rFonts w:hint="eastAsia" w:ascii="宋体" w:hAnsi="宋体" w:cs="宋体"/>
          <w:sz w:val="28"/>
          <w:szCs w:val="28"/>
        </w:rPr>
        <w:fldChar w:fldCharType="end"/>
      </w:r>
      <w:r>
        <w:rPr>
          <w:rFonts w:hint="eastAsia" w:ascii="宋体" w:hAnsi="宋体" w:cs="宋体"/>
          <w:sz w:val="28"/>
          <w:szCs w:val="28"/>
        </w:rPr>
        <w:fldChar w:fldCharType="end"/>
      </w:r>
    </w:p>
    <w:p w14:paraId="2400BE0A">
      <w:pPr>
        <w:pStyle w:val="11"/>
        <w:tabs>
          <w:tab w:val="right" w:leader="dot" w:pos="8306"/>
          <w:tab w:val="clear" w:pos="8296"/>
        </w:tabs>
        <w:rPr>
          <w:rFonts w:ascii="宋体" w:hAnsi="宋体" w:cs="宋体"/>
          <w:sz w:val="28"/>
          <w:szCs w:val="28"/>
        </w:rPr>
      </w:pPr>
      <w:r>
        <w:fldChar w:fldCharType="begin"/>
      </w:r>
      <w:r>
        <w:instrText xml:space="preserve"> HYPERLINK \l "_Toc20498" </w:instrText>
      </w:r>
      <w:r>
        <w:fldChar w:fldCharType="separate"/>
      </w:r>
      <w:r>
        <w:rPr>
          <w:rFonts w:hint="eastAsia" w:ascii="宋体" w:hAnsi="宋体" w:cs="宋体"/>
          <w:sz w:val="28"/>
          <w:szCs w:val="28"/>
        </w:rPr>
        <w:t>一、构建燃气稳定供给体系</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_Toc20498 \h </w:instrText>
      </w:r>
      <w:r>
        <w:rPr>
          <w:rFonts w:hint="eastAsia" w:ascii="宋体" w:hAnsi="宋体" w:cs="宋体"/>
          <w:sz w:val="28"/>
          <w:szCs w:val="28"/>
        </w:rPr>
        <w:fldChar w:fldCharType="separate"/>
      </w:r>
      <w:r>
        <w:rPr>
          <w:rFonts w:hint="eastAsia" w:ascii="宋体" w:hAnsi="宋体" w:cs="宋体"/>
          <w:sz w:val="28"/>
          <w:szCs w:val="28"/>
        </w:rPr>
        <w:t>81</w:t>
      </w:r>
      <w:r>
        <w:rPr>
          <w:rFonts w:hint="eastAsia" w:ascii="宋体" w:hAnsi="宋体" w:cs="宋体"/>
          <w:sz w:val="28"/>
          <w:szCs w:val="28"/>
        </w:rPr>
        <w:fldChar w:fldCharType="end"/>
      </w:r>
      <w:r>
        <w:rPr>
          <w:rFonts w:hint="eastAsia" w:ascii="宋体" w:hAnsi="宋体" w:cs="宋体"/>
          <w:sz w:val="28"/>
          <w:szCs w:val="28"/>
        </w:rPr>
        <w:fldChar w:fldCharType="end"/>
      </w:r>
    </w:p>
    <w:p w14:paraId="33B763C0">
      <w:pPr>
        <w:pStyle w:val="11"/>
        <w:tabs>
          <w:tab w:val="right" w:leader="dot" w:pos="8306"/>
          <w:tab w:val="clear" w:pos="8296"/>
        </w:tabs>
        <w:rPr>
          <w:rFonts w:ascii="宋体" w:hAnsi="宋体" w:cs="宋体"/>
          <w:sz w:val="28"/>
          <w:szCs w:val="28"/>
        </w:rPr>
      </w:pPr>
      <w:r>
        <w:fldChar w:fldCharType="begin"/>
      </w:r>
      <w:r>
        <w:instrText xml:space="preserve"> HYPERLINK \l "_Toc10435" </w:instrText>
      </w:r>
      <w:r>
        <w:fldChar w:fldCharType="separate"/>
      </w:r>
      <w:r>
        <w:rPr>
          <w:rFonts w:hint="eastAsia" w:ascii="宋体" w:hAnsi="宋体" w:cs="宋体"/>
          <w:sz w:val="28"/>
          <w:szCs w:val="28"/>
        </w:rPr>
        <w:t>二、构建地下燃气管线数据信息化平台</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_Toc10435 \h </w:instrText>
      </w:r>
      <w:r>
        <w:rPr>
          <w:rFonts w:hint="eastAsia" w:ascii="宋体" w:hAnsi="宋体" w:cs="宋体"/>
          <w:sz w:val="28"/>
          <w:szCs w:val="28"/>
        </w:rPr>
        <w:fldChar w:fldCharType="separate"/>
      </w:r>
      <w:r>
        <w:rPr>
          <w:rFonts w:hint="eastAsia" w:ascii="宋体" w:hAnsi="宋体" w:cs="宋体"/>
          <w:sz w:val="28"/>
          <w:szCs w:val="28"/>
        </w:rPr>
        <w:t>82</w:t>
      </w:r>
      <w:r>
        <w:rPr>
          <w:rFonts w:hint="eastAsia" w:ascii="宋体" w:hAnsi="宋体" w:cs="宋体"/>
          <w:sz w:val="28"/>
          <w:szCs w:val="28"/>
        </w:rPr>
        <w:fldChar w:fldCharType="end"/>
      </w:r>
      <w:r>
        <w:rPr>
          <w:rFonts w:hint="eastAsia" w:ascii="宋体" w:hAnsi="宋体" w:cs="宋体"/>
          <w:sz w:val="28"/>
          <w:szCs w:val="28"/>
        </w:rPr>
        <w:fldChar w:fldCharType="end"/>
      </w:r>
    </w:p>
    <w:p w14:paraId="4855C3B7">
      <w:pPr>
        <w:pStyle w:val="11"/>
        <w:tabs>
          <w:tab w:val="right" w:leader="dot" w:pos="8306"/>
          <w:tab w:val="clear" w:pos="8296"/>
        </w:tabs>
        <w:rPr>
          <w:rFonts w:ascii="宋体" w:hAnsi="宋体" w:cs="宋体"/>
          <w:sz w:val="28"/>
          <w:szCs w:val="28"/>
        </w:rPr>
      </w:pPr>
      <w:r>
        <w:fldChar w:fldCharType="begin"/>
      </w:r>
      <w:r>
        <w:instrText xml:space="preserve"> HYPERLINK \l "_Toc1349" </w:instrText>
      </w:r>
      <w:r>
        <w:fldChar w:fldCharType="separate"/>
      </w:r>
      <w:r>
        <w:rPr>
          <w:rFonts w:hint="eastAsia" w:ascii="宋体" w:hAnsi="宋体" w:cs="宋体"/>
          <w:sz w:val="28"/>
          <w:szCs w:val="28"/>
        </w:rPr>
        <w:t>三、拓展天然气市场份额</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_Toc1349 \h </w:instrText>
      </w:r>
      <w:r>
        <w:rPr>
          <w:rFonts w:hint="eastAsia" w:ascii="宋体" w:hAnsi="宋体" w:cs="宋体"/>
          <w:sz w:val="28"/>
          <w:szCs w:val="28"/>
        </w:rPr>
        <w:fldChar w:fldCharType="separate"/>
      </w:r>
      <w:r>
        <w:rPr>
          <w:rFonts w:hint="eastAsia" w:ascii="宋体" w:hAnsi="宋体" w:cs="宋体"/>
          <w:sz w:val="28"/>
          <w:szCs w:val="28"/>
        </w:rPr>
        <w:t>82</w:t>
      </w:r>
      <w:r>
        <w:rPr>
          <w:rFonts w:hint="eastAsia" w:ascii="宋体" w:hAnsi="宋体" w:cs="宋体"/>
          <w:sz w:val="28"/>
          <w:szCs w:val="28"/>
        </w:rPr>
        <w:fldChar w:fldCharType="end"/>
      </w:r>
      <w:r>
        <w:rPr>
          <w:rFonts w:hint="eastAsia" w:ascii="宋体" w:hAnsi="宋体" w:cs="宋体"/>
          <w:sz w:val="28"/>
          <w:szCs w:val="28"/>
        </w:rPr>
        <w:fldChar w:fldCharType="end"/>
      </w:r>
    </w:p>
    <w:p w14:paraId="2554B8BB">
      <w:pPr>
        <w:pStyle w:val="11"/>
        <w:tabs>
          <w:tab w:val="right" w:leader="dot" w:pos="8306"/>
          <w:tab w:val="clear" w:pos="8296"/>
        </w:tabs>
        <w:rPr>
          <w:rFonts w:ascii="宋体" w:hAnsi="宋体" w:cs="宋体"/>
          <w:sz w:val="28"/>
          <w:szCs w:val="28"/>
        </w:rPr>
      </w:pPr>
      <w:r>
        <w:fldChar w:fldCharType="begin"/>
      </w:r>
      <w:r>
        <w:instrText xml:space="preserve"> HYPERLINK \l "_Toc14448" </w:instrText>
      </w:r>
      <w:r>
        <w:fldChar w:fldCharType="separate"/>
      </w:r>
      <w:r>
        <w:rPr>
          <w:rFonts w:hint="eastAsia" w:ascii="宋体" w:hAnsi="宋体" w:cs="宋体"/>
          <w:sz w:val="28"/>
          <w:szCs w:val="28"/>
        </w:rPr>
        <w:t>四、推进分布式能源项目建设</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_Toc14448 \h </w:instrText>
      </w:r>
      <w:r>
        <w:rPr>
          <w:rFonts w:hint="eastAsia" w:ascii="宋体" w:hAnsi="宋体" w:cs="宋体"/>
          <w:sz w:val="28"/>
          <w:szCs w:val="28"/>
        </w:rPr>
        <w:fldChar w:fldCharType="separate"/>
      </w:r>
      <w:r>
        <w:rPr>
          <w:rFonts w:hint="eastAsia" w:ascii="宋体" w:hAnsi="宋体" w:cs="宋体"/>
          <w:sz w:val="28"/>
          <w:szCs w:val="28"/>
        </w:rPr>
        <w:t>82</w:t>
      </w:r>
      <w:r>
        <w:rPr>
          <w:rFonts w:hint="eastAsia" w:ascii="宋体" w:hAnsi="宋体" w:cs="宋体"/>
          <w:sz w:val="28"/>
          <w:szCs w:val="28"/>
        </w:rPr>
        <w:fldChar w:fldCharType="end"/>
      </w:r>
      <w:r>
        <w:rPr>
          <w:rFonts w:hint="eastAsia" w:ascii="宋体" w:hAnsi="宋体" w:cs="宋体"/>
          <w:sz w:val="28"/>
          <w:szCs w:val="28"/>
        </w:rPr>
        <w:fldChar w:fldCharType="end"/>
      </w:r>
    </w:p>
    <w:p w14:paraId="6C844B63">
      <w:pPr>
        <w:pStyle w:val="11"/>
        <w:tabs>
          <w:tab w:val="right" w:leader="dot" w:pos="8306"/>
          <w:tab w:val="clear" w:pos="8296"/>
        </w:tabs>
        <w:rPr>
          <w:rFonts w:ascii="宋体" w:hAnsi="宋体" w:cs="宋体"/>
          <w:sz w:val="28"/>
          <w:szCs w:val="28"/>
        </w:rPr>
      </w:pPr>
      <w:r>
        <w:fldChar w:fldCharType="begin"/>
      </w:r>
      <w:r>
        <w:instrText xml:space="preserve"> HYPERLINK \l "_Toc3976" </w:instrText>
      </w:r>
      <w:r>
        <w:fldChar w:fldCharType="separate"/>
      </w:r>
      <w:r>
        <w:rPr>
          <w:rFonts w:hint="eastAsia" w:ascii="宋体" w:hAnsi="宋体" w:cs="宋体"/>
          <w:sz w:val="28"/>
          <w:szCs w:val="28"/>
        </w:rPr>
        <w:t>五、完成燃气工程建设任务</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_Toc3976 \h </w:instrText>
      </w:r>
      <w:r>
        <w:rPr>
          <w:rFonts w:hint="eastAsia" w:ascii="宋体" w:hAnsi="宋体" w:cs="宋体"/>
          <w:sz w:val="28"/>
          <w:szCs w:val="28"/>
        </w:rPr>
        <w:fldChar w:fldCharType="separate"/>
      </w:r>
      <w:r>
        <w:rPr>
          <w:rFonts w:hint="eastAsia" w:ascii="宋体" w:hAnsi="宋体" w:cs="宋体"/>
          <w:sz w:val="28"/>
          <w:szCs w:val="28"/>
        </w:rPr>
        <w:t>82</w:t>
      </w:r>
      <w:r>
        <w:rPr>
          <w:rFonts w:hint="eastAsia" w:ascii="宋体" w:hAnsi="宋体" w:cs="宋体"/>
          <w:sz w:val="28"/>
          <w:szCs w:val="28"/>
        </w:rPr>
        <w:fldChar w:fldCharType="end"/>
      </w:r>
      <w:r>
        <w:rPr>
          <w:rFonts w:hint="eastAsia" w:ascii="宋体" w:hAnsi="宋体" w:cs="宋体"/>
          <w:sz w:val="28"/>
          <w:szCs w:val="28"/>
        </w:rPr>
        <w:fldChar w:fldCharType="end"/>
      </w:r>
    </w:p>
    <w:p w14:paraId="7D38FBE8">
      <w:pPr>
        <w:pStyle w:val="11"/>
        <w:tabs>
          <w:tab w:val="right" w:leader="dot" w:pos="8306"/>
          <w:tab w:val="clear" w:pos="8296"/>
        </w:tabs>
        <w:rPr>
          <w:rFonts w:ascii="宋体" w:hAnsi="宋体" w:cs="宋体"/>
          <w:sz w:val="28"/>
          <w:szCs w:val="28"/>
        </w:rPr>
      </w:pPr>
      <w:r>
        <w:fldChar w:fldCharType="begin"/>
      </w:r>
      <w:r>
        <w:instrText xml:space="preserve"> HYPERLINK \l "_Toc6250" </w:instrText>
      </w:r>
      <w:r>
        <w:fldChar w:fldCharType="separate"/>
      </w:r>
      <w:r>
        <w:rPr>
          <w:rFonts w:hint="eastAsia" w:ascii="宋体" w:hAnsi="宋体" w:cs="宋体"/>
          <w:sz w:val="28"/>
          <w:szCs w:val="28"/>
        </w:rPr>
        <w:t>六、完成人口密集区燃气场站搬迁工作</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_Toc6250 \h </w:instrText>
      </w:r>
      <w:r>
        <w:rPr>
          <w:rFonts w:hint="eastAsia" w:ascii="宋体" w:hAnsi="宋体" w:cs="宋体"/>
          <w:sz w:val="28"/>
          <w:szCs w:val="28"/>
        </w:rPr>
        <w:fldChar w:fldCharType="separate"/>
      </w:r>
      <w:r>
        <w:rPr>
          <w:rFonts w:hint="eastAsia" w:ascii="宋体" w:hAnsi="宋体" w:cs="宋体"/>
          <w:sz w:val="28"/>
          <w:szCs w:val="28"/>
        </w:rPr>
        <w:t>83</w:t>
      </w:r>
      <w:r>
        <w:rPr>
          <w:rFonts w:hint="eastAsia" w:ascii="宋体" w:hAnsi="宋体" w:cs="宋体"/>
          <w:sz w:val="28"/>
          <w:szCs w:val="28"/>
        </w:rPr>
        <w:fldChar w:fldCharType="end"/>
      </w:r>
      <w:r>
        <w:rPr>
          <w:rFonts w:hint="eastAsia" w:ascii="宋体" w:hAnsi="宋体" w:cs="宋体"/>
          <w:sz w:val="28"/>
          <w:szCs w:val="28"/>
        </w:rPr>
        <w:fldChar w:fldCharType="end"/>
      </w:r>
    </w:p>
    <w:p w14:paraId="118466A9">
      <w:pPr>
        <w:pStyle w:val="11"/>
        <w:tabs>
          <w:tab w:val="right" w:leader="dot" w:pos="8306"/>
          <w:tab w:val="clear" w:pos="8296"/>
        </w:tabs>
        <w:rPr>
          <w:rFonts w:ascii="宋体" w:hAnsi="宋体" w:cs="宋体"/>
          <w:sz w:val="28"/>
          <w:szCs w:val="28"/>
        </w:rPr>
      </w:pPr>
      <w:r>
        <w:fldChar w:fldCharType="begin"/>
      </w:r>
      <w:r>
        <w:instrText xml:space="preserve"> HYPERLINK \l "_Toc29557" </w:instrText>
      </w:r>
      <w:r>
        <w:fldChar w:fldCharType="separate"/>
      </w:r>
      <w:r>
        <w:rPr>
          <w:rFonts w:hint="eastAsia" w:ascii="宋体" w:hAnsi="宋体" w:cs="宋体"/>
          <w:sz w:val="28"/>
          <w:szCs w:val="28"/>
        </w:rPr>
        <w:t>七、推动《湘潭市城镇燃气管理条例》出台</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_Toc29557 \h </w:instrText>
      </w:r>
      <w:r>
        <w:rPr>
          <w:rFonts w:hint="eastAsia" w:ascii="宋体" w:hAnsi="宋体" w:cs="宋体"/>
          <w:sz w:val="28"/>
          <w:szCs w:val="28"/>
        </w:rPr>
        <w:fldChar w:fldCharType="separate"/>
      </w:r>
      <w:r>
        <w:rPr>
          <w:rFonts w:hint="eastAsia" w:ascii="宋体" w:hAnsi="宋体" w:cs="宋体"/>
          <w:sz w:val="28"/>
          <w:szCs w:val="28"/>
        </w:rPr>
        <w:t>83</w:t>
      </w:r>
      <w:r>
        <w:rPr>
          <w:rFonts w:hint="eastAsia" w:ascii="宋体" w:hAnsi="宋体" w:cs="宋体"/>
          <w:sz w:val="28"/>
          <w:szCs w:val="28"/>
        </w:rPr>
        <w:fldChar w:fldCharType="end"/>
      </w:r>
      <w:r>
        <w:rPr>
          <w:rFonts w:hint="eastAsia" w:ascii="宋体" w:hAnsi="宋体" w:cs="宋体"/>
          <w:sz w:val="28"/>
          <w:szCs w:val="28"/>
        </w:rPr>
        <w:fldChar w:fldCharType="end"/>
      </w:r>
    </w:p>
    <w:p w14:paraId="26BF9FB7">
      <w:pPr>
        <w:pStyle w:val="22"/>
        <w:tabs>
          <w:tab w:val="right" w:leader="dot" w:pos="8306"/>
          <w:tab w:val="clear" w:pos="8296"/>
        </w:tabs>
        <w:rPr>
          <w:rFonts w:ascii="宋体" w:hAnsi="宋体" w:cs="宋体"/>
          <w:sz w:val="28"/>
          <w:szCs w:val="28"/>
        </w:rPr>
      </w:pPr>
      <w:r>
        <w:fldChar w:fldCharType="begin"/>
      </w:r>
      <w:r>
        <w:instrText xml:space="preserve"> HYPERLINK \l "_Toc24753" </w:instrText>
      </w:r>
      <w:r>
        <w:fldChar w:fldCharType="separate"/>
      </w:r>
      <w:r>
        <w:rPr>
          <w:rFonts w:hint="eastAsia" w:ascii="宋体" w:hAnsi="宋体" w:cs="宋体"/>
          <w:sz w:val="28"/>
          <w:szCs w:val="28"/>
        </w:rPr>
        <w:t>第四节  发展步行与自行车交通</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_Toc24753 \h </w:instrText>
      </w:r>
      <w:r>
        <w:rPr>
          <w:rFonts w:hint="eastAsia" w:ascii="宋体" w:hAnsi="宋体" w:cs="宋体"/>
          <w:sz w:val="28"/>
          <w:szCs w:val="28"/>
        </w:rPr>
        <w:fldChar w:fldCharType="separate"/>
      </w:r>
      <w:r>
        <w:rPr>
          <w:rFonts w:hint="eastAsia" w:ascii="宋体" w:hAnsi="宋体" w:cs="宋体"/>
          <w:sz w:val="28"/>
          <w:szCs w:val="28"/>
        </w:rPr>
        <w:t>83</w:t>
      </w:r>
      <w:r>
        <w:rPr>
          <w:rFonts w:hint="eastAsia" w:ascii="宋体" w:hAnsi="宋体" w:cs="宋体"/>
          <w:sz w:val="28"/>
          <w:szCs w:val="28"/>
        </w:rPr>
        <w:fldChar w:fldCharType="end"/>
      </w:r>
      <w:r>
        <w:rPr>
          <w:rFonts w:hint="eastAsia" w:ascii="宋体" w:hAnsi="宋体" w:cs="宋体"/>
          <w:sz w:val="28"/>
          <w:szCs w:val="28"/>
        </w:rPr>
        <w:fldChar w:fldCharType="end"/>
      </w:r>
    </w:p>
    <w:p w14:paraId="541B3E36">
      <w:pPr>
        <w:pStyle w:val="11"/>
        <w:tabs>
          <w:tab w:val="right" w:leader="dot" w:pos="8306"/>
          <w:tab w:val="clear" w:pos="8296"/>
        </w:tabs>
        <w:rPr>
          <w:rFonts w:ascii="宋体" w:hAnsi="宋体" w:cs="宋体"/>
          <w:sz w:val="28"/>
          <w:szCs w:val="28"/>
        </w:rPr>
      </w:pPr>
      <w:r>
        <w:fldChar w:fldCharType="begin"/>
      </w:r>
      <w:r>
        <w:instrText xml:space="preserve"> HYPERLINK \l "_Toc16278" </w:instrText>
      </w:r>
      <w:r>
        <w:fldChar w:fldCharType="separate"/>
      </w:r>
      <w:r>
        <w:rPr>
          <w:rFonts w:hint="eastAsia" w:ascii="宋体" w:hAnsi="宋体" w:cs="宋体"/>
          <w:sz w:val="28"/>
          <w:szCs w:val="28"/>
        </w:rPr>
        <w:t>一、优化步行交通系统</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_Toc16278 \h </w:instrText>
      </w:r>
      <w:r>
        <w:rPr>
          <w:rFonts w:hint="eastAsia" w:ascii="宋体" w:hAnsi="宋体" w:cs="宋体"/>
          <w:sz w:val="28"/>
          <w:szCs w:val="28"/>
        </w:rPr>
        <w:fldChar w:fldCharType="separate"/>
      </w:r>
      <w:r>
        <w:rPr>
          <w:rFonts w:hint="eastAsia" w:ascii="宋体" w:hAnsi="宋体" w:cs="宋体"/>
          <w:sz w:val="28"/>
          <w:szCs w:val="28"/>
        </w:rPr>
        <w:t>83</w:t>
      </w:r>
      <w:r>
        <w:rPr>
          <w:rFonts w:hint="eastAsia" w:ascii="宋体" w:hAnsi="宋体" w:cs="宋体"/>
          <w:sz w:val="28"/>
          <w:szCs w:val="28"/>
        </w:rPr>
        <w:fldChar w:fldCharType="end"/>
      </w:r>
      <w:r>
        <w:rPr>
          <w:rFonts w:hint="eastAsia" w:ascii="宋体" w:hAnsi="宋体" w:cs="宋体"/>
          <w:sz w:val="28"/>
          <w:szCs w:val="28"/>
        </w:rPr>
        <w:fldChar w:fldCharType="end"/>
      </w:r>
    </w:p>
    <w:p w14:paraId="2CA1E620">
      <w:pPr>
        <w:pStyle w:val="11"/>
        <w:tabs>
          <w:tab w:val="right" w:leader="dot" w:pos="8306"/>
          <w:tab w:val="clear" w:pos="8296"/>
        </w:tabs>
        <w:rPr>
          <w:rFonts w:ascii="宋体" w:hAnsi="宋体" w:cs="宋体"/>
          <w:sz w:val="28"/>
          <w:szCs w:val="28"/>
        </w:rPr>
      </w:pPr>
      <w:r>
        <w:fldChar w:fldCharType="begin"/>
      </w:r>
      <w:r>
        <w:instrText xml:space="preserve"> HYPERLINK \l "_Toc2570" </w:instrText>
      </w:r>
      <w:r>
        <w:fldChar w:fldCharType="separate"/>
      </w:r>
      <w:r>
        <w:rPr>
          <w:rFonts w:hint="eastAsia" w:ascii="宋体" w:hAnsi="宋体" w:cs="宋体"/>
          <w:sz w:val="28"/>
          <w:szCs w:val="28"/>
        </w:rPr>
        <w:t>二、完善自行车交通系统</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_Toc2570 \h </w:instrText>
      </w:r>
      <w:r>
        <w:rPr>
          <w:rFonts w:hint="eastAsia" w:ascii="宋体" w:hAnsi="宋体" w:cs="宋体"/>
          <w:sz w:val="28"/>
          <w:szCs w:val="28"/>
        </w:rPr>
        <w:fldChar w:fldCharType="separate"/>
      </w:r>
      <w:r>
        <w:rPr>
          <w:rFonts w:hint="eastAsia" w:ascii="宋体" w:hAnsi="宋体" w:cs="宋体"/>
          <w:sz w:val="28"/>
          <w:szCs w:val="28"/>
        </w:rPr>
        <w:t>84</w:t>
      </w:r>
      <w:r>
        <w:rPr>
          <w:rFonts w:hint="eastAsia" w:ascii="宋体" w:hAnsi="宋体" w:cs="宋体"/>
          <w:sz w:val="28"/>
          <w:szCs w:val="28"/>
        </w:rPr>
        <w:fldChar w:fldCharType="end"/>
      </w:r>
      <w:r>
        <w:rPr>
          <w:rFonts w:hint="eastAsia" w:ascii="宋体" w:hAnsi="宋体" w:cs="宋体"/>
          <w:sz w:val="28"/>
          <w:szCs w:val="28"/>
        </w:rPr>
        <w:fldChar w:fldCharType="end"/>
      </w:r>
    </w:p>
    <w:p w14:paraId="37A2F329">
      <w:pPr>
        <w:pStyle w:val="22"/>
        <w:tabs>
          <w:tab w:val="right" w:leader="dot" w:pos="8306"/>
          <w:tab w:val="clear" w:pos="8296"/>
        </w:tabs>
        <w:rPr>
          <w:rFonts w:ascii="宋体" w:hAnsi="宋体" w:cs="宋体"/>
          <w:sz w:val="28"/>
          <w:szCs w:val="28"/>
        </w:rPr>
      </w:pPr>
      <w:r>
        <w:fldChar w:fldCharType="begin"/>
      </w:r>
      <w:r>
        <w:instrText xml:space="preserve"> HYPERLINK \l "_Toc9334" </w:instrText>
      </w:r>
      <w:r>
        <w:fldChar w:fldCharType="separate"/>
      </w:r>
      <w:r>
        <w:rPr>
          <w:rFonts w:hint="eastAsia" w:ascii="宋体" w:hAnsi="宋体" w:cs="宋体"/>
          <w:sz w:val="28"/>
          <w:szCs w:val="28"/>
        </w:rPr>
        <w:t>第五节  全面完善停车设施</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_Toc9334 \h </w:instrText>
      </w:r>
      <w:r>
        <w:rPr>
          <w:rFonts w:hint="eastAsia" w:ascii="宋体" w:hAnsi="宋体" w:cs="宋体"/>
          <w:sz w:val="28"/>
          <w:szCs w:val="28"/>
        </w:rPr>
        <w:fldChar w:fldCharType="separate"/>
      </w:r>
      <w:r>
        <w:rPr>
          <w:rFonts w:hint="eastAsia" w:ascii="宋体" w:hAnsi="宋体" w:cs="宋体"/>
          <w:sz w:val="28"/>
          <w:szCs w:val="28"/>
        </w:rPr>
        <w:t>84</w:t>
      </w:r>
      <w:r>
        <w:rPr>
          <w:rFonts w:hint="eastAsia" w:ascii="宋体" w:hAnsi="宋体" w:cs="宋体"/>
          <w:sz w:val="28"/>
          <w:szCs w:val="28"/>
        </w:rPr>
        <w:fldChar w:fldCharType="end"/>
      </w:r>
      <w:r>
        <w:rPr>
          <w:rFonts w:hint="eastAsia" w:ascii="宋体" w:hAnsi="宋体" w:cs="宋体"/>
          <w:sz w:val="28"/>
          <w:szCs w:val="28"/>
        </w:rPr>
        <w:fldChar w:fldCharType="end"/>
      </w:r>
    </w:p>
    <w:p w14:paraId="5D5AC983">
      <w:pPr>
        <w:pStyle w:val="11"/>
        <w:tabs>
          <w:tab w:val="right" w:leader="dot" w:pos="8306"/>
          <w:tab w:val="clear" w:pos="8296"/>
        </w:tabs>
        <w:rPr>
          <w:rFonts w:ascii="宋体" w:hAnsi="宋体" w:cs="宋体"/>
          <w:sz w:val="28"/>
          <w:szCs w:val="28"/>
        </w:rPr>
      </w:pPr>
      <w:r>
        <w:fldChar w:fldCharType="begin"/>
      </w:r>
      <w:r>
        <w:instrText xml:space="preserve"> HYPERLINK \l "_Toc6726" </w:instrText>
      </w:r>
      <w:r>
        <w:fldChar w:fldCharType="separate"/>
      </w:r>
      <w:r>
        <w:rPr>
          <w:rFonts w:hint="eastAsia" w:ascii="宋体" w:hAnsi="宋体" w:cs="宋体"/>
          <w:sz w:val="28"/>
          <w:szCs w:val="28"/>
        </w:rPr>
        <w:t>一、加快停车场（位）建设</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_Toc6726 \h </w:instrText>
      </w:r>
      <w:r>
        <w:rPr>
          <w:rFonts w:hint="eastAsia" w:ascii="宋体" w:hAnsi="宋体" w:cs="宋体"/>
          <w:sz w:val="28"/>
          <w:szCs w:val="28"/>
        </w:rPr>
        <w:fldChar w:fldCharType="separate"/>
      </w:r>
      <w:r>
        <w:rPr>
          <w:rFonts w:hint="eastAsia" w:ascii="宋体" w:hAnsi="宋体" w:cs="宋体"/>
          <w:sz w:val="28"/>
          <w:szCs w:val="28"/>
        </w:rPr>
        <w:t>84</w:t>
      </w:r>
      <w:r>
        <w:rPr>
          <w:rFonts w:hint="eastAsia" w:ascii="宋体" w:hAnsi="宋体" w:cs="宋体"/>
          <w:sz w:val="28"/>
          <w:szCs w:val="28"/>
        </w:rPr>
        <w:fldChar w:fldCharType="end"/>
      </w:r>
      <w:r>
        <w:rPr>
          <w:rFonts w:hint="eastAsia" w:ascii="宋体" w:hAnsi="宋体" w:cs="宋体"/>
          <w:sz w:val="28"/>
          <w:szCs w:val="28"/>
        </w:rPr>
        <w:fldChar w:fldCharType="end"/>
      </w:r>
    </w:p>
    <w:p w14:paraId="677CD151">
      <w:pPr>
        <w:pStyle w:val="11"/>
        <w:tabs>
          <w:tab w:val="right" w:leader="dot" w:pos="8306"/>
          <w:tab w:val="clear" w:pos="8296"/>
        </w:tabs>
        <w:rPr>
          <w:rFonts w:ascii="宋体" w:hAnsi="宋体" w:cs="宋体"/>
          <w:sz w:val="28"/>
          <w:szCs w:val="28"/>
        </w:rPr>
      </w:pPr>
      <w:r>
        <w:fldChar w:fldCharType="begin"/>
      </w:r>
      <w:r>
        <w:instrText xml:space="preserve"> HYPERLINK \l "_Toc4686" </w:instrText>
      </w:r>
      <w:r>
        <w:fldChar w:fldCharType="separate"/>
      </w:r>
      <w:r>
        <w:rPr>
          <w:rFonts w:hint="eastAsia" w:ascii="宋体" w:hAnsi="宋体" w:cs="宋体"/>
          <w:sz w:val="28"/>
          <w:szCs w:val="28"/>
        </w:rPr>
        <w:t>二、建立停车设施有偿使用机制</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_Toc4686 \h </w:instrText>
      </w:r>
      <w:r>
        <w:rPr>
          <w:rFonts w:hint="eastAsia" w:ascii="宋体" w:hAnsi="宋体" w:cs="宋体"/>
          <w:sz w:val="28"/>
          <w:szCs w:val="28"/>
        </w:rPr>
        <w:fldChar w:fldCharType="separate"/>
      </w:r>
      <w:r>
        <w:rPr>
          <w:rFonts w:hint="eastAsia" w:ascii="宋体" w:hAnsi="宋体" w:cs="宋体"/>
          <w:sz w:val="28"/>
          <w:szCs w:val="28"/>
        </w:rPr>
        <w:t>85</w:t>
      </w:r>
      <w:r>
        <w:rPr>
          <w:rFonts w:hint="eastAsia" w:ascii="宋体" w:hAnsi="宋体" w:cs="宋体"/>
          <w:sz w:val="28"/>
          <w:szCs w:val="28"/>
        </w:rPr>
        <w:fldChar w:fldCharType="end"/>
      </w:r>
      <w:r>
        <w:rPr>
          <w:rFonts w:hint="eastAsia" w:ascii="宋体" w:hAnsi="宋体" w:cs="宋体"/>
          <w:sz w:val="28"/>
          <w:szCs w:val="28"/>
        </w:rPr>
        <w:fldChar w:fldCharType="end"/>
      </w:r>
    </w:p>
    <w:p w14:paraId="148B7801">
      <w:pPr>
        <w:pStyle w:val="11"/>
        <w:tabs>
          <w:tab w:val="right" w:leader="dot" w:pos="8306"/>
          <w:tab w:val="clear" w:pos="8296"/>
        </w:tabs>
        <w:rPr>
          <w:rFonts w:ascii="宋体" w:hAnsi="宋体" w:cs="宋体"/>
          <w:sz w:val="28"/>
          <w:szCs w:val="28"/>
        </w:rPr>
      </w:pPr>
      <w:r>
        <w:fldChar w:fldCharType="begin"/>
      </w:r>
      <w:r>
        <w:instrText xml:space="preserve"> HYPERLINK \l "_Toc25531" </w:instrText>
      </w:r>
      <w:r>
        <w:fldChar w:fldCharType="separate"/>
      </w:r>
      <w:r>
        <w:rPr>
          <w:rFonts w:hint="eastAsia" w:ascii="宋体" w:hAnsi="宋体" w:cs="宋体"/>
          <w:sz w:val="28"/>
          <w:szCs w:val="28"/>
        </w:rPr>
        <w:t>三、加强停车设施信息化建设</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_Toc25531 \h </w:instrText>
      </w:r>
      <w:r>
        <w:rPr>
          <w:rFonts w:hint="eastAsia" w:ascii="宋体" w:hAnsi="宋体" w:cs="宋体"/>
          <w:sz w:val="28"/>
          <w:szCs w:val="28"/>
        </w:rPr>
        <w:fldChar w:fldCharType="separate"/>
      </w:r>
      <w:r>
        <w:rPr>
          <w:rFonts w:hint="eastAsia" w:ascii="宋体" w:hAnsi="宋体" w:cs="宋体"/>
          <w:sz w:val="28"/>
          <w:szCs w:val="28"/>
        </w:rPr>
        <w:t>85</w:t>
      </w:r>
      <w:r>
        <w:rPr>
          <w:rFonts w:hint="eastAsia" w:ascii="宋体" w:hAnsi="宋体" w:cs="宋体"/>
          <w:sz w:val="28"/>
          <w:szCs w:val="28"/>
        </w:rPr>
        <w:fldChar w:fldCharType="end"/>
      </w:r>
      <w:r>
        <w:rPr>
          <w:rFonts w:hint="eastAsia" w:ascii="宋体" w:hAnsi="宋体" w:cs="宋体"/>
          <w:sz w:val="28"/>
          <w:szCs w:val="28"/>
        </w:rPr>
        <w:fldChar w:fldCharType="end"/>
      </w:r>
    </w:p>
    <w:p w14:paraId="54006144">
      <w:pPr>
        <w:pStyle w:val="11"/>
        <w:tabs>
          <w:tab w:val="right" w:leader="dot" w:pos="8306"/>
          <w:tab w:val="clear" w:pos="8296"/>
        </w:tabs>
        <w:rPr>
          <w:rFonts w:ascii="宋体" w:hAnsi="宋体" w:cs="宋体"/>
          <w:sz w:val="28"/>
          <w:szCs w:val="28"/>
        </w:rPr>
      </w:pPr>
      <w:r>
        <w:fldChar w:fldCharType="begin"/>
      </w:r>
      <w:r>
        <w:instrText xml:space="preserve"> HYPERLINK \l "_Toc12562" </w:instrText>
      </w:r>
      <w:r>
        <w:fldChar w:fldCharType="separate"/>
      </w:r>
      <w:r>
        <w:rPr>
          <w:rFonts w:hint="eastAsia" w:ascii="宋体" w:hAnsi="宋体" w:cs="宋体"/>
          <w:sz w:val="28"/>
          <w:szCs w:val="28"/>
        </w:rPr>
        <w:t>四、推进停车设施管理立法工作</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_Toc12562 \h </w:instrText>
      </w:r>
      <w:r>
        <w:rPr>
          <w:rFonts w:hint="eastAsia" w:ascii="宋体" w:hAnsi="宋体" w:cs="宋体"/>
          <w:sz w:val="28"/>
          <w:szCs w:val="28"/>
        </w:rPr>
        <w:fldChar w:fldCharType="separate"/>
      </w:r>
      <w:r>
        <w:rPr>
          <w:rFonts w:hint="eastAsia" w:ascii="宋体" w:hAnsi="宋体" w:cs="宋体"/>
          <w:sz w:val="28"/>
          <w:szCs w:val="28"/>
        </w:rPr>
        <w:t>86</w:t>
      </w:r>
      <w:r>
        <w:rPr>
          <w:rFonts w:hint="eastAsia" w:ascii="宋体" w:hAnsi="宋体" w:cs="宋体"/>
          <w:sz w:val="28"/>
          <w:szCs w:val="28"/>
        </w:rPr>
        <w:fldChar w:fldCharType="end"/>
      </w:r>
      <w:r>
        <w:rPr>
          <w:rFonts w:hint="eastAsia" w:ascii="宋体" w:hAnsi="宋体" w:cs="宋体"/>
          <w:sz w:val="28"/>
          <w:szCs w:val="28"/>
        </w:rPr>
        <w:fldChar w:fldCharType="end"/>
      </w:r>
    </w:p>
    <w:p w14:paraId="11FCC148">
      <w:pPr>
        <w:pStyle w:val="19"/>
        <w:tabs>
          <w:tab w:val="right" w:leader="dot" w:pos="8306"/>
          <w:tab w:val="clear" w:pos="8296"/>
        </w:tabs>
        <w:rPr>
          <w:rFonts w:ascii="宋体" w:hAnsi="宋体" w:cs="宋体"/>
          <w:sz w:val="28"/>
          <w:szCs w:val="28"/>
        </w:rPr>
      </w:pPr>
      <w:r>
        <w:fldChar w:fldCharType="begin"/>
      </w:r>
      <w:r>
        <w:instrText xml:space="preserve"> HYPERLINK \l "_Toc31138" </w:instrText>
      </w:r>
      <w:r>
        <w:fldChar w:fldCharType="separate"/>
      </w:r>
      <w:r>
        <w:rPr>
          <w:rFonts w:hint="eastAsia" w:ascii="宋体" w:hAnsi="宋体" w:cs="宋体"/>
          <w:sz w:val="28"/>
          <w:szCs w:val="28"/>
        </w:rPr>
        <w:t>第九章 加速城市管理和执法体制改革，推进城市治理现代化</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_Toc31138 \h </w:instrText>
      </w:r>
      <w:r>
        <w:rPr>
          <w:rFonts w:hint="eastAsia" w:ascii="宋体" w:hAnsi="宋体" w:cs="宋体"/>
          <w:sz w:val="28"/>
          <w:szCs w:val="28"/>
        </w:rPr>
        <w:fldChar w:fldCharType="separate"/>
      </w:r>
      <w:r>
        <w:rPr>
          <w:rFonts w:hint="eastAsia" w:ascii="宋体" w:hAnsi="宋体" w:cs="宋体"/>
          <w:sz w:val="28"/>
          <w:szCs w:val="28"/>
        </w:rPr>
        <w:t>87</w:t>
      </w:r>
      <w:r>
        <w:rPr>
          <w:rFonts w:hint="eastAsia" w:ascii="宋体" w:hAnsi="宋体" w:cs="宋体"/>
          <w:sz w:val="28"/>
          <w:szCs w:val="28"/>
        </w:rPr>
        <w:fldChar w:fldCharType="end"/>
      </w:r>
      <w:r>
        <w:rPr>
          <w:rFonts w:hint="eastAsia" w:ascii="宋体" w:hAnsi="宋体" w:cs="宋体"/>
          <w:sz w:val="28"/>
          <w:szCs w:val="28"/>
        </w:rPr>
        <w:fldChar w:fldCharType="end"/>
      </w:r>
    </w:p>
    <w:p w14:paraId="187B7D72">
      <w:pPr>
        <w:pStyle w:val="22"/>
        <w:tabs>
          <w:tab w:val="right" w:leader="dot" w:pos="8306"/>
          <w:tab w:val="clear" w:pos="8296"/>
        </w:tabs>
        <w:rPr>
          <w:rFonts w:ascii="宋体" w:hAnsi="宋体" w:cs="宋体"/>
          <w:sz w:val="28"/>
          <w:szCs w:val="28"/>
        </w:rPr>
      </w:pPr>
      <w:r>
        <w:fldChar w:fldCharType="begin"/>
      </w:r>
      <w:r>
        <w:instrText xml:space="preserve"> HYPERLINK \l "_Toc28135" </w:instrText>
      </w:r>
      <w:r>
        <w:fldChar w:fldCharType="separate"/>
      </w:r>
      <w:r>
        <w:rPr>
          <w:rFonts w:hint="eastAsia" w:ascii="宋体" w:hAnsi="宋体" w:cs="宋体"/>
          <w:sz w:val="28"/>
          <w:szCs w:val="28"/>
        </w:rPr>
        <w:t>第一节  城市管理和执法体制改革依据</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_Toc28135 \h </w:instrText>
      </w:r>
      <w:r>
        <w:rPr>
          <w:rFonts w:hint="eastAsia" w:ascii="宋体" w:hAnsi="宋体" w:cs="宋体"/>
          <w:sz w:val="28"/>
          <w:szCs w:val="28"/>
        </w:rPr>
        <w:fldChar w:fldCharType="separate"/>
      </w:r>
      <w:r>
        <w:rPr>
          <w:rFonts w:hint="eastAsia" w:ascii="宋体" w:hAnsi="宋体" w:cs="宋体"/>
          <w:sz w:val="28"/>
          <w:szCs w:val="28"/>
        </w:rPr>
        <w:t>87</w:t>
      </w:r>
      <w:r>
        <w:rPr>
          <w:rFonts w:hint="eastAsia" w:ascii="宋体" w:hAnsi="宋体" w:cs="宋体"/>
          <w:sz w:val="28"/>
          <w:szCs w:val="28"/>
        </w:rPr>
        <w:fldChar w:fldCharType="end"/>
      </w:r>
      <w:r>
        <w:rPr>
          <w:rFonts w:hint="eastAsia" w:ascii="宋体" w:hAnsi="宋体" w:cs="宋体"/>
          <w:sz w:val="28"/>
          <w:szCs w:val="28"/>
        </w:rPr>
        <w:fldChar w:fldCharType="end"/>
      </w:r>
    </w:p>
    <w:p w14:paraId="6E9A001D">
      <w:pPr>
        <w:pStyle w:val="22"/>
        <w:tabs>
          <w:tab w:val="right" w:leader="dot" w:pos="8306"/>
          <w:tab w:val="clear" w:pos="8296"/>
        </w:tabs>
        <w:rPr>
          <w:rFonts w:ascii="宋体" w:hAnsi="宋体" w:cs="宋体"/>
          <w:sz w:val="28"/>
          <w:szCs w:val="28"/>
        </w:rPr>
      </w:pPr>
      <w:r>
        <w:fldChar w:fldCharType="begin"/>
      </w:r>
      <w:r>
        <w:instrText xml:space="preserve"> HYPERLINK \l "_Toc18478" </w:instrText>
      </w:r>
      <w:r>
        <w:fldChar w:fldCharType="separate"/>
      </w:r>
      <w:r>
        <w:rPr>
          <w:rFonts w:hint="eastAsia" w:ascii="宋体" w:hAnsi="宋体" w:cs="宋体"/>
          <w:sz w:val="28"/>
          <w:szCs w:val="28"/>
        </w:rPr>
        <w:t>第二节  城市管理和执法体制改革总体思路</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_Toc18478 \h </w:instrText>
      </w:r>
      <w:r>
        <w:rPr>
          <w:rFonts w:hint="eastAsia" w:ascii="宋体" w:hAnsi="宋体" w:cs="宋体"/>
          <w:sz w:val="28"/>
          <w:szCs w:val="28"/>
        </w:rPr>
        <w:fldChar w:fldCharType="separate"/>
      </w:r>
      <w:r>
        <w:rPr>
          <w:rFonts w:hint="eastAsia" w:ascii="宋体" w:hAnsi="宋体" w:cs="宋体"/>
          <w:sz w:val="28"/>
          <w:szCs w:val="28"/>
        </w:rPr>
        <w:t>87</w:t>
      </w:r>
      <w:r>
        <w:rPr>
          <w:rFonts w:hint="eastAsia" w:ascii="宋体" w:hAnsi="宋体" w:cs="宋体"/>
          <w:sz w:val="28"/>
          <w:szCs w:val="28"/>
        </w:rPr>
        <w:fldChar w:fldCharType="end"/>
      </w:r>
      <w:r>
        <w:rPr>
          <w:rFonts w:hint="eastAsia" w:ascii="宋体" w:hAnsi="宋体" w:cs="宋体"/>
          <w:sz w:val="28"/>
          <w:szCs w:val="28"/>
        </w:rPr>
        <w:fldChar w:fldCharType="end"/>
      </w:r>
    </w:p>
    <w:p w14:paraId="5268276E">
      <w:pPr>
        <w:pStyle w:val="11"/>
        <w:tabs>
          <w:tab w:val="right" w:leader="dot" w:pos="8306"/>
          <w:tab w:val="clear" w:pos="8296"/>
        </w:tabs>
        <w:rPr>
          <w:rFonts w:ascii="宋体" w:hAnsi="宋体" w:cs="宋体"/>
          <w:sz w:val="28"/>
          <w:szCs w:val="28"/>
        </w:rPr>
      </w:pPr>
      <w:r>
        <w:fldChar w:fldCharType="begin"/>
      </w:r>
      <w:r>
        <w:instrText xml:space="preserve"> HYPERLINK \l "_Toc30364" </w:instrText>
      </w:r>
      <w:r>
        <w:fldChar w:fldCharType="separate"/>
      </w:r>
      <w:r>
        <w:rPr>
          <w:rFonts w:hint="eastAsia" w:ascii="宋体" w:hAnsi="宋体" w:cs="宋体"/>
          <w:sz w:val="28"/>
          <w:szCs w:val="28"/>
        </w:rPr>
        <w:t>一、指导思想</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_Toc30364 \h </w:instrText>
      </w:r>
      <w:r>
        <w:rPr>
          <w:rFonts w:hint="eastAsia" w:ascii="宋体" w:hAnsi="宋体" w:cs="宋体"/>
          <w:sz w:val="28"/>
          <w:szCs w:val="28"/>
        </w:rPr>
        <w:fldChar w:fldCharType="separate"/>
      </w:r>
      <w:r>
        <w:rPr>
          <w:rFonts w:hint="eastAsia" w:ascii="宋体" w:hAnsi="宋体" w:cs="宋体"/>
          <w:sz w:val="28"/>
          <w:szCs w:val="28"/>
        </w:rPr>
        <w:t>87</w:t>
      </w:r>
      <w:r>
        <w:rPr>
          <w:rFonts w:hint="eastAsia" w:ascii="宋体" w:hAnsi="宋体" w:cs="宋体"/>
          <w:sz w:val="28"/>
          <w:szCs w:val="28"/>
        </w:rPr>
        <w:fldChar w:fldCharType="end"/>
      </w:r>
      <w:r>
        <w:rPr>
          <w:rFonts w:hint="eastAsia" w:ascii="宋体" w:hAnsi="宋体" w:cs="宋体"/>
          <w:sz w:val="28"/>
          <w:szCs w:val="28"/>
        </w:rPr>
        <w:fldChar w:fldCharType="end"/>
      </w:r>
    </w:p>
    <w:p w14:paraId="2D3C9381">
      <w:pPr>
        <w:pStyle w:val="11"/>
        <w:tabs>
          <w:tab w:val="right" w:leader="dot" w:pos="8306"/>
          <w:tab w:val="clear" w:pos="8296"/>
        </w:tabs>
        <w:rPr>
          <w:rFonts w:ascii="宋体" w:hAnsi="宋体" w:cs="宋体"/>
          <w:sz w:val="28"/>
          <w:szCs w:val="28"/>
        </w:rPr>
      </w:pPr>
      <w:r>
        <w:fldChar w:fldCharType="begin"/>
      </w:r>
      <w:r>
        <w:instrText xml:space="preserve"> HYPERLINK \l "_Toc11114" </w:instrText>
      </w:r>
      <w:r>
        <w:fldChar w:fldCharType="separate"/>
      </w:r>
      <w:r>
        <w:rPr>
          <w:rFonts w:hint="eastAsia" w:ascii="宋体" w:hAnsi="宋体" w:cs="宋体"/>
          <w:sz w:val="28"/>
          <w:szCs w:val="28"/>
        </w:rPr>
        <w:t>二、基本原则</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_Toc11114 \h </w:instrText>
      </w:r>
      <w:r>
        <w:rPr>
          <w:rFonts w:hint="eastAsia" w:ascii="宋体" w:hAnsi="宋体" w:cs="宋体"/>
          <w:sz w:val="28"/>
          <w:szCs w:val="28"/>
        </w:rPr>
        <w:fldChar w:fldCharType="separate"/>
      </w:r>
      <w:r>
        <w:rPr>
          <w:rFonts w:hint="eastAsia" w:ascii="宋体" w:hAnsi="宋体" w:cs="宋体"/>
          <w:sz w:val="28"/>
          <w:szCs w:val="28"/>
        </w:rPr>
        <w:t>87</w:t>
      </w:r>
      <w:r>
        <w:rPr>
          <w:rFonts w:hint="eastAsia" w:ascii="宋体" w:hAnsi="宋体" w:cs="宋体"/>
          <w:sz w:val="28"/>
          <w:szCs w:val="28"/>
        </w:rPr>
        <w:fldChar w:fldCharType="end"/>
      </w:r>
      <w:r>
        <w:rPr>
          <w:rFonts w:hint="eastAsia" w:ascii="宋体" w:hAnsi="宋体" w:cs="宋体"/>
          <w:sz w:val="28"/>
          <w:szCs w:val="28"/>
        </w:rPr>
        <w:fldChar w:fldCharType="end"/>
      </w:r>
    </w:p>
    <w:p w14:paraId="59FB1D11">
      <w:pPr>
        <w:pStyle w:val="22"/>
        <w:tabs>
          <w:tab w:val="right" w:leader="dot" w:pos="8306"/>
          <w:tab w:val="clear" w:pos="8296"/>
        </w:tabs>
        <w:rPr>
          <w:rFonts w:ascii="宋体" w:hAnsi="宋体" w:cs="宋体"/>
          <w:sz w:val="28"/>
          <w:szCs w:val="28"/>
        </w:rPr>
      </w:pPr>
      <w:r>
        <w:fldChar w:fldCharType="begin"/>
      </w:r>
      <w:r>
        <w:instrText xml:space="preserve"> HYPERLINK \l "_Toc10896" </w:instrText>
      </w:r>
      <w:r>
        <w:fldChar w:fldCharType="separate"/>
      </w:r>
      <w:r>
        <w:rPr>
          <w:rFonts w:hint="eastAsia" w:ascii="宋体" w:hAnsi="宋体" w:cs="宋体"/>
          <w:sz w:val="28"/>
          <w:szCs w:val="28"/>
        </w:rPr>
        <w:t>第三节  城市管理和执法体制改革主要内容</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_Toc10896 \h </w:instrText>
      </w:r>
      <w:r>
        <w:rPr>
          <w:rFonts w:hint="eastAsia" w:ascii="宋体" w:hAnsi="宋体" w:cs="宋体"/>
          <w:sz w:val="28"/>
          <w:szCs w:val="28"/>
        </w:rPr>
        <w:fldChar w:fldCharType="separate"/>
      </w:r>
      <w:r>
        <w:rPr>
          <w:rFonts w:hint="eastAsia" w:ascii="宋体" w:hAnsi="宋体" w:cs="宋体"/>
          <w:sz w:val="28"/>
          <w:szCs w:val="28"/>
        </w:rPr>
        <w:t>88</w:t>
      </w:r>
      <w:r>
        <w:rPr>
          <w:rFonts w:hint="eastAsia" w:ascii="宋体" w:hAnsi="宋体" w:cs="宋体"/>
          <w:sz w:val="28"/>
          <w:szCs w:val="28"/>
        </w:rPr>
        <w:fldChar w:fldCharType="end"/>
      </w:r>
      <w:r>
        <w:rPr>
          <w:rFonts w:hint="eastAsia" w:ascii="宋体" w:hAnsi="宋体" w:cs="宋体"/>
          <w:sz w:val="28"/>
          <w:szCs w:val="28"/>
        </w:rPr>
        <w:fldChar w:fldCharType="end"/>
      </w:r>
    </w:p>
    <w:p w14:paraId="2CC660D7">
      <w:pPr>
        <w:pStyle w:val="11"/>
        <w:tabs>
          <w:tab w:val="right" w:leader="dot" w:pos="8306"/>
          <w:tab w:val="clear" w:pos="8296"/>
        </w:tabs>
        <w:rPr>
          <w:rFonts w:ascii="宋体" w:hAnsi="宋体" w:cs="宋体"/>
          <w:sz w:val="28"/>
          <w:szCs w:val="28"/>
        </w:rPr>
      </w:pPr>
      <w:r>
        <w:fldChar w:fldCharType="begin"/>
      </w:r>
      <w:r>
        <w:instrText xml:space="preserve"> HYPERLINK \l "_Toc20636" </w:instrText>
      </w:r>
      <w:r>
        <w:fldChar w:fldCharType="separate"/>
      </w:r>
      <w:r>
        <w:rPr>
          <w:rFonts w:hint="eastAsia" w:ascii="宋体" w:hAnsi="宋体" w:cs="宋体"/>
          <w:sz w:val="28"/>
          <w:szCs w:val="28"/>
        </w:rPr>
        <w:t>一、理顺城市管理和综合执法职责</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_Toc20636 \h </w:instrText>
      </w:r>
      <w:r>
        <w:rPr>
          <w:rFonts w:hint="eastAsia" w:ascii="宋体" w:hAnsi="宋体" w:cs="宋体"/>
          <w:sz w:val="28"/>
          <w:szCs w:val="28"/>
        </w:rPr>
        <w:fldChar w:fldCharType="separate"/>
      </w:r>
      <w:r>
        <w:rPr>
          <w:rFonts w:hint="eastAsia" w:ascii="宋体" w:hAnsi="宋体" w:cs="宋体"/>
          <w:sz w:val="28"/>
          <w:szCs w:val="28"/>
        </w:rPr>
        <w:t>88</w:t>
      </w:r>
      <w:r>
        <w:rPr>
          <w:rFonts w:hint="eastAsia" w:ascii="宋体" w:hAnsi="宋体" w:cs="宋体"/>
          <w:sz w:val="28"/>
          <w:szCs w:val="28"/>
        </w:rPr>
        <w:fldChar w:fldCharType="end"/>
      </w:r>
      <w:r>
        <w:rPr>
          <w:rFonts w:hint="eastAsia" w:ascii="宋体" w:hAnsi="宋体" w:cs="宋体"/>
          <w:sz w:val="28"/>
          <w:szCs w:val="28"/>
        </w:rPr>
        <w:fldChar w:fldCharType="end"/>
      </w:r>
    </w:p>
    <w:p w14:paraId="61F8DF03">
      <w:pPr>
        <w:pStyle w:val="11"/>
        <w:tabs>
          <w:tab w:val="right" w:leader="dot" w:pos="8306"/>
          <w:tab w:val="clear" w:pos="8296"/>
        </w:tabs>
        <w:rPr>
          <w:rFonts w:ascii="宋体" w:hAnsi="宋体" w:cs="宋体"/>
          <w:sz w:val="28"/>
          <w:szCs w:val="28"/>
        </w:rPr>
      </w:pPr>
      <w:r>
        <w:fldChar w:fldCharType="begin"/>
      </w:r>
      <w:r>
        <w:instrText xml:space="preserve"> HYPERLINK \l "_Toc16242" </w:instrText>
      </w:r>
      <w:r>
        <w:fldChar w:fldCharType="separate"/>
      </w:r>
      <w:r>
        <w:rPr>
          <w:rFonts w:hint="eastAsia" w:ascii="宋体" w:hAnsi="宋体" w:cs="宋体"/>
          <w:sz w:val="28"/>
          <w:szCs w:val="28"/>
        </w:rPr>
        <w:t>二、综合设置城市管理和综合执法部门机构</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_Toc16242 \h </w:instrText>
      </w:r>
      <w:r>
        <w:rPr>
          <w:rFonts w:hint="eastAsia" w:ascii="宋体" w:hAnsi="宋体" w:cs="宋体"/>
          <w:sz w:val="28"/>
          <w:szCs w:val="28"/>
        </w:rPr>
        <w:fldChar w:fldCharType="separate"/>
      </w:r>
      <w:r>
        <w:rPr>
          <w:rFonts w:hint="eastAsia" w:ascii="宋体" w:hAnsi="宋体" w:cs="宋体"/>
          <w:sz w:val="28"/>
          <w:szCs w:val="28"/>
        </w:rPr>
        <w:t>90</w:t>
      </w:r>
      <w:r>
        <w:rPr>
          <w:rFonts w:hint="eastAsia" w:ascii="宋体" w:hAnsi="宋体" w:cs="宋体"/>
          <w:sz w:val="28"/>
          <w:szCs w:val="28"/>
        </w:rPr>
        <w:fldChar w:fldCharType="end"/>
      </w:r>
      <w:r>
        <w:rPr>
          <w:rFonts w:hint="eastAsia" w:ascii="宋体" w:hAnsi="宋体" w:cs="宋体"/>
          <w:sz w:val="28"/>
          <w:szCs w:val="28"/>
        </w:rPr>
        <w:fldChar w:fldCharType="end"/>
      </w:r>
    </w:p>
    <w:p w14:paraId="62E60971">
      <w:pPr>
        <w:pStyle w:val="22"/>
        <w:tabs>
          <w:tab w:val="right" w:leader="dot" w:pos="8306"/>
          <w:tab w:val="clear" w:pos="8296"/>
        </w:tabs>
        <w:rPr>
          <w:rFonts w:ascii="宋体" w:hAnsi="宋体" w:cs="宋体"/>
          <w:sz w:val="28"/>
          <w:szCs w:val="28"/>
        </w:rPr>
      </w:pPr>
      <w:r>
        <w:fldChar w:fldCharType="begin"/>
      </w:r>
      <w:r>
        <w:instrText xml:space="preserve"> HYPERLINK \l "_Toc11695" </w:instrText>
      </w:r>
      <w:r>
        <w:fldChar w:fldCharType="separate"/>
      </w:r>
      <w:r>
        <w:rPr>
          <w:rFonts w:hint="eastAsia" w:ascii="宋体" w:hAnsi="宋体" w:cs="宋体"/>
          <w:sz w:val="28"/>
          <w:szCs w:val="28"/>
        </w:rPr>
        <w:t>第四节  城市管理和执法体制改革配套保障措施</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_Toc11695 \h </w:instrText>
      </w:r>
      <w:r>
        <w:rPr>
          <w:rFonts w:hint="eastAsia" w:ascii="宋体" w:hAnsi="宋体" w:cs="宋体"/>
          <w:sz w:val="28"/>
          <w:szCs w:val="28"/>
        </w:rPr>
        <w:fldChar w:fldCharType="separate"/>
      </w:r>
      <w:r>
        <w:rPr>
          <w:rFonts w:hint="eastAsia" w:ascii="宋体" w:hAnsi="宋体" w:cs="宋体"/>
          <w:sz w:val="28"/>
          <w:szCs w:val="28"/>
        </w:rPr>
        <w:t>90</w:t>
      </w:r>
      <w:r>
        <w:rPr>
          <w:rFonts w:hint="eastAsia" w:ascii="宋体" w:hAnsi="宋体" w:cs="宋体"/>
          <w:sz w:val="28"/>
          <w:szCs w:val="28"/>
        </w:rPr>
        <w:fldChar w:fldCharType="end"/>
      </w:r>
      <w:r>
        <w:rPr>
          <w:rFonts w:hint="eastAsia" w:ascii="宋体" w:hAnsi="宋体" w:cs="宋体"/>
          <w:sz w:val="28"/>
          <w:szCs w:val="28"/>
        </w:rPr>
        <w:fldChar w:fldCharType="end"/>
      </w:r>
    </w:p>
    <w:p w14:paraId="51E7E6E3">
      <w:pPr>
        <w:pStyle w:val="11"/>
        <w:tabs>
          <w:tab w:val="right" w:leader="dot" w:pos="8306"/>
          <w:tab w:val="clear" w:pos="8296"/>
        </w:tabs>
        <w:rPr>
          <w:rFonts w:ascii="宋体" w:hAnsi="宋体" w:cs="宋体"/>
          <w:sz w:val="28"/>
          <w:szCs w:val="28"/>
        </w:rPr>
      </w:pPr>
      <w:r>
        <w:fldChar w:fldCharType="begin"/>
      </w:r>
      <w:r>
        <w:instrText xml:space="preserve"> HYPERLINK \l "_Toc22960" </w:instrText>
      </w:r>
      <w:r>
        <w:fldChar w:fldCharType="separate"/>
      </w:r>
      <w:r>
        <w:rPr>
          <w:rFonts w:hint="eastAsia" w:ascii="宋体" w:hAnsi="宋体" w:cs="宋体"/>
          <w:sz w:val="28"/>
          <w:szCs w:val="28"/>
        </w:rPr>
        <w:t>一、强化执法保障</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_Toc22960 \h </w:instrText>
      </w:r>
      <w:r>
        <w:rPr>
          <w:rFonts w:hint="eastAsia" w:ascii="宋体" w:hAnsi="宋体" w:cs="宋体"/>
          <w:sz w:val="28"/>
          <w:szCs w:val="28"/>
        </w:rPr>
        <w:fldChar w:fldCharType="separate"/>
      </w:r>
      <w:r>
        <w:rPr>
          <w:rFonts w:hint="eastAsia" w:ascii="宋体" w:hAnsi="宋体" w:cs="宋体"/>
          <w:sz w:val="28"/>
          <w:szCs w:val="28"/>
        </w:rPr>
        <w:t>90</w:t>
      </w:r>
      <w:r>
        <w:rPr>
          <w:rFonts w:hint="eastAsia" w:ascii="宋体" w:hAnsi="宋体" w:cs="宋体"/>
          <w:sz w:val="28"/>
          <w:szCs w:val="28"/>
        </w:rPr>
        <w:fldChar w:fldCharType="end"/>
      </w:r>
      <w:r>
        <w:rPr>
          <w:rFonts w:hint="eastAsia" w:ascii="宋体" w:hAnsi="宋体" w:cs="宋体"/>
          <w:sz w:val="28"/>
          <w:szCs w:val="28"/>
        </w:rPr>
        <w:fldChar w:fldCharType="end"/>
      </w:r>
    </w:p>
    <w:p w14:paraId="03D877D7">
      <w:pPr>
        <w:pStyle w:val="11"/>
        <w:tabs>
          <w:tab w:val="right" w:leader="dot" w:pos="8306"/>
          <w:tab w:val="clear" w:pos="8296"/>
        </w:tabs>
        <w:rPr>
          <w:rFonts w:ascii="宋体" w:hAnsi="宋体" w:cs="宋体"/>
          <w:sz w:val="28"/>
          <w:szCs w:val="28"/>
        </w:rPr>
      </w:pPr>
      <w:r>
        <w:fldChar w:fldCharType="begin"/>
      </w:r>
      <w:r>
        <w:instrText xml:space="preserve"> HYPERLINK \l "_Toc15538" </w:instrText>
      </w:r>
      <w:r>
        <w:fldChar w:fldCharType="separate"/>
      </w:r>
      <w:r>
        <w:rPr>
          <w:rFonts w:hint="eastAsia" w:ascii="宋体" w:hAnsi="宋体" w:cs="宋体"/>
          <w:sz w:val="28"/>
          <w:szCs w:val="28"/>
        </w:rPr>
        <w:t>二、加强队伍建设</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_Toc15538 \h </w:instrText>
      </w:r>
      <w:r>
        <w:rPr>
          <w:rFonts w:hint="eastAsia" w:ascii="宋体" w:hAnsi="宋体" w:cs="宋体"/>
          <w:sz w:val="28"/>
          <w:szCs w:val="28"/>
        </w:rPr>
        <w:fldChar w:fldCharType="separate"/>
      </w:r>
      <w:r>
        <w:rPr>
          <w:rFonts w:hint="eastAsia" w:ascii="宋体" w:hAnsi="宋体" w:cs="宋体"/>
          <w:sz w:val="28"/>
          <w:szCs w:val="28"/>
        </w:rPr>
        <w:t>91</w:t>
      </w:r>
      <w:r>
        <w:rPr>
          <w:rFonts w:hint="eastAsia" w:ascii="宋体" w:hAnsi="宋体" w:cs="宋体"/>
          <w:sz w:val="28"/>
          <w:szCs w:val="28"/>
        </w:rPr>
        <w:fldChar w:fldCharType="end"/>
      </w:r>
      <w:r>
        <w:rPr>
          <w:rFonts w:hint="eastAsia" w:ascii="宋体" w:hAnsi="宋体" w:cs="宋体"/>
          <w:sz w:val="28"/>
          <w:szCs w:val="28"/>
        </w:rPr>
        <w:fldChar w:fldCharType="end"/>
      </w:r>
    </w:p>
    <w:p w14:paraId="1AEB4E48">
      <w:pPr>
        <w:pStyle w:val="11"/>
        <w:tabs>
          <w:tab w:val="right" w:leader="dot" w:pos="8306"/>
          <w:tab w:val="clear" w:pos="8296"/>
        </w:tabs>
        <w:rPr>
          <w:rFonts w:ascii="宋体" w:hAnsi="宋体" w:cs="宋体"/>
          <w:sz w:val="28"/>
          <w:szCs w:val="28"/>
        </w:rPr>
      </w:pPr>
      <w:r>
        <w:fldChar w:fldCharType="begin"/>
      </w:r>
      <w:r>
        <w:instrText xml:space="preserve"> HYPERLINK \l "_Toc15629" </w:instrText>
      </w:r>
      <w:r>
        <w:fldChar w:fldCharType="separate"/>
      </w:r>
      <w:r>
        <w:rPr>
          <w:rFonts w:hint="eastAsia" w:ascii="宋体" w:hAnsi="宋体" w:cs="宋体"/>
          <w:bCs/>
          <w:sz w:val="28"/>
          <w:szCs w:val="28"/>
        </w:rPr>
        <w:t>三、</w:t>
      </w:r>
      <w:r>
        <w:rPr>
          <w:rFonts w:hint="eastAsia" w:ascii="宋体" w:hAnsi="宋体" w:cs="宋体"/>
          <w:sz w:val="28"/>
          <w:szCs w:val="28"/>
        </w:rPr>
        <w:t>完善工作机制</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_Toc15629 \h </w:instrText>
      </w:r>
      <w:r>
        <w:rPr>
          <w:rFonts w:hint="eastAsia" w:ascii="宋体" w:hAnsi="宋体" w:cs="宋体"/>
          <w:sz w:val="28"/>
          <w:szCs w:val="28"/>
        </w:rPr>
        <w:fldChar w:fldCharType="separate"/>
      </w:r>
      <w:r>
        <w:rPr>
          <w:rFonts w:hint="eastAsia" w:ascii="宋体" w:hAnsi="宋体" w:cs="宋体"/>
          <w:sz w:val="28"/>
          <w:szCs w:val="28"/>
        </w:rPr>
        <w:t>91</w:t>
      </w:r>
      <w:r>
        <w:rPr>
          <w:rFonts w:hint="eastAsia" w:ascii="宋体" w:hAnsi="宋体" w:cs="宋体"/>
          <w:sz w:val="28"/>
          <w:szCs w:val="28"/>
        </w:rPr>
        <w:fldChar w:fldCharType="end"/>
      </w:r>
      <w:r>
        <w:rPr>
          <w:rFonts w:hint="eastAsia" w:ascii="宋体" w:hAnsi="宋体" w:cs="宋体"/>
          <w:sz w:val="28"/>
          <w:szCs w:val="28"/>
        </w:rPr>
        <w:fldChar w:fldCharType="end"/>
      </w:r>
    </w:p>
    <w:p w14:paraId="07EAF364">
      <w:pPr>
        <w:pStyle w:val="11"/>
        <w:tabs>
          <w:tab w:val="right" w:leader="dot" w:pos="8306"/>
          <w:tab w:val="clear" w:pos="8296"/>
        </w:tabs>
        <w:rPr>
          <w:rFonts w:ascii="宋体" w:hAnsi="宋体" w:cs="宋体"/>
          <w:sz w:val="28"/>
          <w:szCs w:val="28"/>
        </w:rPr>
      </w:pPr>
      <w:r>
        <w:fldChar w:fldCharType="begin"/>
      </w:r>
      <w:r>
        <w:instrText xml:space="preserve"> HYPERLINK \l "_Toc25736" </w:instrText>
      </w:r>
      <w:r>
        <w:fldChar w:fldCharType="separate"/>
      </w:r>
      <w:r>
        <w:rPr>
          <w:rFonts w:hint="eastAsia" w:ascii="宋体" w:hAnsi="宋体" w:cs="宋体"/>
          <w:sz w:val="28"/>
          <w:szCs w:val="28"/>
        </w:rPr>
        <w:t>四、创新城市治理</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_Toc25736 \h </w:instrText>
      </w:r>
      <w:r>
        <w:rPr>
          <w:rFonts w:hint="eastAsia" w:ascii="宋体" w:hAnsi="宋体" w:cs="宋体"/>
          <w:sz w:val="28"/>
          <w:szCs w:val="28"/>
        </w:rPr>
        <w:fldChar w:fldCharType="separate"/>
      </w:r>
      <w:r>
        <w:rPr>
          <w:rFonts w:hint="eastAsia" w:ascii="宋体" w:hAnsi="宋体" w:cs="宋体"/>
          <w:sz w:val="28"/>
          <w:szCs w:val="28"/>
        </w:rPr>
        <w:t>91</w:t>
      </w:r>
      <w:r>
        <w:rPr>
          <w:rFonts w:hint="eastAsia" w:ascii="宋体" w:hAnsi="宋体" w:cs="宋体"/>
          <w:sz w:val="28"/>
          <w:szCs w:val="28"/>
        </w:rPr>
        <w:fldChar w:fldCharType="end"/>
      </w:r>
      <w:r>
        <w:rPr>
          <w:rFonts w:hint="eastAsia" w:ascii="宋体" w:hAnsi="宋体" w:cs="宋体"/>
          <w:sz w:val="28"/>
          <w:szCs w:val="28"/>
        </w:rPr>
        <w:fldChar w:fldCharType="end"/>
      </w:r>
    </w:p>
    <w:p w14:paraId="58DA2895">
      <w:pPr>
        <w:pStyle w:val="19"/>
        <w:tabs>
          <w:tab w:val="right" w:leader="dot" w:pos="8306"/>
          <w:tab w:val="clear" w:pos="8296"/>
        </w:tabs>
        <w:rPr>
          <w:rFonts w:ascii="宋体" w:hAnsi="宋体" w:cs="宋体"/>
          <w:sz w:val="28"/>
          <w:szCs w:val="28"/>
        </w:rPr>
      </w:pPr>
      <w:r>
        <w:fldChar w:fldCharType="begin"/>
      </w:r>
      <w:r>
        <w:instrText xml:space="preserve"> HYPERLINK \l "_Toc18019" </w:instrText>
      </w:r>
      <w:r>
        <w:fldChar w:fldCharType="separate"/>
      </w:r>
      <w:r>
        <w:rPr>
          <w:rFonts w:hint="eastAsia" w:ascii="宋体" w:hAnsi="宋体" w:cs="宋体"/>
          <w:sz w:val="28"/>
          <w:szCs w:val="28"/>
        </w:rPr>
        <w:t>第十章  开展安全生产专项整治，构建安全保障体系</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_Toc18019 \h </w:instrText>
      </w:r>
      <w:r>
        <w:rPr>
          <w:rFonts w:hint="eastAsia" w:ascii="宋体" w:hAnsi="宋体" w:cs="宋体"/>
          <w:sz w:val="28"/>
          <w:szCs w:val="28"/>
        </w:rPr>
        <w:fldChar w:fldCharType="separate"/>
      </w:r>
      <w:r>
        <w:rPr>
          <w:rFonts w:hint="eastAsia" w:ascii="宋体" w:hAnsi="宋体" w:cs="宋体"/>
          <w:sz w:val="28"/>
          <w:szCs w:val="28"/>
        </w:rPr>
        <w:t>93</w:t>
      </w:r>
      <w:r>
        <w:rPr>
          <w:rFonts w:hint="eastAsia" w:ascii="宋体" w:hAnsi="宋体" w:cs="宋体"/>
          <w:sz w:val="28"/>
          <w:szCs w:val="28"/>
        </w:rPr>
        <w:fldChar w:fldCharType="end"/>
      </w:r>
      <w:r>
        <w:rPr>
          <w:rFonts w:hint="eastAsia" w:ascii="宋体" w:hAnsi="宋体" w:cs="宋体"/>
          <w:sz w:val="28"/>
          <w:szCs w:val="28"/>
        </w:rPr>
        <w:fldChar w:fldCharType="end"/>
      </w:r>
    </w:p>
    <w:p w14:paraId="3A0536C4">
      <w:pPr>
        <w:pStyle w:val="22"/>
        <w:tabs>
          <w:tab w:val="right" w:leader="dot" w:pos="8306"/>
          <w:tab w:val="clear" w:pos="8296"/>
        </w:tabs>
        <w:rPr>
          <w:rFonts w:ascii="宋体" w:hAnsi="宋体" w:cs="宋体"/>
          <w:sz w:val="28"/>
          <w:szCs w:val="28"/>
        </w:rPr>
      </w:pPr>
      <w:r>
        <w:fldChar w:fldCharType="begin"/>
      </w:r>
      <w:r>
        <w:instrText xml:space="preserve"> HYPERLINK \l "_Toc25115" </w:instrText>
      </w:r>
      <w:r>
        <w:fldChar w:fldCharType="separate"/>
      </w:r>
      <w:r>
        <w:rPr>
          <w:rFonts w:hint="eastAsia" w:ascii="宋体" w:hAnsi="宋体" w:cs="宋体"/>
          <w:sz w:val="28"/>
          <w:szCs w:val="28"/>
        </w:rPr>
        <w:t>第一节  总体要求</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_Toc25115 \h </w:instrText>
      </w:r>
      <w:r>
        <w:rPr>
          <w:rFonts w:hint="eastAsia" w:ascii="宋体" w:hAnsi="宋体" w:cs="宋体"/>
          <w:sz w:val="28"/>
          <w:szCs w:val="28"/>
        </w:rPr>
        <w:fldChar w:fldCharType="separate"/>
      </w:r>
      <w:r>
        <w:rPr>
          <w:rFonts w:hint="eastAsia" w:ascii="宋体" w:hAnsi="宋体" w:cs="宋体"/>
          <w:sz w:val="28"/>
          <w:szCs w:val="28"/>
        </w:rPr>
        <w:t>93</w:t>
      </w:r>
      <w:r>
        <w:rPr>
          <w:rFonts w:hint="eastAsia" w:ascii="宋体" w:hAnsi="宋体" w:cs="宋体"/>
          <w:sz w:val="28"/>
          <w:szCs w:val="28"/>
        </w:rPr>
        <w:fldChar w:fldCharType="end"/>
      </w:r>
      <w:r>
        <w:rPr>
          <w:rFonts w:hint="eastAsia" w:ascii="宋体" w:hAnsi="宋体" w:cs="宋体"/>
          <w:sz w:val="28"/>
          <w:szCs w:val="28"/>
        </w:rPr>
        <w:fldChar w:fldCharType="end"/>
      </w:r>
    </w:p>
    <w:p w14:paraId="4D73AF50">
      <w:pPr>
        <w:pStyle w:val="22"/>
        <w:tabs>
          <w:tab w:val="right" w:leader="dot" w:pos="8306"/>
          <w:tab w:val="clear" w:pos="8296"/>
        </w:tabs>
        <w:rPr>
          <w:rFonts w:ascii="宋体" w:hAnsi="宋体" w:cs="宋体"/>
          <w:sz w:val="28"/>
          <w:szCs w:val="28"/>
        </w:rPr>
      </w:pPr>
      <w:r>
        <w:fldChar w:fldCharType="begin"/>
      </w:r>
      <w:r>
        <w:instrText xml:space="preserve"> HYPERLINK \l "_Toc11398" </w:instrText>
      </w:r>
      <w:r>
        <w:fldChar w:fldCharType="separate"/>
      </w:r>
      <w:r>
        <w:rPr>
          <w:rFonts w:hint="eastAsia" w:ascii="宋体" w:hAnsi="宋体" w:cs="宋体"/>
          <w:sz w:val="28"/>
          <w:szCs w:val="28"/>
        </w:rPr>
        <w:t>第二节  主要任务</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_Toc11398 \h </w:instrText>
      </w:r>
      <w:r>
        <w:rPr>
          <w:rFonts w:hint="eastAsia" w:ascii="宋体" w:hAnsi="宋体" w:cs="宋体"/>
          <w:sz w:val="28"/>
          <w:szCs w:val="28"/>
        </w:rPr>
        <w:fldChar w:fldCharType="separate"/>
      </w:r>
      <w:r>
        <w:rPr>
          <w:rFonts w:hint="eastAsia" w:ascii="宋体" w:hAnsi="宋体" w:cs="宋体"/>
          <w:sz w:val="28"/>
          <w:szCs w:val="28"/>
        </w:rPr>
        <w:t>93</w:t>
      </w:r>
      <w:r>
        <w:rPr>
          <w:rFonts w:hint="eastAsia" w:ascii="宋体" w:hAnsi="宋体" w:cs="宋体"/>
          <w:sz w:val="28"/>
          <w:szCs w:val="28"/>
        </w:rPr>
        <w:fldChar w:fldCharType="end"/>
      </w:r>
      <w:r>
        <w:rPr>
          <w:rFonts w:hint="eastAsia" w:ascii="宋体" w:hAnsi="宋体" w:cs="宋体"/>
          <w:sz w:val="28"/>
          <w:szCs w:val="28"/>
        </w:rPr>
        <w:fldChar w:fldCharType="end"/>
      </w:r>
    </w:p>
    <w:p w14:paraId="576867A0">
      <w:pPr>
        <w:pStyle w:val="22"/>
        <w:tabs>
          <w:tab w:val="right" w:leader="dot" w:pos="8306"/>
          <w:tab w:val="clear" w:pos="8296"/>
        </w:tabs>
        <w:rPr>
          <w:rFonts w:ascii="宋体" w:hAnsi="宋体" w:cs="宋体"/>
          <w:sz w:val="28"/>
          <w:szCs w:val="28"/>
        </w:rPr>
      </w:pPr>
      <w:r>
        <w:fldChar w:fldCharType="begin"/>
      </w:r>
      <w:r>
        <w:instrText xml:space="preserve"> HYPERLINK \l "_Toc4156" </w:instrText>
      </w:r>
      <w:r>
        <w:fldChar w:fldCharType="separate"/>
      </w:r>
      <w:r>
        <w:rPr>
          <w:rFonts w:hint="eastAsia" w:ascii="宋体" w:hAnsi="宋体" w:cs="宋体"/>
          <w:sz w:val="28"/>
          <w:szCs w:val="28"/>
        </w:rPr>
        <w:t>第三节  抓好安全教育</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_Toc4156 \h </w:instrText>
      </w:r>
      <w:r>
        <w:rPr>
          <w:rFonts w:hint="eastAsia" w:ascii="宋体" w:hAnsi="宋体" w:cs="宋体"/>
          <w:sz w:val="28"/>
          <w:szCs w:val="28"/>
        </w:rPr>
        <w:fldChar w:fldCharType="separate"/>
      </w:r>
      <w:r>
        <w:rPr>
          <w:rFonts w:hint="eastAsia" w:ascii="宋体" w:hAnsi="宋体" w:cs="宋体"/>
          <w:sz w:val="28"/>
          <w:szCs w:val="28"/>
        </w:rPr>
        <w:t>94</w:t>
      </w:r>
      <w:r>
        <w:rPr>
          <w:rFonts w:hint="eastAsia" w:ascii="宋体" w:hAnsi="宋体" w:cs="宋体"/>
          <w:sz w:val="28"/>
          <w:szCs w:val="28"/>
        </w:rPr>
        <w:fldChar w:fldCharType="end"/>
      </w:r>
      <w:r>
        <w:rPr>
          <w:rFonts w:hint="eastAsia" w:ascii="宋体" w:hAnsi="宋体" w:cs="宋体"/>
          <w:sz w:val="28"/>
          <w:szCs w:val="28"/>
        </w:rPr>
        <w:fldChar w:fldCharType="end"/>
      </w:r>
    </w:p>
    <w:p w14:paraId="27A0FB2F">
      <w:pPr>
        <w:pStyle w:val="22"/>
        <w:tabs>
          <w:tab w:val="right" w:leader="dot" w:pos="8306"/>
          <w:tab w:val="clear" w:pos="8296"/>
        </w:tabs>
        <w:rPr>
          <w:rFonts w:ascii="宋体" w:hAnsi="宋体" w:cs="宋体"/>
          <w:sz w:val="28"/>
          <w:szCs w:val="28"/>
        </w:rPr>
      </w:pPr>
      <w:r>
        <w:fldChar w:fldCharType="begin"/>
      </w:r>
      <w:r>
        <w:instrText xml:space="preserve"> HYPERLINK \l "_Toc2344" </w:instrText>
      </w:r>
      <w:r>
        <w:fldChar w:fldCharType="separate"/>
      </w:r>
      <w:r>
        <w:rPr>
          <w:rFonts w:hint="eastAsia" w:ascii="宋体" w:hAnsi="宋体" w:cs="宋体"/>
          <w:sz w:val="28"/>
          <w:szCs w:val="28"/>
        </w:rPr>
        <w:t>第四节  落实企业安全生产主体责任</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_Toc2344 \h </w:instrText>
      </w:r>
      <w:r>
        <w:rPr>
          <w:rFonts w:hint="eastAsia" w:ascii="宋体" w:hAnsi="宋体" w:cs="宋体"/>
          <w:sz w:val="28"/>
          <w:szCs w:val="28"/>
        </w:rPr>
        <w:fldChar w:fldCharType="separate"/>
      </w:r>
      <w:r>
        <w:rPr>
          <w:rFonts w:hint="eastAsia" w:ascii="宋体" w:hAnsi="宋体" w:cs="宋体"/>
          <w:sz w:val="28"/>
          <w:szCs w:val="28"/>
        </w:rPr>
        <w:t>94</w:t>
      </w:r>
      <w:r>
        <w:rPr>
          <w:rFonts w:hint="eastAsia" w:ascii="宋体" w:hAnsi="宋体" w:cs="宋体"/>
          <w:sz w:val="28"/>
          <w:szCs w:val="28"/>
        </w:rPr>
        <w:fldChar w:fldCharType="end"/>
      </w:r>
      <w:r>
        <w:rPr>
          <w:rFonts w:hint="eastAsia" w:ascii="宋体" w:hAnsi="宋体" w:cs="宋体"/>
          <w:sz w:val="28"/>
          <w:szCs w:val="28"/>
        </w:rPr>
        <w:fldChar w:fldCharType="end"/>
      </w:r>
    </w:p>
    <w:p w14:paraId="0D271A66">
      <w:pPr>
        <w:pStyle w:val="22"/>
        <w:tabs>
          <w:tab w:val="right" w:leader="dot" w:pos="8306"/>
          <w:tab w:val="clear" w:pos="8296"/>
        </w:tabs>
        <w:rPr>
          <w:rFonts w:ascii="宋体" w:hAnsi="宋体" w:cs="宋体"/>
          <w:sz w:val="28"/>
          <w:szCs w:val="28"/>
        </w:rPr>
      </w:pPr>
      <w:r>
        <w:fldChar w:fldCharType="begin"/>
      </w:r>
      <w:r>
        <w:instrText xml:space="preserve"> HYPERLINK \l "_Toc11119" </w:instrText>
      </w:r>
      <w:r>
        <w:fldChar w:fldCharType="separate"/>
      </w:r>
      <w:r>
        <w:rPr>
          <w:rFonts w:hint="eastAsia" w:ascii="宋体" w:hAnsi="宋体" w:cs="宋体"/>
          <w:sz w:val="28"/>
          <w:szCs w:val="28"/>
        </w:rPr>
        <w:t>第五节  持续开展行业安全整治</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_Toc11119 \h </w:instrText>
      </w:r>
      <w:r>
        <w:rPr>
          <w:rFonts w:hint="eastAsia" w:ascii="宋体" w:hAnsi="宋体" w:cs="宋体"/>
          <w:sz w:val="28"/>
          <w:szCs w:val="28"/>
        </w:rPr>
        <w:fldChar w:fldCharType="separate"/>
      </w:r>
      <w:r>
        <w:rPr>
          <w:rFonts w:hint="eastAsia" w:ascii="宋体" w:hAnsi="宋体" w:cs="宋体"/>
          <w:sz w:val="28"/>
          <w:szCs w:val="28"/>
        </w:rPr>
        <w:t>95</w:t>
      </w:r>
      <w:r>
        <w:rPr>
          <w:rFonts w:hint="eastAsia" w:ascii="宋体" w:hAnsi="宋体" w:cs="宋体"/>
          <w:sz w:val="28"/>
          <w:szCs w:val="28"/>
        </w:rPr>
        <w:fldChar w:fldCharType="end"/>
      </w:r>
      <w:r>
        <w:rPr>
          <w:rFonts w:hint="eastAsia" w:ascii="宋体" w:hAnsi="宋体" w:cs="宋体"/>
          <w:sz w:val="28"/>
          <w:szCs w:val="28"/>
        </w:rPr>
        <w:fldChar w:fldCharType="end"/>
      </w:r>
    </w:p>
    <w:p w14:paraId="5DCBFDF9">
      <w:pPr>
        <w:pStyle w:val="11"/>
        <w:tabs>
          <w:tab w:val="right" w:leader="dot" w:pos="8306"/>
          <w:tab w:val="clear" w:pos="8296"/>
        </w:tabs>
        <w:rPr>
          <w:rFonts w:ascii="宋体" w:hAnsi="宋体" w:cs="宋体"/>
          <w:sz w:val="28"/>
          <w:szCs w:val="28"/>
        </w:rPr>
      </w:pPr>
      <w:r>
        <w:fldChar w:fldCharType="begin"/>
      </w:r>
      <w:r>
        <w:instrText xml:space="preserve"> HYPERLINK \l "_Toc29162" </w:instrText>
      </w:r>
      <w:r>
        <w:fldChar w:fldCharType="separate"/>
      </w:r>
      <w:r>
        <w:rPr>
          <w:rFonts w:hint="eastAsia" w:ascii="宋体" w:hAnsi="宋体" w:cs="宋体"/>
          <w:sz w:val="28"/>
          <w:szCs w:val="28"/>
        </w:rPr>
        <w:t>一、城镇燃气安全整治</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_Toc29162 \h </w:instrText>
      </w:r>
      <w:r>
        <w:rPr>
          <w:rFonts w:hint="eastAsia" w:ascii="宋体" w:hAnsi="宋体" w:cs="宋体"/>
          <w:sz w:val="28"/>
          <w:szCs w:val="28"/>
        </w:rPr>
        <w:fldChar w:fldCharType="separate"/>
      </w:r>
      <w:r>
        <w:rPr>
          <w:rFonts w:hint="eastAsia" w:ascii="宋体" w:hAnsi="宋体" w:cs="宋体"/>
          <w:sz w:val="28"/>
          <w:szCs w:val="28"/>
        </w:rPr>
        <w:t>95</w:t>
      </w:r>
      <w:r>
        <w:rPr>
          <w:rFonts w:hint="eastAsia" w:ascii="宋体" w:hAnsi="宋体" w:cs="宋体"/>
          <w:sz w:val="28"/>
          <w:szCs w:val="28"/>
        </w:rPr>
        <w:fldChar w:fldCharType="end"/>
      </w:r>
      <w:r>
        <w:rPr>
          <w:rFonts w:hint="eastAsia" w:ascii="宋体" w:hAnsi="宋体" w:cs="宋体"/>
          <w:sz w:val="28"/>
          <w:szCs w:val="28"/>
        </w:rPr>
        <w:fldChar w:fldCharType="end"/>
      </w:r>
    </w:p>
    <w:p w14:paraId="5204810D">
      <w:pPr>
        <w:pStyle w:val="11"/>
        <w:tabs>
          <w:tab w:val="right" w:leader="dot" w:pos="8306"/>
          <w:tab w:val="clear" w:pos="8296"/>
        </w:tabs>
        <w:rPr>
          <w:rFonts w:ascii="宋体" w:hAnsi="宋体" w:cs="宋体"/>
          <w:sz w:val="28"/>
          <w:szCs w:val="28"/>
        </w:rPr>
      </w:pPr>
      <w:r>
        <w:fldChar w:fldCharType="begin"/>
      </w:r>
      <w:r>
        <w:instrText xml:space="preserve"> HYPERLINK \l "_Toc22839" </w:instrText>
      </w:r>
      <w:r>
        <w:fldChar w:fldCharType="separate"/>
      </w:r>
      <w:r>
        <w:rPr>
          <w:rFonts w:hint="eastAsia" w:ascii="宋体" w:hAnsi="宋体" w:cs="宋体"/>
          <w:sz w:val="28"/>
          <w:szCs w:val="28"/>
        </w:rPr>
        <w:t>二、园林行业安全整治</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_Toc22839 \h </w:instrText>
      </w:r>
      <w:r>
        <w:rPr>
          <w:rFonts w:hint="eastAsia" w:ascii="宋体" w:hAnsi="宋体" w:cs="宋体"/>
          <w:sz w:val="28"/>
          <w:szCs w:val="28"/>
        </w:rPr>
        <w:fldChar w:fldCharType="separate"/>
      </w:r>
      <w:r>
        <w:rPr>
          <w:rFonts w:hint="eastAsia" w:ascii="宋体" w:hAnsi="宋体" w:cs="宋体"/>
          <w:sz w:val="28"/>
          <w:szCs w:val="28"/>
        </w:rPr>
        <w:t>96</w:t>
      </w:r>
      <w:r>
        <w:rPr>
          <w:rFonts w:hint="eastAsia" w:ascii="宋体" w:hAnsi="宋体" w:cs="宋体"/>
          <w:sz w:val="28"/>
          <w:szCs w:val="28"/>
        </w:rPr>
        <w:fldChar w:fldCharType="end"/>
      </w:r>
      <w:r>
        <w:rPr>
          <w:rFonts w:hint="eastAsia" w:ascii="宋体" w:hAnsi="宋体" w:cs="宋体"/>
          <w:sz w:val="28"/>
          <w:szCs w:val="28"/>
        </w:rPr>
        <w:fldChar w:fldCharType="end"/>
      </w:r>
    </w:p>
    <w:p w14:paraId="6E8CBCC7">
      <w:pPr>
        <w:pStyle w:val="11"/>
        <w:tabs>
          <w:tab w:val="right" w:leader="dot" w:pos="8306"/>
          <w:tab w:val="clear" w:pos="8296"/>
        </w:tabs>
        <w:rPr>
          <w:rFonts w:ascii="宋体" w:hAnsi="宋体" w:cs="宋体"/>
          <w:sz w:val="28"/>
          <w:szCs w:val="28"/>
        </w:rPr>
      </w:pPr>
      <w:r>
        <w:fldChar w:fldCharType="begin"/>
      </w:r>
      <w:r>
        <w:instrText xml:space="preserve"> HYPERLINK \l "_Toc27400" </w:instrText>
      </w:r>
      <w:r>
        <w:fldChar w:fldCharType="separate"/>
      </w:r>
      <w:r>
        <w:rPr>
          <w:rFonts w:hint="eastAsia" w:ascii="宋体" w:hAnsi="宋体" w:cs="宋体"/>
          <w:sz w:val="28"/>
          <w:szCs w:val="28"/>
        </w:rPr>
        <w:t>三、环卫行业安全整治</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_Toc27400 \h </w:instrText>
      </w:r>
      <w:r>
        <w:rPr>
          <w:rFonts w:hint="eastAsia" w:ascii="宋体" w:hAnsi="宋体" w:cs="宋体"/>
          <w:sz w:val="28"/>
          <w:szCs w:val="28"/>
        </w:rPr>
        <w:fldChar w:fldCharType="separate"/>
      </w:r>
      <w:r>
        <w:rPr>
          <w:rFonts w:hint="eastAsia" w:ascii="宋体" w:hAnsi="宋体" w:cs="宋体"/>
          <w:sz w:val="28"/>
          <w:szCs w:val="28"/>
        </w:rPr>
        <w:t>96</w:t>
      </w:r>
      <w:r>
        <w:rPr>
          <w:rFonts w:hint="eastAsia" w:ascii="宋体" w:hAnsi="宋体" w:cs="宋体"/>
          <w:sz w:val="28"/>
          <w:szCs w:val="28"/>
        </w:rPr>
        <w:fldChar w:fldCharType="end"/>
      </w:r>
      <w:r>
        <w:rPr>
          <w:rFonts w:hint="eastAsia" w:ascii="宋体" w:hAnsi="宋体" w:cs="宋体"/>
          <w:sz w:val="28"/>
          <w:szCs w:val="28"/>
        </w:rPr>
        <w:fldChar w:fldCharType="end"/>
      </w:r>
    </w:p>
    <w:p w14:paraId="688F25E0">
      <w:pPr>
        <w:pStyle w:val="11"/>
        <w:tabs>
          <w:tab w:val="right" w:leader="dot" w:pos="8306"/>
          <w:tab w:val="clear" w:pos="8296"/>
        </w:tabs>
        <w:rPr>
          <w:rFonts w:ascii="宋体" w:hAnsi="宋体" w:cs="宋体"/>
          <w:sz w:val="28"/>
          <w:szCs w:val="28"/>
        </w:rPr>
      </w:pPr>
      <w:r>
        <w:fldChar w:fldCharType="begin"/>
      </w:r>
      <w:r>
        <w:instrText xml:space="preserve"> HYPERLINK \l "_Toc13980" </w:instrText>
      </w:r>
      <w:r>
        <w:fldChar w:fldCharType="separate"/>
      </w:r>
      <w:r>
        <w:rPr>
          <w:rFonts w:hint="eastAsia" w:ascii="宋体" w:hAnsi="宋体" w:cs="宋体"/>
          <w:sz w:val="28"/>
          <w:szCs w:val="28"/>
        </w:rPr>
        <w:t>四、城区户外广告安全整治</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_Toc13980 \h </w:instrText>
      </w:r>
      <w:r>
        <w:rPr>
          <w:rFonts w:hint="eastAsia" w:ascii="宋体" w:hAnsi="宋体" w:cs="宋体"/>
          <w:sz w:val="28"/>
          <w:szCs w:val="28"/>
        </w:rPr>
        <w:fldChar w:fldCharType="separate"/>
      </w:r>
      <w:r>
        <w:rPr>
          <w:rFonts w:hint="eastAsia" w:ascii="宋体" w:hAnsi="宋体" w:cs="宋体"/>
          <w:sz w:val="28"/>
          <w:szCs w:val="28"/>
        </w:rPr>
        <w:t>96</w:t>
      </w:r>
      <w:r>
        <w:rPr>
          <w:rFonts w:hint="eastAsia" w:ascii="宋体" w:hAnsi="宋体" w:cs="宋体"/>
          <w:sz w:val="28"/>
          <w:szCs w:val="28"/>
        </w:rPr>
        <w:fldChar w:fldCharType="end"/>
      </w:r>
      <w:r>
        <w:rPr>
          <w:rFonts w:hint="eastAsia" w:ascii="宋体" w:hAnsi="宋体" w:cs="宋体"/>
          <w:sz w:val="28"/>
          <w:szCs w:val="28"/>
        </w:rPr>
        <w:fldChar w:fldCharType="end"/>
      </w:r>
    </w:p>
    <w:p w14:paraId="28881386">
      <w:pPr>
        <w:pStyle w:val="11"/>
        <w:tabs>
          <w:tab w:val="right" w:leader="dot" w:pos="8306"/>
          <w:tab w:val="clear" w:pos="8296"/>
        </w:tabs>
        <w:rPr>
          <w:rFonts w:ascii="宋体" w:hAnsi="宋体" w:cs="宋体"/>
          <w:sz w:val="28"/>
          <w:szCs w:val="28"/>
        </w:rPr>
      </w:pPr>
      <w:r>
        <w:fldChar w:fldCharType="begin"/>
      </w:r>
      <w:r>
        <w:instrText xml:space="preserve"> HYPERLINK \l "_Toc2106" </w:instrText>
      </w:r>
      <w:r>
        <w:fldChar w:fldCharType="separate"/>
      </w:r>
      <w:r>
        <w:rPr>
          <w:rFonts w:hint="eastAsia" w:ascii="宋体" w:hAnsi="宋体" w:cs="宋体"/>
          <w:sz w:val="28"/>
          <w:szCs w:val="28"/>
        </w:rPr>
        <w:t>五、城市照明设施安全整治</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_Toc2106 \h </w:instrText>
      </w:r>
      <w:r>
        <w:rPr>
          <w:rFonts w:hint="eastAsia" w:ascii="宋体" w:hAnsi="宋体" w:cs="宋体"/>
          <w:sz w:val="28"/>
          <w:szCs w:val="28"/>
        </w:rPr>
        <w:fldChar w:fldCharType="separate"/>
      </w:r>
      <w:r>
        <w:rPr>
          <w:rFonts w:hint="eastAsia" w:ascii="宋体" w:hAnsi="宋体" w:cs="宋体"/>
          <w:sz w:val="28"/>
          <w:szCs w:val="28"/>
        </w:rPr>
        <w:t>96</w:t>
      </w:r>
      <w:r>
        <w:rPr>
          <w:rFonts w:hint="eastAsia" w:ascii="宋体" w:hAnsi="宋体" w:cs="宋体"/>
          <w:sz w:val="28"/>
          <w:szCs w:val="28"/>
        </w:rPr>
        <w:fldChar w:fldCharType="end"/>
      </w:r>
      <w:r>
        <w:rPr>
          <w:rFonts w:hint="eastAsia" w:ascii="宋体" w:hAnsi="宋体" w:cs="宋体"/>
          <w:sz w:val="28"/>
          <w:szCs w:val="28"/>
        </w:rPr>
        <w:fldChar w:fldCharType="end"/>
      </w:r>
    </w:p>
    <w:p w14:paraId="4AE52C7B">
      <w:pPr>
        <w:pStyle w:val="11"/>
        <w:tabs>
          <w:tab w:val="right" w:leader="dot" w:pos="8306"/>
          <w:tab w:val="clear" w:pos="8296"/>
        </w:tabs>
        <w:rPr>
          <w:rFonts w:ascii="宋体" w:hAnsi="宋体" w:cs="宋体"/>
          <w:sz w:val="28"/>
          <w:szCs w:val="28"/>
        </w:rPr>
      </w:pPr>
      <w:r>
        <w:fldChar w:fldCharType="begin"/>
      </w:r>
      <w:r>
        <w:instrText xml:space="preserve"> HYPERLINK \l "_Toc4095" </w:instrText>
      </w:r>
      <w:r>
        <w:fldChar w:fldCharType="separate"/>
      </w:r>
      <w:r>
        <w:rPr>
          <w:rFonts w:hint="eastAsia" w:ascii="宋体" w:hAnsi="宋体" w:cs="宋体"/>
          <w:sz w:val="28"/>
          <w:szCs w:val="28"/>
        </w:rPr>
        <w:t>六、公共自行车设施安全整治</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_Toc4095 \h </w:instrText>
      </w:r>
      <w:r>
        <w:rPr>
          <w:rFonts w:hint="eastAsia" w:ascii="宋体" w:hAnsi="宋体" w:cs="宋体"/>
          <w:sz w:val="28"/>
          <w:szCs w:val="28"/>
        </w:rPr>
        <w:fldChar w:fldCharType="separate"/>
      </w:r>
      <w:r>
        <w:rPr>
          <w:rFonts w:hint="eastAsia" w:ascii="宋体" w:hAnsi="宋体" w:cs="宋体"/>
          <w:sz w:val="28"/>
          <w:szCs w:val="28"/>
        </w:rPr>
        <w:t>97</w:t>
      </w:r>
      <w:r>
        <w:rPr>
          <w:rFonts w:hint="eastAsia" w:ascii="宋体" w:hAnsi="宋体" w:cs="宋体"/>
          <w:sz w:val="28"/>
          <w:szCs w:val="28"/>
        </w:rPr>
        <w:fldChar w:fldCharType="end"/>
      </w:r>
      <w:r>
        <w:rPr>
          <w:rFonts w:hint="eastAsia" w:ascii="宋体" w:hAnsi="宋体" w:cs="宋体"/>
          <w:sz w:val="28"/>
          <w:szCs w:val="28"/>
        </w:rPr>
        <w:fldChar w:fldCharType="end"/>
      </w:r>
    </w:p>
    <w:p w14:paraId="3268D3BC">
      <w:pPr>
        <w:pStyle w:val="11"/>
        <w:tabs>
          <w:tab w:val="right" w:leader="dot" w:pos="8306"/>
          <w:tab w:val="clear" w:pos="8296"/>
        </w:tabs>
        <w:rPr>
          <w:rFonts w:ascii="宋体" w:hAnsi="宋体" w:cs="宋体"/>
          <w:sz w:val="28"/>
          <w:szCs w:val="28"/>
        </w:rPr>
      </w:pPr>
      <w:r>
        <w:fldChar w:fldCharType="begin"/>
      </w:r>
      <w:r>
        <w:instrText xml:space="preserve"> HYPERLINK \l "_Toc30144" </w:instrText>
      </w:r>
      <w:r>
        <w:fldChar w:fldCharType="separate"/>
      </w:r>
      <w:r>
        <w:rPr>
          <w:rFonts w:hint="eastAsia" w:ascii="宋体" w:hAnsi="宋体" w:cs="宋体"/>
          <w:sz w:val="28"/>
          <w:szCs w:val="28"/>
        </w:rPr>
        <w:t>七、工程建设项目安全整治</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_Toc30144 \h </w:instrText>
      </w:r>
      <w:r>
        <w:rPr>
          <w:rFonts w:hint="eastAsia" w:ascii="宋体" w:hAnsi="宋体" w:cs="宋体"/>
          <w:sz w:val="28"/>
          <w:szCs w:val="28"/>
        </w:rPr>
        <w:fldChar w:fldCharType="separate"/>
      </w:r>
      <w:r>
        <w:rPr>
          <w:rFonts w:hint="eastAsia" w:ascii="宋体" w:hAnsi="宋体" w:cs="宋体"/>
          <w:sz w:val="28"/>
          <w:szCs w:val="28"/>
        </w:rPr>
        <w:t>97</w:t>
      </w:r>
      <w:r>
        <w:rPr>
          <w:rFonts w:hint="eastAsia" w:ascii="宋体" w:hAnsi="宋体" w:cs="宋体"/>
          <w:sz w:val="28"/>
          <w:szCs w:val="28"/>
        </w:rPr>
        <w:fldChar w:fldCharType="end"/>
      </w:r>
      <w:r>
        <w:rPr>
          <w:rFonts w:hint="eastAsia" w:ascii="宋体" w:hAnsi="宋体" w:cs="宋体"/>
          <w:sz w:val="28"/>
          <w:szCs w:val="28"/>
        </w:rPr>
        <w:fldChar w:fldCharType="end"/>
      </w:r>
    </w:p>
    <w:p w14:paraId="7661D779">
      <w:pPr>
        <w:pStyle w:val="11"/>
        <w:tabs>
          <w:tab w:val="right" w:leader="dot" w:pos="8306"/>
          <w:tab w:val="clear" w:pos="8296"/>
        </w:tabs>
        <w:rPr>
          <w:rFonts w:ascii="宋体" w:hAnsi="宋体" w:cs="宋体"/>
          <w:sz w:val="28"/>
          <w:szCs w:val="28"/>
        </w:rPr>
      </w:pPr>
      <w:r>
        <w:fldChar w:fldCharType="begin"/>
      </w:r>
      <w:r>
        <w:instrText xml:space="preserve"> HYPERLINK \l "_Toc13437" </w:instrText>
      </w:r>
      <w:r>
        <w:fldChar w:fldCharType="separate"/>
      </w:r>
      <w:r>
        <w:rPr>
          <w:rFonts w:hint="eastAsia" w:ascii="宋体" w:hAnsi="宋体" w:cs="宋体"/>
          <w:sz w:val="28"/>
          <w:szCs w:val="28"/>
        </w:rPr>
        <w:t>八、“打非治违”专项整治</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_Toc13437 \h </w:instrText>
      </w:r>
      <w:r>
        <w:rPr>
          <w:rFonts w:hint="eastAsia" w:ascii="宋体" w:hAnsi="宋体" w:cs="宋体"/>
          <w:sz w:val="28"/>
          <w:szCs w:val="28"/>
        </w:rPr>
        <w:fldChar w:fldCharType="separate"/>
      </w:r>
      <w:r>
        <w:rPr>
          <w:rFonts w:hint="eastAsia" w:ascii="宋体" w:hAnsi="宋体" w:cs="宋体"/>
          <w:sz w:val="28"/>
          <w:szCs w:val="28"/>
        </w:rPr>
        <w:t>97</w:t>
      </w:r>
      <w:r>
        <w:rPr>
          <w:rFonts w:hint="eastAsia" w:ascii="宋体" w:hAnsi="宋体" w:cs="宋体"/>
          <w:sz w:val="28"/>
          <w:szCs w:val="28"/>
        </w:rPr>
        <w:fldChar w:fldCharType="end"/>
      </w:r>
      <w:r>
        <w:rPr>
          <w:rFonts w:hint="eastAsia" w:ascii="宋体" w:hAnsi="宋体" w:cs="宋体"/>
          <w:sz w:val="28"/>
          <w:szCs w:val="28"/>
        </w:rPr>
        <w:fldChar w:fldCharType="end"/>
      </w:r>
    </w:p>
    <w:p w14:paraId="51B9CAC7">
      <w:pPr>
        <w:pStyle w:val="11"/>
        <w:tabs>
          <w:tab w:val="right" w:leader="dot" w:pos="8306"/>
          <w:tab w:val="clear" w:pos="8296"/>
        </w:tabs>
        <w:rPr>
          <w:rFonts w:ascii="宋体" w:hAnsi="宋体" w:cs="宋体"/>
          <w:sz w:val="28"/>
          <w:szCs w:val="28"/>
        </w:rPr>
      </w:pPr>
      <w:r>
        <w:fldChar w:fldCharType="begin"/>
      </w:r>
      <w:r>
        <w:instrText xml:space="preserve"> HYPERLINK \l "_Toc12982" </w:instrText>
      </w:r>
      <w:r>
        <w:fldChar w:fldCharType="separate"/>
      </w:r>
      <w:r>
        <w:rPr>
          <w:rFonts w:hint="eastAsia" w:ascii="宋体" w:hAnsi="宋体" w:cs="宋体"/>
          <w:sz w:val="28"/>
          <w:szCs w:val="28"/>
        </w:rPr>
        <w:t>九、推行重大事项稳评机制</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_Toc12982 \h </w:instrText>
      </w:r>
      <w:r>
        <w:rPr>
          <w:rFonts w:hint="eastAsia" w:ascii="宋体" w:hAnsi="宋体" w:cs="宋体"/>
          <w:sz w:val="28"/>
          <w:szCs w:val="28"/>
        </w:rPr>
        <w:fldChar w:fldCharType="separate"/>
      </w:r>
      <w:r>
        <w:rPr>
          <w:rFonts w:hint="eastAsia" w:ascii="宋体" w:hAnsi="宋体" w:cs="宋体"/>
          <w:sz w:val="28"/>
          <w:szCs w:val="28"/>
        </w:rPr>
        <w:t>97</w:t>
      </w:r>
      <w:r>
        <w:rPr>
          <w:rFonts w:hint="eastAsia" w:ascii="宋体" w:hAnsi="宋体" w:cs="宋体"/>
          <w:sz w:val="28"/>
          <w:szCs w:val="28"/>
        </w:rPr>
        <w:fldChar w:fldCharType="end"/>
      </w:r>
      <w:r>
        <w:rPr>
          <w:rFonts w:hint="eastAsia" w:ascii="宋体" w:hAnsi="宋体" w:cs="宋体"/>
          <w:sz w:val="28"/>
          <w:szCs w:val="28"/>
        </w:rPr>
        <w:fldChar w:fldCharType="end"/>
      </w:r>
    </w:p>
    <w:p w14:paraId="43249965">
      <w:pPr>
        <w:pStyle w:val="19"/>
        <w:tabs>
          <w:tab w:val="right" w:leader="dot" w:pos="8306"/>
          <w:tab w:val="clear" w:pos="8296"/>
        </w:tabs>
        <w:rPr>
          <w:rFonts w:ascii="宋体" w:hAnsi="宋体" w:cs="宋体"/>
          <w:sz w:val="28"/>
          <w:szCs w:val="28"/>
        </w:rPr>
      </w:pPr>
      <w:r>
        <w:fldChar w:fldCharType="begin"/>
      </w:r>
      <w:r>
        <w:instrText xml:space="preserve"> HYPERLINK \l "_Toc10602" </w:instrText>
      </w:r>
      <w:r>
        <w:fldChar w:fldCharType="separate"/>
      </w:r>
      <w:r>
        <w:rPr>
          <w:rFonts w:hint="eastAsia" w:ascii="宋体" w:hAnsi="宋体" w:cs="宋体"/>
          <w:sz w:val="28"/>
          <w:szCs w:val="28"/>
        </w:rPr>
        <w:t>第十一章  构建规划保障体系，全面完成“十四五”目标</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_Toc10602 \h </w:instrText>
      </w:r>
      <w:r>
        <w:rPr>
          <w:rFonts w:hint="eastAsia" w:ascii="宋体" w:hAnsi="宋体" w:cs="宋体"/>
          <w:sz w:val="28"/>
          <w:szCs w:val="28"/>
        </w:rPr>
        <w:fldChar w:fldCharType="separate"/>
      </w:r>
      <w:r>
        <w:rPr>
          <w:rFonts w:hint="eastAsia" w:ascii="宋体" w:hAnsi="宋体" w:cs="宋体"/>
          <w:sz w:val="28"/>
          <w:szCs w:val="28"/>
        </w:rPr>
        <w:t>98</w:t>
      </w:r>
      <w:r>
        <w:rPr>
          <w:rFonts w:hint="eastAsia" w:ascii="宋体" w:hAnsi="宋体" w:cs="宋体"/>
          <w:sz w:val="28"/>
          <w:szCs w:val="28"/>
        </w:rPr>
        <w:fldChar w:fldCharType="end"/>
      </w:r>
      <w:r>
        <w:rPr>
          <w:rFonts w:hint="eastAsia" w:ascii="宋体" w:hAnsi="宋体" w:cs="宋体"/>
          <w:sz w:val="28"/>
          <w:szCs w:val="28"/>
        </w:rPr>
        <w:fldChar w:fldCharType="end"/>
      </w:r>
    </w:p>
    <w:p w14:paraId="6F8C1821">
      <w:pPr>
        <w:pStyle w:val="22"/>
        <w:tabs>
          <w:tab w:val="right" w:leader="dot" w:pos="8306"/>
          <w:tab w:val="clear" w:pos="8296"/>
        </w:tabs>
        <w:rPr>
          <w:rFonts w:ascii="宋体" w:hAnsi="宋体" w:cs="宋体"/>
          <w:sz w:val="28"/>
          <w:szCs w:val="28"/>
        </w:rPr>
      </w:pPr>
      <w:r>
        <w:fldChar w:fldCharType="begin"/>
      </w:r>
      <w:r>
        <w:instrText xml:space="preserve"> HYPERLINK \l "_Toc20258" </w:instrText>
      </w:r>
      <w:r>
        <w:fldChar w:fldCharType="separate"/>
      </w:r>
      <w:r>
        <w:rPr>
          <w:rFonts w:hint="eastAsia" w:ascii="宋体" w:hAnsi="宋体" w:cs="宋体"/>
          <w:sz w:val="28"/>
          <w:szCs w:val="28"/>
        </w:rPr>
        <w:t>第一节  健全管理保障体系</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_Toc20258 \h </w:instrText>
      </w:r>
      <w:r>
        <w:rPr>
          <w:rFonts w:hint="eastAsia" w:ascii="宋体" w:hAnsi="宋体" w:cs="宋体"/>
          <w:sz w:val="28"/>
          <w:szCs w:val="28"/>
        </w:rPr>
        <w:fldChar w:fldCharType="separate"/>
      </w:r>
      <w:r>
        <w:rPr>
          <w:rFonts w:hint="eastAsia" w:ascii="宋体" w:hAnsi="宋体" w:cs="宋体"/>
          <w:sz w:val="28"/>
          <w:szCs w:val="28"/>
        </w:rPr>
        <w:t>98</w:t>
      </w:r>
      <w:r>
        <w:rPr>
          <w:rFonts w:hint="eastAsia" w:ascii="宋体" w:hAnsi="宋体" w:cs="宋体"/>
          <w:sz w:val="28"/>
          <w:szCs w:val="28"/>
        </w:rPr>
        <w:fldChar w:fldCharType="end"/>
      </w:r>
      <w:r>
        <w:rPr>
          <w:rFonts w:hint="eastAsia" w:ascii="宋体" w:hAnsi="宋体" w:cs="宋体"/>
          <w:sz w:val="28"/>
          <w:szCs w:val="28"/>
        </w:rPr>
        <w:fldChar w:fldCharType="end"/>
      </w:r>
    </w:p>
    <w:p w14:paraId="207A6782">
      <w:pPr>
        <w:pStyle w:val="11"/>
        <w:tabs>
          <w:tab w:val="right" w:leader="dot" w:pos="8306"/>
          <w:tab w:val="clear" w:pos="8296"/>
        </w:tabs>
        <w:rPr>
          <w:rFonts w:ascii="宋体" w:hAnsi="宋体" w:cs="宋体"/>
          <w:sz w:val="28"/>
          <w:szCs w:val="28"/>
        </w:rPr>
      </w:pPr>
      <w:r>
        <w:fldChar w:fldCharType="begin"/>
      </w:r>
      <w:r>
        <w:instrText xml:space="preserve"> HYPERLINK \l "_Toc26287" </w:instrText>
      </w:r>
      <w:r>
        <w:fldChar w:fldCharType="separate"/>
      </w:r>
      <w:r>
        <w:rPr>
          <w:rFonts w:hint="eastAsia" w:ascii="宋体" w:hAnsi="宋体" w:cs="宋体"/>
          <w:sz w:val="28"/>
          <w:szCs w:val="28"/>
        </w:rPr>
        <w:t>一、 加强党领导的规划管理</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_Toc26287 \h </w:instrText>
      </w:r>
      <w:r>
        <w:rPr>
          <w:rFonts w:hint="eastAsia" w:ascii="宋体" w:hAnsi="宋体" w:cs="宋体"/>
          <w:sz w:val="28"/>
          <w:szCs w:val="28"/>
        </w:rPr>
        <w:fldChar w:fldCharType="separate"/>
      </w:r>
      <w:r>
        <w:rPr>
          <w:rFonts w:hint="eastAsia" w:ascii="宋体" w:hAnsi="宋体" w:cs="宋体"/>
          <w:sz w:val="28"/>
          <w:szCs w:val="28"/>
        </w:rPr>
        <w:t>98</w:t>
      </w:r>
      <w:r>
        <w:rPr>
          <w:rFonts w:hint="eastAsia" w:ascii="宋体" w:hAnsi="宋体" w:cs="宋体"/>
          <w:sz w:val="28"/>
          <w:szCs w:val="28"/>
        </w:rPr>
        <w:fldChar w:fldCharType="end"/>
      </w:r>
      <w:r>
        <w:rPr>
          <w:rFonts w:hint="eastAsia" w:ascii="宋体" w:hAnsi="宋体" w:cs="宋体"/>
          <w:sz w:val="28"/>
          <w:szCs w:val="28"/>
        </w:rPr>
        <w:fldChar w:fldCharType="end"/>
      </w:r>
    </w:p>
    <w:p w14:paraId="0BB48FF3">
      <w:pPr>
        <w:pStyle w:val="11"/>
        <w:tabs>
          <w:tab w:val="right" w:leader="dot" w:pos="8306"/>
          <w:tab w:val="clear" w:pos="8296"/>
        </w:tabs>
        <w:rPr>
          <w:rFonts w:ascii="宋体" w:hAnsi="宋体" w:cs="宋体"/>
          <w:sz w:val="28"/>
          <w:szCs w:val="28"/>
        </w:rPr>
      </w:pPr>
      <w:r>
        <w:fldChar w:fldCharType="begin"/>
      </w:r>
      <w:r>
        <w:instrText xml:space="preserve"> HYPERLINK \l "_Toc21339" </w:instrText>
      </w:r>
      <w:r>
        <w:fldChar w:fldCharType="separate"/>
      </w:r>
      <w:r>
        <w:rPr>
          <w:rFonts w:hint="eastAsia" w:ascii="宋体" w:hAnsi="宋体" w:cs="宋体"/>
          <w:sz w:val="28"/>
          <w:szCs w:val="28"/>
        </w:rPr>
        <w:t>二、 完善政策法规体系</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_Toc21339 \h </w:instrText>
      </w:r>
      <w:r>
        <w:rPr>
          <w:rFonts w:hint="eastAsia" w:ascii="宋体" w:hAnsi="宋体" w:cs="宋体"/>
          <w:sz w:val="28"/>
          <w:szCs w:val="28"/>
        </w:rPr>
        <w:fldChar w:fldCharType="separate"/>
      </w:r>
      <w:r>
        <w:rPr>
          <w:rFonts w:hint="eastAsia" w:ascii="宋体" w:hAnsi="宋体" w:cs="宋体"/>
          <w:sz w:val="28"/>
          <w:szCs w:val="28"/>
        </w:rPr>
        <w:t>98</w:t>
      </w:r>
      <w:r>
        <w:rPr>
          <w:rFonts w:hint="eastAsia" w:ascii="宋体" w:hAnsi="宋体" w:cs="宋体"/>
          <w:sz w:val="28"/>
          <w:szCs w:val="28"/>
        </w:rPr>
        <w:fldChar w:fldCharType="end"/>
      </w:r>
      <w:r>
        <w:rPr>
          <w:rFonts w:hint="eastAsia" w:ascii="宋体" w:hAnsi="宋体" w:cs="宋体"/>
          <w:sz w:val="28"/>
          <w:szCs w:val="28"/>
        </w:rPr>
        <w:fldChar w:fldCharType="end"/>
      </w:r>
    </w:p>
    <w:p w14:paraId="053C7CF2">
      <w:pPr>
        <w:pStyle w:val="11"/>
        <w:tabs>
          <w:tab w:val="right" w:leader="dot" w:pos="8306"/>
          <w:tab w:val="clear" w:pos="8296"/>
        </w:tabs>
        <w:rPr>
          <w:rFonts w:ascii="宋体" w:hAnsi="宋体" w:cs="宋体"/>
          <w:sz w:val="28"/>
          <w:szCs w:val="28"/>
        </w:rPr>
      </w:pPr>
      <w:r>
        <w:fldChar w:fldCharType="begin"/>
      </w:r>
      <w:r>
        <w:instrText xml:space="preserve"> HYPERLINK \l "_Toc19215" </w:instrText>
      </w:r>
      <w:r>
        <w:fldChar w:fldCharType="separate"/>
      </w:r>
      <w:r>
        <w:rPr>
          <w:rFonts w:hint="eastAsia" w:ascii="宋体" w:hAnsi="宋体" w:cs="宋体"/>
          <w:sz w:val="28"/>
          <w:szCs w:val="28"/>
        </w:rPr>
        <w:t>三、 严格规划实施评估</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_Toc19215 \h </w:instrText>
      </w:r>
      <w:r>
        <w:rPr>
          <w:rFonts w:hint="eastAsia" w:ascii="宋体" w:hAnsi="宋体" w:cs="宋体"/>
          <w:sz w:val="28"/>
          <w:szCs w:val="28"/>
        </w:rPr>
        <w:fldChar w:fldCharType="separate"/>
      </w:r>
      <w:r>
        <w:rPr>
          <w:rFonts w:hint="eastAsia" w:ascii="宋体" w:hAnsi="宋体" w:cs="宋体"/>
          <w:sz w:val="28"/>
          <w:szCs w:val="28"/>
        </w:rPr>
        <w:t>99</w:t>
      </w:r>
      <w:r>
        <w:rPr>
          <w:rFonts w:hint="eastAsia" w:ascii="宋体" w:hAnsi="宋体" w:cs="宋体"/>
          <w:sz w:val="28"/>
          <w:szCs w:val="28"/>
        </w:rPr>
        <w:fldChar w:fldCharType="end"/>
      </w:r>
      <w:r>
        <w:rPr>
          <w:rFonts w:hint="eastAsia" w:ascii="宋体" w:hAnsi="宋体" w:cs="宋体"/>
          <w:sz w:val="28"/>
          <w:szCs w:val="28"/>
        </w:rPr>
        <w:fldChar w:fldCharType="end"/>
      </w:r>
    </w:p>
    <w:p w14:paraId="2993CDF7">
      <w:pPr>
        <w:pStyle w:val="22"/>
        <w:tabs>
          <w:tab w:val="right" w:leader="dot" w:pos="8306"/>
          <w:tab w:val="clear" w:pos="8296"/>
        </w:tabs>
        <w:rPr>
          <w:rFonts w:ascii="宋体" w:hAnsi="宋体" w:cs="宋体"/>
          <w:sz w:val="28"/>
          <w:szCs w:val="28"/>
        </w:rPr>
      </w:pPr>
      <w:r>
        <w:fldChar w:fldCharType="begin"/>
      </w:r>
      <w:r>
        <w:instrText xml:space="preserve"> HYPERLINK \l "_Toc25529" </w:instrText>
      </w:r>
      <w:r>
        <w:fldChar w:fldCharType="separate"/>
      </w:r>
      <w:r>
        <w:rPr>
          <w:rFonts w:hint="eastAsia" w:ascii="宋体" w:hAnsi="宋体" w:cs="宋体"/>
          <w:sz w:val="28"/>
          <w:szCs w:val="28"/>
        </w:rPr>
        <w:t>第二节  建立投入保障体系</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_Toc25529 \h </w:instrText>
      </w:r>
      <w:r>
        <w:rPr>
          <w:rFonts w:hint="eastAsia" w:ascii="宋体" w:hAnsi="宋体" w:cs="宋体"/>
          <w:sz w:val="28"/>
          <w:szCs w:val="28"/>
        </w:rPr>
        <w:fldChar w:fldCharType="separate"/>
      </w:r>
      <w:r>
        <w:rPr>
          <w:rFonts w:hint="eastAsia" w:ascii="宋体" w:hAnsi="宋体" w:cs="宋体"/>
          <w:sz w:val="28"/>
          <w:szCs w:val="28"/>
        </w:rPr>
        <w:t>99</w:t>
      </w:r>
      <w:r>
        <w:rPr>
          <w:rFonts w:hint="eastAsia" w:ascii="宋体" w:hAnsi="宋体" w:cs="宋体"/>
          <w:sz w:val="28"/>
          <w:szCs w:val="28"/>
        </w:rPr>
        <w:fldChar w:fldCharType="end"/>
      </w:r>
      <w:r>
        <w:rPr>
          <w:rFonts w:hint="eastAsia" w:ascii="宋体" w:hAnsi="宋体" w:cs="宋体"/>
          <w:sz w:val="28"/>
          <w:szCs w:val="28"/>
        </w:rPr>
        <w:fldChar w:fldCharType="end"/>
      </w:r>
    </w:p>
    <w:p w14:paraId="0E560D8A">
      <w:pPr>
        <w:pStyle w:val="11"/>
        <w:tabs>
          <w:tab w:val="right" w:leader="dot" w:pos="8306"/>
          <w:tab w:val="clear" w:pos="8296"/>
        </w:tabs>
        <w:rPr>
          <w:rFonts w:ascii="宋体" w:hAnsi="宋体" w:cs="宋体"/>
          <w:sz w:val="28"/>
          <w:szCs w:val="28"/>
        </w:rPr>
      </w:pPr>
      <w:r>
        <w:fldChar w:fldCharType="begin"/>
      </w:r>
      <w:r>
        <w:instrText xml:space="preserve"> HYPERLINK \l "_Toc12192" </w:instrText>
      </w:r>
      <w:r>
        <w:fldChar w:fldCharType="separate"/>
      </w:r>
      <w:r>
        <w:rPr>
          <w:rFonts w:hint="eastAsia" w:ascii="宋体" w:hAnsi="宋体" w:cs="宋体"/>
          <w:sz w:val="28"/>
          <w:szCs w:val="28"/>
        </w:rPr>
        <w:t>一、 创新经费投入机制</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_Toc12192 \h </w:instrText>
      </w:r>
      <w:r>
        <w:rPr>
          <w:rFonts w:hint="eastAsia" w:ascii="宋体" w:hAnsi="宋体" w:cs="宋体"/>
          <w:sz w:val="28"/>
          <w:szCs w:val="28"/>
        </w:rPr>
        <w:fldChar w:fldCharType="separate"/>
      </w:r>
      <w:r>
        <w:rPr>
          <w:rFonts w:hint="eastAsia" w:ascii="宋体" w:hAnsi="宋体" w:cs="宋体"/>
          <w:sz w:val="28"/>
          <w:szCs w:val="28"/>
        </w:rPr>
        <w:t>99</w:t>
      </w:r>
      <w:r>
        <w:rPr>
          <w:rFonts w:hint="eastAsia" w:ascii="宋体" w:hAnsi="宋体" w:cs="宋体"/>
          <w:sz w:val="28"/>
          <w:szCs w:val="28"/>
        </w:rPr>
        <w:fldChar w:fldCharType="end"/>
      </w:r>
      <w:r>
        <w:rPr>
          <w:rFonts w:hint="eastAsia" w:ascii="宋体" w:hAnsi="宋体" w:cs="宋体"/>
          <w:sz w:val="28"/>
          <w:szCs w:val="28"/>
        </w:rPr>
        <w:fldChar w:fldCharType="end"/>
      </w:r>
    </w:p>
    <w:p w14:paraId="7EABCF67">
      <w:pPr>
        <w:pStyle w:val="11"/>
        <w:tabs>
          <w:tab w:val="right" w:leader="dot" w:pos="8306"/>
          <w:tab w:val="clear" w:pos="8296"/>
        </w:tabs>
        <w:rPr>
          <w:rFonts w:ascii="宋体" w:hAnsi="宋体" w:cs="宋体"/>
          <w:sz w:val="28"/>
          <w:szCs w:val="28"/>
        </w:rPr>
      </w:pPr>
      <w:r>
        <w:fldChar w:fldCharType="begin"/>
      </w:r>
      <w:r>
        <w:instrText xml:space="preserve"> HYPERLINK \l "_Toc2731" </w:instrText>
      </w:r>
      <w:r>
        <w:fldChar w:fldCharType="separate"/>
      </w:r>
      <w:r>
        <w:rPr>
          <w:rFonts w:hint="eastAsia" w:ascii="宋体" w:hAnsi="宋体" w:cs="宋体"/>
          <w:sz w:val="28"/>
          <w:szCs w:val="28"/>
        </w:rPr>
        <w:t>二、加强管理人才队伍建设</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_Toc2731 \h </w:instrText>
      </w:r>
      <w:r>
        <w:rPr>
          <w:rFonts w:hint="eastAsia" w:ascii="宋体" w:hAnsi="宋体" w:cs="宋体"/>
          <w:sz w:val="28"/>
          <w:szCs w:val="28"/>
        </w:rPr>
        <w:fldChar w:fldCharType="separate"/>
      </w:r>
      <w:r>
        <w:rPr>
          <w:rFonts w:hint="eastAsia" w:ascii="宋体" w:hAnsi="宋体" w:cs="宋体"/>
          <w:sz w:val="28"/>
          <w:szCs w:val="28"/>
        </w:rPr>
        <w:t>99</w:t>
      </w:r>
      <w:r>
        <w:rPr>
          <w:rFonts w:hint="eastAsia" w:ascii="宋体" w:hAnsi="宋体" w:cs="宋体"/>
          <w:sz w:val="28"/>
          <w:szCs w:val="28"/>
        </w:rPr>
        <w:fldChar w:fldCharType="end"/>
      </w:r>
      <w:r>
        <w:rPr>
          <w:rFonts w:hint="eastAsia" w:ascii="宋体" w:hAnsi="宋体" w:cs="宋体"/>
          <w:sz w:val="28"/>
          <w:szCs w:val="28"/>
        </w:rPr>
        <w:fldChar w:fldCharType="end"/>
      </w:r>
    </w:p>
    <w:p w14:paraId="4BE0D4CE">
      <w:pPr>
        <w:pStyle w:val="11"/>
        <w:tabs>
          <w:tab w:val="right" w:leader="dot" w:pos="8306"/>
          <w:tab w:val="clear" w:pos="8296"/>
        </w:tabs>
        <w:rPr>
          <w:rFonts w:ascii="宋体" w:hAnsi="宋体" w:cs="宋体"/>
          <w:sz w:val="28"/>
          <w:szCs w:val="28"/>
        </w:rPr>
      </w:pPr>
      <w:r>
        <w:fldChar w:fldCharType="begin"/>
      </w:r>
      <w:r>
        <w:instrText xml:space="preserve"> HYPERLINK \l "_Toc31738" </w:instrText>
      </w:r>
      <w:r>
        <w:fldChar w:fldCharType="separate"/>
      </w:r>
      <w:r>
        <w:rPr>
          <w:rFonts w:hint="eastAsia" w:ascii="宋体" w:hAnsi="宋体" w:cs="宋体"/>
          <w:sz w:val="28"/>
          <w:szCs w:val="28"/>
        </w:rPr>
        <w:t>三、 落实城管设施用地</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_Toc31738 \h </w:instrText>
      </w:r>
      <w:r>
        <w:rPr>
          <w:rFonts w:hint="eastAsia" w:ascii="宋体" w:hAnsi="宋体" w:cs="宋体"/>
          <w:sz w:val="28"/>
          <w:szCs w:val="28"/>
        </w:rPr>
        <w:fldChar w:fldCharType="separate"/>
      </w:r>
      <w:r>
        <w:rPr>
          <w:rFonts w:hint="eastAsia" w:ascii="宋体" w:hAnsi="宋体" w:cs="宋体"/>
          <w:sz w:val="28"/>
          <w:szCs w:val="28"/>
        </w:rPr>
        <w:t>100</w:t>
      </w:r>
      <w:r>
        <w:rPr>
          <w:rFonts w:hint="eastAsia" w:ascii="宋体" w:hAnsi="宋体" w:cs="宋体"/>
          <w:sz w:val="28"/>
          <w:szCs w:val="28"/>
        </w:rPr>
        <w:fldChar w:fldCharType="end"/>
      </w:r>
      <w:r>
        <w:rPr>
          <w:rFonts w:hint="eastAsia" w:ascii="宋体" w:hAnsi="宋体" w:cs="宋体"/>
          <w:sz w:val="28"/>
          <w:szCs w:val="28"/>
        </w:rPr>
        <w:fldChar w:fldCharType="end"/>
      </w:r>
    </w:p>
    <w:p w14:paraId="71C35AE1">
      <w:pPr>
        <w:pStyle w:val="11"/>
        <w:tabs>
          <w:tab w:val="right" w:leader="dot" w:pos="8306"/>
          <w:tab w:val="clear" w:pos="8296"/>
        </w:tabs>
        <w:rPr>
          <w:rFonts w:ascii="宋体" w:hAnsi="宋体" w:cs="宋体"/>
          <w:sz w:val="28"/>
          <w:szCs w:val="28"/>
        </w:rPr>
      </w:pPr>
      <w:r>
        <w:fldChar w:fldCharType="begin"/>
      </w:r>
      <w:r>
        <w:instrText xml:space="preserve"> HYPERLINK \l "_Toc9388" </w:instrText>
      </w:r>
      <w:r>
        <w:fldChar w:fldCharType="separate"/>
      </w:r>
      <w:r>
        <w:rPr>
          <w:rFonts w:hint="eastAsia" w:ascii="宋体" w:hAnsi="宋体" w:cs="宋体"/>
          <w:sz w:val="28"/>
          <w:szCs w:val="28"/>
        </w:rPr>
        <w:t>四、 提升科技信息水平</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_Toc9388 \h </w:instrText>
      </w:r>
      <w:r>
        <w:rPr>
          <w:rFonts w:hint="eastAsia" w:ascii="宋体" w:hAnsi="宋体" w:cs="宋体"/>
          <w:sz w:val="28"/>
          <w:szCs w:val="28"/>
        </w:rPr>
        <w:fldChar w:fldCharType="separate"/>
      </w:r>
      <w:r>
        <w:rPr>
          <w:rFonts w:hint="eastAsia" w:ascii="宋体" w:hAnsi="宋体" w:cs="宋体"/>
          <w:sz w:val="28"/>
          <w:szCs w:val="28"/>
        </w:rPr>
        <w:t>100</w:t>
      </w:r>
      <w:r>
        <w:rPr>
          <w:rFonts w:hint="eastAsia" w:ascii="宋体" w:hAnsi="宋体" w:cs="宋体"/>
          <w:sz w:val="28"/>
          <w:szCs w:val="28"/>
        </w:rPr>
        <w:fldChar w:fldCharType="end"/>
      </w:r>
      <w:r>
        <w:rPr>
          <w:rFonts w:hint="eastAsia" w:ascii="宋体" w:hAnsi="宋体" w:cs="宋体"/>
          <w:sz w:val="28"/>
          <w:szCs w:val="28"/>
        </w:rPr>
        <w:fldChar w:fldCharType="end"/>
      </w:r>
    </w:p>
    <w:p w14:paraId="57BF9484">
      <w:pPr>
        <w:pStyle w:val="11"/>
        <w:tabs>
          <w:tab w:val="right" w:leader="dot" w:pos="8306"/>
          <w:tab w:val="clear" w:pos="8296"/>
        </w:tabs>
        <w:rPr>
          <w:rFonts w:ascii="宋体" w:hAnsi="宋体" w:cs="宋体"/>
          <w:sz w:val="28"/>
          <w:szCs w:val="28"/>
        </w:rPr>
      </w:pPr>
      <w:r>
        <w:fldChar w:fldCharType="begin"/>
      </w:r>
      <w:r>
        <w:instrText xml:space="preserve"> HYPERLINK \l "_Toc26856" </w:instrText>
      </w:r>
      <w:r>
        <w:fldChar w:fldCharType="separate"/>
      </w:r>
      <w:r>
        <w:rPr>
          <w:rFonts w:hint="eastAsia" w:ascii="宋体" w:hAnsi="宋体" w:cs="宋体"/>
          <w:sz w:val="28"/>
          <w:szCs w:val="28"/>
        </w:rPr>
        <w:t>五、 健全社会投入机制</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_Toc26856 \h </w:instrText>
      </w:r>
      <w:r>
        <w:rPr>
          <w:rFonts w:hint="eastAsia" w:ascii="宋体" w:hAnsi="宋体" w:cs="宋体"/>
          <w:sz w:val="28"/>
          <w:szCs w:val="28"/>
        </w:rPr>
        <w:fldChar w:fldCharType="separate"/>
      </w:r>
      <w:r>
        <w:rPr>
          <w:rFonts w:hint="eastAsia" w:ascii="宋体" w:hAnsi="宋体" w:cs="宋体"/>
          <w:sz w:val="28"/>
          <w:szCs w:val="28"/>
        </w:rPr>
        <w:t>101</w:t>
      </w:r>
      <w:r>
        <w:rPr>
          <w:rFonts w:hint="eastAsia" w:ascii="宋体" w:hAnsi="宋体" w:cs="宋体"/>
          <w:sz w:val="28"/>
          <w:szCs w:val="28"/>
        </w:rPr>
        <w:fldChar w:fldCharType="end"/>
      </w:r>
      <w:r>
        <w:rPr>
          <w:rFonts w:hint="eastAsia" w:ascii="宋体" w:hAnsi="宋体" w:cs="宋体"/>
          <w:sz w:val="28"/>
          <w:szCs w:val="28"/>
        </w:rPr>
        <w:fldChar w:fldCharType="end"/>
      </w:r>
    </w:p>
    <w:p w14:paraId="5B5D93D4">
      <w:pPr>
        <w:pStyle w:val="19"/>
        <w:tabs>
          <w:tab w:val="right" w:leader="dot" w:pos="8306"/>
          <w:tab w:val="clear" w:pos="8296"/>
        </w:tabs>
        <w:rPr>
          <w:rFonts w:ascii="宋体" w:hAnsi="宋体" w:cs="宋体"/>
          <w:sz w:val="28"/>
          <w:szCs w:val="28"/>
        </w:rPr>
      </w:pPr>
      <w:r>
        <w:fldChar w:fldCharType="begin"/>
      </w:r>
      <w:r>
        <w:instrText xml:space="preserve"> HYPERLINK \l "_Toc1196" </w:instrText>
      </w:r>
      <w:r>
        <w:fldChar w:fldCharType="separate"/>
      </w:r>
      <w:r>
        <w:rPr>
          <w:rFonts w:hint="eastAsia" w:ascii="宋体" w:hAnsi="宋体" w:cs="宋体"/>
          <w:sz w:val="28"/>
          <w:szCs w:val="28"/>
        </w:rPr>
        <w:t>附件1</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_Toc1196 \h </w:instrText>
      </w:r>
      <w:r>
        <w:rPr>
          <w:rFonts w:hint="eastAsia" w:ascii="宋体" w:hAnsi="宋体" w:cs="宋体"/>
          <w:sz w:val="28"/>
          <w:szCs w:val="28"/>
        </w:rPr>
        <w:fldChar w:fldCharType="separate"/>
      </w:r>
      <w:r>
        <w:rPr>
          <w:rFonts w:hint="eastAsia" w:ascii="宋体" w:hAnsi="宋体" w:cs="宋体"/>
          <w:sz w:val="28"/>
          <w:szCs w:val="28"/>
        </w:rPr>
        <w:t>102</w:t>
      </w:r>
      <w:r>
        <w:rPr>
          <w:rFonts w:hint="eastAsia" w:ascii="宋体" w:hAnsi="宋体" w:cs="宋体"/>
          <w:sz w:val="28"/>
          <w:szCs w:val="28"/>
        </w:rPr>
        <w:fldChar w:fldCharType="end"/>
      </w:r>
      <w:r>
        <w:rPr>
          <w:rFonts w:hint="eastAsia" w:ascii="宋体" w:hAnsi="宋体" w:cs="宋体"/>
          <w:sz w:val="28"/>
          <w:szCs w:val="28"/>
        </w:rPr>
        <w:fldChar w:fldCharType="end"/>
      </w:r>
    </w:p>
    <w:p w14:paraId="2F3AECE6">
      <w:pPr>
        <w:pStyle w:val="19"/>
        <w:tabs>
          <w:tab w:val="right" w:leader="dot" w:pos="8306"/>
          <w:tab w:val="clear" w:pos="8296"/>
        </w:tabs>
        <w:rPr>
          <w:rFonts w:ascii="宋体" w:hAnsi="宋体" w:cs="宋体"/>
          <w:sz w:val="28"/>
          <w:szCs w:val="28"/>
        </w:rPr>
      </w:pPr>
      <w:r>
        <w:fldChar w:fldCharType="begin"/>
      </w:r>
      <w:r>
        <w:instrText xml:space="preserve"> HYPERLINK \l "_Toc19876" </w:instrText>
      </w:r>
      <w:r>
        <w:fldChar w:fldCharType="separate"/>
      </w:r>
      <w:r>
        <w:rPr>
          <w:rFonts w:hint="eastAsia" w:ascii="宋体" w:hAnsi="宋体" w:cs="宋体"/>
          <w:sz w:val="28"/>
          <w:szCs w:val="28"/>
        </w:rPr>
        <w:t>附件2</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_Toc19876 \h </w:instrText>
      </w:r>
      <w:r>
        <w:rPr>
          <w:rFonts w:hint="eastAsia" w:ascii="宋体" w:hAnsi="宋体" w:cs="宋体"/>
          <w:sz w:val="28"/>
          <w:szCs w:val="28"/>
        </w:rPr>
        <w:fldChar w:fldCharType="separate"/>
      </w:r>
      <w:r>
        <w:rPr>
          <w:rFonts w:hint="eastAsia" w:ascii="宋体" w:hAnsi="宋体" w:cs="宋体"/>
          <w:sz w:val="28"/>
          <w:szCs w:val="28"/>
        </w:rPr>
        <w:t>103</w:t>
      </w:r>
      <w:r>
        <w:rPr>
          <w:rFonts w:hint="eastAsia" w:ascii="宋体" w:hAnsi="宋体" w:cs="宋体"/>
          <w:sz w:val="28"/>
          <w:szCs w:val="28"/>
        </w:rPr>
        <w:fldChar w:fldCharType="end"/>
      </w:r>
      <w:r>
        <w:rPr>
          <w:rFonts w:hint="eastAsia" w:ascii="宋体" w:hAnsi="宋体" w:cs="宋体"/>
          <w:sz w:val="28"/>
          <w:szCs w:val="28"/>
        </w:rPr>
        <w:fldChar w:fldCharType="end"/>
      </w:r>
    </w:p>
    <w:p w14:paraId="6CE64622">
      <w:pPr>
        <w:pStyle w:val="19"/>
        <w:tabs>
          <w:tab w:val="right" w:leader="dot" w:pos="8306"/>
          <w:tab w:val="clear" w:pos="8296"/>
        </w:tabs>
        <w:rPr>
          <w:rFonts w:ascii="宋体" w:hAnsi="宋体" w:cs="宋体"/>
          <w:sz w:val="28"/>
          <w:szCs w:val="28"/>
        </w:rPr>
      </w:pPr>
      <w:r>
        <w:fldChar w:fldCharType="begin"/>
      </w:r>
      <w:r>
        <w:instrText xml:space="preserve"> HYPERLINK \l "_Toc23780" </w:instrText>
      </w:r>
      <w:r>
        <w:fldChar w:fldCharType="separate"/>
      </w:r>
      <w:r>
        <w:rPr>
          <w:rFonts w:hint="eastAsia" w:ascii="宋体" w:hAnsi="宋体" w:cs="宋体"/>
          <w:sz w:val="28"/>
          <w:szCs w:val="28"/>
        </w:rPr>
        <w:t>附件3</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_Toc23780 \h </w:instrText>
      </w:r>
      <w:r>
        <w:rPr>
          <w:rFonts w:hint="eastAsia" w:ascii="宋体" w:hAnsi="宋体" w:cs="宋体"/>
          <w:sz w:val="28"/>
          <w:szCs w:val="28"/>
        </w:rPr>
        <w:fldChar w:fldCharType="separate"/>
      </w:r>
      <w:r>
        <w:rPr>
          <w:rFonts w:hint="eastAsia" w:ascii="宋体" w:hAnsi="宋体" w:cs="宋体"/>
          <w:sz w:val="28"/>
          <w:szCs w:val="28"/>
        </w:rPr>
        <w:t>104</w:t>
      </w:r>
      <w:r>
        <w:rPr>
          <w:rFonts w:hint="eastAsia" w:ascii="宋体" w:hAnsi="宋体" w:cs="宋体"/>
          <w:sz w:val="28"/>
          <w:szCs w:val="28"/>
        </w:rPr>
        <w:fldChar w:fldCharType="end"/>
      </w:r>
      <w:r>
        <w:rPr>
          <w:rFonts w:hint="eastAsia" w:ascii="宋体" w:hAnsi="宋体" w:cs="宋体"/>
          <w:sz w:val="28"/>
          <w:szCs w:val="28"/>
        </w:rPr>
        <w:fldChar w:fldCharType="end"/>
      </w:r>
    </w:p>
    <w:p w14:paraId="16197061">
      <w:pPr>
        <w:pStyle w:val="19"/>
        <w:tabs>
          <w:tab w:val="right" w:leader="dot" w:pos="8306"/>
          <w:tab w:val="clear" w:pos="8296"/>
        </w:tabs>
        <w:spacing w:line="400" w:lineRule="exact"/>
        <w:rPr>
          <w:rFonts w:ascii="宋体" w:hAnsi="宋体" w:cs="宋体"/>
          <w:sz w:val="28"/>
          <w:szCs w:val="28"/>
        </w:rPr>
      </w:pPr>
      <w:r>
        <w:rPr>
          <w:rFonts w:hint="eastAsia" w:ascii="宋体" w:hAnsi="宋体" w:cs="宋体"/>
          <w:sz w:val="28"/>
          <w:szCs w:val="28"/>
        </w:rPr>
        <w:fldChar w:fldCharType="end"/>
      </w:r>
    </w:p>
    <w:p w14:paraId="0BD5F35A">
      <w:pPr>
        <w:spacing w:line="400" w:lineRule="exact"/>
        <w:ind w:firstLine="420"/>
        <w:jc w:val="center"/>
        <w:rPr>
          <w:rFonts w:ascii="宋体" w:hAnsi="宋体" w:cs="宋体"/>
          <w:b/>
          <w:sz w:val="28"/>
          <w:szCs w:val="28"/>
        </w:rPr>
        <w:sectPr>
          <w:footerReference r:id="rId11" w:type="first"/>
          <w:footerReference r:id="rId10" w:type="default"/>
          <w:pgSz w:w="11906" w:h="16838"/>
          <w:pgMar w:top="1440" w:right="1800" w:bottom="1440" w:left="1800" w:header="851" w:footer="992" w:gutter="0"/>
          <w:pgNumType w:fmt="upperRoman" w:start="1" w:chapSep="emDash"/>
          <w:cols w:space="425" w:num="1"/>
          <w:titlePg/>
          <w:docGrid w:type="lines" w:linePitch="312" w:charSpace="0"/>
        </w:sectPr>
      </w:pPr>
    </w:p>
    <w:p w14:paraId="68178AC6">
      <w:pPr>
        <w:pStyle w:val="2"/>
        <w:numPr>
          <w:ilvl w:val="0"/>
          <w:numId w:val="0"/>
        </w:numPr>
        <w:spacing w:before="276"/>
        <w:jc w:val="center"/>
        <w:rPr>
          <w:lang w:eastAsia="zh-CN"/>
        </w:rPr>
      </w:pPr>
      <w:bookmarkStart w:id="0" w:name="_Toc11226"/>
      <w:r>
        <w:rPr>
          <w:rFonts w:hint="eastAsia"/>
          <w:lang w:eastAsia="zh-CN"/>
        </w:rPr>
        <w:t>第一章湘潭“十三五”城市管理系统建设工作回顾</w:t>
      </w:r>
      <w:bookmarkEnd w:id="0"/>
    </w:p>
    <w:p w14:paraId="2EE67FAF">
      <w:pPr>
        <w:pStyle w:val="3"/>
        <w:numPr>
          <w:ilvl w:val="0"/>
          <w:numId w:val="0"/>
        </w:numPr>
        <w:spacing w:before="156" w:after="156" w:line="560" w:lineRule="exact"/>
        <w:jc w:val="center"/>
        <w:rPr>
          <w:rFonts w:ascii="宋体" w:hAnsi="宋体" w:cs="宋体"/>
          <w:color w:val="000000" w:themeColor="text1"/>
          <w:sz w:val="30"/>
          <w:szCs w:val="30"/>
        </w:rPr>
      </w:pPr>
    </w:p>
    <w:p w14:paraId="3B7BC90A">
      <w:pPr>
        <w:pStyle w:val="3"/>
        <w:numPr>
          <w:ilvl w:val="0"/>
          <w:numId w:val="0"/>
        </w:numPr>
        <w:spacing w:before="156" w:after="156" w:line="560" w:lineRule="exact"/>
        <w:jc w:val="center"/>
        <w:rPr>
          <w:rFonts w:ascii="宋体" w:hAnsi="宋体" w:cs="宋体"/>
          <w:color w:val="000000" w:themeColor="text1"/>
          <w:sz w:val="30"/>
          <w:szCs w:val="30"/>
        </w:rPr>
      </w:pPr>
      <w:bookmarkStart w:id="1" w:name="_Toc8969"/>
      <w:r>
        <w:rPr>
          <w:rFonts w:hint="eastAsia" w:ascii="宋体" w:hAnsi="宋体" w:cs="宋体"/>
          <w:color w:val="000000" w:themeColor="text1"/>
          <w:sz w:val="30"/>
          <w:szCs w:val="30"/>
        </w:rPr>
        <w:t>第一节  湘潭“十三五”城市管理系统建设工作成绩</w:t>
      </w:r>
      <w:bookmarkEnd w:id="1"/>
    </w:p>
    <w:p w14:paraId="5943D357">
      <w:pPr>
        <w:spacing w:line="560" w:lineRule="exact"/>
        <w:ind w:firstLine="560" w:firstLineChars="200"/>
        <w:rPr>
          <w:rFonts w:ascii="宋体" w:hAnsi="宋体" w:cs="宋体"/>
          <w:b/>
          <w:color w:val="000000" w:themeColor="text1"/>
          <w:sz w:val="28"/>
          <w:szCs w:val="28"/>
        </w:rPr>
      </w:pPr>
      <w:r>
        <w:rPr>
          <w:rFonts w:hint="eastAsia" w:ascii="宋体" w:hAnsi="宋体" w:cs="宋体"/>
          <w:color w:val="000000" w:themeColor="text1"/>
          <w:sz w:val="28"/>
          <w:szCs w:val="28"/>
        </w:rPr>
        <w:t>“十三五”期间，湘潭市城管系统在市委市政府的正确领导下，以习近平新时代中国特色社会主义思想为指导，全面贯彻落实党的十九大、十九届二中、三中、四中、五中全会以及中央、省市城市工作会议精神，全力推进“法治城管、民生城管、智慧城管、人文城管、品质城管”建设，抓好市容提档、秩序优化、环境改善、功能提标、品质升级、生活垃圾分类处置、常态化维护、大型户外广告整治、</w:t>
      </w:r>
      <w:r>
        <w:rPr>
          <w:rFonts w:hint="eastAsia" w:ascii="宋体" w:hAnsi="宋体" w:cs="宋体"/>
          <w:color w:val="000000"/>
          <w:sz w:val="28"/>
          <w:szCs w:val="28"/>
        </w:rPr>
        <w:t>立面改造</w:t>
      </w:r>
      <w:r>
        <w:rPr>
          <w:rFonts w:hint="eastAsia" w:ascii="宋体" w:hAnsi="宋体" w:cs="宋体"/>
          <w:color w:val="000000" w:themeColor="text1"/>
          <w:sz w:val="28"/>
          <w:szCs w:val="28"/>
        </w:rPr>
        <w:t>建设等系列工作，成绩可圈可点，城市干净、整洁、秀美，舒适程度明显提升。</w:t>
      </w:r>
    </w:p>
    <w:p w14:paraId="44343DCF">
      <w:pPr>
        <w:pStyle w:val="4"/>
        <w:numPr>
          <w:ilvl w:val="0"/>
          <w:numId w:val="0"/>
        </w:numPr>
        <w:spacing w:before="120" w:after="156" w:line="560" w:lineRule="exact"/>
        <w:ind w:firstLine="482"/>
        <w:rPr>
          <w:rFonts w:cs="宋体"/>
          <w:color w:val="000000" w:themeColor="text1"/>
          <w:sz w:val="28"/>
          <w:szCs w:val="28"/>
          <w:lang w:eastAsia="zh-CN"/>
        </w:rPr>
      </w:pPr>
      <w:bookmarkStart w:id="2" w:name="_Toc10632"/>
      <w:r>
        <w:rPr>
          <w:rFonts w:hint="eastAsia" w:cs="宋体"/>
          <w:color w:val="000000" w:themeColor="text1"/>
          <w:sz w:val="28"/>
          <w:szCs w:val="28"/>
          <w:lang w:eastAsia="zh-CN"/>
        </w:rPr>
        <w:t>一、巩固了“国家园林城市”成果</w:t>
      </w:r>
      <w:bookmarkEnd w:id="2"/>
    </w:p>
    <w:p w14:paraId="40B043DD">
      <w:pPr>
        <w:spacing w:line="560" w:lineRule="exact"/>
        <w:ind w:firstLine="562" w:firstLineChars="200"/>
        <w:rPr>
          <w:rFonts w:ascii="宋体" w:hAnsi="宋体" w:cs="宋体"/>
          <w:b/>
          <w:color w:val="000000" w:themeColor="text1"/>
          <w:sz w:val="28"/>
          <w:szCs w:val="28"/>
        </w:rPr>
      </w:pPr>
      <w:r>
        <w:rPr>
          <w:rFonts w:hint="eastAsia" w:ascii="宋体" w:hAnsi="宋体" w:cs="宋体"/>
          <w:b/>
          <w:color w:val="000000" w:themeColor="text1"/>
          <w:sz w:val="28"/>
          <w:szCs w:val="28"/>
        </w:rPr>
        <w:t>1．园林景观日新月异</w:t>
      </w:r>
    </w:p>
    <w:p w14:paraId="609967EB">
      <w:pPr>
        <w:spacing w:line="560" w:lineRule="exact"/>
        <w:ind w:firstLine="560" w:firstLineChars="200"/>
        <w:rPr>
          <w:rFonts w:ascii="宋体" w:hAnsi="宋体" w:cs="宋体"/>
          <w:b/>
          <w:bCs/>
          <w:color w:val="000000" w:themeColor="text1"/>
          <w:sz w:val="28"/>
          <w:szCs w:val="28"/>
        </w:rPr>
      </w:pPr>
      <w:r>
        <w:rPr>
          <w:rFonts w:hint="eastAsia" w:ascii="宋体" w:hAnsi="宋体" w:cs="宋体"/>
          <w:color w:val="000000" w:themeColor="text1"/>
          <w:sz w:val="28"/>
          <w:szCs w:val="28"/>
        </w:rPr>
        <w:t>重点建设了万楼文化公园、碧泉湖公园、百亩湖公园、荪湖生态公园、仰天湖公园、湘潭五桥桥头公园、湘潭三桥西桥头公园、湘潭二大桥北桥头公园、湘潭二大桥南桥头公园等公园建设。新增42个社区公园。完成了莲城大道拓宽改造、莲城大道综合提质北二环至长潭西高速、一环东路、熙春北路、万楼东路、护潭东路、护潭西路、潭邵路、四桥西引线、河东大道、四桥东引线、芙蓉大道等综合提质改造项目。完成了盘龙现代农业示范园二期102.5万平方米的建设，积极推进湘潭锰矿独立工矿区废弃地治理工程（矿山公园核心区）项目。</w:t>
      </w:r>
    </w:p>
    <w:p w14:paraId="5E6CC658">
      <w:pPr>
        <w:spacing w:line="560" w:lineRule="exact"/>
        <w:ind w:firstLine="562" w:firstLineChars="200"/>
        <w:rPr>
          <w:rFonts w:ascii="宋体" w:hAnsi="宋体" w:cs="宋体"/>
          <w:b/>
          <w:bCs/>
          <w:color w:val="000000" w:themeColor="text1"/>
          <w:sz w:val="28"/>
          <w:szCs w:val="28"/>
        </w:rPr>
      </w:pPr>
      <w:r>
        <w:rPr>
          <w:rFonts w:hint="eastAsia" w:ascii="宋体" w:hAnsi="宋体" w:cs="宋体"/>
          <w:b/>
          <w:bCs/>
          <w:color w:val="000000" w:themeColor="text1"/>
          <w:sz w:val="28"/>
          <w:szCs w:val="28"/>
        </w:rPr>
        <w:t>2．城市绿化增花添彩</w:t>
      </w:r>
    </w:p>
    <w:p w14:paraId="0C192CF6">
      <w:pPr>
        <w:spacing w:line="560" w:lineRule="exact"/>
        <w:ind w:firstLine="560" w:firstLineChars="200"/>
        <w:rPr>
          <w:rFonts w:ascii="宋体" w:hAnsi="宋体" w:cs="宋体"/>
          <w:b/>
          <w:color w:val="000000" w:themeColor="text1"/>
          <w:sz w:val="28"/>
          <w:szCs w:val="28"/>
        </w:rPr>
      </w:pPr>
      <w:r>
        <w:rPr>
          <w:rFonts w:hint="eastAsia" w:ascii="宋体" w:hAnsi="宋体" w:cs="宋体"/>
          <w:color w:val="000000" w:themeColor="text1"/>
          <w:sz w:val="28"/>
          <w:szCs w:val="28"/>
        </w:rPr>
        <w:t>至2020年年末，人均公园绿地面积较2015年底提高33.81%，达12.23平方米；城市建成区绿地率和绿化覆盖率为38.88%和41.91%，实现“推窗见绿、出门入园”。完成全市327个裸露黄土点的整治，完成55个小区的增绿补绿，城市复绿面积增加476.6万平方米，并在城市中心91处重要节点，摆放鲜花586万余盆，城市绿地成为人民群众共享的绿意空间。在第十四届中国杜鹃花展上，市城管执法局的“岭上开遍映山红”项目荣获金奖。</w:t>
      </w:r>
    </w:p>
    <w:p w14:paraId="550E4429">
      <w:pPr>
        <w:spacing w:line="560" w:lineRule="exact"/>
        <w:ind w:firstLine="562" w:firstLineChars="200"/>
        <w:rPr>
          <w:rFonts w:ascii="宋体" w:hAnsi="宋体" w:cs="宋体"/>
          <w:b/>
          <w:color w:val="000000" w:themeColor="text1"/>
          <w:sz w:val="28"/>
          <w:szCs w:val="28"/>
        </w:rPr>
      </w:pPr>
      <w:r>
        <w:rPr>
          <w:rFonts w:hint="eastAsia" w:ascii="宋体" w:hAnsi="宋体" w:cs="宋体"/>
          <w:b/>
          <w:color w:val="000000" w:themeColor="text1"/>
          <w:sz w:val="28"/>
          <w:szCs w:val="28"/>
        </w:rPr>
        <w:t>3．城市绿色管养精细化</w:t>
      </w:r>
    </w:p>
    <w:p w14:paraId="334DF534">
      <w:pPr>
        <w:spacing w:line="560" w:lineRule="exact"/>
        <w:ind w:firstLine="560" w:firstLineChars="200"/>
        <w:rPr>
          <w:rFonts w:ascii="宋体" w:hAnsi="宋体" w:cs="宋体"/>
          <w:color w:val="000000" w:themeColor="text1"/>
          <w:sz w:val="28"/>
          <w:szCs w:val="28"/>
        </w:rPr>
      </w:pPr>
      <w:r>
        <w:rPr>
          <w:rFonts w:hint="eastAsia" w:ascii="宋体" w:hAnsi="宋体" w:cs="宋体"/>
          <w:color w:val="000000" w:themeColor="text1"/>
          <w:sz w:val="28"/>
          <w:szCs w:val="28"/>
        </w:rPr>
        <w:t>依据《城市绿线划定技术规范》（GB/T51163-2016）要求，划定了城市绿线边界，设立绿线公示牌或绿线界碑，对城市绿地进行严格控制管理。制定和颁布实施了《湘潭市城市绿化条例》《湘潭市公园管理办法》和《湘潭市城市绿线管理办法》。制定了《湘潭市城市管理（园林绿化）日常养护管理考核评分标准》《湘潭市园林植物养护质量等级标准》《湘潭市园林管理局星级班组创建管理办法》及《星级管理考评标准（公园、道路绿化）》，对申报的公园、道路绿化维护质量进行星级评定。开展“园林同步跟踪”服务。市园林局抽调全局技术骨干50余名，成立15个技术服务小组对口服务绿化项目239个，开展跟踪服务3913次，反馈专业性建议1187条，已完成设计方案审查51个，参与160个景观设计方案优化，节约建设资金近3000万元。精细养护443.14万平方米园林绿化，苗木存活率远高于国家行业标准。</w:t>
      </w:r>
    </w:p>
    <w:p w14:paraId="3CF947F7">
      <w:pPr>
        <w:spacing w:line="560" w:lineRule="exact"/>
        <w:ind w:firstLine="562" w:firstLineChars="200"/>
        <w:rPr>
          <w:rFonts w:ascii="宋体" w:cs="宋体"/>
          <w:b/>
          <w:color w:val="000000" w:themeColor="text1"/>
          <w:sz w:val="28"/>
          <w:szCs w:val="28"/>
        </w:rPr>
      </w:pPr>
      <w:r>
        <w:rPr>
          <w:rFonts w:ascii="宋体" w:hAnsi="宋体" w:cs="宋体"/>
          <w:b/>
          <w:color w:val="000000" w:themeColor="text1"/>
          <w:sz w:val="28"/>
          <w:szCs w:val="28"/>
        </w:rPr>
        <w:t>4</w:t>
      </w:r>
      <w:r>
        <w:rPr>
          <w:rFonts w:hint="eastAsia" w:ascii="宋体" w:hAnsi="宋体" w:cs="宋体"/>
          <w:b/>
          <w:color w:val="000000" w:themeColor="text1"/>
          <w:sz w:val="28"/>
          <w:szCs w:val="28"/>
        </w:rPr>
        <w:t>．成功助推创森工作</w:t>
      </w:r>
    </w:p>
    <w:p w14:paraId="0755A22C">
      <w:pPr>
        <w:spacing w:line="560" w:lineRule="exact"/>
        <w:ind w:firstLine="620" w:firstLineChars="200"/>
        <w:rPr>
          <w:rFonts w:ascii="宋体" w:cs="宋体"/>
          <w:color w:val="000000" w:themeColor="text1"/>
          <w:sz w:val="28"/>
          <w:szCs w:val="28"/>
        </w:rPr>
      </w:pPr>
      <w:r>
        <w:rPr>
          <w:rFonts w:hint="eastAsia" w:ascii="宋体" w:hAnsi="宋体"/>
          <w:color w:val="000000" w:themeColor="text1"/>
          <w:spacing w:val="15"/>
          <w:sz w:val="28"/>
          <w:szCs w:val="28"/>
          <w:shd w:val="clear" w:color="auto" w:fill="FFFFFF"/>
        </w:rPr>
        <w:t>自</w:t>
      </w:r>
      <w:r>
        <w:rPr>
          <w:rFonts w:ascii="宋体" w:hAnsi="宋体"/>
          <w:color w:val="000000" w:themeColor="text1"/>
          <w:spacing w:val="15"/>
          <w:sz w:val="28"/>
          <w:szCs w:val="28"/>
          <w:shd w:val="clear" w:color="auto" w:fill="FFFFFF"/>
        </w:rPr>
        <w:t>2016</w:t>
      </w:r>
      <w:r>
        <w:rPr>
          <w:rFonts w:hint="eastAsia" w:ascii="宋体" w:hAnsi="宋体"/>
          <w:color w:val="000000" w:themeColor="text1"/>
          <w:spacing w:val="15"/>
          <w:sz w:val="28"/>
          <w:szCs w:val="28"/>
          <w:shd w:val="clear" w:color="auto" w:fill="FFFFFF"/>
        </w:rPr>
        <w:t>年湘潭正式创建国家森林城市工作以来，全市组织实施了“全域绿化三年行动”，开展山水修复工程，</w:t>
      </w:r>
      <w:r>
        <w:rPr>
          <w:rFonts w:hint="eastAsia" w:ascii="宋体" w:hAnsi="宋体" w:cs="宋体"/>
          <w:color w:val="000000" w:themeColor="text1"/>
          <w:sz w:val="28"/>
          <w:szCs w:val="28"/>
        </w:rPr>
        <w:t>市城管执法局作为创森的重要成员单位，牵头开展公园游园广场及城市道路补栽补植工作，指导各城市区（园区）做好裸露黄土整治工作，健全完善古树名木保护，保障了市城区绿化覆盖率、城区人均公园绿地面积、城区街道树冠覆盖率三项创森指标全面达标，</w:t>
      </w:r>
      <w:r>
        <w:rPr>
          <w:rFonts w:ascii="宋体" w:hAnsi="宋体"/>
          <w:color w:val="000000" w:themeColor="text1"/>
          <w:spacing w:val="15"/>
          <w:sz w:val="28"/>
          <w:szCs w:val="28"/>
          <w:shd w:val="clear" w:color="auto" w:fill="FFFFFF"/>
        </w:rPr>
        <w:t>2018</w:t>
      </w:r>
      <w:r>
        <w:rPr>
          <w:rFonts w:hint="eastAsia" w:ascii="宋体" w:hAnsi="宋体"/>
          <w:color w:val="000000" w:themeColor="text1"/>
          <w:spacing w:val="15"/>
          <w:sz w:val="28"/>
          <w:szCs w:val="28"/>
          <w:shd w:val="clear" w:color="auto" w:fill="FFFFFF"/>
        </w:rPr>
        <w:t>年</w:t>
      </w:r>
      <w:r>
        <w:rPr>
          <w:rFonts w:ascii="宋体" w:hAnsi="宋体"/>
          <w:color w:val="000000" w:themeColor="text1"/>
          <w:spacing w:val="15"/>
          <w:sz w:val="28"/>
          <w:szCs w:val="28"/>
          <w:shd w:val="clear" w:color="auto" w:fill="FFFFFF"/>
        </w:rPr>
        <w:t>12</w:t>
      </w:r>
      <w:r>
        <w:rPr>
          <w:rFonts w:hint="eastAsia" w:ascii="宋体" w:hAnsi="宋体"/>
          <w:color w:val="000000" w:themeColor="text1"/>
          <w:spacing w:val="15"/>
          <w:sz w:val="28"/>
          <w:szCs w:val="28"/>
          <w:shd w:val="clear" w:color="auto" w:fill="FFFFFF"/>
        </w:rPr>
        <w:t>月</w:t>
      </w:r>
      <w:r>
        <w:rPr>
          <w:rFonts w:ascii="宋体" w:hAnsi="宋体"/>
          <w:color w:val="000000" w:themeColor="text1"/>
          <w:spacing w:val="15"/>
          <w:sz w:val="28"/>
          <w:szCs w:val="28"/>
          <w:shd w:val="clear" w:color="auto" w:fill="FFFFFF"/>
        </w:rPr>
        <w:t>18</w:t>
      </w:r>
      <w:r>
        <w:rPr>
          <w:rFonts w:hint="eastAsia" w:ascii="宋体" w:hAnsi="宋体"/>
          <w:color w:val="000000" w:themeColor="text1"/>
          <w:spacing w:val="15"/>
          <w:sz w:val="28"/>
          <w:szCs w:val="28"/>
          <w:shd w:val="clear" w:color="auto" w:fill="FFFFFF"/>
        </w:rPr>
        <w:t>日我市成功获得国家森林城市荣誉称号。</w:t>
      </w:r>
    </w:p>
    <w:p w14:paraId="74007D2E">
      <w:pPr>
        <w:pStyle w:val="4"/>
        <w:numPr>
          <w:ilvl w:val="0"/>
          <w:numId w:val="0"/>
        </w:numPr>
        <w:spacing w:before="240" w:after="156" w:line="560" w:lineRule="exact"/>
        <w:ind w:left="482"/>
        <w:rPr>
          <w:rFonts w:cs="宋体"/>
          <w:color w:val="000000" w:themeColor="text1"/>
          <w:sz w:val="28"/>
          <w:szCs w:val="28"/>
          <w:lang w:eastAsia="zh-CN"/>
        </w:rPr>
      </w:pPr>
      <w:bookmarkStart w:id="3" w:name="_Toc7833"/>
      <w:r>
        <w:rPr>
          <w:rFonts w:hint="eastAsia" w:cs="宋体"/>
          <w:color w:val="000000" w:themeColor="text1"/>
          <w:sz w:val="28"/>
          <w:szCs w:val="28"/>
          <w:lang w:eastAsia="zh-CN"/>
        </w:rPr>
        <w:t>二、成功创建国家文明城市</w:t>
      </w:r>
      <w:bookmarkEnd w:id="3"/>
    </w:p>
    <w:p w14:paraId="7550F982">
      <w:pPr>
        <w:spacing w:line="560" w:lineRule="exact"/>
        <w:ind w:firstLine="562" w:firstLineChars="200"/>
        <w:rPr>
          <w:rFonts w:ascii="宋体" w:hAnsi="宋体" w:cs="宋体"/>
          <w:b/>
          <w:bCs/>
          <w:color w:val="000000" w:themeColor="text1"/>
          <w:sz w:val="28"/>
          <w:szCs w:val="28"/>
        </w:rPr>
      </w:pPr>
      <w:r>
        <w:rPr>
          <w:rFonts w:hint="eastAsia" w:ascii="宋体" w:hAnsi="宋体" w:cs="宋体"/>
          <w:b/>
          <w:bCs/>
          <w:color w:val="000000" w:themeColor="text1"/>
          <w:sz w:val="28"/>
          <w:szCs w:val="28"/>
        </w:rPr>
        <w:t>1．文明创建成绩显著</w:t>
      </w:r>
    </w:p>
    <w:p w14:paraId="0B8CDE8D">
      <w:pPr>
        <w:spacing w:line="560" w:lineRule="exact"/>
        <w:ind w:firstLine="560" w:firstLineChars="200"/>
        <w:jc w:val="left"/>
        <w:rPr>
          <w:rFonts w:ascii="宋体" w:hAnsi="宋体" w:cs="宋体"/>
          <w:color w:val="000000" w:themeColor="text1"/>
          <w:sz w:val="28"/>
          <w:szCs w:val="28"/>
        </w:rPr>
      </w:pPr>
      <w:r>
        <w:rPr>
          <w:rFonts w:hint="eastAsia" w:ascii="宋体" w:hAnsi="宋体" w:cs="宋体"/>
          <w:color w:val="000000" w:themeColor="text1"/>
          <w:sz w:val="28"/>
          <w:szCs w:val="28"/>
        </w:rPr>
        <w:t>市城市管理和综合执法局牵头负责生活生态环境组的创建工作，任务项目占全市32个创文检查项目的1/3，其中6个检查项目由市城市管理和综合执法局独立完成。先后历经省级检查2次，国检1次，省级复检3次，检查成绩一年比一年进步，2015年在全国排名52名，2016年提升至第22名，2017年跃居第5名，成功创建全国文明城市。2018年、2019年、2020年复查，均名列省内第一名。其中，2017年创文成功，市城市管理和综合执法局获创文“突出贡献单位”。</w:t>
      </w:r>
    </w:p>
    <w:p w14:paraId="0CC35118">
      <w:pPr>
        <w:spacing w:line="560" w:lineRule="exact"/>
        <w:ind w:firstLine="562" w:firstLineChars="200"/>
        <w:rPr>
          <w:rFonts w:ascii="宋体" w:hAnsi="宋体" w:cs="宋体"/>
          <w:b/>
          <w:bCs/>
          <w:color w:val="000000" w:themeColor="text1"/>
          <w:sz w:val="28"/>
          <w:szCs w:val="28"/>
        </w:rPr>
      </w:pPr>
      <w:r>
        <w:rPr>
          <w:rFonts w:hint="eastAsia" w:ascii="宋体" w:hAnsi="宋体" w:cs="宋体"/>
          <w:b/>
          <w:bCs/>
          <w:color w:val="000000" w:themeColor="text1"/>
          <w:sz w:val="28"/>
          <w:szCs w:val="28"/>
        </w:rPr>
        <w:t>2．灯饰照明贴心惠民</w:t>
      </w:r>
    </w:p>
    <w:p w14:paraId="69A2B741">
      <w:pPr>
        <w:spacing w:line="560" w:lineRule="exact"/>
        <w:ind w:firstLine="560" w:firstLineChars="200"/>
        <w:rPr>
          <w:rFonts w:ascii="宋体" w:hAnsi="宋体" w:cs="宋体"/>
          <w:color w:val="000000" w:themeColor="text1"/>
          <w:sz w:val="28"/>
          <w:szCs w:val="28"/>
        </w:rPr>
      </w:pPr>
      <w:r>
        <w:rPr>
          <w:rFonts w:hint="eastAsia" w:ascii="宋体" w:hAnsi="宋体" w:cs="宋体"/>
          <w:color w:val="000000" w:themeColor="text1"/>
          <w:sz w:val="28"/>
          <w:szCs w:val="28"/>
        </w:rPr>
        <w:t>落实</w:t>
      </w:r>
      <w:r>
        <w:rPr>
          <w:rFonts w:hint="eastAsia" w:ascii="宋体" w:hAnsi="宋体" w:cs="宋体"/>
          <w:color w:val="000000" w:themeColor="text1"/>
          <w:sz w:val="28"/>
          <w:szCs w:val="28"/>
          <w:lang w:eastAsia="zh-CN"/>
        </w:rPr>
        <w:t>市委书记</w:t>
      </w:r>
      <w:r>
        <w:rPr>
          <w:rFonts w:hint="eastAsia" w:ascii="宋体" w:hAnsi="宋体" w:cs="宋体"/>
          <w:color w:val="000000" w:themeColor="text1"/>
          <w:sz w:val="28"/>
          <w:szCs w:val="28"/>
        </w:rPr>
        <w:t>对照明工作提出的“天黑有亮、夜走不惧”的要求，完成了城市照明监控系统二期提质项目，建设了智慧城市照明全资产大数据信息管理平台，包括GIS地理信息库、车载GPS定位、仓库管理、移动作业管理等功能的全资产大数据管理平台，在一定程度上实现了智慧管理、精细化管理。编制完成《湘潭市城市照明专项规划（2017-2030）》《湘潭市中心城区城市照明管理办法》《建设项目竣工验收移交细则（试行）文件》。按局《湘潭市市政基础设施规范汇编》（试行）相关技术要求和操作规范管理灯饰设施，做到维护作业规范化、精细化。“十三五”期间新增路灯6852杆、14196盏，增加人行地下通道20个以及河西人防地下通道基本照明维护。至2020年末，城市路灯已达3万余杆、6万余盏，路灯明亮率、设施完好率达98%以上，小街小巷路灯亮灯率96%以上，功能照明满足需求，照明指标位居省内前列。新增城区楼宇亮化381栋，桥梁亮化5座，音乐喷泉5个，各类景观照明8万余盏，灯饰亮化由满足功能照明向追求璀璨夜景发展。</w:t>
      </w:r>
    </w:p>
    <w:p w14:paraId="03E119A9">
      <w:pPr>
        <w:spacing w:line="560" w:lineRule="exact"/>
        <w:ind w:firstLine="562" w:firstLineChars="200"/>
        <w:rPr>
          <w:rFonts w:ascii="宋体" w:hAnsi="宋体" w:cs="宋体"/>
          <w:b/>
          <w:bCs/>
          <w:color w:val="000000" w:themeColor="text1"/>
          <w:sz w:val="28"/>
          <w:szCs w:val="28"/>
        </w:rPr>
      </w:pPr>
      <w:r>
        <w:rPr>
          <w:rFonts w:hint="eastAsia" w:ascii="宋体" w:hAnsi="宋体" w:cs="宋体"/>
          <w:b/>
          <w:bCs/>
          <w:color w:val="000000" w:themeColor="text1"/>
          <w:sz w:val="28"/>
          <w:szCs w:val="28"/>
        </w:rPr>
        <w:t>3．</w:t>
      </w:r>
      <w:r>
        <w:rPr>
          <w:rFonts w:hint="eastAsia" w:ascii="宋体" w:hAnsi="宋体" w:cs="宋体"/>
          <w:b/>
          <w:bCs/>
          <w:color w:val="000000"/>
          <w:sz w:val="28"/>
          <w:szCs w:val="28"/>
        </w:rPr>
        <w:t>立面改造</w:t>
      </w:r>
      <w:r>
        <w:rPr>
          <w:rFonts w:hint="eastAsia" w:ascii="宋体" w:hAnsi="宋体" w:cs="宋体"/>
          <w:b/>
          <w:bCs/>
          <w:color w:val="000000" w:themeColor="text1"/>
          <w:sz w:val="28"/>
          <w:szCs w:val="28"/>
        </w:rPr>
        <w:t>升“颜值”</w:t>
      </w:r>
    </w:p>
    <w:p w14:paraId="5A728B7F">
      <w:pPr>
        <w:spacing w:line="560" w:lineRule="exact"/>
        <w:ind w:firstLine="560" w:firstLineChars="200"/>
        <w:rPr>
          <w:rFonts w:ascii="宋体" w:hAnsi="宋体" w:cs="宋体"/>
          <w:b/>
          <w:bCs/>
          <w:color w:val="000000" w:themeColor="text1"/>
          <w:sz w:val="28"/>
          <w:szCs w:val="28"/>
        </w:rPr>
      </w:pPr>
      <w:r>
        <w:rPr>
          <w:rFonts w:hint="eastAsia" w:ascii="宋体" w:hAnsi="宋体" w:cs="宋体"/>
          <w:color w:val="000000" w:themeColor="text1"/>
          <w:sz w:val="28"/>
          <w:szCs w:val="28"/>
        </w:rPr>
        <w:t>认真履行</w:t>
      </w:r>
      <w:r>
        <w:rPr>
          <w:rFonts w:hint="eastAsia" w:ascii="宋体" w:hAnsi="宋体" w:cs="宋体"/>
          <w:color w:val="000000"/>
          <w:sz w:val="28"/>
          <w:szCs w:val="28"/>
        </w:rPr>
        <w:t>立面改造</w:t>
      </w:r>
      <w:r>
        <w:rPr>
          <w:rFonts w:hint="eastAsia" w:ascii="宋体" w:hAnsi="宋体" w:cs="宋体"/>
          <w:color w:val="000000" w:themeColor="text1"/>
          <w:sz w:val="28"/>
          <w:szCs w:val="28"/>
        </w:rPr>
        <w:t>工作部门职能，完成建设路、韶山路、河东大道、双拥路、湘潭大道五条路388栋沿街建筑物立面清洗、粉刷、重塑及商铺招牌改造。拆除违法建设1220处，拆除广告招牌3386块，完成沿街门店新修台阶、安装玻璃门、统一店招及“穿衣带帽”工作。完成建设路、韶山路、河东大道、双拥路、湘潭大道等道路共计285栋沿街楼宇亮化，完成一、三、四、五桥景观亮化工作，基本形成城市夜间亮化景观轴。完成建设路、韶山路、河东大道、湘潭大道平面改造施工。拆除牌匾标识2000余块，10余万平方米，实现了城区主次干道各类违规牌匾标识基本拆除，楼宇屋顶标识基本实现清零，城市空间环境得到根本净化，城市美丽天际线得以呈现。改造后的城市街区，建筑立面美轮美奂，城市绿化品位提升，灯饰亮化形成景观，城市面貌焕然一新，得到了广大市民的称赞。</w:t>
      </w:r>
    </w:p>
    <w:p w14:paraId="2C527596">
      <w:pPr>
        <w:spacing w:line="560" w:lineRule="exact"/>
        <w:ind w:firstLine="562" w:firstLineChars="200"/>
        <w:rPr>
          <w:rFonts w:ascii="宋体" w:hAnsi="宋体" w:cs="宋体"/>
          <w:b/>
          <w:color w:val="000000" w:themeColor="text1"/>
          <w:sz w:val="28"/>
          <w:szCs w:val="28"/>
        </w:rPr>
      </w:pPr>
      <w:r>
        <w:rPr>
          <w:rFonts w:hint="eastAsia" w:ascii="宋体" w:hAnsi="宋体" w:cs="宋体"/>
          <w:b/>
          <w:color w:val="000000" w:themeColor="text1"/>
          <w:sz w:val="28"/>
          <w:szCs w:val="28"/>
        </w:rPr>
        <w:t>4．蓝天保卫战清“心肺”</w:t>
      </w:r>
    </w:p>
    <w:p w14:paraId="4DAB4962">
      <w:pPr>
        <w:spacing w:line="560" w:lineRule="exact"/>
        <w:ind w:firstLine="560" w:firstLineChars="200"/>
        <w:rPr>
          <w:rFonts w:ascii="宋体" w:hAnsi="宋体" w:cs="宋体"/>
          <w:bCs/>
          <w:color w:val="000000" w:themeColor="text1"/>
          <w:sz w:val="28"/>
          <w:szCs w:val="28"/>
        </w:rPr>
      </w:pPr>
      <w:r>
        <w:rPr>
          <w:rFonts w:hint="eastAsia" w:ascii="宋体" w:hAnsi="宋体" w:cs="宋体"/>
          <w:color w:val="000000" w:themeColor="text1"/>
          <w:sz w:val="28"/>
          <w:szCs w:val="28"/>
        </w:rPr>
        <w:t>铁腕整治渣土运输，实行24小时全天候渣土调运监管，严格督促不达标的基建工地整改落实，有效遏制渣土污染城市道路，共查处渣土运输违规渣土车辆913台次，罚款320万元。2018年出台《关于加强渣土运输管理推广使用新型智能环保渣土车的通知》，积极</w:t>
      </w:r>
      <w:r>
        <w:rPr>
          <w:rFonts w:hint="eastAsia" w:ascii="宋体" w:hAnsi="宋体" w:cs="宋体"/>
          <w:color w:val="000000"/>
          <w:sz w:val="28"/>
          <w:szCs w:val="28"/>
        </w:rPr>
        <w:t>采用新型环保智能渣土车</w:t>
      </w:r>
      <w:r>
        <w:rPr>
          <w:rFonts w:hint="eastAsia" w:ascii="宋体" w:hAnsi="宋体" w:cs="宋体"/>
          <w:color w:val="000000" w:themeColor="text1"/>
          <w:sz w:val="28"/>
          <w:szCs w:val="28"/>
        </w:rPr>
        <w:t>，到2020年新购置智能环保渣土车419辆，安装统一卫星定位系统，纳入智慧城管建设渣土管理子系统；二环内工地实现全密闭环保渣土运输。开展餐饮油烟专项整治，印发了《城区餐饮服务业油烟污染专项整治工作方案》，各区（园区）和各市直相关部门按照属地管理和条块结合的原则积极开展油烟污染专项整治工作。禁止露天烧烤和餐饮油烟直排，推广安装油烟净化设施。</w:t>
      </w:r>
      <w:r>
        <w:rPr>
          <w:rFonts w:hint="eastAsia" w:ascii="宋体" w:hAnsi="宋体" w:cs="宋体"/>
          <w:bCs/>
          <w:color w:val="000000" w:themeColor="text1"/>
          <w:sz w:val="28"/>
          <w:szCs w:val="28"/>
        </w:rPr>
        <w:t>处置道路污染7360处次、处置露天焚烧垃圾3141处次、查处露天烧烤1468起、处置油烟污染5046起。开展餐饮油烟整治行动，我市餐饮服务单位3254家，已全部安装油烟净化设备。</w:t>
      </w:r>
    </w:p>
    <w:p w14:paraId="140B21E8">
      <w:pPr>
        <w:pStyle w:val="4"/>
        <w:numPr>
          <w:ilvl w:val="0"/>
          <w:numId w:val="0"/>
        </w:numPr>
        <w:spacing w:before="120" w:after="156" w:line="560" w:lineRule="exact"/>
        <w:ind w:left="482"/>
        <w:rPr>
          <w:rFonts w:cs="宋体"/>
          <w:color w:val="000000" w:themeColor="text1"/>
          <w:sz w:val="28"/>
          <w:szCs w:val="28"/>
          <w:lang w:eastAsia="zh-CN"/>
        </w:rPr>
      </w:pPr>
      <w:bookmarkStart w:id="4" w:name="_Toc32685"/>
      <w:r>
        <w:rPr>
          <w:rFonts w:hint="eastAsia" w:cs="宋体"/>
          <w:color w:val="000000" w:themeColor="text1"/>
          <w:sz w:val="28"/>
          <w:szCs w:val="28"/>
          <w:lang w:eastAsia="zh-CN"/>
        </w:rPr>
        <w:t>三、成功创建国家卫生城市</w:t>
      </w:r>
      <w:bookmarkEnd w:id="4"/>
    </w:p>
    <w:p w14:paraId="23432C95">
      <w:pPr>
        <w:spacing w:line="560" w:lineRule="exact"/>
        <w:ind w:firstLine="562" w:firstLineChars="200"/>
        <w:rPr>
          <w:rFonts w:ascii="宋体" w:hAnsi="宋体" w:cs="宋体"/>
          <w:b/>
          <w:bCs/>
          <w:color w:val="000000" w:themeColor="text1"/>
          <w:sz w:val="28"/>
          <w:szCs w:val="28"/>
        </w:rPr>
      </w:pPr>
      <w:r>
        <w:rPr>
          <w:rFonts w:hint="eastAsia" w:ascii="宋体" w:hAnsi="宋体" w:cs="宋体"/>
          <w:b/>
          <w:bCs/>
          <w:color w:val="000000" w:themeColor="text1"/>
          <w:sz w:val="28"/>
          <w:szCs w:val="28"/>
        </w:rPr>
        <w:t>1．创卫工作捷报频传</w:t>
      </w:r>
    </w:p>
    <w:p w14:paraId="5E0023EB">
      <w:pPr>
        <w:spacing w:line="560" w:lineRule="exact"/>
        <w:ind w:firstLine="560" w:firstLineChars="200"/>
        <w:rPr>
          <w:rFonts w:ascii="宋体" w:hAnsi="宋体" w:cs="宋体"/>
          <w:color w:val="000000" w:themeColor="text1"/>
          <w:sz w:val="28"/>
          <w:szCs w:val="28"/>
        </w:rPr>
      </w:pPr>
      <w:r>
        <w:rPr>
          <w:rFonts w:hint="eastAsia" w:ascii="宋体" w:hAnsi="宋体" w:cs="宋体"/>
          <w:color w:val="000000" w:themeColor="text1"/>
          <w:sz w:val="28"/>
          <w:szCs w:val="28"/>
        </w:rPr>
        <w:t>创卫达标体系1000分值中，市城市管理和综合执法局牵头的市容环境专业组负责312分，其中188分由该局独立承担。2018年迎接省检1次，国检1次，向国家报送的申报资料一次过关；2019年迎接省暗访检查1次，国家暗访检查1次，在国家暗访检查中我市成绩在全省排第一；2020年迎接省级复核1次，国家技术评估检查1次。</w:t>
      </w:r>
    </w:p>
    <w:p w14:paraId="5EF29EFA">
      <w:pPr>
        <w:spacing w:line="560" w:lineRule="exact"/>
        <w:ind w:firstLine="562" w:firstLineChars="200"/>
        <w:rPr>
          <w:rFonts w:ascii="宋体" w:hAnsi="宋体" w:cs="宋体"/>
          <w:b/>
          <w:bCs/>
          <w:color w:val="000000" w:themeColor="text1"/>
          <w:sz w:val="28"/>
          <w:szCs w:val="28"/>
        </w:rPr>
      </w:pPr>
      <w:r>
        <w:rPr>
          <w:rFonts w:hint="eastAsia" w:ascii="宋体" w:hAnsi="宋体" w:cs="宋体"/>
          <w:b/>
          <w:bCs/>
          <w:color w:val="000000" w:themeColor="text1"/>
          <w:sz w:val="28"/>
          <w:szCs w:val="28"/>
        </w:rPr>
        <w:t>2．环卫工作有力提升</w:t>
      </w:r>
    </w:p>
    <w:p w14:paraId="3CFE6229">
      <w:pPr>
        <w:pStyle w:val="8"/>
        <w:ind w:firstLine="560" w:firstLineChars="200"/>
        <w:rPr>
          <w:rFonts w:ascii="宋体" w:hAnsi="宋体" w:cs="宋体"/>
          <w:b/>
          <w:bCs/>
          <w:color w:val="000000" w:themeColor="text1"/>
          <w:sz w:val="28"/>
          <w:szCs w:val="28"/>
        </w:rPr>
      </w:pPr>
      <w:r>
        <w:rPr>
          <w:rFonts w:hint="eastAsia" w:ascii="宋体" w:hAnsi="宋体" w:cs="宋体"/>
          <w:color w:val="000000" w:themeColor="text1"/>
          <w:sz w:val="28"/>
          <w:szCs w:val="28"/>
        </w:rPr>
        <w:t>建立了全天候、全覆盖的环卫常态保洁机制，主城区清扫保洁基本实现100%全覆盖。强化扬尘治理，实行多功能抑尘车不间断作业。投入2720万元购置环卫设备和设施，新增车辆103台，现拥有各类机械车辆</w:t>
      </w:r>
      <w:r>
        <w:rPr>
          <w:rFonts w:hint="eastAsia"/>
          <w:sz w:val="28"/>
          <w:szCs w:val="28"/>
        </w:rPr>
        <w:t>792台（含电动保洁车）</w:t>
      </w:r>
      <w:r>
        <w:rPr>
          <w:rFonts w:hint="eastAsia" w:ascii="宋体" w:hAnsi="宋体" w:cs="宋体"/>
          <w:color w:val="000000" w:themeColor="text1"/>
          <w:sz w:val="28"/>
          <w:szCs w:val="28"/>
        </w:rPr>
        <w:t>，城区机械化清扫率达90%，位居全省前列；新建城市公厕66座，拆除、改造旱厕62座,拆除垃圾围子1584个，实现环卫设施升级换代。双马垃圾场无害化处理城市生活垃圾151.58万吨，无害化处理率达100%；渗滤液出水35万立方米，达标率达100%。</w:t>
      </w:r>
    </w:p>
    <w:p w14:paraId="63717702">
      <w:pPr>
        <w:spacing w:line="560" w:lineRule="exact"/>
        <w:ind w:firstLine="562" w:firstLineChars="200"/>
        <w:rPr>
          <w:rFonts w:ascii="宋体" w:hAnsi="宋体" w:cs="宋体"/>
          <w:b/>
          <w:bCs/>
          <w:color w:val="000000" w:themeColor="text1"/>
          <w:sz w:val="28"/>
          <w:szCs w:val="28"/>
        </w:rPr>
      </w:pPr>
      <w:r>
        <w:rPr>
          <w:rFonts w:hint="eastAsia" w:ascii="宋体" w:hAnsi="宋体" w:cs="宋体"/>
          <w:b/>
          <w:bCs/>
          <w:color w:val="000000" w:themeColor="text1"/>
          <w:sz w:val="28"/>
          <w:szCs w:val="28"/>
        </w:rPr>
        <w:t>3．垃圾分类全面启动</w:t>
      </w:r>
    </w:p>
    <w:p w14:paraId="5B82EC01">
      <w:pPr>
        <w:spacing w:line="560" w:lineRule="exact"/>
        <w:ind w:firstLine="560" w:firstLineChars="200"/>
        <w:rPr>
          <w:rFonts w:ascii="宋体" w:cs="宋体"/>
          <w:b/>
          <w:bCs/>
          <w:color w:val="0000FF"/>
          <w:sz w:val="28"/>
          <w:szCs w:val="28"/>
        </w:rPr>
      </w:pPr>
      <w:r>
        <w:rPr>
          <w:rFonts w:hint="eastAsia" w:ascii="宋体" w:hAnsi="宋体" w:cs="宋体"/>
          <w:color w:val="000000" w:themeColor="text1"/>
          <w:sz w:val="28"/>
          <w:szCs w:val="28"/>
        </w:rPr>
        <w:t>按照“属地管理、条块结合”的原则，各城（园）区人民政府、管委会为目标责任主体，市直相关单位按照职责分工协同推进的工作机制；发布了《湘潭市城区2020年生活垃圾分类工作方案》、《湘潭市城区2020年生活垃圾分类工作考核暂行办法》；成立了由市委副书记、市人民政府市长任组长，市人民政府分管副市长任副组长，各城（园）区人民政府和管委会主要负责人、市直相关单位负责人为成员的湘潭市垃圾分类工作协调小组，明确了市、区、街道、社区四级“党政负责、部门联动”的生活垃圾分类工作体系；明确了2020～2025年我市城区生活垃圾分类工作目标。湘潭市垃圾分类工作协调小组办公室印发了《湘潭市城区生活垃圾分类示范片区评估工作方案》《湘潭市公共机构生活垃圾分类实施方案》和《湘潭市城区生活垃圾分类收运管理规范》，为稳步推进全市生活垃圾分类工作，规范评估提供保障。</w:t>
      </w:r>
      <w:r>
        <w:rPr>
          <w:rFonts w:ascii="宋体" w:hAnsi="宋体" w:cs="宋体"/>
          <w:color w:val="000000" w:themeColor="text1"/>
          <w:sz w:val="28"/>
          <w:szCs w:val="28"/>
        </w:rPr>
        <w:t>2020</w:t>
      </w:r>
      <w:r>
        <w:rPr>
          <w:rFonts w:hint="eastAsia" w:ascii="宋体" w:hAnsi="宋体" w:cs="宋体"/>
          <w:color w:val="000000" w:themeColor="text1"/>
          <w:sz w:val="28"/>
          <w:szCs w:val="28"/>
        </w:rPr>
        <w:t>年实现公共机构和公共场所生活垃圾分类全覆盖，重</w:t>
      </w:r>
      <w:r>
        <w:rPr>
          <w:rFonts w:hint="eastAsia" w:ascii="宋体" w:hAnsi="宋体" w:cs="宋体"/>
          <w:color w:val="000000"/>
          <w:sz w:val="28"/>
          <w:szCs w:val="28"/>
        </w:rPr>
        <w:t>点打造了雨湖区窑湾街道、岳塘区宝塔街道、湘潭经开区乐塘社区、湘潭高新区新农村、昭山示范区窑洲社区</w:t>
      </w:r>
      <w:r>
        <w:rPr>
          <w:rFonts w:ascii="宋体" w:hAnsi="宋体" w:cs="宋体"/>
          <w:color w:val="000000"/>
          <w:sz w:val="28"/>
          <w:szCs w:val="28"/>
        </w:rPr>
        <w:t>5</w:t>
      </w:r>
      <w:r>
        <w:rPr>
          <w:rFonts w:hint="eastAsia" w:ascii="宋体" w:hAnsi="宋体" w:cs="宋体"/>
          <w:color w:val="000000"/>
          <w:sz w:val="28"/>
          <w:szCs w:val="28"/>
        </w:rPr>
        <w:t>个生活垃圾分类示范片区</w:t>
      </w:r>
      <w:r>
        <w:rPr>
          <w:rFonts w:hint="eastAsia" w:ascii="宋体" w:hAnsi="宋体" w:cs="宋体"/>
          <w:color w:val="0000FF"/>
          <w:sz w:val="28"/>
          <w:szCs w:val="28"/>
        </w:rPr>
        <w:t>。</w:t>
      </w:r>
    </w:p>
    <w:p w14:paraId="37A920B2">
      <w:pPr>
        <w:spacing w:line="560" w:lineRule="exact"/>
        <w:ind w:firstLine="562" w:firstLineChars="200"/>
        <w:rPr>
          <w:rFonts w:ascii="宋体" w:hAnsi="宋体" w:cs="宋体"/>
          <w:b/>
          <w:bCs/>
          <w:color w:val="000000" w:themeColor="text1"/>
          <w:sz w:val="28"/>
          <w:szCs w:val="28"/>
        </w:rPr>
      </w:pPr>
      <w:r>
        <w:rPr>
          <w:rFonts w:hint="eastAsia" w:ascii="宋体" w:hAnsi="宋体" w:cs="宋体"/>
          <w:b/>
          <w:bCs/>
          <w:color w:val="000000" w:themeColor="text1"/>
          <w:sz w:val="28"/>
          <w:szCs w:val="28"/>
        </w:rPr>
        <w:t>4．垃圾终端处置有效加强</w:t>
      </w:r>
    </w:p>
    <w:p w14:paraId="0A2C839B">
      <w:pPr>
        <w:pStyle w:val="8"/>
        <w:spacing w:line="560" w:lineRule="exact"/>
        <w:ind w:firstLine="560" w:firstLineChars="200"/>
        <w:jc w:val="both"/>
        <w:rPr>
          <w:rFonts w:ascii="宋体" w:hAnsi="宋体" w:cs="宋体"/>
          <w:b/>
          <w:color w:val="FF0000"/>
          <w:sz w:val="28"/>
          <w:szCs w:val="28"/>
        </w:rPr>
      </w:pPr>
      <w:r>
        <w:rPr>
          <w:rFonts w:hint="eastAsia" w:ascii="宋体" w:hAnsi="宋体" w:cs="宋体"/>
          <w:bCs/>
          <w:color w:val="000000" w:themeColor="text1"/>
          <w:sz w:val="28"/>
          <w:szCs w:val="28"/>
        </w:rPr>
        <w:t>湘潭生活垃圾焚烧发电项目</w:t>
      </w:r>
      <w:r>
        <w:rPr>
          <w:rFonts w:hint="eastAsia" w:ascii="宋体" w:hAnsi="宋体" w:cs="宋体"/>
          <w:color w:val="000000" w:themeColor="text1"/>
          <w:sz w:val="28"/>
          <w:szCs w:val="28"/>
        </w:rPr>
        <w:t>在湘潭县河口镇宏兴村开工建设，项目总投资7.4亿元，设计日处理生活垃圾近期为1200吨，远期为1800吨，各类环保指标优于国标和欧盟标准。湘潭市餐厨垃圾（含粪渣）资源化利用PPP项目基本实现城区餐厨垃圾无害化处理、资源化利用，设计处理规模350吨/天，其中废弃油脂30t/d、餐厨垃圾150t/d、厨余垃圾120t/d 及粪渣50t/d，满足市城区及湘潭县处置需求，目前项目已启动建设，计划2021年年底前建成。有序推进建筑垃圾资源化利用特许经营项目建设，河东、河西各设一处建筑垃圾资源化利用处置厂，河东湘潭市竹埠港建筑垃圾再利用有限公司2016年9月建成投产，截止至2020年7月底，处置建筑垃圾132万吨左右，利用建筑垃圾生产建筑砂石骨料100万吨左右，利用建筑垃圾生产再生产品砌块标砖18万㎡，生产吸水砖、盲道砖17万㎡，生产砌井砖15万㎡，建筑垃圾综合利用率达到75%；河西九华南方新材料科技有限公司绿色建材循环产业园项目，总投资2.4亿元，2020年5月8日开工建设，年处理100万吨城市建筑垃圾（工程弃土），现已开始投产运营。</w:t>
      </w:r>
    </w:p>
    <w:p w14:paraId="222CF4FE">
      <w:pPr>
        <w:pStyle w:val="4"/>
        <w:numPr>
          <w:ilvl w:val="0"/>
          <w:numId w:val="0"/>
        </w:numPr>
        <w:spacing w:before="120" w:after="156" w:line="560" w:lineRule="exact"/>
        <w:ind w:left="482"/>
        <w:rPr>
          <w:rFonts w:cs="宋体"/>
          <w:color w:val="000000" w:themeColor="text1"/>
          <w:sz w:val="28"/>
          <w:szCs w:val="28"/>
          <w:lang w:eastAsia="zh-CN"/>
        </w:rPr>
      </w:pPr>
      <w:bookmarkStart w:id="5" w:name="_Toc19916"/>
      <w:r>
        <w:rPr>
          <w:rFonts w:hint="eastAsia" w:cs="宋体"/>
          <w:color w:val="000000" w:themeColor="text1"/>
          <w:sz w:val="28"/>
          <w:szCs w:val="28"/>
          <w:lang w:eastAsia="zh-CN"/>
        </w:rPr>
        <w:t>四、加快建设市政基础设施</w:t>
      </w:r>
      <w:bookmarkEnd w:id="5"/>
    </w:p>
    <w:p w14:paraId="7814D664">
      <w:pPr>
        <w:spacing w:line="560" w:lineRule="exact"/>
        <w:ind w:firstLine="562" w:firstLineChars="200"/>
        <w:rPr>
          <w:rFonts w:ascii="宋体" w:hAnsi="宋体" w:cs="宋体"/>
          <w:b/>
          <w:color w:val="000000" w:themeColor="text1"/>
          <w:sz w:val="28"/>
          <w:szCs w:val="28"/>
        </w:rPr>
      </w:pPr>
      <w:r>
        <w:rPr>
          <w:rFonts w:hint="eastAsia" w:ascii="宋体" w:hAnsi="宋体" w:cs="宋体"/>
          <w:b/>
          <w:color w:val="000000" w:themeColor="text1"/>
          <w:sz w:val="28"/>
          <w:szCs w:val="28"/>
        </w:rPr>
        <w:t>1．“智慧城管”成效明显</w:t>
      </w:r>
    </w:p>
    <w:p w14:paraId="050B7C83">
      <w:pPr>
        <w:spacing w:line="560" w:lineRule="exact"/>
        <w:ind w:firstLine="560" w:firstLineChars="200"/>
        <w:rPr>
          <w:rFonts w:ascii="宋体" w:hAnsi="宋体" w:cs="宋体"/>
          <w:color w:val="000000" w:themeColor="text1"/>
          <w:sz w:val="28"/>
          <w:szCs w:val="28"/>
        </w:rPr>
      </w:pPr>
      <w:r>
        <w:rPr>
          <w:rFonts w:hint="eastAsia" w:ascii="宋体" w:hAnsi="宋体" w:cs="宋体"/>
          <w:color w:val="000000" w:themeColor="text1"/>
          <w:sz w:val="28"/>
          <w:szCs w:val="28"/>
        </w:rPr>
        <w:t>智慧城管以“城市管理地图网、城市管理通信网”为基础，融合物联网、3G/4G通信、空间信息、云计算、大数据分析等多项前沿技术，构建起以“一套标准体系、一个城市管理大数据库、一个智慧城管监督指挥体系、七个应用平台、N项接入应用”组成的湘潭市智慧城市管理平台。湘潭智慧城管一期项目总投资3723.86万元，完成了中心场地建设、大屏幕系统、视频监控、数据普查和软件平台的开发等。建立了市级监督指挥平台，实现了一级监督、两级指挥、三级网络、多级联动信息化管理系统。实现了城管热点实时监控，智慧城管平台自建视频监控点450个（其中100个为燃气监控专用），经授权接入公安视频监控6700路，拥有丰富的视频监控资源。摸清了城管部件基础数据，对湘潭城区170平方公里范围内涉及的城管部件进行普查，5大类112小类58余万件城管部件均有了身份认证。打通了部门信息共享壁垒，搭建应用系统之间的连接桥梁，实现资源互联共享。提升了城管问题处置效率，智慧城管平台共计受理并立案城管信息41.2万余件，结案率达到99.51%。</w:t>
      </w:r>
    </w:p>
    <w:p w14:paraId="621C2EEE">
      <w:pPr>
        <w:spacing w:line="560" w:lineRule="exact"/>
        <w:ind w:firstLine="562" w:firstLineChars="200"/>
        <w:rPr>
          <w:rFonts w:ascii="宋体" w:hAnsi="宋体" w:cs="宋体"/>
          <w:b/>
          <w:color w:val="000000" w:themeColor="text1"/>
          <w:sz w:val="28"/>
          <w:szCs w:val="28"/>
        </w:rPr>
      </w:pPr>
      <w:r>
        <w:rPr>
          <w:rFonts w:hint="eastAsia" w:ascii="宋体" w:hAnsi="宋体" w:cs="宋体"/>
          <w:b/>
          <w:color w:val="000000" w:themeColor="text1"/>
          <w:sz w:val="28"/>
          <w:szCs w:val="28"/>
        </w:rPr>
        <w:t>2．公共自行车便民出行</w:t>
      </w:r>
    </w:p>
    <w:p w14:paraId="2B4B2DF8">
      <w:pPr>
        <w:spacing w:line="560" w:lineRule="exact"/>
        <w:ind w:firstLine="560" w:firstLineChars="200"/>
        <w:rPr>
          <w:rFonts w:ascii="宋体" w:hAnsi="宋体" w:cs="宋体"/>
          <w:color w:val="000000" w:themeColor="text1"/>
          <w:sz w:val="28"/>
          <w:szCs w:val="28"/>
        </w:rPr>
      </w:pPr>
      <w:r>
        <w:rPr>
          <w:rFonts w:hint="eastAsia" w:ascii="宋体" w:hAnsi="宋体" w:cs="宋体"/>
          <w:color w:val="000000" w:themeColor="text1"/>
          <w:sz w:val="28"/>
          <w:szCs w:val="28"/>
        </w:rPr>
        <w:t>完成了市城区公共自行车租赁系统一、二期建设任务。我市2017年公共自行车开通扫码租车服务，至2020年，共设站点464个，投入自行车10000辆，锁桩13000个，用户超8万人，总骑行量2614万次（其中办卡骑行量1662万次，扫码骑行量952万次），年骑行量达621万次。公共自行车站点在选取时按方便换乘的原则，有138处公共自行车站点实现了与公交车站点的接驳。为不断满足市民多样化、差异化出行需求，有序引入有桩共享单车，目前已完成合同签订，并试点推广，截至2020年11月底，共设置站点283个，停车架4000套，投放自行车1500余辆。</w:t>
      </w:r>
    </w:p>
    <w:p w14:paraId="48A5DD6A">
      <w:pPr>
        <w:spacing w:line="560" w:lineRule="exact"/>
        <w:ind w:firstLine="562" w:firstLineChars="200"/>
        <w:rPr>
          <w:rFonts w:ascii="宋体" w:hAnsi="宋体" w:cs="宋体"/>
          <w:b/>
          <w:bCs/>
          <w:color w:val="000000" w:themeColor="text1"/>
          <w:sz w:val="28"/>
          <w:szCs w:val="28"/>
        </w:rPr>
      </w:pPr>
      <w:r>
        <w:rPr>
          <w:rFonts w:hint="eastAsia" w:ascii="宋体" w:hAnsi="宋体" w:cs="宋体"/>
          <w:b/>
          <w:bCs/>
          <w:color w:val="000000" w:themeColor="text1"/>
          <w:sz w:val="28"/>
          <w:szCs w:val="28"/>
        </w:rPr>
        <w:t>3．停车设施不断完善</w:t>
      </w:r>
    </w:p>
    <w:p w14:paraId="14A4220F">
      <w:pPr>
        <w:pStyle w:val="8"/>
        <w:spacing w:line="560" w:lineRule="exact"/>
        <w:ind w:firstLine="560" w:firstLineChars="200"/>
        <w:jc w:val="both"/>
        <w:rPr>
          <w:rFonts w:ascii="宋体" w:hAnsi="宋体" w:cs="宋体"/>
          <w:color w:val="000000" w:themeColor="text1"/>
          <w:sz w:val="28"/>
          <w:szCs w:val="28"/>
        </w:rPr>
      </w:pPr>
      <w:r>
        <w:rPr>
          <w:rFonts w:hint="eastAsia" w:ascii="宋体" w:hAnsi="宋体" w:cs="宋体"/>
          <w:color w:val="000000" w:themeColor="text1"/>
          <w:sz w:val="28"/>
          <w:szCs w:val="28"/>
        </w:rPr>
        <w:t>完成了城区200平方公里内停车资源的摸底，全面掌握停车场规划、建设及使用情况。调查了全市340个公共配建停车场（</w:t>
      </w:r>
      <w:r>
        <w:rPr>
          <w:rFonts w:hint="eastAsia" w:ascii="宋体" w:hAnsi="宋体" w:cs="宋体"/>
          <w:color w:val="000000" w:themeColor="text1"/>
          <w:kern w:val="0"/>
          <w:sz w:val="28"/>
          <w:szCs w:val="28"/>
        </w:rPr>
        <w:t>楼）、125处道路动态停车点，共计55764个停车位。</w:t>
      </w:r>
      <w:r>
        <w:rPr>
          <w:rFonts w:hint="eastAsia" w:ascii="宋体" w:hAnsi="宋体" w:cs="宋体"/>
          <w:color w:val="000000" w:themeColor="text1"/>
          <w:sz w:val="28"/>
          <w:szCs w:val="28"/>
        </w:rPr>
        <w:t>政府机关单位内部配建的停车场有125处，计12453个停车位；商业服务公司配建停车场48处，计16586个停车位。确定湘潭市拟建立体停车楼（库）一、二期共规划选址9处，总用地面积为24358.29平方米。红月亮立体停车场、雨湖交警大队立体停车场、原房产局（北侧）立体停车场即将正式运营，棚改板塘片区5号地块停车楼和公汽公司立体停车场主体结构完工。完成《湘潭市停车设施专项规划（2019-2035）》编制和发布，出台了《湘潭市加强市城区机动车停车管理的工作方案》和完善《湘潭市停车服务收费细则》。《湘潭市城区机动车停车场管理暂行办法》已通过市政府办发文于2020年10月1日正式施行。湘潭市城区公共停车场和停车位特许经营权项目已完成招投标工作，签订了特许经营协议。项目完成后城区将在完善的法律体系、有效的价格机制以及良好的执法环境基础上，有效缓解城市“停车难”和“停车乱”问题。</w:t>
      </w:r>
    </w:p>
    <w:p w14:paraId="4532C4D6">
      <w:pPr>
        <w:spacing w:line="560" w:lineRule="exact"/>
        <w:ind w:firstLine="562" w:firstLineChars="200"/>
        <w:rPr>
          <w:rFonts w:ascii="宋体" w:hAnsi="宋体" w:cs="宋体"/>
          <w:b/>
          <w:color w:val="000000" w:themeColor="text1"/>
          <w:sz w:val="28"/>
          <w:szCs w:val="28"/>
        </w:rPr>
      </w:pPr>
      <w:r>
        <w:rPr>
          <w:rFonts w:hint="eastAsia" w:ascii="宋体" w:hAnsi="宋体" w:cs="宋体"/>
          <w:b/>
          <w:color w:val="000000" w:themeColor="text1"/>
          <w:sz w:val="28"/>
          <w:szCs w:val="28"/>
        </w:rPr>
        <w:t>4．天然气建设满足需要</w:t>
      </w:r>
    </w:p>
    <w:p w14:paraId="4C64ED08">
      <w:pPr>
        <w:spacing w:line="560" w:lineRule="exact"/>
        <w:ind w:firstLine="560" w:firstLineChars="200"/>
        <w:rPr>
          <w:rFonts w:ascii="宋体" w:hAnsi="宋体" w:cs="宋体"/>
          <w:b/>
          <w:color w:val="000000" w:themeColor="text1"/>
          <w:sz w:val="28"/>
          <w:szCs w:val="28"/>
        </w:rPr>
      </w:pPr>
      <w:r>
        <w:rPr>
          <w:rFonts w:hint="eastAsia" w:ascii="宋体" w:hAnsi="宋体" w:cs="宋体"/>
          <w:color w:val="000000" w:themeColor="text1"/>
          <w:sz w:val="28"/>
          <w:szCs w:val="28"/>
        </w:rPr>
        <w:t>“十三五”期间，管道燃气投资累计达6亿元，完成了昭山门站的扩容改造，使出站次高压供气能力达到12万方每小时。建设九华高中压调压站及维抢基地，气源为穿江次高压（昭山-九华）管道，为九华供应管道天然气。敷设燃气管道2200余千米，安装燃气户数超过30万，工商户近6600家。投资2100万元建设九华门站。积极推进老旧城区天然气改造，敷设中压天然气管道68.6千米，完成城中村改造8300户，新增用户4.5万余户。完成居民用户接驳76673户，使市区居民气化率达到98.2%。乡村气化建设安装姜畲组团农村用户5936户。优化营商环境，与9家工商户协商天然气定价，共优惠金额合计671万余元。坚持安全运行和日常监管并重，五年来没有出现居民停气情况，未发生重大燃气安全事故。</w:t>
      </w:r>
    </w:p>
    <w:p w14:paraId="66C4C1AB">
      <w:pPr>
        <w:spacing w:line="560" w:lineRule="exact"/>
        <w:ind w:firstLine="562" w:firstLineChars="200"/>
        <w:rPr>
          <w:rFonts w:ascii="宋体" w:hAnsi="宋体" w:cs="宋体"/>
          <w:b/>
          <w:color w:val="000000" w:themeColor="text1"/>
          <w:sz w:val="28"/>
          <w:szCs w:val="28"/>
        </w:rPr>
      </w:pPr>
      <w:r>
        <w:rPr>
          <w:rFonts w:hint="eastAsia" w:ascii="宋体" w:hAnsi="宋体" w:cs="宋体"/>
          <w:b/>
          <w:color w:val="000000" w:themeColor="text1"/>
          <w:sz w:val="28"/>
          <w:szCs w:val="28"/>
        </w:rPr>
        <w:t>5．环卫设施日益完善</w:t>
      </w:r>
    </w:p>
    <w:p w14:paraId="6755B37E">
      <w:pPr>
        <w:spacing w:line="560" w:lineRule="exact"/>
        <w:ind w:firstLine="560" w:firstLineChars="200"/>
        <w:rPr>
          <w:rFonts w:ascii="宋体" w:hAnsi="宋体" w:cs="宋体"/>
          <w:color w:val="000000" w:themeColor="text1"/>
          <w:sz w:val="28"/>
          <w:szCs w:val="28"/>
        </w:rPr>
      </w:pPr>
      <w:r>
        <w:rPr>
          <w:rFonts w:hint="eastAsia" w:ascii="宋体" w:hAnsi="宋体" w:cs="宋体"/>
          <w:color w:val="000000" w:themeColor="text1"/>
          <w:sz w:val="28"/>
          <w:szCs w:val="28"/>
        </w:rPr>
        <w:t>为缓解双马垃圾场填埋容量告急，双马垃圾场先后完成了整改配套工程临时过渡场续建项目和临时过渡场应急扩容项目，分别完成投资2209万元、7303万元，新增有效库容116.4万立方米、80.95万立方米，延长使用年限2.8年、2.5年，建成1座2级DTRO渗滤液处理车间，处理能力为200吨/天，建成1座6384立方米渗滤液调节池，现已全部投入运营。环卫基础设施建设提质提档，完成并投入使用新（重）建公厕64座（其中环保公厕25座）；提质改造公厕249座次，全市公厕总量达343座（含流动汽车公厕8座），其中二类及以上达236座。开展社会厕所免费开放工作，完成200座社会厕所对外开放工作（其中企事业单位和社会团体各100座）。垃圾中转站新建2座、提质改造32座、穿衣戴帽55座、加装除臭设备79座，全市中转站总量达96座。完成修建、租赁环卫工人休息室47座，拆除（改造）露天垃圾围子1584处，补充密闭垃圾收集容器1712个。推动城区环卫一体化PPP项目建设。项目总投资21571.02万元，主要项目包括雨湖区环卫服务中心、岳塘区环卫服务中心、小型生活垃圾站、公共厕所、环卫休息场所的建设、老旧设备的更新、小区垃圾分类设施配套、垃圾收转运系统运营。</w:t>
      </w:r>
    </w:p>
    <w:p w14:paraId="5C71A6C5">
      <w:pPr>
        <w:pStyle w:val="4"/>
        <w:numPr>
          <w:ilvl w:val="0"/>
          <w:numId w:val="0"/>
        </w:numPr>
        <w:spacing w:before="120" w:after="156" w:line="560" w:lineRule="exact"/>
        <w:ind w:left="482"/>
        <w:rPr>
          <w:rFonts w:cs="宋体"/>
          <w:color w:val="000000" w:themeColor="text1"/>
          <w:sz w:val="28"/>
          <w:szCs w:val="28"/>
          <w:lang w:eastAsia="zh-CN"/>
        </w:rPr>
      </w:pPr>
      <w:bookmarkStart w:id="6" w:name="_Toc14539"/>
      <w:r>
        <w:rPr>
          <w:rFonts w:hint="eastAsia" w:cs="宋体"/>
          <w:color w:val="000000" w:themeColor="text1"/>
          <w:sz w:val="28"/>
          <w:szCs w:val="28"/>
          <w:lang w:eastAsia="zh-CN"/>
        </w:rPr>
        <w:t>五、勇担城市管理中心工作</w:t>
      </w:r>
      <w:bookmarkEnd w:id="6"/>
    </w:p>
    <w:p w14:paraId="39ECF42B">
      <w:pPr>
        <w:spacing w:line="560" w:lineRule="exact"/>
        <w:ind w:firstLine="562" w:firstLineChars="200"/>
        <w:rPr>
          <w:rFonts w:ascii="宋体" w:hAnsi="宋体" w:cs="宋体"/>
          <w:b/>
          <w:bCs/>
          <w:color w:val="000000" w:themeColor="text1"/>
          <w:sz w:val="28"/>
          <w:szCs w:val="28"/>
        </w:rPr>
      </w:pPr>
      <w:r>
        <w:rPr>
          <w:rFonts w:hint="eastAsia" w:ascii="宋体" w:hAnsi="宋体" w:cs="宋体"/>
          <w:b/>
          <w:bCs/>
          <w:color w:val="000000" w:themeColor="text1"/>
          <w:sz w:val="28"/>
          <w:szCs w:val="28"/>
        </w:rPr>
        <w:t>1. 党建引领抓中心</w:t>
      </w:r>
    </w:p>
    <w:p w14:paraId="5AD83737">
      <w:pPr>
        <w:spacing w:line="560" w:lineRule="exact"/>
        <w:ind w:firstLine="560" w:firstLineChars="200"/>
        <w:rPr>
          <w:rFonts w:ascii="宋体" w:hAnsi="宋体" w:cs="宋体"/>
          <w:b/>
          <w:bCs/>
          <w:color w:val="000000" w:themeColor="text1"/>
          <w:sz w:val="28"/>
          <w:szCs w:val="28"/>
        </w:rPr>
      </w:pPr>
      <w:r>
        <w:rPr>
          <w:rFonts w:hint="eastAsia" w:ascii="宋体" w:hAnsi="宋体" w:cs="宋体"/>
          <w:color w:val="000000" w:themeColor="text1"/>
          <w:sz w:val="28"/>
          <w:szCs w:val="28"/>
        </w:rPr>
        <w:t>坚持以“党建领航工程”为统领，以夯基固本为总基调，围绕“法治城管、民生城管、智慧城管、人文城管、品质城管”目标，以“四责四诺”、“五联五问”活动和党支部“五化”建设为抓手，全面深化改革，聚焦为民服务、紧贴“三创”工作、助推乡村振兴、助力精准脱贫，围绕中心、服务中心，全面加强局系统党组织的政治思想、组织、作风、纪律、制度建设，确保各项任务的圆满完成。强化党支部书记抓党建“第一责任人”责任，落实日常督查考察，健全考核制度，加大党建领航力度。组织各科室、部门和每个干部职工紧紧围绕年度中心工作和重点任务，积极开展“一个党员认领解决一个问题”活动。深入学习贯彻习近平关于城市管理的重要论述和十九大与十九届二中、三中、四中、五中全会精神，在</w:t>
      </w:r>
      <w:r>
        <w:rPr>
          <w:rFonts w:hint="eastAsia" w:ascii="宋体" w:hAnsi="宋体" w:cs="宋体"/>
          <w:bCs/>
          <w:color w:val="000000" w:themeColor="text1"/>
          <w:sz w:val="28"/>
          <w:szCs w:val="28"/>
        </w:rPr>
        <w:t>城市管理改革和创文复检、创卫迎检、疫情防控、脱贫攻坚等中心工作中，展示城管人的担当作为。</w:t>
      </w:r>
    </w:p>
    <w:p w14:paraId="5240D92D">
      <w:pPr>
        <w:spacing w:line="560" w:lineRule="exact"/>
        <w:ind w:firstLine="562" w:firstLineChars="200"/>
        <w:rPr>
          <w:rFonts w:ascii="宋体" w:hAnsi="宋体" w:cs="宋体"/>
          <w:b/>
          <w:bCs/>
          <w:color w:val="000000" w:themeColor="text1"/>
          <w:sz w:val="28"/>
          <w:szCs w:val="28"/>
        </w:rPr>
      </w:pPr>
      <w:r>
        <w:rPr>
          <w:rFonts w:hint="eastAsia" w:ascii="宋体" w:hAnsi="宋体" w:cs="宋体"/>
          <w:b/>
          <w:bCs/>
          <w:color w:val="000000" w:themeColor="text1"/>
          <w:sz w:val="28"/>
          <w:szCs w:val="28"/>
        </w:rPr>
        <w:t>2．全面深化城管改革</w:t>
      </w:r>
    </w:p>
    <w:p w14:paraId="5BED1654">
      <w:pPr>
        <w:spacing w:line="600" w:lineRule="exact"/>
        <w:ind w:firstLine="560" w:firstLineChars="200"/>
        <w:textAlignment w:val="baseline"/>
        <w:rPr>
          <w:rFonts w:ascii="宋体" w:hAnsi="宋体" w:cs="宋体"/>
          <w:color w:val="000000" w:themeColor="text1"/>
          <w:sz w:val="28"/>
          <w:szCs w:val="28"/>
        </w:rPr>
      </w:pPr>
      <w:r>
        <w:rPr>
          <w:rFonts w:hint="eastAsia" w:ascii="宋体" w:hAnsi="宋体" w:cs="宋体"/>
          <w:color w:val="000000" w:themeColor="text1"/>
          <w:sz w:val="28"/>
          <w:szCs w:val="28"/>
        </w:rPr>
        <w:t>为扎实推进我市城市管理和综合执法体制改革，进一步提升城市管理和综合执法水平，根据《中共中央国务院关于深入推进城市执法体制改革改进城市管理工作的指导意见（中发﹝</w:t>
      </w:r>
      <w:r>
        <w:rPr>
          <w:rFonts w:ascii="宋体" w:hAnsi="宋体" w:cs="宋体"/>
          <w:color w:val="000000" w:themeColor="text1"/>
          <w:sz w:val="28"/>
          <w:szCs w:val="28"/>
        </w:rPr>
        <w:t>2015</w:t>
      </w:r>
      <w:r>
        <w:rPr>
          <w:rFonts w:hint="eastAsia" w:ascii="宋体" w:hAnsi="宋体" w:cs="宋体"/>
          <w:color w:val="000000" w:themeColor="text1"/>
          <w:sz w:val="28"/>
          <w:szCs w:val="28"/>
        </w:rPr>
        <w:t>）</w:t>
      </w:r>
      <w:r>
        <w:rPr>
          <w:rFonts w:ascii="宋体" w:hAnsi="宋体" w:cs="宋体"/>
          <w:color w:val="000000" w:themeColor="text1"/>
          <w:sz w:val="28"/>
          <w:szCs w:val="28"/>
        </w:rPr>
        <w:t>37</w:t>
      </w:r>
      <w:r>
        <w:rPr>
          <w:rFonts w:hint="eastAsia" w:ascii="宋体" w:hAnsi="宋体" w:cs="宋体"/>
          <w:color w:val="000000" w:themeColor="text1"/>
          <w:sz w:val="28"/>
          <w:szCs w:val="28"/>
        </w:rPr>
        <w:t>号）》《中共湖南省委湖南省人民政府关于深入推进城市执法体制改革改进城市管理工作的实施意见（湘发﹝</w:t>
      </w:r>
      <w:r>
        <w:rPr>
          <w:rFonts w:ascii="宋体" w:hAnsi="宋体" w:cs="宋体"/>
          <w:color w:val="000000" w:themeColor="text1"/>
          <w:sz w:val="28"/>
          <w:szCs w:val="28"/>
        </w:rPr>
        <w:t>2016</w:t>
      </w:r>
      <w:r>
        <w:rPr>
          <w:rFonts w:hint="eastAsia" w:ascii="宋体" w:hAnsi="宋体" w:cs="宋体"/>
          <w:color w:val="000000" w:themeColor="text1"/>
          <w:sz w:val="28"/>
          <w:szCs w:val="28"/>
        </w:rPr>
        <w:t>）</w:t>
      </w:r>
      <w:r>
        <w:rPr>
          <w:rFonts w:ascii="宋体" w:hAnsi="宋体" w:cs="宋体"/>
          <w:color w:val="000000" w:themeColor="text1"/>
          <w:sz w:val="28"/>
          <w:szCs w:val="28"/>
        </w:rPr>
        <w:t>30</w:t>
      </w:r>
      <w:r>
        <w:rPr>
          <w:rFonts w:hint="eastAsia" w:ascii="宋体" w:hAnsi="宋体" w:cs="宋体"/>
          <w:color w:val="000000" w:themeColor="text1"/>
          <w:sz w:val="28"/>
          <w:szCs w:val="28"/>
        </w:rPr>
        <w:t>号）》等文件精神，市城管执法局代拟《湘潭市城市管理和综合执法体制改革实施方案》，经市委机构编制委员会第五次会议暨市委深化机构改革领导小组会议审议通过，2019年12月31日，市人民政府报送《湘潭市人民政府关于批准同意&lt;湘潭市城市管理和综合执法体制改革实施方案&gt;的请示》（潭政〔2019〕53号）至省人民政府，2020年12月16日，湖南省住房和城乡建设厅出具《湖南省住房和城乡建设厅关于&lt;湘潭市城市管理和综合执法体制改革实施方案&gt;的复函》，市委编办、市司法局、市城管执法局依据该文件推动我市城管执法体制改革。</w:t>
      </w:r>
    </w:p>
    <w:p w14:paraId="4D8FBC2E">
      <w:pPr>
        <w:spacing w:line="600" w:lineRule="exact"/>
        <w:ind w:firstLine="560" w:firstLineChars="200"/>
        <w:textAlignment w:val="baseline"/>
        <w:rPr>
          <w:rFonts w:ascii="宋体" w:cs="宋体"/>
          <w:color w:val="000000"/>
          <w:sz w:val="28"/>
          <w:szCs w:val="28"/>
        </w:rPr>
      </w:pPr>
      <w:r>
        <w:rPr>
          <w:rFonts w:hint="eastAsia" w:ascii="宋体" w:hAnsi="宋体" w:cs="宋体"/>
          <w:color w:val="000000" w:themeColor="text1"/>
          <w:sz w:val="28"/>
          <w:szCs w:val="28"/>
        </w:rPr>
        <w:t>稳妥推动“事转企”改制工作。湘潭市市政工程公司原为副处级生产经营类单位，按“事转企”改制要求，</w:t>
      </w:r>
      <w:r>
        <w:rPr>
          <w:rFonts w:hint="eastAsia" w:ascii="宋体" w:hAnsi="宋体" w:cs="宋体"/>
          <w:color w:val="000000"/>
          <w:sz w:val="28"/>
          <w:szCs w:val="28"/>
        </w:rPr>
        <w:t>组建湘潭市政科技集团有限公司，去除事业单位身份，移交国资委，以企业身</w:t>
      </w:r>
      <w:bookmarkStart w:id="214" w:name="_GoBack"/>
      <w:bookmarkEnd w:id="214"/>
      <w:r>
        <w:rPr>
          <w:rFonts w:hint="eastAsia" w:ascii="宋体" w:hAnsi="宋体" w:cs="宋体"/>
          <w:color w:val="000000"/>
          <w:sz w:val="28"/>
          <w:szCs w:val="28"/>
        </w:rPr>
        <w:t>份参与市场竞争。同时，根据中央、省、市事业单位改革要求，核销湘潭市煤气公司事业单位编制，注销法人。双马渗滤液公司</w:t>
      </w:r>
      <w:r>
        <w:rPr>
          <w:rFonts w:ascii="宋体" w:hAnsi="宋体" w:cs="宋体"/>
          <w:color w:val="000000"/>
          <w:sz w:val="28"/>
          <w:szCs w:val="28"/>
        </w:rPr>
        <w:t>2020</w:t>
      </w:r>
      <w:r>
        <w:rPr>
          <w:rFonts w:hint="eastAsia" w:ascii="宋体" w:hAnsi="宋体" w:cs="宋体"/>
          <w:color w:val="000000"/>
          <w:sz w:val="28"/>
          <w:szCs w:val="28"/>
        </w:rPr>
        <w:t>年</w:t>
      </w:r>
      <w:r>
        <w:rPr>
          <w:rFonts w:ascii="宋体" w:hAnsi="宋体" w:cs="宋体"/>
          <w:color w:val="000000"/>
          <w:sz w:val="28"/>
          <w:szCs w:val="28"/>
        </w:rPr>
        <w:t>11</w:t>
      </w:r>
      <w:r>
        <w:rPr>
          <w:rFonts w:hint="eastAsia" w:ascii="宋体" w:hAnsi="宋体" w:cs="宋体"/>
          <w:color w:val="000000"/>
          <w:sz w:val="28"/>
          <w:szCs w:val="28"/>
        </w:rPr>
        <w:t>月移交市国资委。</w:t>
      </w:r>
    </w:p>
    <w:p w14:paraId="7AD9F5C4">
      <w:pPr>
        <w:spacing w:line="560" w:lineRule="exact"/>
        <w:ind w:firstLine="562" w:firstLineChars="200"/>
        <w:rPr>
          <w:rFonts w:ascii="宋体" w:hAnsi="宋体" w:cs="宋体"/>
          <w:b/>
          <w:bCs/>
          <w:color w:val="000000" w:themeColor="text1"/>
          <w:sz w:val="28"/>
          <w:szCs w:val="28"/>
        </w:rPr>
      </w:pPr>
      <w:r>
        <w:rPr>
          <w:rFonts w:hint="eastAsia" w:ascii="宋体" w:hAnsi="宋体" w:cs="宋体"/>
          <w:b/>
          <w:bCs/>
          <w:color w:val="000000" w:themeColor="text1"/>
          <w:sz w:val="28"/>
          <w:szCs w:val="28"/>
        </w:rPr>
        <w:t>3．脱贫攻坚尽锐出战</w:t>
      </w:r>
    </w:p>
    <w:p w14:paraId="4D5134C1">
      <w:pPr>
        <w:spacing w:line="560" w:lineRule="exact"/>
        <w:ind w:firstLine="560" w:firstLineChars="200"/>
        <w:rPr>
          <w:rFonts w:ascii="宋体" w:hAnsi="宋体" w:cs="宋体"/>
          <w:b/>
          <w:bCs/>
          <w:color w:val="000000" w:themeColor="text1"/>
          <w:sz w:val="28"/>
          <w:szCs w:val="28"/>
        </w:rPr>
      </w:pPr>
      <w:r>
        <w:rPr>
          <w:rFonts w:hint="eastAsia" w:ascii="宋体" w:hAnsi="宋体" w:cs="宋体"/>
          <w:color w:val="000000" w:themeColor="text1"/>
          <w:sz w:val="28"/>
          <w:szCs w:val="28"/>
        </w:rPr>
        <w:t>市城市管理与综合执法局与雨湖区鹤岭镇和湘乡市毛田镇共7个村220户结对帮扶对象，完成“微心愿” 227个。积极为雨湖区鹤岭镇双丰村人居环境整治争取了20万项目资金，完善村部公共服务设施功能。积极争取资金33.5万元，赠送图书7000余元，让民众办事更便利。建立爱心超市，及时销售村民农副产品，双丰村人均收入从2018年的3400元增加至2020年的8000元。2018年以来局本级直接拨付资金86.15万元，同时注重发挥各局属单位的主观能动性，资助贫困学子16名，修缮垃圾围子60个，铺设路灯线路1.3公里，安装路灯59盏。</w:t>
      </w:r>
    </w:p>
    <w:p w14:paraId="3560D961">
      <w:pPr>
        <w:spacing w:line="560" w:lineRule="exact"/>
        <w:ind w:firstLine="562" w:firstLineChars="200"/>
        <w:rPr>
          <w:rFonts w:ascii="宋体" w:hAnsi="宋体" w:cs="宋体"/>
          <w:b/>
          <w:bCs/>
          <w:color w:val="000000" w:themeColor="text1"/>
          <w:sz w:val="28"/>
          <w:szCs w:val="28"/>
        </w:rPr>
      </w:pPr>
      <w:r>
        <w:rPr>
          <w:rFonts w:hint="eastAsia" w:ascii="宋体" w:hAnsi="宋体" w:cs="宋体"/>
          <w:b/>
          <w:bCs/>
          <w:color w:val="000000" w:themeColor="text1"/>
          <w:sz w:val="28"/>
          <w:szCs w:val="28"/>
        </w:rPr>
        <w:t>4．应急处突披荆斩棘</w:t>
      </w:r>
    </w:p>
    <w:p w14:paraId="3BB547D7">
      <w:pPr>
        <w:pStyle w:val="8"/>
        <w:spacing w:line="560" w:lineRule="exact"/>
        <w:ind w:firstLine="560" w:firstLineChars="200"/>
        <w:rPr>
          <w:rFonts w:ascii="宋体" w:hAnsi="宋体" w:cs="宋体"/>
          <w:bCs/>
          <w:color w:val="000000" w:themeColor="text1"/>
          <w:sz w:val="28"/>
          <w:szCs w:val="28"/>
        </w:rPr>
      </w:pPr>
      <w:r>
        <w:rPr>
          <w:rFonts w:hint="eastAsia" w:ascii="宋体" w:hAnsi="宋体" w:cs="宋体"/>
          <w:bCs/>
          <w:color w:val="000000" w:themeColor="text1"/>
          <w:sz w:val="28"/>
          <w:szCs w:val="28"/>
        </w:rPr>
        <w:t>争当除雪抗冰的先锋队。</w:t>
      </w:r>
      <w:r>
        <w:rPr>
          <w:rFonts w:hint="eastAsia" w:ascii="宋体" w:hAnsi="宋体" w:cs="宋体"/>
          <w:color w:val="000000" w:themeColor="text1"/>
          <w:sz w:val="28"/>
          <w:szCs w:val="28"/>
        </w:rPr>
        <w:t>2018年元月、2019年元旦，冰雪天气如期而至，市城管系统广大干部“闻”雪而动，连续奋战在城市的各个角落，撒盐、铲雪、除冰，保安全、保运行、保洁净，真正做到了雪停路净、雪清路畅。</w:t>
      </w:r>
      <w:r>
        <w:rPr>
          <w:rFonts w:hint="eastAsia" w:ascii="宋体" w:hAnsi="宋体" w:cs="宋体"/>
          <w:bCs/>
          <w:color w:val="000000" w:themeColor="text1"/>
          <w:sz w:val="28"/>
          <w:szCs w:val="28"/>
        </w:rPr>
        <w:t>争当抗洪抢险的排头兵。2017年、2019年7月在遭遇连续暴雨的关键时刻，湘潭市城市管理和综合执法局立即成立防汛抗洪应急抢险工作领导小组，响亮提出“水退人进”口号，派出环卫、园林、灯饰等9个工作小组，取消休假，24小时值班，先后出动三千余人次开展</w:t>
      </w:r>
      <w:r>
        <w:rPr>
          <w:rFonts w:hint="eastAsia" w:ascii="宋体" w:hAnsi="宋体" w:cs="宋体"/>
          <w:color w:val="000000" w:themeColor="text1"/>
          <w:sz w:val="28"/>
          <w:szCs w:val="28"/>
        </w:rPr>
        <w:t>抗洪抢险，并成立</w:t>
      </w:r>
      <w:r>
        <w:rPr>
          <w:rFonts w:hint="eastAsia" w:ascii="宋体" w:hAnsi="宋体" w:cs="宋体"/>
          <w:bCs/>
          <w:color w:val="000000" w:themeColor="text1"/>
          <w:sz w:val="28"/>
          <w:szCs w:val="28"/>
        </w:rPr>
        <w:t>100人的应急抢险突击队，随时应对突发情况。待水位下降，又迅速组织人员700余人次，车辆250余台次，</w:t>
      </w:r>
      <w:r>
        <w:rPr>
          <w:rFonts w:hint="eastAsia" w:ascii="宋体" w:hAnsi="宋体" w:cs="宋体"/>
          <w:color w:val="000000" w:themeColor="text1"/>
          <w:sz w:val="28"/>
          <w:szCs w:val="28"/>
        </w:rPr>
        <w:t>主动支援雨湖区对杨梅洲进场道路和居民家开展清淤行动，严控传染病的发生。</w:t>
      </w:r>
      <w:r>
        <w:rPr>
          <w:rFonts w:hint="eastAsia" w:ascii="宋体" w:hAnsi="宋体" w:cs="宋体"/>
          <w:bCs/>
          <w:color w:val="000000" w:themeColor="text1"/>
          <w:sz w:val="28"/>
          <w:szCs w:val="28"/>
        </w:rPr>
        <w:t>争当疫情防控的主力军。</w:t>
      </w:r>
      <w:r>
        <w:rPr>
          <w:rFonts w:hint="eastAsia" w:ascii="宋体" w:hAnsi="宋体" w:cs="宋体"/>
          <w:color w:val="000000" w:themeColor="text1"/>
          <w:sz w:val="28"/>
          <w:szCs w:val="28"/>
        </w:rPr>
        <w:t>2020年2月</w:t>
      </w:r>
      <w:r>
        <w:rPr>
          <w:rFonts w:hint="eastAsia" w:ascii="宋体" w:hAnsi="宋体" w:cs="宋体"/>
          <w:bCs/>
          <w:color w:val="000000" w:themeColor="text1"/>
          <w:sz w:val="28"/>
          <w:szCs w:val="28"/>
        </w:rPr>
        <w:t>新冠疫情发生后，党员干部积极投身疫情阻击战，第一时间发布《用生命守护城市健康运行倡议书》。在全省率先启动废弃口罩收集行动，累计设置专用收集桶3463个，处理废弃口罩</w:t>
      </w:r>
      <w:r>
        <w:rPr>
          <w:rFonts w:hint="eastAsia" w:ascii="宋体" w:hAnsi="宋体" w:cs="宋体"/>
          <w:color w:val="000000" w:themeColor="text1"/>
          <w:sz w:val="28"/>
          <w:szCs w:val="28"/>
        </w:rPr>
        <w:t>1.4</w:t>
      </w:r>
      <w:r>
        <w:rPr>
          <w:rFonts w:hint="eastAsia" w:ascii="宋体" w:hAnsi="宋体" w:cs="宋体"/>
          <w:bCs/>
          <w:color w:val="000000" w:themeColor="text1"/>
          <w:sz w:val="28"/>
          <w:szCs w:val="28"/>
        </w:rPr>
        <w:t>吨，同时做好集中观察点废弃物的处置、农贸市场的整治等防疫工作。尤其是病毒威胁最严重的阶段，承担了危险性较高的废弃口罩回收处理，党员干部直面“病毒”，勇敢“逆行”。</w:t>
      </w:r>
    </w:p>
    <w:p w14:paraId="604D28F7">
      <w:pPr>
        <w:spacing w:line="560" w:lineRule="exact"/>
        <w:ind w:firstLine="562" w:firstLineChars="200"/>
        <w:rPr>
          <w:rFonts w:ascii="宋体" w:hAnsi="宋体" w:cs="宋体"/>
          <w:b/>
          <w:bCs/>
          <w:color w:val="000000" w:themeColor="text1"/>
          <w:sz w:val="28"/>
          <w:szCs w:val="28"/>
        </w:rPr>
      </w:pPr>
      <w:r>
        <w:rPr>
          <w:rFonts w:hint="eastAsia" w:ascii="宋体" w:hAnsi="宋体" w:cs="宋体"/>
          <w:b/>
          <w:bCs/>
          <w:color w:val="000000" w:themeColor="text1"/>
          <w:sz w:val="28"/>
          <w:szCs w:val="28"/>
        </w:rPr>
        <w:t>5、内涵式发展创新路</w:t>
      </w:r>
    </w:p>
    <w:p w14:paraId="611063FD">
      <w:pPr>
        <w:spacing w:line="560" w:lineRule="exact"/>
        <w:ind w:firstLine="560" w:firstLineChars="200"/>
        <w:rPr>
          <w:rFonts w:ascii="宋体" w:cs="宋体"/>
          <w:color w:val="000000"/>
          <w:sz w:val="28"/>
          <w:szCs w:val="28"/>
        </w:rPr>
      </w:pPr>
      <w:r>
        <w:rPr>
          <w:rFonts w:hint="eastAsia" w:ascii="宋体" w:hAnsi="宋体" w:cs="宋体"/>
          <w:color w:val="000000"/>
          <w:sz w:val="28"/>
          <w:szCs w:val="28"/>
        </w:rPr>
        <w:t>特许经营助力转型发展。</w:t>
      </w:r>
      <w:r>
        <w:rPr>
          <w:rFonts w:hint="eastAsia" w:ascii="宋体" w:hAnsi="宋体" w:cs="宋体"/>
          <w:color w:val="000000" w:themeColor="text1"/>
          <w:sz w:val="28"/>
          <w:szCs w:val="28"/>
        </w:rPr>
        <w:t>转变经济发展思路，改变以往单纯靠政府“输血”发展的模式，</w:t>
      </w:r>
      <w:r>
        <w:rPr>
          <w:rFonts w:hint="eastAsia" w:ascii="宋体" w:hAnsi="宋体" w:cs="宋体"/>
          <w:color w:val="000000"/>
          <w:sz w:val="28"/>
          <w:szCs w:val="28"/>
        </w:rPr>
        <w:t>采取特许经营的方式，将公共服务项目授权平台公司，收益收归政府，帮助政府化债。授予特许经营项目</w:t>
      </w:r>
      <w:r>
        <w:rPr>
          <w:rFonts w:ascii="宋体" w:hAnsi="宋体" w:cs="宋体"/>
          <w:color w:val="000000"/>
          <w:sz w:val="28"/>
          <w:szCs w:val="28"/>
        </w:rPr>
        <w:t>4</w:t>
      </w:r>
      <w:r>
        <w:rPr>
          <w:rFonts w:hint="eastAsia" w:ascii="宋体" w:hAnsi="宋体" w:cs="宋体"/>
          <w:color w:val="000000"/>
          <w:sz w:val="28"/>
          <w:szCs w:val="28"/>
        </w:rPr>
        <w:t>个，节约直接建设资金</w:t>
      </w:r>
      <w:r>
        <w:rPr>
          <w:rFonts w:ascii="宋体" w:hAnsi="宋体" w:cs="宋体"/>
          <w:color w:val="000000"/>
          <w:sz w:val="28"/>
          <w:szCs w:val="28"/>
        </w:rPr>
        <w:t>32.95</w:t>
      </w:r>
      <w:r>
        <w:rPr>
          <w:rFonts w:hint="eastAsia" w:ascii="宋体" w:hAnsi="宋体" w:cs="宋体"/>
          <w:color w:val="000000"/>
          <w:sz w:val="28"/>
          <w:szCs w:val="28"/>
        </w:rPr>
        <w:t>亿元，带来</w:t>
      </w:r>
      <w:r>
        <w:rPr>
          <w:rFonts w:ascii="宋体" w:hAnsi="宋体" w:cs="宋体"/>
          <w:color w:val="000000"/>
          <w:sz w:val="28"/>
          <w:szCs w:val="28"/>
        </w:rPr>
        <w:t>8</w:t>
      </w:r>
      <w:r>
        <w:rPr>
          <w:rFonts w:hint="eastAsia" w:ascii="宋体" w:hAnsi="宋体" w:cs="宋体"/>
          <w:color w:val="000000"/>
          <w:sz w:val="28"/>
          <w:szCs w:val="28"/>
        </w:rPr>
        <w:t>亿元助力政府化债，并带来稳定税收。抢抓机遇争资争项。密切关注国省政策，抢抓政策红利，结合城管建设与发展实际，加强对政策的研究，精心做好项目策划与包装，共计争资</w:t>
      </w:r>
      <w:r>
        <w:rPr>
          <w:rFonts w:ascii="宋体" w:hAnsi="宋体" w:cs="宋体"/>
          <w:color w:val="000000"/>
          <w:sz w:val="28"/>
          <w:szCs w:val="28"/>
        </w:rPr>
        <w:t>8100</w:t>
      </w:r>
      <w:r>
        <w:rPr>
          <w:rFonts w:hint="eastAsia" w:ascii="宋体" w:hAnsi="宋体" w:cs="宋体"/>
          <w:color w:val="000000"/>
          <w:sz w:val="28"/>
          <w:szCs w:val="28"/>
        </w:rPr>
        <w:t>万元。着力过“紧日子”。结合实际，从健全厉行节约机制、强化预算统筹管理、严格公务出行管理等方面入手，切实增收降支，“十三五”期间，压减一般性支出</w:t>
      </w:r>
      <w:r>
        <w:rPr>
          <w:rFonts w:ascii="宋体" w:hAnsi="宋体" w:cs="宋体"/>
          <w:color w:val="000000"/>
          <w:sz w:val="28"/>
          <w:szCs w:val="28"/>
        </w:rPr>
        <w:t>40%</w:t>
      </w:r>
      <w:r>
        <w:rPr>
          <w:rFonts w:hint="eastAsia" w:ascii="宋体" w:hAnsi="宋体" w:cs="宋体"/>
          <w:color w:val="000000"/>
          <w:sz w:val="28"/>
          <w:szCs w:val="28"/>
        </w:rPr>
        <w:t>以上、“三公”经费压减</w:t>
      </w:r>
      <w:r>
        <w:rPr>
          <w:rFonts w:ascii="宋体" w:hAnsi="宋体" w:cs="宋体"/>
          <w:color w:val="000000"/>
          <w:sz w:val="28"/>
          <w:szCs w:val="28"/>
        </w:rPr>
        <w:t>50%</w:t>
      </w:r>
      <w:r>
        <w:rPr>
          <w:rFonts w:hint="eastAsia" w:ascii="宋体" w:hAnsi="宋体" w:cs="宋体"/>
          <w:color w:val="000000"/>
          <w:sz w:val="28"/>
          <w:szCs w:val="28"/>
        </w:rPr>
        <w:t>以上；在全局系统开展“厉行勤俭节约、反对餐饮浪费”行动，切实推动文明、节约的餐饮文化形成风气。</w:t>
      </w:r>
    </w:p>
    <w:p w14:paraId="121E69EC">
      <w:pPr>
        <w:pStyle w:val="4"/>
        <w:numPr>
          <w:ilvl w:val="0"/>
          <w:numId w:val="0"/>
        </w:numPr>
        <w:spacing w:before="120" w:after="156" w:line="560" w:lineRule="exact"/>
        <w:ind w:left="482"/>
        <w:rPr>
          <w:rFonts w:cs="宋体"/>
          <w:color w:val="000000" w:themeColor="text1"/>
          <w:sz w:val="28"/>
          <w:szCs w:val="28"/>
          <w:lang w:eastAsia="zh-CN"/>
        </w:rPr>
      </w:pPr>
      <w:bookmarkStart w:id="7" w:name="_Toc15207"/>
      <w:r>
        <w:rPr>
          <w:rFonts w:hint="eastAsia" w:cs="宋体"/>
          <w:color w:val="000000" w:themeColor="text1"/>
          <w:sz w:val="28"/>
          <w:szCs w:val="28"/>
          <w:lang w:eastAsia="zh-CN"/>
        </w:rPr>
        <w:t>六、深化城市管理综合执法</w:t>
      </w:r>
      <w:bookmarkEnd w:id="7"/>
    </w:p>
    <w:p w14:paraId="4CF58631">
      <w:pPr>
        <w:shd w:val="clear" w:color="auto" w:fill="FFFFFF"/>
        <w:spacing w:line="560" w:lineRule="exact"/>
        <w:ind w:firstLine="562" w:firstLineChars="200"/>
        <w:rPr>
          <w:rFonts w:ascii="宋体" w:hAnsi="宋体" w:cs="宋体"/>
          <w:b/>
          <w:bCs/>
          <w:color w:val="000000" w:themeColor="text1"/>
          <w:kern w:val="0"/>
          <w:sz w:val="28"/>
          <w:szCs w:val="28"/>
        </w:rPr>
      </w:pPr>
      <w:r>
        <w:rPr>
          <w:rFonts w:hint="eastAsia" w:ascii="宋体" w:hAnsi="宋体" w:cs="宋体"/>
          <w:b/>
          <w:bCs/>
          <w:color w:val="000000" w:themeColor="text1"/>
          <w:kern w:val="0"/>
          <w:sz w:val="28"/>
          <w:szCs w:val="28"/>
        </w:rPr>
        <w:t>1．坚持科学立法</w:t>
      </w:r>
    </w:p>
    <w:p w14:paraId="74E5A694">
      <w:pPr>
        <w:shd w:val="clear" w:color="auto" w:fill="FFFFFF"/>
        <w:spacing w:line="560" w:lineRule="exact"/>
        <w:ind w:firstLine="560" w:firstLineChars="200"/>
        <w:rPr>
          <w:rFonts w:ascii="宋体" w:hAnsi="宋体" w:cs="宋体"/>
          <w:color w:val="000000" w:themeColor="text1"/>
          <w:kern w:val="0"/>
          <w:sz w:val="28"/>
          <w:szCs w:val="28"/>
        </w:rPr>
      </w:pPr>
      <w:r>
        <w:rPr>
          <w:rFonts w:hint="eastAsia" w:ascii="宋体" w:hAnsi="宋体" w:cs="宋体"/>
          <w:color w:val="000000" w:themeColor="text1"/>
          <w:kern w:val="0"/>
          <w:sz w:val="28"/>
          <w:szCs w:val="28"/>
        </w:rPr>
        <w:t>自我市获得地方立法权后，代政府起草《湘潭市城市市容和环境卫生管理条例》《湘潭市城市绿化条例》，并先后于2017年3月1日、2019年1月1日实施，破解“借法执法”尴尬窘境。同时，积极推动政府起草我市第一部政府规章《湘潭市城市户外广告和招牌设置管理办法》，于2020年11月6日市人民政府第93次常务会议通过，自2021年3月1日实行。</w:t>
      </w:r>
    </w:p>
    <w:p w14:paraId="0A36DC40">
      <w:pPr>
        <w:spacing w:line="560" w:lineRule="exact"/>
        <w:ind w:firstLine="562" w:firstLineChars="200"/>
        <w:rPr>
          <w:rFonts w:ascii="宋体" w:hAnsi="宋体" w:cs="宋体"/>
          <w:b/>
          <w:bCs/>
          <w:color w:val="000000" w:themeColor="text1"/>
          <w:sz w:val="28"/>
          <w:szCs w:val="28"/>
        </w:rPr>
      </w:pPr>
      <w:r>
        <w:rPr>
          <w:rFonts w:hint="eastAsia" w:ascii="宋体" w:hAnsi="宋体" w:cs="宋体"/>
          <w:b/>
          <w:bCs/>
          <w:color w:val="000000" w:themeColor="text1"/>
          <w:sz w:val="28"/>
          <w:szCs w:val="28"/>
        </w:rPr>
        <w:t>2．出台规范性文件</w:t>
      </w:r>
    </w:p>
    <w:p w14:paraId="6F9687A6">
      <w:pPr>
        <w:spacing w:line="560" w:lineRule="exact"/>
        <w:ind w:firstLine="560" w:firstLineChars="200"/>
        <w:rPr>
          <w:rFonts w:ascii="宋体" w:cs="宋体"/>
          <w:color w:val="000000"/>
          <w:sz w:val="28"/>
          <w:szCs w:val="28"/>
        </w:rPr>
      </w:pPr>
      <w:r>
        <w:rPr>
          <w:rFonts w:hint="eastAsia" w:ascii="宋体" w:hAnsi="宋体" w:cs="宋体"/>
          <w:color w:val="000000" w:themeColor="text1"/>
          <w:sz w:val="28"/>
          <w:szCs w:val="28"/>
        </w:rPr>
        <w:t>出台《湘潭市城市容貌规定》等13个规范性文件，编发了《湘潭市户外广告设置专项规划（2016—2020）》《湘潭市城市照明专项规划（2017—2030）》《湘潭市环境卫生行业发展规划（2017—2030）》《湘潭市城区生活垃圾分类和治理规划（2020—2035）》和《湘潭市城市停车设施专项规划（</w:t>
      </w:r>
      <w:r>
        <w:rPr>
          <w:rFonts w:ascii="宋体" w:hAnsi="宋体" w:cs="宋体"/>
          <w:color w:val="000000" w:themeColor="text1"/>
          <w:sz w:val="28"/>
          <w:szCs w:val="28"/>
        </w:rPr>
        <w:t>2019-2035</w:t>
      </w:r>
      <w:r>
        <w:rPr>
          <w:rFonts w:hint="eastAsia" w:ascii="宋体" w:hAnsi="宋体" w:cs="宋体"/>
          <w:color w:val="000000" w:themeColor="text1"/>
          <w:sz w:val="28"/>
          <w:szCs w:val="28"/>
        </w:rPr>
        <w:t>）》，</w:t>
      </w:r>
      <w:r>
        <w:rPr>
          <w:rFonts w:hint="eastAsia" w:ascii="宋体" w:hAnsi="宋体" w:cs="宋体"/>
          <w:color w:val="000000"/>
          <w:sz w:val="28"/>
          <w:szCs w:val="28"/>
        </w:rPr>
        <w:t>为我市新的市容条例、绿化条例的贯彻执行和</w:t>
      </w:r>
      <w:r>
        <w:rPr>
          <w:rFonts w:hint="eastAsia" w:ascii="宋体" w:hAnsi="宋体" w:cs="宋体"/>
          <w:color w:val="000000" w:themeColor="text1"/>
          <w:sz w:val="28"/>
          <w:szCs w:val="28"/>
        </w:rPr>
        <w:t>行业规划建设管理</w:t>
      </w:r>
      <w:r>
        <w:rPr>
          <w:rFonts w:hint="eastAsia" w:ascii="宋体" w:hAnsi="宋体" w:cs="宋体"/>
          <w:color w:val="000000"/>
          <w:sz w:val="28"/>
          <w:szCs w:val="28"/>
        </w:rPr>
        <w:t>奠定坚实制度基础。</w:t>
      </w:r>
    </w:p>
    <w:p w14:paraId="56F079B2">
      <w:pPr>
        <w:shd w:val="clear" w:color="auto" w:fill="FFFFFF"/>
        <w:spacing w:line="560" w:lineRule="exact"/>
        <w:ind w:firstLine="562" w:firstLineChars="200"/>
        <w:rPr>
          <w:rFonts w:ascii="宋体" w:hAnsi="宋体" w:cs="宋体"/>
          <w:b/>
          <w:bCs/>
          <w:color w:val="000000" w:themeColor="text1"/>
          <w:sz w:val="28"/>
          <w:szCs w:val="28"/>
        </w:rPr>
      </w:pPr>
      <w:r>
        <w:rPr>
          <w:rFonts w:hint="eastAsia" w:ascii="宋体" w:hAnsi="宋体" w:cs="宋体"/>
          <w:b/>
          <w:bCs/>
          <w:color w:val="000000" w:themeColor="text1"/>
          <w:sz w:val="28"/>
          <w:szCs w:val="28"/>
        </w:rPr>
        <w:t>3．有效开展普法</w:t>
      </w:r>
    </w:p>
    <w:p w14:paraId="674302C7">
      <w:pPr>
        <w:shd w:val="clear" w:color="auto" w:fill="FFFFFF"/>
        <w:spacing w:line="560" w:lineRule="exact"/>
        <w:ind w:firstLine="560" w:firstLineChars="200"/>
        <w:rPr>
          <w:rFonts w:ascii="宋体" w:hAnsi="宋体" w:cs="宋体"/>
          <w:bCs/>
          <w:color w:val="000000" w:themeColor="text1"/>
          <w:kern w:val="0"/>
          <w:sz w:val="28"/>
          <w:szCs w:val="28"/>
        </w:rPr>
      </w:pPr>
      <w:r>
        <w:rPr>
          <w:rFonts w:hint="eastAsia" w:ascii="宋体" w:hAnsi="宋体" w:cs="宋体"/>
          <w:bCs/>
          <w:color w:val="000000" w:themeColor="text1"/>
          <w:kern w:val="0"/>
          <w:sz w:val="28"/>
          <w:szCs w:val="28"/>
        </w:rPr>
        <w:t>抓好重点人员的学法用法，积极组织全局系统干部职工参加国家工作人员普法用法考试，连续五年合格率均为100%。湘潭市城市管理和综合执法局荣获2016年“六五普法全国先进单位”、2019年荣获全市宪法法律法规知识竞赛一等奖。</w:t>
      </w:r>
    </w:p>
    <w:p w14:paraId="1FCA5442">
      <w:pPr>
        <w:shd w:val="clear" w:color="auto" w:fill="FFFFFF"/>
        <w:spacing w:line="560" w:lineRule="exact"/>
        <w:ind w:firstLine="562" w:firstLineChars="200"/>
        <w:rPr>
          <w:rFonts w:ascii="宋体" w:hAnsi="宋体" w:cs="宋体"/>
          <w:b/>
          <w:bCs/>
          <w:color w:val="000000" w:themeColor="text1"/>
          <w:kern w:val="0"/>
          <w:sz w:val="28"/>
          <w:szCs w:val="28"/>
        </w:rPr>
      </w:pPr>
      <w:r>
        <w:rPr>
          <w:rFonts w:hint="eastAsia" w:ascii="宋体" w:hAnsi="宋体" w:cs="宋体"/>
          <w:b/>
          <w:bCs/>
          <w:color w:val="000000" w:themeColor="text1"/>
          <w:kern w:val="0"/>
          <w:sz w:val="28"/>
          <w:szCs w:val="28"/>
        </w:rPr>
        <w:t>4．坚持文明执法</w:t>
      </w:r>
    </w:p>
    <w:p w14:paraId="6504ED82">
      <w:pPr>
        <w:shd w:val="clear" w:color="auto" w:fill="FFFFFF"/>
        <w:spacing w:line="560" w:lineRule="exact"/>
        <w:ind w:firstLine="560" w:firstLineChars="200"/>
        <w:rPr>
          <w:rFonts w:ascii="宋体" w:hAnsi="宋体" w:cs="宋体"/>
          <w:color w:val="000000" w:themeColor="text1"/>
          <w:kern w:val="0"/>
          <w:sz w:val="28"/>
          <w:szCs w:val="28"/>
        </w:rPr>
      </w:pPr>
      <w:r>
        <w:rPr>
          <w:rFonts w:hint="eastAsia" w:ascii="宋体" w:hAnsi="宋体" w:cs="宋体"/>
          <w:color w:val="000000" w:themeColor="text1"/>
          <w:kern w:val="0"/>
          <w:sz w:val="28"/>
          <w:szCs w:val="28"/>
        </w:rPr>
        <w:t>近五年内，查处各类违法案件1000余起，查处率98％以上，先后有两件执法案件入选全市行政执法指导案例。强力推进拆违控违工作，拆除违法建筑面积20.49万平方米，依城乡规划法拆除九华富力城古镇2.18万平方米违建。</w:t>
      </w:r>
    </w:p>
    <w:p w14:paraId="2625DE3A">
      <w:pPr>
        <w:spacing w:line="560" w:lineRule="exact"/>
        <w:ind w:firstLine="562" w:firstLineChars="200"/>
        <w:rPr>
          <w:rFonts w:ascii="宋体" w:hAnsi="宋体" w:cs="宋体"/>
          <w:b/>
          <w:bCs/>
          <w:color w:val="000000" w:themeColor="text1"/>
          <w:sz w:val="28"/>
          <w:szCs w:val="28"/>
        </w:rPr>
      </w:pPr>
      <w:r>
        <w:rPr>
          <w:rFonts w:hint="eastAsia" w:ascii="宋体" w:hAnsi="宋体" w:cs="宋体"/>
          <w:b/>
          <w:bCs/>
          <w:color w:val="000000" w:themeColor="text1"/>
          <w:sz w:val="28"/>
          <w:szCs w:val="28"/>
        </w:rPr>
        <w:t>5．适时柔性执法</w:t>
      </w:r>
    </w:p>
    <w:p w14:paraId="31BCE3AB">
      <w:pPr>
        <w:spacing w:line="560" w:lineRule="exact"/>
        <w:ind w:firstLine="560" w:firstLineChars="200"/>
        <w:rPr>
          <w:rFonts w:ascii="宋体" w:hAnsi="宋体" w:cs="宋体"/>
          <w:color w:val="000000" w:themeColor="text1"/>
          <w:sz w:val="28"/>
          <w:szCs w:val="28"/>
        </w:rPr>
      </w:pPr>
      <w:r>
        <w:rPr>
          <w:rFonts w:hint="eastAsia" w:ascii="宋体" w:hAnsi="宋体" w:cs="宋体"/>
          <w:color w:val="000000" w:themeColor="text1"/>
          <w:sz w:val="28"/>
          <w:szCs w:val="28"/>
        </w:rPr>
        <w:t>疫情期间，出台《湘潭城管部门“一着力三支持”做好常态化疫情防控扩大就业助推经济发展措施》，明确4.8万平米经营面积，惠及3300余商户，增加就业岗位3600个，先后形成万达广场、东方红广场、窑湾古街等</w:t>
      </w:r>
      <w:r>
        <w:rPr>
          <w:rFonts w:hint="eastAsia" w:ascii="宋体" w:hAnsi="宋体" w:cs="宋体"/>
          <w:color w:val="000000"/>
          <w:sz w:val="28"/>
          <w:szCs w:val="28"/>
        </w:rPr>
        <w:t>便民点</w:t>
      </w:r>
      <w:r>
        <w:rPr>
          <w:rFonts w:hint="eastAsia" w:ascii="宋体" w:hAnsi="宋体" w:cs="宋体"/>
          <w:color w:val="000000" w:themeColor="text1"/>
          <w:sz w:val="28"/>
          <w:szCs w:val="28"/>
        </w:rPr>
        <w:t>，有力促进零售、餐饮等行业的复苏。</w:t>
      </w:r>
    </w:p>
    <w:p w14:paraId="5AC7622E">
      <w:pPr>
        <w:spacing w:line="560" w:lineRule="exact"/>
        <w:ind w:firstLine="560" w:firstLineChars="200"/>
        <w:rPr>
          <w:rFonts w:ascii="宋体" w:hAnsi="宋体" w:cs="宋体"/>
          <w:color w:val="000000" w:themeColor="text1"/>
          <w:sz w:val="28"/>
          <w:szCs w:val="28"/>
        </w:rPr>
      </w:pPr>
    </w:p>
    <w:p w14:paraId="5C086674">
      <w:pPr>
        <w:pStyle w:val="3"/>
        <w:numPr>
          <w:ilvl w:val="0"/>
          <w:numId w:val="0"/>
        </w:numPr>
        <w:spacing w:before="156" w:after="156" w:line="560" w:lineRule="exact"/>
        <w:jc w:val="center"/>
        <w:rPr>
          <w:rFonts w:ascii="宋体" w:hAnsi="宋体" w:cs="宋体"/>
          <w:color w:val="000000" w:themeColor="text1"/>
          <w:sz w:val="30"/>
          <w:szCs w:val="30"/>
        </w:rPr>
      </w:pPr>
      <w:bookmarkStart w:id="8" w:name="_Toc23993"/>
      <w:r>
        <w:rPr>
          <w:rFonts w:hint="eastAsia" w:ascii="宋体" w:hAnsi="宋体" w:cs="宋体"/>
          <w:color w:val="000000" w:themeColor="text1"/>
          <w:sz w:val="30"/>
          <w:szCs w:val="30"/>
        </w:rPr>
        <w:t>第二节  湘潭“十三五”城市管理系统建设存在的问题</w:t>
      </w:r>
      <w:bookmarkEnd w:id="8"/>
    </w:p>
    <w:p w14:paraId="5262B274">
      <w:pPr>
        <w:pStyle w:val="3"/>
        <w:numPr>
          <w:ilvl w:val="0"/>
          <w:numId w:val="0"/>
        </w:numPr>
        <w:spacing w:before="156" w:after="156" w:line="560" w:lineRule="exact"/>
        <w:ind w:firstLine="562" w:firstLineChars="200"/>
        <w:jc w:val="both"/>
        <w:rPr>
          <w:rFonts w:ascii="宋体" w:hAnsi="宋体" w:cs="宋体"/>
          <w:color w:val="000000" w:themeColor="text1"/>
        </w:rPr>
      </w:pPr>
      <w:bookmarkStart w:id="9" w:name="_Toc22913"/>
      <w:r>
        <w:rPr>
          <w:rFonts w:hint="eastAsia" w:ascii="宋体" w:hAnsi="宋体" w:cs="宋体"/>
          <w:color w:val="000000" w:themeColor="text1"/>
        </w:rPr>
        <w:t>一、“法治城管”需完善</w:t>
      </w:r>
      <w:bookmarkEnd w:id="9"/>
    </w:p>
    <w:p w14:paraId="5A221864">
      <w:pPr>
        <w:spacing w:line="560" w:lineRule="exact"/>
        <w:ind w:firstLine="560" w:firstLineChars="200"/>
        <w:rPr>
          <w:rFonts w:ascii="宋体" w:hAnsi="宋体"/>
          <w:color w:val="000000" w:themeColor="text1"/>
          <w:sz w:val="28"/>
          <w:szCs w:val="28"/>
        </w:rPr>
      </w:pPr>
      <w:r>
        <w:rPr>
          <w:rFonts w:hint="eastAsia"/>
          <w:color w:val="000000" w:themeColor="text1"/>
          <w:sz w:val="28"/>
          <w:szCs w:val="28"/>
        </w:rPr>
        <w:t>城市管理法治仍待加强，部分职能部门职责不清，城市管理体制改革不到位。城市管理方式总体上离“法治城管”尚有差距，常态法治机制的建立仍需时日，依赖突击式、运动式整治，“头痛医头、脚痛医脚”现象仍然存在。建设过程存在多元建设、多头管理，移交监管时面对已投资建成的项目缺乏强有力的督促整改效力，一定程度上影响了我市园林绿化、城市照明的正常运行。</w:t>
      </w:r>
      <w:r>
        <w:rPr>
          <w:rFonts w:hint="eastAsia" w:ascii="宋体" w:hAnsi="宋体" w:cs="宋体"/>
          <w:color w:val="000000" w:themeColor="text1"/>
          <w:sz w:val="28"/>
          <w:szCs w:val="28"/>
        </w:rPr>
        <w:t>渣土运输管控体制不畅，无市一级的渣土运输管理部门；行业发展无规划、无标准，无法对全市渣土企业、渣土车的总量、规模进行控制。工地监管乏力，项目监管乏力,管理手段滞后，渣土运输行业法治不够。</w:t>
      </w:r>
      <w:r>
        <w:rPr>
          <w:rFonts w:hint="eastAsia" w:ascii="宋体" w:hAnsi="宋体"/>
          <w:color w:val="000000" w:themeColor="text1"/>
          <w:sz w:val="28"/>
          <w:szCs w:val="28"/>
        </w:rPr>
        <w:t>停车系统多头管理，尚未形成科学的停车法治管理体系，停车监管难以到位。</w:t>
      </w:r>
    </w:p>
    <w:p w14:paraId="0574E214">
      <w:pPr>
        <w:pStyle w:val="4"/>
        <w:numPr>
          <w:ilvl w:val="2"/>
          <w:numId w:val="0"/>
        </w:numPr>
        <w:spacing w:after="156"/>
        <w:ind w:firstLine="562" w:firstLineChars="200"/>
        <w:rPr>
          <w:b w:val="0"/>
          <w:bCs w:val="0"/>
          <w:color w:val="000000" w:themeColor="text1"/>
          <w:szCs w:val="28"/>
          <w:lang w:eastAsia="zh-CN"/>
        </w:rPr>
      </w:pPr>
      <w:bookmarkStart w:id="10" w:name="_Toc23139"/>
      <w:r>
        <w:rPr>
          <w:rFonts w:hint="eastAsia"/>
          <w:color w:val="000000" w:themeColor="text1"/>
          <w:sz w:val="28"/>
          <w:szCs w:val="28"/>
          <w:lang w:eastAsia="zh-CN"/>
        </w:rPr>
        <w:t>二、“民生城管”尚不够</w:t>
      </w:r>
      <w:bookmarkEnd w:id="10"/>
    </w:p>
    <w:p w14:paraId="2CABEF46">
      <w:pPr>
        <w:spacing w:line="560" w:lineRule="exact"/>
        <w:ind w:firstLine="560" w:firstLineChars="200"/>
        <w:rPr>
          <w:rFonts w:ascii="宋体" w:hAnsi="宋体"/>
          <w:color w:val="000000" w:themeColor="text1"/>
          <w:sz w:val="28"/>
          <w:szCs w:val="28"/>
        </w:rPr>
      </w:pPr>
      <w:r>
        <w:rPr>
          <w:rFonts w:hint="eastAsia"/>
          <w:color w:val="000000" w:themeColor="text1"/>
          <w:sz w:val="28"/>
          <w:szCs w:val="28"/>
        </w:rPr>
        <w:t>城市管理应进一步改善与居民日常生活紧密相关的基础设施和公共服务配套设施。现实的</w:t>
      </w:r>
      <w:r>
        <w:rPr>
          <w:rFonts w:hint="eastAsia" w:ascii="宋体" w:hAnsi="宋体" w:cs="宋体"/>
          <w:color w:val="000000" w:themeColor="text1"/>
          <w:sz w:val="28"/>
          <w:szCs w:val="28"/>
        </w:rPr>
        <w:t>环卫设施短板</w:t>
      </w:r>
      <w:r>
        <w:rPr>
          <w:rFonts w:hint="eastAsia" w:cs="宋体"/>
          <w:color w:val="000000" w:themeColor="text1"/>
          <w:sz w:val="28"/>
          <w:szCs w:val="28"/>
        </w:rPr>
        <w:t>、停车供需矛盾和燃气安全与“民生城管”差距较大。</w:t>
      </w:r>
      <w:r>
        <w:rPr>
          <w:rFonts w:hint="eastAsia" w:ascii="宋体" w:hAnsi="宋体" w:cs="宋体"/>
          <w:color w:val="000000" w:themeColor="text1"/>
          <w:sz w:val="28"/>
          <w:szCs w:val="28"/>
        </w:rPr>
        <w:t>我市在餐厨垃圾资源化利用、建筑垃圾综合化处理、生活垃圾分类三个方面工作前期推进不理想，建筑垃圾综合化处理项目在规划选址上还未落实。市区生活垃圾转运设施主要以小型垃圾转运站为主，亟需通过建设规模化的大型垃圾分类转运站提高转运效率和水平。</w:t>
      </w:r>
      <w:r>
        <w:rPr>
          <w:rFonts w:hint="eastAsia" w:ascii="宋体" w:hAnsi="宋体"/>
          <w:color w:val="000000" w:themeColor="text1"/>
          <w:sz w:val="28"/>
          <w:szCs w:val="28"/>
        </w:rPr>
        <w:t>停车设施供需矛盾突出</w:t>
      </w:r>
      <w:r>
        <w:rPr>
          <w:rFonts w:hint="eastAsia"/>
          <w:color w:val="000000" w:themeColor="text1"/>
          <w:sz w:val="28"/>
          <w:szCs w:val="28"/>
        </w:rPr>
        <w:t>，</w:t>
      </w:r>
      <w:r>
        <w:rPr>
          <w:rFonts w:hint="eastAsia" w:ascii="宋体" w:hAnsi="宋体"/>
          <w:color w:val="000000" w:themeColor="text1"/>
          <w:sz w:val="28"/>
          <w:szCs w:val="28"/>
        </w:rPr>
        <w:t>截至2019年4月，湘潭城区机动车停车缺口达7万个，停车资源在不同区域、不同时间段、不同单位分布不均，信息不畅，缺乏停车诱导服务，造成不能公开共享，未能充分利用停车资源。</w:t>
      </w:r>
    </w:p>
    <w:p w14:paraId="213CCBFF">
      <w:pPr>
        <w:pStyle w:val="17"/>
        <w:rPr>
          <w:color w:val="000000" w:themeColor="text1"/>
        </w:rPr>
      </w:pPr>
    </w:p>
    <w:p w14:paraId="22BDD48E">
      <w:pPr>
        <w:pStyle w:val="4"/>
        <w:numPr>
          <w:ilvl w:val="2"/>
          <w:numId w:val="0"/>
        </w:numPr>
        <w:spacing w:before="120" w:after="156" w:line="560" w:lineRule="exact"/>
        <w:ind w:firstLine="562" w:firstLineChars="200"/>
        <w:rPr>
          <w:rFonts w:cs="宋体"/>
          <w:color w:val="000000" w:themeColor="text1"/>
          <w:sz w:val="28"/>
          <w:szCs w:val="28"/>
          <w:lang w:eastAsia="zh-CN"/>
        </w:rPr>
      </w:pPr>
      <w:bookmarkStart w:id="11" w:name="_Toc26043"/>
      <w:r>
        <w:rPr>
          <w:rFonts w:hint="eastAsia" w:cs="宋体"/>
          <w:color w:val="000000" w:themeColor="text1"/>
          <w:sz w:val="28"/>
          <w:szCs w:val="28"/>
          <w:lang w:eastAsia="zh-CN"/>
        </w:rPr>
        <w:t>三、“智慧城管”程度低</w:t>
      </w:r>
      <w:bookmarkEnd w:id="11"/>
    </w:p>
    <w:p w14:paraId="01A23B64">
      <w:pPr>
        <w:ind w:firstLine="560" w:firstLineChars="200"/>
        <w:rPr>
          <w:color w:val="000000" w:themeColor="text1"/>
        </w:rPr>
      </w:pPr>
      <w:bookmarkStart w:id="12" w:name="_Toc77619141"/>
      <w:r>
        <w:rPr>
          <w:rFonts w:hint="eastAsia" w:ascii="宋体" w:hAnsi="宋体" w:cs="宋体"/>
          <w:color w:val="000000" w:themeColor="text1"/>
          <w:sz w:val="28"/>
          <w:szCs w:val="28"/>
        </w:rPr>
        <w:t>智慧城管要依托智慧城管平台，通过充分应用新一代信息技术，实现全面感知、智能融合，推动智慧城管的发展，做优感知、分析、服务、指挥、监察五大功能，形成城市综合管理的合力。虽然湘潭智慧城管平台成功运营，效果显著，但城市管理智能化水平还有待在城管执法、环卫作业、园林绿化、灯饰照明等方面进一步提升，提高平台实际利用率，提升城市管理的统筹、指挥、协调、监督和评价能力。智慧城管二期项目尚未有实质性进展。</w:t>
      </w:r>
      <w:bookmarkEnd w:id="12"/>
    </w:p>
    <w:p w14:paraId="4A04E917">
      <w:pPr>
        <w:pStyle w:val="4"/>
        <w:numPr>
          <w:ilvl w:val="2"/>
          <w:numId w:val="0"/>
        </w:numPr>
        <w:spacing w:before="120" w:after="156" w:line="560" w:lineRule="exact"/>
        <w:ind w:firstLine="562" w:firstLineChars="200"/>
        <w:rPr>
          <w:rFonts w:cs="宋体"/>
          <w:color w:val="000000" w:themeColor="text1"/>
          <w:sz w:val="28"/>
          <w:szCs w:val="28"/>
          <w:lang w:eastAsia="zh-CN"/>
        </w:rPr>
      </w:pPr>
      <w:bookmarkStart w:id="13" w:name="_Toc6567"/>
      <w:r>
        <w:rPr>
          <w:rFonts w:hint="eastAsia" w:cs="宋体"/>
          <w:color w:val="000000" w:themeColor="text1"/>
          <w:sz w:val="28"/>
          <w:szCs w:val="28"/>
          <w:lang w:eastAsia="zh-CN"/>
        </w:rPr>
        <w:t>四、“人文城管”应加强</w:t>
      </w:r>
      <w:bookmarkEnd w:id="13"/>
    </w:p>
    <w:p w14:paraId="11DFD070">
      <w:pPr>
        <w:spacing w:line="560" w:lineRule="exact"/>
        <w:ind w:firstLine="560"/>
        <w:rPr>
          <w:rFonts w:ascii="宋体" w:hAnsi="宋体" w:cs="宋体"/>
          <w:color w:val="000000" w:themeColor="text1"/>
          <w:sz w:val="28"/>
          <w:szCs w:val="28"/>
        </w:rPr>
      </w:pPr>
      <w:r>
        <w:rPr>
          <w:rFonts w:hint="eastAsia" w:ascii="宋体" w:hAnsi="宋体" w:cs="宋体"/>
          <w:color w:val="000000" w:themeColor="text1"/>
          <w:sz w:val="28"/>
          <w:szCs w:val="28"/>
        </w:rPr>
        <w:t>由于历史原因，湘潭城市管理人才队伍总量偏少，学历偏低，年龄偏大，结构性矛盾尤为突出，缺少一批高层次的专业人才；掌握经济运行规律的综合性人才匮乏，没有城市经营管理方面的人才，特别是涉及市政建设、燃气、灯饰、垃圾处理、法律等专业人才，总体来说，管理人才队伍综合素质偏低。同时，现行事业单位制度不够完善，普遍存在吃大锅饭和人浮于事的现象，管理人才的培育、引进与激励不足，导致人才队伍活力不足。此外，管理人才队伍的责任意识、进取意识、主动意识不够强，面对新业态、新问题，不能及时提升专业素养，难以适应城市管理新形势、新要求。</w:t>
      </w:r>
      <w:r>
        <w:rPr>
          <w:rFonts w:hint="eastAsia"/>
          <w:color w:val="000000" w:themeColor="text1"/>
          <w:sz w:val="28"/>
          <w:szCs w:val="28"/>
        </w:rPr>
        <w:t>市民参与城市管理意愿不强，行动乏力，人文城管</w:t>
      </w:r>
      <w:r>
        <w:rPr>
          <w:rFonts w:hint="eastAsia" w:cs="宋体"/>
          <w:color w:val="000000" w:themeColor="text1"/>
          <w:sz w:val="28"/>
          <w:szCs w:val="28"/>
        </w:rPr>
        <w:t>氛围不浓，</w:t>
      </w:r>
      <w:r>
        <w:rPr>
          <w:rFonts w:hint="eastAsia"/>
          <w:color w:val="000000" w:themeColor="text1"/>
          <w:sz w:val="28"/>
          <w:szCs w:val="28"/>
        </w:rPr>
        <w:t>对市民关切回应欠及时，降低了人民群众满意度和获得感。</w:t>
      </w:r>
    </w:p>
    <w:p w14:paraId="0031EB83">
      <w:pPr>
        <w:ind w:left="420" w:leftChars="200"/>
        <w:rPr>
          <w:color w:val="000000" w:themeColor="text1"/>
        </w:rPr>
      </w:pPr>
    </w:p>
    <w:p w14:paraId="6884F053">
      <w:pPr>
        <w:pStyle w:val="4"/>
        <w:numPr>
          <w:ilvl w:val="0"/>
          <w:numId w:val="0"/>
        </w:numPr>
        <w:spacing w:before="120" w:after="156" w:line="560" w:lineRule="exact"/>
        <w:ind w:firstLine="562" w:firstLineChars="200"/>
        <w:rPr>
          <w:rFonts w:cs="宋体"/>
          <w:color w:val="000000" w:themeColor="text1"/>
          <w:sz w:val="28"/>
          <w:szCs w:val="28"/>
          <w:lang w:eastAsia="zh-CN"/>
        </w:rPr>
      </w:pPr>
      <w:bookmarkStart w:id="14" w:name="_Toc15420"/>
      <w:r>
        <w:rPr>
          <w:rFonts w:hint="eastAsia" w:cs="宋体"/>
          <w:color w:val="000000" w:themeColor="text1"/>
          <w:sz w:val="28"/>
          <w:szCs w:val="28"/>
          <w:lang w:eastAsia="zh-CN"/>
        </w:rPr>
        <w:t>五、“品质城管”要提升</w:t>
      </w:r>
      <w:bookmarkEnd w:id="14"/>
    </w:p>
    <w:p w14:paraId="3BC8E11E">
      <w:pPr>
        <w:spacing w:line="560" w:lineRule="exact"/>
        <w:ind w:firstLine="560"/>
        <w:rPr>
          <w:color w:val="000000" w:themeColor="text1"/>
          <w:sz w:val="28"/>
          <w:szCs w:val="28"/>
        </w:rPr>
      </w:pPr>
      <w:r>
        <w:rPr>
          <w:rFonts w:hint="eastAsia"/>
          <w:color w:val="000000" w:themeColor="text1"/>
          <w:sz w:val="28"/>
          <w:szCs w:val="28"/>
        </w:rPr>
        <w:t>习近平总书记要求“城市管理应该像绣花一样精细”，湘潭城市管理总体上离“精细化管理”“绣花式管理”有一定差距，品质城管建设慎重道远。</w:t>
      </w:r>
      <w:r>
        <w:rPr>
          <w:rFonts w:hint="eastAsia" w:ascii="宋体" w:hAnsi="宋体" w:cs="宋体"/>
          <w:color w:val="000000" w:themeColor="text1"/>
          <w:sz w:val="28"/>
          <w:szCs w:val="28"/>
        </w:rPr>
        <w:t>我市主要存在现有公园绿地不足、公园建设滞后、专类公园不全等问题；城市公园绿地指标实际值偏低，城市总体绿量不足，公园绿地建设缓慢。</w:t>
      </w:r>
      <w:r>
        <w:rPr>
          <w:rFonts w:hint="eastAsia" w:cs="宋体"/>
          <w:color w:val="000000" w:themeColor="text1"/>
          <w:sz w:val="28"/>
          <w:szCs w:val="28"/>
        </w:rPr>
        <w:t>燃气</w:t>
      </w:r>
      <w:r>
        <w:rPr>
          <w:rFonts w:hint="eastAsia" w:ascii="宋体" w:hAnsi="宋体" w:cs="宋体"/>
          <w:color w:val="000000" w:themeColor="text1"/>
          <w:sz w:val="28"/>
          <w:szCs w:val="28"/>
        </w:rPr>
        <w:t>安全隐患仍然存在。用户端燃气安全意识仍有待加强，使用环节存在燃气安全隐患；燃气企业安全生产主体责任仍有待提升，隐患排查治理工作开展不全面，安全隐患被动接受监管；人口密集区现有燃气场站存在较大安全风险；管道燃气老旧管网因使用年限久远存在泄漏风险；瓶装液化气“最后一公里”运输缺乏明确标准，存在燃气运输安全问题。</w:t>
      </w:r>
    </w:p>
    <w:p w14:paraId="5FE50487">
      <w:pPr>
        <w:pStyle w:val="17"/>
      </w:pPr>
    </w:p>
    <w:p w14:paraId="35A893CB">
      <w:pPr>
        <w:pStyle w:val="35"/>
      </w:pPr>
    </w:p>
    <w:p w14:paraId="73E84291">
      <w:pPr>
        <w:pStyle w:val="2"/>
        <w:numPr>
          <w:ilvl w:val="0"/>
          <w:numId w:val="0"/>
        </w:numPr>
        <w:spacing w:before="316"/>
        <w:jc w:val="center"/>
        <w:rPr>
          <w:rFonts w:ascii="宋体" w:hAnsi="宋体" w:cs="宋体"/>
          <w:color w:val="000000" w:themeColor="text1"/>
          <w:szCs w:val="32"/>
          <w:lang w:eastAsia="zh-CN"/>
        </w:rPr>
      </w:pPr>
      <w:bookmarkStart w:id="15" w:name="_Toc6370"/>
      <w:r>
        <w:rPr>
          <w:rFonts w:hint="eastAsia" w:ascii="宋体" w:hAnsi="宋体" w:cs="宋体"/>
          <w:color w:val="000000" w:themeColor="text1"/>
          <w:szCs w:val="32"/>
          <w:lang w:eastAsia="zh-CN"/>
        </w:rPr>
        <w:t>第二章  湘潭市“十四五”城市管理系统建设发展环境分析</w:t>
      </w:r>
      <w:bookmarkEnd w:id="15"/>
    </w:p>
    <w:p w14:paraId="4FBC0C8E">
      <w:pPr>
        <w:pStyle w:val="3"/>
        <w:numPr>
          <w:ilvl w:val="0"/>
          <w:numId w:val="0"/>
        </w:numPr>
        <w:spacing w:before="156" w:after="156" w:line="560" w:lineRule="exact"/>
        <w:jc w:val="center"/>
        <w:rPr>
          <w:rFonts w:ascii="宋体" w:hAnsi="宋体" w:cs="宋体"/>
          <w:color w:val="000000" w:themeColor="text1"/>
          <w:sz w:val="30"/>
          <w:szCs w:val="30"/>
        </w:rPr>
      </w:pPr>
    </w:p>
    <w:p w14:paraId="224318AE">
      <w:pPr>
        <w:pStyle w:val="3"/>
        <w:numPr>
          <w:ilvl w:val="0"/>
          <w:numId w:val="0"/>
        </w:numPr>
        <w:spacing w:before="156" w:after="156" w:line="560" w:lineRule="exact"/>
        <w:jc w:val="center"/>
        <w:rPr>
          <w:rFonts w:ascii="宋体" w:hAnsi="宋体" w:cs="宋体"/>
          <w:color w:val="000000" w:themeColor="text1"/>
          <w:sz w:val="30"/>
          <w:szCs w:val="30"/>
        </w:rPr>
      </w:pPr>
      <w:bookmarkStart w:id="16" w:name="_Toc30576"/>
      <w:r>
        <w:rPr>
          <w:rFonts w:hint="eastAsia" w:ascii="宋体" w:hAnsi="宋体" w:cs="宋体"/>
          <w:color w:val="000000" w:themeColor="text1"/>
          <w:sz w:val="30"/>
          <w:szCs w:val="30"/>
        </w:rPr>
        <w:t>第一节  湘潭市“十四五”城市管理系统建设发展机遇分析</w:t>
      </w:r>
      <w:bookmarkEnd w:id="16"/>
    </w:p>
    <w:p w14:paraId="0FE2D433">
      <w:pPr>
        <w:pStyle w:val="4"/>
        <w:numPr>
          <w:ilvl w:val="0"/>
          <w:numId w:val="0"/>
        </w:numPr>
        <w:spacing w:before="120" w:after="156" w:line="560" w:lineRule="exact"/>
        <w:ind w:firstLine="562" w:firstLineChars="200"/>
        <w:rPr>
          <w:rFonts w:cs="宋体"/>
          <w:color w:val="000000" w:themeColor="text1"/>
          <w:sz w:val="28"/>
          <w:szCs w:val="28"/>
          <w:lang w:eastAsia="zh-CN"/>
        </w:rPr>
      </w:pPr>
      <w:bookmarkStart w:id="17" w:name="_Toc31026"/>
      <w:r>
        <w:rPr>
          <w:rFonts w:hint="eastAsia" w:cs="宋体"/>
          <w:color w:val="000000" w:themeColor="text1"/>
          <w:sz w:val="28"/>
          <w:szCs w:val="28"/>
          <w:lang w:eastAsia="zh-CN"/>
        </w:rPr>
        <w:t>一、国家治理现代化为城市管理体制改革创造了条件</w:t>
      </w:r>
      <w:bookmarkEnd w:id="17"/>
    </w:p>
    <w:p w14:paraId="04D3C95F">
      <w:pPr>
        <w:spacing w:line="560" w:lineRule="exact"/>
        <w:ind w:firstLine="482"/>
        <w:rPr>
          <w:rFonts w:ascii="宋体" w:hAnsi="宋体" w:cs="宋体"/>
          <w:color w:val="000000" w:themeColor="text1"/>
          <w:kern w:val="0"/>
          <w:sz w:val="28"/>
          <w:szCs w:val="28"/>
        </w:rPr>
      </w:pPr>
      <w:r>
        <w:rPr>
          <w:rFonts w:hint="eastAsia" w:ascii="宋体" w:hAnsi="宋体" w:cs="宋体"/>
          <w:color w:val="000000" w:themeColor="text1"/>
          <w:sz w:val="28"/>
          <w:szCs w:val="28"/>
        </w:rPr>
        <w:t>《中共中央关于坚持和完善中国特色社会主义制度 推进国家治理体系和治理能力现代化若干重大问题的决定》要求“健全资源节约集约循环利用政策体系。普遍实行垃圾分类和资源化利用制度。”客观上要求贯彻集约节约、高效循环的理念，从体制、政策、技术、管理、投入等多个方面，采取有效措施积极降低污染物排放量，提高废弃物回收利用率，提高城市管理的节能降耗水平，提高行业发展质量，促进行业的可持续发展。</w:t>
      </w:r>
      <w:r>
        <w:rPr>
          <w:rFonts w:hint="eastAsia" w:ascii="宋体" w:hAnsi="宋体" w:cs="宋体"/>
          <w:color w:val="000000" w:themeColor="text1"/>
          <w:kern w:val="0"/>
          <w:sz w:val="28"/>
          <w:szCs w:val="28"/>
        </w:rPr>
        <w:t>推进城市管理体制改革，要主动适应新型城镇化发展要求和人民群众生产生活需要，以城市管理现代化为指向，坚持以人为本、源头治理、权责一致、协调创新的原则，理顺管理体制，提高执法水平，完善城市管理，构建权责明晰、服务为先、管理优化、执法规范、安全有序的城市管理体制，让城市成为人民追求更加美好生活的有力依托。</w:t>
      </w:r>
    </w:p>
    <w:p w14:paraId="421BCA3A">
      <w:pPr>
        <w:pStyle w:val="4"/>
        <w:numPr>
          <w:ilvl w:val="0"/>
          <w:numId w:val="0"/>
        </w:numPr>
        <w:spacing w:before="120" w:after="156" w:line="560" w:lineRule="exact"/>
        <w:ind w:left="482"/>
        <w:rPr>
          <w:rFonts w:cs="宋体"/>
          <w:color w:val="000000" w:themeColor="text1"/>
          <w:sz w:val="28"/>
          <w:szCs w:val="28"/>
          <w:lang w:eastAsia="zh-CN"/>
        </w:rPr>
      </w:pPr>
      <w:bookmarkStart w:id="18" w:name="_Toc27358"/>
      <w:r>
        <w:rPr>
          <w:rFonts w:hint="eastAsia" w:cs="宋体"/>
          <w:color w:val="000000" w:themeColor="text1"/>
          <w:sz w:val="28"/>
          <w:szCs w:val="28"/>
          <w:lang w:eastAsia="zh-CN"/>
        </w:rPr>
        <w:t>二、</w:t>
      </w:r>
      <w:r>
        <w:rPr>
          <w:rStyle w:val="63"/>
          <w:rFonts w:hint="eastAsia" w:ascii="宋体" w:hAnsi="宋体" w:cs="宋体"/>
          <w:color w:val="000000" w:themeColor="text1"/>
          <w:sz w:val="28"/>
          <w:szCs w:val="28"/>
        </w:rPr>
        <w:t>习近平生态文明思想</w:t>
      </w:r>
      <w:r>
        <w:rPr>
          <w:rFonts w:hint="eastAsia" w:cs="宋体"/>
          <w:color w:val="000000" w:themeColor="text1"/>
          <w:sz w:val="28"/>
          <w:szCs w:val="28"/>
          <w:lang w:eastAsia="zh-CN"/>
        </w:rPr>
        <w:t>为城市管理系统优化指明了方向</w:t>
      </w:r>
      <w:bookmarkEnd w:id="18"/>
    </w:p>
    <w:p w14:paraId="0CD4ADF5">
      <w:pPr>
        <w:widowControl/>
        <w:shd w:val="clear" w:color="auto" w:fill="FFFFFF"/>
        <w:spacing w:line="560" w:lineRule="exact"/>
        <w:ind w:firstLine="560" w:firstLineChars="200"/>
        <w:jc w:val="left"/>
        <w:rPr>
          <w:rFonts w:ascii="宋体" w:hAnsi="宋体" w:cs="宋体"/>
          <w:color w:val="FF0000"/>
          <w:sz w:val="28"/>
          <w:szCs w:val="28"/>
          <w:shd w:val="clear" w:color="auto" w:fill="FFFFFF"/>
        </w:rPr>
      </w:pPr>
      <w:r>
        <w:rPr>
          <w:rStyle w:val="63"/>
          <w:rFonts w:hint="eastAsia" w:ascii="宋体" w:hAnsi="宋体" w:cs="宋体"/>
          <w:color w:val="000000" w:themeColor="text1"/>
          <w:sz w:val="28"/>
          <w:szCs w:val="28"/>
        </w:rPr>
        <w:t>贯彻落实习近平生态文明思想，以满足人民群众日益增长的优美生态环境需求为目标，建设低碳、绿色的湘潭城市管理系统，促进湘潭人居环境进一步改善。</w:t>
      </w:r>
      <w:r>
        <w:rPr>
          <w:rFonts w:hint="eastAsia" w:ascii="宋体" w:hAnsi="宋体" w:cs="宋体"/>
          <w:color w:val="000000" w:themeColor="text1"/>
          <w:kern w:val="0"/>
          <w:sz w:val="28"/>
          <w:szCs w:val="28"/>
          <w:shd w:val="clear" w:color="auto" w:fill="FFFFFF"/>
        </w:rPr>
        <w:t>习近平主席向国际社会做出“中国力争二氧化碳排放2030年前达到峰值、2060年前实现碳中和”的庄严承诺，《中共中央关于制定国民经济和社会发展第十四个五年规划和二〇三五年远景目标的建议》提出，到2035年，广泛形成绿色生产生活方式，碳排放达峰后稳中有降，生态环境根本好转，美丽中国建设目标基本实现。“十四五”期间，湘潭城市管理系统以</w:t>
      </w:r>
      <w:r>
        <w:rPr>
          <w:rStyle w:val="63"/>
          <w:rFonts w:hint="eastAsia" w:ascii="宋体" w:hAnsi="宋体" w:cs="宋体"/>
          <w:color w:val="000000" w:themeColor="text1"/>
          <w:sz w:val="28"/>
          <w:szCs w:val="28"/>
        </w:rPr>
        <w:t>习近平生态文明思想为指导，</w:t>
      </w:r>
      <w:r>
        <w:rPr>
          <w:rFonts w:hint="eastAsia" w:ascii="宋体" w:hAnsi="宋体" w:cs="宋体"/>
          <w:color w:val="000000" w:themeColor="text1"/>
          <w:sz w:val="28"/>
          <w:szCs w:val="28"/>
          <w:shd w:val="clear" w:color="auto" w:fill="FFFFFF"/>
        </w:rPr>
        <w:t>以实现碳达峰和碳中合为目标方向，</w:t>
      </w:r>
      <w:r>
        <w:rPr>
          <w:rFonts w:hint="eastAsia" w:ascii="宋体" w:hAnsi="宋体" w:cs="宋体"/>
          <w:color w:val="000000" w:themeColor="text1"/>
          <w:kern w:val="0"/>
          <w:sz w:val="28"/>
          <w:szCs w:val="28"/>
          <w:shd w:val="clear" w:color="auto" w:fill="FFFFFF"/>
        </w:rPr>
        <w:t>加快推动绿色低碳发展，降低碳排放强度，</w:t>
      </w:r>
      <w:r>
        <w:rPr>
          <w:rFonts w:hint="eastAsia" w:ascii="宋体" w:hAnsi="宋体" w:cs="宋体"/>
          <w:color w:val="000000" w:themeColor="text1"/>
          <w:sz w:val="28"/>
          <w:szCs w:val="28"/>
          <w:shd w:val="clear" w:color="auto" w:fill="FFFFFF"/>
        </w:rPr>
        <w:t>支持探索零碳示范创建。加快生活垃圾焚烧发电等终端设施建设。倡导绿色生活方式，实现城乡环卫一体化，完善城市管理综合服务平台，优化湘潭城市管理系统，建设美丽湘潭。</w:t>
      </w:r>
    </w:p>
    <w:p w14:paraId="7953CE4F">
      <w:pPr>
        <w:pStyle w:val="17"/>
      </w:pPr>
    </w:p>
    <w:p w14:paraId="063AA219">
      <w:pPr>
        <w:pStyle w:val="4"/>
        <w:numPr>
          <w:ilvl w:val="0"/>
          <w:numId w:val="0"/>
        </w:numPr>
        <w:spacing w:before="120" w:after="156" w:line="560" w:lineRule="exact"/>
        <w:ind w:firstLine="562" w:firstLineChars="200"/>
        <w:rPr>
          <w:rFonts w:cs="宋体"/>
          <w:color w:val="000000" w:themeColor="text1"/>
          <w:sz w:val="28"/>
          <w:szCs w:val="28"/>
          <w:lang w:eastAsia="zh-CN"/>
        </w:rPr>
      </w:pPr>
      <w:bookmarkStart w:id="19" w:name="_Toc884"/>
      <w:r>
        <w:rPr>
          <w:rFonts w:hint="eastAsia" w:cs="宋体"/>
          <w:color w:val="000000" w:themeColor="text1"/>
          <w:sz w:val="28"/>
          <w:szCs w:val="28"/>
          <w:lang w:eastAsia="zh-CN"/>
        </w:rPr>
        <w:t>三、新基建、新技术为城市管理系统创新提供了支撑</w:t>
      </w:r>
      <w:bookmarkEnd w:id="19"/>
    </w:p>
    <w:p w14:paraId="339F5A51">
      <w:pPr>
        <w:pStyle w:val="8"/>
        <w:spacing w:line="560" w:lineRule="exact"/>
        <w:ind w:firstLine="560" w:firstLineChars="200"/>
        <w:rPr>
          <w:rFonts w:ascii="宋体" w:hAnsi="宋体" w:cs="宋体"/>
          <w:color w:val="000000" w:themeColor="text1"/>
          <w:kern w:val="0"/>
          <w:sz w:val="28"/>
          <w:szCs w:val="28"/>
        </w:rPr>
      </w:pPr>
      <w:r>
        <w:rPr>
          <w:rFonts w:hint="eastAsia" w:ascii="宋体" w:hAnsi="宋体" w:cs="宋体"/>
          <w:color w:val="000000" w:themeColor="text1"/>
          <w:kern w:val="0"/>
          <w:sz w:val="28"/>
          <w:szCs w:val="28"/>
        </w:rPr>
        <w:t>以信息网络为基础，在传统基础设施建设的基础上融入新的发展理念和技术创新，国家发展和改革委员会明确指出了新型基础设施建设（以下简称“新基建”）的内容和方向。以信息基础设施、融合基础设施和创新基础设施为中心的新基建，为经济社会的创新、协调、绿色、开放、共享发展提供坚实的支撑。5G、超级计算平台、人工智能（AI）技术、物联网技术等新基建影响并改变着传统城市规划建设、社会治理的方方面面。遥感技术、GIS技术结合互联网应用，使用户能够进行各种交互操作的WebGIS系统开发已运用于城市管理。智慧城市的构建也必然驱使城市管理部门开展统筹整合各项基础设施管理子系统的工作，数字化、网络化、可视化监控城市基础设施。在数字化、智能化、智慧化城市中，每一个城市管理设施子模块的故障处理都直接关系到对城市管理部门的组织管理能力水平的判断评估，帮助管理者对城市大区域进行有效且智能的感知、监控和管理。全周期综合利用空间遥感技术，将空间遥感数据的客观准确性、现势性、高分性、多源动态性的特点</w:t>
      </w:r>
      <w:r>
        <w:rPr>
          <w:rFonts w:hint="eastAsia" w:ascii="宋体" w:hAnsi="宋体" w:cs="宋体"/>
          <w:color w:val="000000" w:themeColor="text1"/>
          <w:sz w:val="28"/>
          <w:szCs w:val="28"/>
        </w:rPr>
        <w:t>与城市管理有效结合。</w:t>
      </w:r>
    </w:p>
    <w:p w14:paraId="14BF49A3">
      <w:pPr>
        <w:pStyle w:val="4"/>
        <w:numPr>
          <w:ilvl w:val="0"/>
          <w:numId w:val="0"/>
        </w:numPr>
        <w:spacing w:before="120" w:after="156" w:line="560" w:lineRule="exact"/>
        <w:ind w:firstLine="562" w:firstLineChars="200"/>
        <w:rPr>
          <w:rFonts w:cs="宋体"/>
          <w:color w:val="000000" w:themeColor="text1"/>
          <w:sz w:val="28"/>
          <w:szCs w:val="28"/>
          <w:lang w:eastAsia="zh-CN"/>
        </w:rPr>
      </w:pPr>
      <w:bookmarkStart w:id="20" w:name="_Toc14737"/>
      <w:r>
        <w:rPr>
          <w:rFonts w:hint="eastAsia" w:cs="宋体"/>
          <w:color w:val="000000" w:themeColor="text1"/>
          <w:sz w:val="28"/>
          <w:szCs w:val="28"/>
          <w:lang w:eastAsia="zh-CN"/>
        </w:rPr>
        <w:t>四、城市区位优势为完善市政基础设施带来了契机</w:t>
      </w:r>
      <w:bookmarkEnd w:id="20"/>
    </w:p>
    <w:p w14:paraId="1272D0B7">
      <w:pPr>
        <w:spacing w:line="560" w:lineRule="exact"/>
        <w:ind w:firstLine="560" w:firstLineChars="200"/>
        <w:rPr>
          <w:rFonts w:ascii="宋体" w:hAnsi="宋体" w:cs="宋体"/>
          <w:color w:val="000000" w:themeColor="text1"/>
          <w:sz w:val="28"/>
          <w:szCs w:val="28"/>
        </w:rPr>
      </w:pPr>
      <w:r>
        <w:rPr>
          <w:rFonts w:hint="eastAsia" w:ascii="宋体" w:hAnsi="宋体" w:cs="宋体"/>
          <w:color w:val="000000" w:themeColor="text1"/>
          <w:sz w:val="28"/>
          <w:szCs w:val="28"/>
        </w:rPr>
        <w:t>“十四五”期间，湘潭发展仍然处于重要战略机遇期。宏观环境看，长江经济带、长三角一体化发展、粤港澳大湾区等国家战略纵深实施，湘潭政治、区位、产业、科教等优势进一步放大。综观我省，科教资源丰富、产业基础厚实，经济运行平稳、湖南自贸试验区成功获批、中非经贸博览会永久落户，我省“一带一路”区位优势更加明显，集聚诸多发展新机遇、增长新支撑。随着长株潭一体化迈入全方位协同、加速度推进、实质化融合的现代化都市圈，长株潭成为湖南发展的核心增长极，中部地区高质量发展核心增长极，全国现代化都市圈同城化发展示范区，全国生态文明建设示范区，全国高标准市场体系改革先行区。到 2025 年，长株潭竞争实力、辐射带动能力显著增强，高水平基础设施、现代公共服务、社会保障等领域同城化取得重大进展，融城融合发展格局全面形成。经济人口承载力更强，科创产业融合度更深，基础设施更加完善，生态环境质量更加优良，基本公共服务更加便利，同城化体制机制更加健全。到2035 年，长株潭同城化发展格局全面形成，城乡区域发展差距和居民生活水平差距显著缩小，基本公共服务均等化基本实现，基础设施互联互通全面实现，人民生活更为富裕，现代社会治理格局基本形成，辐射力和引领力大为提升，成为中部地区领先、具有国际影响力的现代化都市圈。湘潭作为毛主席家乡，长株潭核心增长极重要成员，“一带一部”核心节点城市，湘潭优越的区位交通、坚实的产业基础、雄厚的创新资源、充沛的要素供给等方面优势愈加凸显，迎来了产业转型、科技创新、区域融合、开放发展等一系列历史机遇，将为实现高质量发展进一步集聚新动能、拓展新空间、强化新支撑，我市发展潜能巨大、前景广阔、未来可期。</w:t>
      </w:r>
    </w:p>
    <w:p w14:paraId="494C6934">
      <w:pPr>
        <w:widowControl/>
        <w:shd w:val="clear" w:color="auto" w:fill="FFFFFF"/>
        <w:spacing w:line="560" w:lineRule="exact"/>
        <w:ind w:firstLine="560" w:firstLineChars="200"/>
        <w:jc w:val="left"/>
        <w:rPr>
          <w:rFonts w:ascii="宋体" w:hAnsi="宋体" w:cs="宋体"/>
          <w:color w:val="000000"/>
          <w:sz w:val="28"/>
          <w:szCs w:val="28"/>
          <w:shd w:val="clear" w:color="auto" w:fill="FFFFFF"/>
        </w:rPr>
      </w:pPr>
    </w:p>
    <w:p w14:paraId="610E2CFA">
      <w:pPr>
        <w:pStyle w:val="3"/>
        <w:numPr>
          <w:ilvl w:val="0"/>
          <w:numId w:val="0"/>
        </w:numPr>
        <w:spacing w:before="156" w:after="156" w:line="560" w:lineRule="exact"/>
        <w:jc w:val="center"/>
        <w:rPr>
          <w:rFonts w:ascii="宋体" w:hAnsi="宋体" w:cs="宋体"/>
          <w:color w:val="000000" w:themeColor="text1"/>
        </w:rPr>
      </w:pPr>
      <w:bookmarkStart w:id="21" w:name="_Toc32137"/>
      <w:r>
        <w:rPr>
          <w:rFonts w:hint="eastAsia" w:ascii="宋体" w:hAnsi="宋体" w:cs="宋体"/>
          <w:color w:val="000000" w:themeColor="text1"/>
          <w:sz w:val="30"/>
          <w:szCs w:val="30"/>
        </w:rPr>
        <w:t>第二节  湘潭“十四五”城市管理系统建设发展面临的挑战</w:t>
      </w:r>
      <w:bookmarkEnd w:id="21"/>
    </w:p>
    <w:p w14:paraId="3932CFE6">
      <w:pPr>
        <w:pStyle w:val="4"/>
        <w:numPr>
          <w:ilvl w:val="0"/>
          <w:numId w:val="0"/>
        </w:numPr>
        <w:spacing w:before="120" w:after="156" w:line="560" w:lineRule="exact"/>
        <w:ind w:firstLine="562" w:firstLineChars="200"/>
        <w:rPr>
          <w:rFonts w:cs="宋体"/>
          <w:color w:val="000000" w:themeColor="text1"/>
          <w:sz w:val="28"/>
          <w:szCs w:val="28"/>
          <w:lang w:eastAsia="zh-CN"/>
        </w:rPr>
      </w:pPr>
      <w:bookmarkStart w:id="22" w:name="_Toc3305"/>
      <w:r>
        <w:rPr>
          <w:rFonts w:hint="eastAsia" w:cs="宋体"/>
          <w:color w:val="000000" w:themeColor="text1"/>
          <w:sz w:val="28"/>
          <w:szCs w:val="28"/>
          <w:lang w:eastAsia="zh-CN"/>
        </w:rPr>
        <w:t>一、经济下行加剧了幸福生活需求与城市管理的新矛盾</w:t>
      </w:r>
      <w:bookmarkEnd w:id="22"/>
    </w:p>
    <w:p w14:paraId="00A392F1">
      <w:pPr>
        <w:autoSpaceDE w:val="0"/>
        <w:autoSpaceDN w:val="0"/>
        <w:adjustRightInd w:val="0"/>
        <w:spacing w:line="560" w:lineRule="exact"/>
        <w:ind w:firstLine="560" w:firstLineChars="200"/>
        <w:rPr>
          <w:rFonts w:ascii="宋体" w:hAnsi="宋体" w:cs="宋体"/>
          <w:b/>
          <w:color w:val="000000" w:themeColor="text1"/>
          <w:kern w:val="0"/>
          <w:sz w:val="28"/>
          <w:szCs w:val="28"/>
        </w:rPr>
      </w:pPr>
      <w:r>
        <w:rPr>
          <w:rFonts w:hint="eastAsia" w:ascii="宋体" w:hAnsi="宋体" w:cs="宋体"/>
          <w:color w:val="000000" w:themeColor="text1"/>
          <w:sz w:val="28"/>
          <w:szCs w:val="28"/>
        </w:rPr>
        <w:t>世界百年未有之大变局与中国战略机遇期同步交织，相互激荡；我国“三期叠加”影响持续恶化，疫情加重经济下行压力。同时经济发展、城市建设对资源、能源平衡和环境承载能力提出更高要求。一方面，我市资源节约型生产和消费模式尚未形成，垃圾减量化、资源化、无害化水平与城市发展不相适应，资源环境承载压力日益加大。另一方面，城市生态环境建设受土地资源约束，市政、绿化、环卫等设施建设用地需求的矛盾日益突出，加快固废处理设施建设、维护城市运行安全的任务越来越重。经济下行的现实和人民幸福生活需求与城市管理的新矛盾决定了湘潭“十四五”城市管理系统只能走内涵式发展之路。</w:t>
      </w:r>
    </w:p>
    <w:p w14:paraId="308C700B">
      <w:pPr>
        <w:pStyle w:val="4"/>
        <w:numPr>
          <w:ilvl w:val="0"/>
          <w:numId w:val="0"/>
        </w:numPr>
        <w:spacing w:before="120" w:after="156" w:line="560" w:lineRule="exact"/>
        <w:ind w:firstLine="562" w:firstLineChars="200"/>
        <w:rPr>
          <w:rFonts w:cs="宋体"/>
          <w:color w:val="000000" w:themeColor="text1"/>
          <w:sz w:val="28"/>
          <w:szCs w:val="28"/>
          <w:lang w:eastAsia="zh-CN"/>
        </w:rPr>
      </w:pPr>
      <w:bookmarkStart w:id="23" w:name="_Toc25189"/>
      <w:r>
        <w:rPr>
          <w:rFonts w:hint="eastAsia" w:cs="宋体"/>
          <w:color w:val="000000" w:themeColor="text1"/>
          <w:sz w:val="28"/>
          <w:szCs w:val="28"/>
          <w:lang w:eastAsia="zh-CN"/>
        </w:rPr>
        <w:t>二、后疫情时代提出了基础设施建设和综合执法新要求</w:t>
      </w:r>
      <w:bookmarkEnd w:id="23"/>
    </w:p>
    <w:p w14:paraId="73E5C9C8">
      <w:pPr>
        <w:spacing w:line="560" w:lineRule="exact"/>
        <w:ind w:firstLine="560" w:firstLineChars="200"/>
        <w:rPr>
          <w:rFonts w:ascii="宋体" w:hAnsi="宋体" w:cs="宋体"/>
          <w:b/>
          <w:color w:val="000000" w:themeColor="text1"/>
          <w:sz w:val="28"/>
          <w:szCs w:val="28"/>
        </w:rPr>
      </w:pPr>
      <w:r>
        <w:rPr>
          <w:rFonts w:hint="eastAsia" w:ascii="宋体" w:hAnsi="宋体" w:cs="宋体"/>
          <w:color w:val="000000" w:themeColor="text1"/>
          <w:sz w:val="28"/>
          <w:szCs w:val="28"/>
        </w:rPr>
        <w:t>新冠肺炎疫情冲击暴露出了城市脆弱性特征和健康安全问题。城市人口规模增长对提高经济产出效率和公共基础设施利用效率发挥了至关重要的作用，但也导致了新的人居环境问题和公共服务资源的供不应求，影响了居民健康安全。后疫情时代，增强城市“韧性”和保障城市健康安全是未来城市基础设施建设和综合执法核心要务，继续强化健康城市建设是必然趋势。基础设施建设和综合执法需要坚持以人为本、健康优先的原则，通过引入多主体参与规划设计、建设智慧城市、适度提供绿色公共空间、预留应急建设空间、构建慢行交通系统、提高土地利用功能、加强环保与污染治理，满足居民的多元化需求，改善城市人居环境，强化城市防灾减灾能力，从而提高城市整体健康水平，为城市增加“韧性”。加强社区公共服务设施供给和公共空间建设，确保充足的公共服务设施供给和合理的公共空间建设。建立完善的社区治理模式，充分发挥社区委员会的作用，组织居民互帮互助，共同应对公共卫生紧急事件。</w:t>
      </w:r>
    </w:p>
    <w:p w14:paraId="73DA045F">
      <w:pPr>
        <w:pStyle w:val="4"/>
        <w:numPr>
          <w:ilvl w:val="0"/>
          <w:numId w:val="0"/>
        </w:numPr>
        <w:spacing w:before="120" w:after="156" w:line="560" w:lineRule="exact"/>
        <w:ind w:firstLine="562" w:firstLineChars="200"/>
        <w:rPr>
          <w:rFonts w:cs="宋体"/>
          <w:color w:val="000000" w:themeColor="text1"/>
          <w:sz w:val="28"/>
          <w:szCs w:val="28"/>
          <w:lang w:eastAsia="zh-CN"/>
        </w:rPr>
      </w:pPr>
      <w:bookmarkStart w:id="24" w:name="_Toc22220"/>
      <w:r>
        <w:rPr>
          <w:rFonts w:hint="eastAsia" w:cs="宋体"/>
          <w:color w:val="000000" w:themeColor="text1"/>
          <w:sz w:val="28"/>
          <w:szCs w:val="28"/>
          <w:lang w:eastAsia="zh-CN"/>
        </w:rPr>
        <w:t>三、城乡一体化对城市管理系统建设形成新压力</w:t>
      </w:r>
      <w:bookmarkEnd w:id="24"/>
    </w:p>
    <w:p w14:paraId="47B23451">
      <w:pPr>
        <w:pStyle w:val="8"/>
        <w:spacing w:line="560" w:lineRule="exact"/>
        <w:ind w:firstLine="560" w:firstLineChars="200"/>
        <w:rPr>
          <w:rFonts w:ascii="宋体" w:hAnsi="宋体" w:cs="宋体"/>
          <w:color w:val="000000" w:themeColor="text1"/>
          <w:sz w:val="28"/>
          <w:szCs w:val="28"/>
        </w:rPr>
      </w:pPr>
      <w:r>
        <w:rPr>
          <w:rFonts w:hint="eastAsia" w:ascii="宋体" w:hAnsi="宋体" w:cs="宋体"/>
          <w:color w:val="000000" w:themeColor="text1"/>
          <w:sz w:val="28"/>
          <w:szCs w:val="28"/>
        </w:rPr>
        <w:t>“十四五”期间是统筹城乡发展，加大新型城镇化建设力度，建设配套完善的农村新社区的重要时期。但目前城市与农村在市政基础设施建设、固废处理水平、公共服务能力上存在较大差距，农村道路等基础设施薄弱、环境面貌改善不平衡、污水排放不达标、经营秩序不规范等问题明显。破除城乡二元结构，需要在城镇市政基础设施及环境卫生水平，建立农村生活垃圾收运处理系统，提高城镇垃圾处理水平，以推进民生实事工程为切入点，推行标准化管理为抓手,强化城市管理保障措施等城市管理城乡一体化上还有很多难题需要破解</w:t>
      </w:r>
      <w:bookmarkStart w:id="25" w:name="_Toc39943196"/>
      <w:r>
        <w:rPr>
          <w:rFonts w:hint="eastAsia" w:ascii="宋体" w:hAnsi="宋体" w:cs="宋体"/>
          <w:color w:val="000000" w:themeColor="text1"/>
          <w:sz w:val="28"/>
          <w:szCs w:val="28"/>
        </w:rPr>
        <w:t>。实现城乡一体化，完善城乡各项基础设施,建立健全城乡统一的城市管理各项机制,全面形成城乡联动,全民参与城市管理工作的城市管理新体系面临新压力。</w:t>
      </w:r>
    </w:p>
    <w:p w14:paraId="2059CA50">
      <w:pPr>
        <w:pStyle w:val="4"/>
        <w:numPr>
          <w:ilvl w:val="2"/>
          <w:numId w:val="0"/>
        </w:numPr>
        <w:spacing w:after="156"/>
        <w:ind w:left="420" w:leftChars="200"/>
        <w:rPr>
          <w:color w:val="000000" w:themeColor="text1"/>
          <w:sz w:val="28"/>
          <w:szCs w:val="28"/>
          <w:lang w:eastAsia="zh-CN"/>
        </w:rPr>
      </w:pPr>
      <w:bookmarkStart w:id="26" w:name="_Toc23540"/>
      <w:r>
        <w:rPr>
          <w:rFonts w:hint="eastAsia"/>
          <w:color w:val="000000" w:themeColor="text1"/>
          <w:sz w:val="28"/>
          <w:szCs w:val="28"/>
          <w:lang w:eastAsia="zh-CN"/>
        </w:rPr>
        <w:t>四、“三高四新”战略为城市管理建设提出了新目标</w:t>
      </w:r>
      <w:bookmarkEnd w:id="26"/>
    </w:p>
    <w:p w14:paraId="0C1EF05F">
      <w:pPr>
        <w:spacing w:line="560" w:lineRule="exact"/>
        <w:ind w:firstLine="560" w:firstLineChars="200"/>
        <w:rPr>
          <w:rFonts w:ascii="宋体" w:cs="宋体"/>
          <w:color w:val="000000" w:themeColor="text1"/>
          <w:sz w:val="28"/>
          <w:szCs w:val="28"/>
        </w:rPr>
      </w:pPr>
      <w:r>
        <w:rPr>
          <w:rFonts w:hint="eastAsia" w:ascii="宋体" w:hAnsi="宋体" w:cs="宋体"/>
          <w:color w:val="000000" w:themeColor="text1"/>
          <w:sz w:val="28"/>
          <w:szCs w:val="28"/>
        </w:rPr>
        <w:t>在“两个一百年”历史交汇的关键节点，2020年</w:t>
      </w:r>
      <w:r>
        <w:rPr>
          <w:rFonts w:ascii="宋体" w:hAnsi="宋体" w:cs="宋体"/>
          <w:color w:val="000000" w:themeColor="text1"/>
          <w:sz w:val="28"/>
          <w:szCs w:val="28"/>
        </w:rPr>
        <w:t>9</w:t>
      </w:r>
      <w:r>
        <w:rPr>
          <w:rFonts w:hint="eastAsia" w:ascii="宋体" w:hAnsi="宋体" w:cs="宋体"/>
          <w:color w:val="000000" w:themeColor="text1"/>
          <w:sz w:val="28"/>
          <w:szCs w:val="28"/>
        </w:rPr>
        <w:t>月，习近平总书记亲临湖南考察，勉励湖南打造“三个高地”、践行“四新”使命，赋予新时代使命任务，成为三湘大地加速发展的行动指南和强大引擎。湖南省委</w:t>
      </w:r>
      <w:r>
        <w:rPr>
          <w:rFonts w:hint="eastAsia" w:ascii="Arial" w:hAnsi="Arial" w:cs="Arial"/>
          <w:color w:val="000000" w:themeColor="text1"/>
          <w:sz w:val="28"/>
          <w:szCs w:val="28"/>
          <w:shd w:val="clear" w:color="auto" w:fill="FFFFFF"/>
        </w:rPr>
        <w:t>十一届十二次</w:t>
      </w:r>
      <w:r>
        <w:rPr>
          <w:rFonts w:hint="eastAsia" w:ascii="宋体" w:hAnsi="宋体" w:cs="宋体"/>
          <w:color w:val="000000" w:themeColor="text1"/>
          <w:sz w:val="28"/>
          <w:szCs w:val="28"/>
        </w:rPr>
        <w:t>全会旗帜鲜明地提出实施“三高四新”战略，是深刻领会新阶段湖南发展需要作出的重大决策。湘潭市委</w:t>
      </w:r>
      <w:r>
        <w:rPr>
          <w:rFonts w:hint="eastAsia" w:ascii="Arial" w:hAnsi="Arial" w:cs="Arial"/>
          <w:color w:val="000000" w:themeColor="text1"/>
          <w:sz w:val="28"/>
          <w:szCs w:val="28"/>
          <w:shd w:val="clear" w:color="auto" w:fill="FFFFFF"/>
        </w:rPr>
        <w:t>十二届九次</w:t>
      </w:r>
      <w:r>
        <w:rPr>
          <w:rFonts w:hint="eastAsia" w:ascii="宋体" w:hAnsi="宋体" w:cs="宋体"/>
          <w:color w:val="000000" w:themeColor="text1"/>
          <w:sz w:val="28"/>
          <w:szCs w:val="28"/>
        </w:rPr>
        <w:t>全全顺应省委新的发展战略，</w:t>
      </w:r>
      <w:r>
        <w:rPr>
          <w:rFonts w:hint="eastAsia"/>
          <w:color w:val="000000" w:themeColor="text1"/>
          <w:sz w:val="28"/>
          <w:szCs w:val="28"/>
          <w:shd w:val="clear" w:color="auto" w:fill="FFFFFF"/>
        </w:rPr>
        <w:t>旗帜鲜明地提出“努力在落实‘三高四新’战略上走在全省前列，深化‘六个湘潭’建设，打造‘四区一地’，全面推进‘一六二’工程，奋力建设‘伟人故里、大美湘潭’，为全面建设社会主义现代化开好局、起好步”</w:t>
      </w:r>
      <w:r>
        <w:rPr>
          <w:rFonts w:hint="eastAsia" w:ascii="宋体" w:hAnsi="宋体" w:cs="宋体"/>
          <w:color w:val="000000" w:themeColor="text1"/>
          <w:sz w:val="28"/>
          <w:szCs w:val="28"/>
        </w:rPr>
        <w:t>。我们要结合湘潭城市管理实际，响应省委“三高四新”战略，落实市委“一六二”工程，牢牢把握重大战略机遇，主动迎接挑战，真抓实干，按照习近平总书记“城市管理应该像绣花一样精细”的要求，以精细化的城市管理打造高质量的城市环境，在现代化城市群建设的绚丽篇章中争先出彩。</w:t>
      </w:r>
    </w:p>
    <w:p w14:paraId="17B2D358">
      <w:pPr>
        <w:pStyle w:val="8"/>
        <w:spacing w:line="560" w:lineRule="exact"/>
        <w:ind w:firstLine="560" w:firstLineChars="200"/>
        <w:rPr>
          <w:rFonts w:ascii="宋体" w:hAnsi="宋体" w:cs="宋体"/>
          <w:color w:val="000000" w:themeColor="text1"/>
          <w:sz w:val="28"/>
          <w:szCs w:val="28"/>
        </w:rPr>
      </w:pPr>
    </w:p>
    <w:bookmarkEnd w:id="25"/>
    <w:p w14:paraId="3DDC5943">
      <w:pPr>
        <w:pStyle w:val="2"/>
        <w:numPr>
          <w:ilvl w:val="0"/>
          <w:numId w:val="0"/>
        </w:numPr>
        <w:spacing w:before="316"/>
        <w:jc w:val="center"/>
        <w:rPr>
          <w:rFonts w:ascii="宋体" w:hAnsi="宋体" w:cs="宋体"/>
          <w:color w:val="FF0000"/>
          <w:sz w:val="28"/>
          <w:lang w:eastAsia="zh-CN"/>
        </w:rPr>
      </w:pPr>
      <w:bookmarkStart w:id="27" w:name="_Toc8850"/>
      <w:r>
        <w:rPr>
          <w:rFonts w:hint="eastAsia" w:ascii="宋体" w:hAnsi="宋体" w:cs="宋体"/>
          <w:color w:val="000000" w:themeColor="text1"/>
          <w:szCs w:val="32"/>
          <w:lang w:eastAsia="zh-CN"/>
        </w:rPr>
        <w:t>第三章   湘潭“十四五”城市管理系统建设的总体思路</w:t>
      </w:r>
      <w:bookmarkEnd w:id="27"/>
    </w:p>
    <w:p w14:paraId="23C18815">
      <w:pPr>
        <w:pStyle w:val="3"/>
        <w:numPr>
          <w:ilvl w:val="0"/>
          <w:numId w:val="0"/>
        </w:numPr>
        <w:spacing w:before="156" w:after="156" w:line="560" w:lineRule="exact"/>
        <w:jc w:val="center"/>
        <w:rPr>
          <w:rFonts w:ascii="宋体" w:hAnsi="宋体" w:cs="宋体"/>
          <w:color w:val="000000" w:themeColor="text1"/>
          <w:sz w:val="30"/>
          <w:szCs w:val="30"/>
        </w:rPr>
      </w:pPr>
    </w:p>
    <w:p w14:paraId="1D84B160">
      <w:pPr>
        <w:pStyle w:val="3"/>
        <w:numPr>
          <w:ilvl w:val="0"/>
          <w:numId w:val="0"/>
        </w:numPr>
        <w:spacing w:before="156" w:after="156" w:line="560" w:lineRule="exact"/>
        <w:jc w:val="center"/>
        <w:rPr>
          <w:rFonts w:ascii="宋体" w:hAnsi="宋体" w:cs="宋体"/>
          <w:color w:val="000000" w:themeColor="text1"/>
        </w:rPr>
      </w:pPr>
      <w:bookmarkStart w:id="28" w:name="_Toc5347"/>
      <w:r>
        <w:rPr>
          <w:rFonts w:hint="eastAsia" w:ascii="宋体" w:hAnsi="宋体" w:cs="宋体"/>
          <w:color w:val="000000" w:themeColor="text1"/>
          <w:sz w:val="30"/>
          <w:szCs w:val="30"/>
        </w:rPr>
        <w:t>第一节  湘潭“十四五”城市管理系统建设的指导思想</w:t>
      </w:r>
      <w:bookmarkEnd w:id="28"/>
    </w:p>
    <w:p w14:paraId="072DE6DC">
      <w:pPr>
        <w:pStyle w:val="8"/>
        <w:spacing w:line="560" w:lineRule="exact"/>
        <w:ind w:firstLine="560" w:firstLineChars="200"/>
        <w:jc w:val="both"/>
        <w:rPr>
          <w:rFonts w:ascii="宋体" w:hAnsi="宋体" w:cs="宋体"/>
          <w:color w:val="000000" w:themeColor="text1"/>
          <w:spacing w:val="8"/>
          <w:sz w:val="28"/>
          <w:szCs w:val="28"/>
          <w:shd w:val="clear" w:color="auto" w:fill="FFFFFF"/>
        </w:rPr>
      </w:pPr>
      <w:r>
        <w:rPr>
          <w:rFonts w:hint="eastAsia" w:ascii="宋体" w:hAnsi="宋体" w:cs="宋体"/>
          <w:bCs/>
          <w:color w:val="000000" w:themeColor="text1"/>
          <w:sz w:val="28"/>
          <w:szCs w:val="28"/>
        </w:rPr>
        <w:t>高举中国特色社会主义伟大旗帜，深入贯彻党的十九大和十九届二中、三中、四中、五中全会精神，坚持以马克思列宁主义、毛泽东思想、邓小平理论、“三个代表”重要思想、科学发展观、习近平新时代中国特色社会主义思想为指导，全面贯彻党的基本理论、基本路线、基本方略，深入落实习近平总书记对湖南工作系列重要讲话精神，</w:t>
      </w:r>
      <w:r>
        <w:rPr>
          <w:rFonts w:hint="eastAsia" w:ascii="宋体" w:hAnsi="宋体" w:cs="宋体"/>
          <w:color w:val="000000" w:themeColor="text1"/>
          <w:kern w:val="0"/>
          <w:sz w:val="28"/>
          <w:szCs w:val="28"/>
        </w:rPr>
        <w:t>推进国家治理体系和治理能力现代化，努力在落实“三高四新”战略上走在全省前列，深化“六个湘潭”建设，打造“四区一地”，全面推进“一六二”工程，奋力建设“伟人故里、大美湘潭”，</w:t>
      </w:r>
      <w:r>
        <w:rPr>
          <w:rFonts w:hint="eastAsia" w:ascii="宋体" w:hAnsi="宋体" w:cs="宋体"/>
          <w:color w:val="000000" w:themeColor="text1"/>
          <w:spacing w:val="8"/>
          <w:sz w:val="28"/>
          <w:szCs w:val="28"/>
          <w:shd w:val="clear" w:color="auto" w:fill="FFFFFF"/>
        </w:rPr>
        <w:t>尊重城市发展规律，以</w:t>
      </w:r>
      <w:r>
        <w:rPr>
          <w:rFonts w:hint="eastAsia" w:ascii="宋体" w:hAnsi="宋体" w:cs="宋体"/>
          <w:color w:val="000000" w:themeColor="text1"/>
          <w:sz w:val="28"/>
          <w:szCs w:val="28"/>
        </w:rPr>
        <w:t>城市治理体系和治理能力现代化</w:t>
      </w:r>
      <w:r>
        <w:rPr>
          <w:rFonts w:hint="eastAsia" w:ascii="宋体" w:hAnsi="宋体" w:cs="宋体"/>
          <w:color w:val="000000" w:themeColor="text1"/>
          <w:spacing w:val="8"/>
          <w:sz w:val="28"/>
          <w:szCs w:val="28"/>
          <w:shd w:val="clear" w:color="auto" w:fill="FFFFFF"/>
        </w:rPr>
        <w:t>为指向，坚持党的全面领导、以人民为中心、新发展理念、深化改革开放、系统观念和目标引领的原则，实行内涵式发展，深化“五个城管”建设，围绕提高湘潭城市管理现代化水平，打造城市综合管理服务平台，实现城乡环卫一体化，加速垃圾资源化利用，提升管理系统承载力，推进城市治理现代化，构建城市安全保障体系，</w:t>
      </w:r>
      <w:r>
        <w:rPr>
          <w:rFonts w:hint="eastAsia" w:ascii="宋体" w:hAnsi="宋体" w:cs="宋体"/>
          <w:color w:val="000000" w:themeColor="text1"/>
          <w:sz w:val="28"/>
          <w:szCs w:val="28"/>
        </w:rPr>
        <w:t>努力实现城市内涵式高质量发展。</w:t>
      </w:r>
      <w:r>
        <w:rPr>
          <w:rFonts w:hint="eastAsia" w:ascii="宋体" w:hAnsi="宋体" w:cs="宋体"/>
          <w:color w:val="000000" w:themeColor="text1"/>
          <w:spacing w:val="8"/>
          <w:sz w:val="28"/>
          <w:szCs w:val="28"/>
          <w:shd w:val="clear" w:color="auto" w:fill="FFFFFF"/>
        </w:rPr>
        <w:t>建设</w:t>
      </w:r>
      <w:r>
        <w:rPr>
          <w:rFonts w:hint="eastAsia" w:ascii="宋体" w:hAnsi="宋体" w:cs="宋体"/>
          <w:color w:val="000000" w:themeColor="text1"/>
          <w:sz w:val="28"/>
          <w:szCs w:val="28"/>
        </w:rPr>
        <w:t>净化、绿化、亮化、美化、便利和安全</w:t>
      </w:r>
      <w:r>
        <w:rPr>
          <w:rFonts w:hint="eastAsia" w:ascii="宋体" w:hAnsi="宋体" w:cs="宋体"/>
          <w:color w:val="000000" w:themeColor="text1"/>
          <w:spacing w:val="8"/>
          <w:sz w:val="28"/>
          <w:szCs w:val="28"/>
          <w:shd w:val="clear" w:color="auto" w:fill="FFFFFF"/>
        </w:rPr>
        <w:t>的现代化湘潭，实现城市管理让湘潭更美好，湘潭让人民生活更美好的目标。</w:t>
      </w:r>
    </w:p>
    <w:p w14:paraId="24691238">
      <w:pPr>
        <w:pStyle w:val="8"/>
        <w:spacing w:line="560" w:lineRule="exact"/>
        <w:ind w:firstLine="592" w:firstLineChars="200"/>
        <w:jc w:val="both"/>
        <w:rPr>
          <w:rFonts w:ascii="宋体" w:hAnsi="宋体" w:cs="宋体"/>
          <w:color w:val="000000" w:themeColor="text1"/>
          <w:spacing w:val="8"/>
          <w:sz w:val="28"/>
          <w:szCs w:val="28"/>
          <w:shd w:val="clear" w:color="auto" w:fill="FFFFFF"/>
        </w:rPr>
      </w:pPr>
    </w:p>
    <w:p w14:paraId="4589D24C">
      <w:pPr>
        <w:pStyle w:val="3"/>
        <w:numPr>
          <w:ilvl w:val="0"/>
          <w:numId w:val="0"/>
        </w:numPr>
        <w:spacing w:before="156" w:after="156" w:line="560" w:lineRule="exact"/>
        <w:jc w:val="center"/>
        <w:rPr>
          <w:rStyle w:val="39"/>
          <w:rFonts w:cs="宋体"/>
          <w:b w:val="0"/>
          <w:bCs w:val="0"/>
          <w:color w:val="000000" w:themeColor="text1"/>
          <w:sz w:val="30"/>
          <w:szCs w:val="30"/>
          <w:lang w:eastAsia="zh-CN"/>
        </w:rPr>
      </w:pPr>
      <w:bookmarkStart w:id="29" w:name="_Toc21027"/>
      <w:r>
        <w:rPr>
          <w:rFonts w:hint="eastAsia" w:ascii="宋体" w:hAnsi="宋体" w:cs="宋体"/>
          <w:color w:val="000000" w:themeColor="text1"/>
          <w:sz w:val="30"/>
          <w:szCs w:val="30"/>
        </w:rPr>
        <w:t>第二节  湘潭“十四五”城市管理系统建设的原则</w:t>
      </w:r>
      <w:bookmarkEnd w:id="29"/>
    </w:p>
    <w:p w14:paraId="29CE2C89">
      <w:pPr>
        <w:spacing w:line="560" w:lineRule="exact"/>
        <w:ind w:firstLine="562" w:firstLineChars="200"/>
        <w:rPr>
          <w:rFonts w:ascii="宋体" w:hAnsi="宋体" w:cs="宋体"/>
          <w:color w:val="000000" w:themeColor="text1"/>
          <w:sz w:val="28"/>
          <w:szCs w:val="28"/>
        </w:rPr>
      </w:pPr>
      <w:r>
        <w:rPr>
          <w:rFonts w:hint="eastAsia" w:ascii="宋体" w:hAnsi="宋体" w:cs="宋体"/>
          <w:b/>
          <w:color w:val="000000" w:themeColor="text1"/>
          <w:kern w:val="0"/>
          <w:sz w:val="28"/>
          <w:szCs w:val="28"/>
        </w:rPr>
        <w:t>一、坚持党的全面领导。</w:t>
      </w:r>
      <w:r>
        <w:rPr>
          <w:rFonts w:hint="eastAsia" w:ascii="宋体" w:hAnsi="宋体" w:cs="宋体"/>
          <w:color w:val="000000" w:themeColor="text1"/>
          <w:kern w:val="0"/>
          <w:sz w:val="28"/>
          <w:szCs w:val="28"/>
        </w:rPr>
        <w:t>坚持和完善党领导经济社会发展的体制机制，增强“四个意识”、坚定“四个自信”、做到“两个维护”，不断提高贯彻新发展理念、构建新发展格局能力和水平，为建设高质量城市管理系统提供根本保证。</w:t>
      </w:r>
    </w:p>
    <w:p w14:paraId="4CD10510">
      <w:pPr>
        <w:widowControl/>
        <w:spacing w:line="560" w:lineRule="exact"/>
        <w:ind w:firstLine="562" w:firstLineChars="200"/>
        <w:rPr>
          <w:rFonts w:ascii="宋体" w:hAnsi="宋体" w:cs="宋体"/>
          <w:color w:val="000000" w:themeColor="text1"/>
          <w:kern w:val="0"/>
          <w:sz w:val="28"/>
          <w:szCs w:val="28"/>
        </w:rPr>
      </w:pPr>
      <w:r>
        <w:rPr>
          <w:rFonts w:hint="eastAsia" w:ascii="宋体" w:hAnsi="宋体" w:cs="宋体"/>
          <w:b/>
          <w:color w:val="000000" w:themeColor="text1"/>
          <w:kern w:val="0"/>
          <w:sz w:val="28"/>
          <w:szCs w:val="28"/>
        </w:rPr>
        <w:t>二、坚持以人民为中心。</w:t>
      </w:r>
      <w:r>
        <w:rPr>
          <w:rFonts w:hint="eastAsia" w:ascii="宋体" w:hAnsi="宋体" w:cs="宋体"/>
          <w:color w:val="000000" w:themeColor="text1"/>
          <w:kern w:val="0"/>
          <w:sz w:val="28"/>
          <w:szCs w:val="28"/>
        </w:rPr>
        <w:t>坚持人民主体地位，坚持共同富裕方向，始终做到发展为了人民、发展依靠人民、发展成果由人民共享，</w:t>
      </w:r>
      <w:r>
        <w:rPr>
          <w:rFonts w:hint="eastAsia" w:ascii="宋体" w:hAnsi="宋体" w:cs="宋体"/>
          <w:bCs/>
          <w:color w:val="000000" w:themeColor="text1"/>
          <w:sz w:val="28"/>
          <w:szCs w:val="28"/>
        </w:rPr>
        <w:t>把提升湘潭人民幸福感作为湘潭城市管理系统建设和综合执法的出发点、落脚点，通过更平衡、更充分的发展不断满足湘潭人民日益增长的美好生活需要。</w:t>
      </w:r>
    </w:p>
    <w:p w14:paraId="7F43216B">
      <w:pPr>
        <w:widowControl/>
        <w:spacing w:line="560" w:lineRule="exact"/>
        <w:ind w:firstLine="562" w:firstLineChars="200"/>
        <w:rPr>
          <w:rFonts w:ascii="宋体" w:hAnsi="宋体" w:cs="宋体"/>
          <w:color w:val="000000" w:themeColor="text1"/>
          <w:kern w:val="0"/>
          <w:sz w:val="28"/>
          <w:szCs w:val="28"/>
        </w:rPr>
      </w:pPr>
      <w:r>
        <w:rPr>
          <w:rFonts w:hint="eastAsia" w:ascii="宋体" w:hAnsi="宋体" w:cs="宋体"/>
          <w:b/>
          <w:color w:val="000000" w:themeColor="text1"/>
          <w:kern w:val="0"/>
          <w:sz w:val="28"/>
          <w:szCs w:val="28"/>
        </w:rPr>
        <w:t>三、坚持新发展理念。</w:t>
      </w:r>
      <w:r>
        <w:rPr>
          <w:rFonts w:hint="eastAsia" w:ascii="宋体" w:hAnsi="宋体" w:cs="宋体"/>
          <w:color w:val="000000" w:themeColor="text1"/>
          <w:kern w:val="0"/>
          <w:sz w:val="28"/>
          <w:szCs w:val="28"/>
        </w:rPr>
        <w:t>把创新、协调、绿色、开放、共享的新发展理念贯穿城市管理系统建设全过程和各领域，融入新发展格局，建设更高质量、更有效率、更加公平、更可持续、更为安全的湘潭城市管理系统。</w:t>
      </w:r>
    </w:p>
    <w:p w14:paraId="259F500A">
      <w:pPr>
        <w:widowControl/>
        <w:spacing w:line="560" w:lineRule="exact"/>
        <w:ind w:firstLine="562" w:firstLineChars="200"/>
        <w:rPr>
          <w:rFonts w:ascii="宋体" w:hAnsi="宋体" w:cs="宋体"/>
          <w:color w:val="000000" w:themeColor="text1"/>
          <w:kern w:val="0"/>
          <w:sz w:val="28"/>
          <w:szCs w:val="28"/>
        </w:rPr>
      </w:pPr>
      <w:r>
        <w:rPr>
          <w:rFonts w:hint="eastAsia" w:ascii="宋体" w:hAnsi="宋体" w:cs="宋体"/>
          <w:b/>
          <w:color w:val="000000" w:themeColor="text1"/>
          <w:kern w:val="0"/>
          <w:sz w:val="28"/>
          <w:szCs w:val="28"/>
        </w:rPr>
        <w:t>四、坚持深化改革开放。</w:t>
      </w:r>
      <w:r>
        <w:rPr>
          <w:rFonts w:hint="eastAsia" w:ascii="宋体" w:hAnsi="宋体" w:cs="宋体"/>
          <w:color w:val="000000" w:themeColor="text1"/>
          <w:kern w:val="0"/>
          <w:sz w:val="28"/>
          <w:szCs w:val="28"/>
        </w:rPr>
        <w:t>加强城市治理体系和治理能力现代化建设，破除制约高质量发展、高品质生活的体制机制障碍，推动</w:t>
      </w:r>
      <w:r>
        <w:rPr>
          <w:rFonts w:hint="eastAsia" w:ascii="宋体" w:hAnsi="宋体" w:cs="宋体"/>
          <w:color w:val="000000" w:themeColor="text1"/>
          <w:sz w:val="28"/>
          <w:szCs w:val="28"/>
        </w:rPr>
        <w:t>湘潭市城市管理和综合执法体制深层次改革，</w:t>
      </w:r>
      <w:r>
        <w:rPr>
          <w:rFonts w:hint="eastAsia" w:ascii="宋体" w:hAnsi="宋体" w:cs="宋体"/>
          <w:color w:val="000000" w:themeColor="text1"/>
          <w:kern w:val="0"/>
          <w:sz w:val="28"/>
          <w:szCs w:val="28"/>
        </w:rPr>
        <w:t>持续增强发展动力和活力。</w:t>
      </w:r>
    </w:p>
    <w:p w14:paraId="18DD9AFF">
      <w:pPr>
        <w:spacing w:line="560" w:lineRule="exact"/>
        <w:ind w:firstLine="562" w:firstLineChars="200"/>
        <w:rPr>
          <w:rFonts w:ascii="宋体" w:hAnsi="宋体" w:cs="宋体"/>
          <w:b/>
          <w:color w:val="000000" w:themeColor="text1"/>
          <w:sz w:val="28"/>
          <w:szCs w:val="28"/>
        </w:rPr>
      </w:pPr>
      <w:r>
        <w:rPr>
          <w:rFonts w:hint="eastAsia" w:ascii="宋体" w:hAnsi="宋体" w:cs="宋体"/>
          <w:b/>
          <w:color w:val="000000" w:themeColor="text1"/>
          <w:kern w:val="0"/>
          <w:sz w:val="28"/>
          <w:szCs w:val="28"/>
        </w:rPr>
        <w:t>五、坚持系统观念。</w:t>
      </w:r>
      <w:r>
        <w:rPr>
          <w:rFonts w:hint="eastAsia" w:ascii="宋体" w:hAnsi="宋体" w:cs="宋体"/>
          <w:color w:val="000000" w:themeColor="text1"/>
          <w:kern w:val="0"/>
          <w:sz w:val="28"/>
          <w:szCs w:val="28"/>
        </w:rPr>
        <w:t>加强前瞻性思考、全局性谋划、战略性布局、整体性推进、全生命周期管理，统筹国内国际两个大局，办好发展和安全两件大事，更好发挥各方面积极性，着力固根基、扬优势、补短板、强弱项，注重防范化解重大风险挑战，</w:t>
      </w:r>
      <w:r>
        <w:rPr>
          <w:rFonts w:hint="eastAsia" w:ascii="宋体" w:hAnsi="宋体" w:cs="宋体"/>
          <w:color w:val="000000" w:themeColor="text1"/>
          <w:sz w:val="28"/>
          <w:szCs w:val="28"/>
        </w:rPr>
        <w:t>实施城乡一体化战略，统筹城乡和区域发展，形成城乡融合互动、区域协调发展的新格局。</w:t>
      </w:r>
    </w:p>
    <w:p w14:paraId="4A80CE0D">
      <w:pPr>
        <w:spacing w:line="560" w:lineRule="exact"/>
        <w:ind w:firstLine="562" w:firstLineChars="200"/>
        <w:rPr>
          <w:rFonts w:ascii="宋体" w:hAnsi="宋体" w:cs="宋体"/>
          <w:color w:val="000000" w:themeColor="text1"/>
          <w:sz w:val="28"/>
          <w:szCs w:val="28"/>
        </w:rPr>
      </w:pPr>
      <w:r>
        <w:rPr>
          <w:rFonts w:hint="eastAsia" w:ascii="宋体" w:hAnsi="宋体" w:cs="宋体"/>
          <w:b/>
          <w:color w:val="000000" w:themeColor="text1"/>
          <w:sz w:val="28"/>
          <w:szCs w:val="28"/>
        </w:rPr>
        <w:t>六、坚持目标引领。</w:t>
      </w:r>
      <w:r>
        <w:rPr>
          <w:rFonts w:hint="eastAsia" w:ascii="宋体" w:hAnsi="宋体" w:cs="宋体"/>
          <w:color w:val="000000" w:themeColor="text1"/>
          <w:sz w:val="28"/>
          <w:szCs w:val="28"/>
        </w:rPr>
        <w:t>落实《湘潭市国民经济和社会发展第十四个五年规划和二O三五年目标纲要》中创新城市管理的要求，强化目标意识、结果导向，在“</w:t>
      </w:r>
      <w:r>
        <w:rPr>
          <w:rFonts w:hint="eastAsia" w:ascii="宋体" w:hAnsi="宋体" w:cs="宋体"/>
          <w:color w:val="000000" w:themeColor="text1"/>
          <w:kern w:val="0"/>
          <w:sz w:val="28"/>
          <w:szCs w:val="28"/>
        </w:rPr>
        <w:t>深化‘六个湘潭’建设，打造‘四区一地’，全面推进‘一六二’工程，奋力建设‘伟人故里、大美湘潭’”战略中展现城管担当，体现城管作为。</w:t>
      </w:r>
    </w:p>
    <w:p w14:paraId="2C0E8E6C">
      <w:pPr>
        <w:pStyle w:val="3"/>
        <w:numPr>
          <w:ilvl w:val="0"/>
          <w:numId w:val="0"/>
        </w:numPr>
        <w:spacing w:before="156" w:after="156" w:line="560" w:lineRule="exact"/>
        <w:jc w:val="center"/>
        <w:rPr>
          <w:rFonts w:ascii="宋体" w:hAnsi="宋体" w:cs="宋体"/>
          <w:color w:val="000000" w:themeColor="text1"/>
          <w:sz w:val="30"/>
          <w:szCs w:val="30"/>
        </w:rPr>
      </w:pPr>
    </w:p>
    <w:p w14:paraId="4F6490E3">
      <w:pPr>
        <w:pStyle w:val="3"/>
        <w:numPr>
          <w:ilvl w:val="0"/>
          <w:numId w:val="0"/>
        </w:numPr>
        <w:spacing w:before="156" w:after="156" w:line="560" w:lineRule="exact"/>
        <w:jc w:val="center"/>
        <w:rPr>
          <w:rFonts w:ascii="宋体" w:hAnsi="宋体" w:cs="宋体"/>
          <w:color w:val="000000" w:themeColor="text1"/>
        </w:rPr>
      </w:pPr>
      <w:bookmarkStart w:id="30" w:name="_Toc27067"/>
      <w:r>
        <w:rPr>
          <w:rFonts w:hint="eastAsia" w:ascii="宋体" w:hAnsi="宋体" w:cs="宋体"/>
          <w:color w:val="000000" w:themeColor="text1"/>
          <w:sz w:val="30"/>
          <w:szCs w:val="30"/>
        </w:rPr>
        <w:t>第三节  湘潭“十四五”城市管理系统建设目标</w:t>
      </w:r>
      <w:bookmarkEnd w:id="30"/>
    </w:p>
    <w:p w14:paraId="70AC9F6A">
      <w:pPr>
        <w:pStyle w:val="4"/>
        <w:numPr>
          <w:ilvl w:val="0"/>
          <w:numId w:val="0"/>
        </w:numPr>
        <w:spacing w:before="120" w:after="156" w:line="560" w:lineRule="exact"/>
        <w:ind w:firstLine="562" w:firstLineChars="200"/>
        <w:rPr>
          <w:rFonts w:cs="宋体"/>
          <w:color w:val="000000" w:themeColor="text1"/>
          <w:sz w:val="28"/>
          <w:szCs w:val="28"/>
          <w:lang w:eastAsia="zh-CN"/>
        </w:rPr>
      </w:pPr>
      <w:bookmarkStart w:id="31" w:name="_Toc20760"/>
      <w:r>
        <w:rPr>
          <w:rFonts w:hint="eastAsia" w:cs="宋体"/>
          <w:color w:val="000000" w:themeColor="text1"/>
          <w:sz w:val="28"/>
          <w:szCs w:val="28"/>
          <w:lang w:eastAsia="zh-CN"/>
        </w:rPr>
        <w:t>一、建设目标</w:t>
      </w:r>
      <w:bookmarkEnd w:id="31"/>
    </w:p>
    <w:p w14:paraId="1BA03A8A">
      <w:pPr>
        <w:spacing w:line="560" w:lineRule="exact"/>
        <w:ind w:firstLine="560" w:firstLineChars="200"/>
        <w:rPr>
          <w:sz w:val="28"/>
          <w:szCs w:val="28"/>
        </w:rPr>
      </w:pPr>
      <w:r>
        <w:rPr>
          <w:rFonts w:hint="eastAsia" w:ascii="宋体" w:hAnsi="宋体" w:cs="宋体"/>
          <w:color w:val="000000" w:themeColor="text1"/>
          <w:kern w:val="0"/>
          <w:sz w:val="28"/>
          <w:szCs w:val="28"/>
        </w:rPr>
        <w:t>顺应湘潭城市发展规律，适应湘潭经济发展要求，满足湘潭人民日益增长的美好生活需要，以城市管理现代化为指向，坚持党的全面领导、坚持以人民为中心、坚持新发展理念、坚持深化改革开放、坚持系统观念、</w:t>
      </w:r>
      <w:r>
        <w:rPr>
          <w:rFonts w:hint="eastAsia" w:ascii="宋体" w:hAnsi="宋体" w:cs="宋体"/>
          <w:color w:val="000000" w:themeColor="text1"/>
          <w:sz w:val="28"/>
          <w:szCs w:val="28"/>
        </w:rPr>
        <w:t>坚持目标引领，理顺城市管理体制，完善城市管理体系，提升城市管理水平，深化“法治城管、民生城管、智慧城管、人文城管、品质城管”建设，打造高质量的城市管理系统，维护城市安全，将湘潭建设成为宜居城市、韧性城市、智能城市。主要目标有：（1） 提升城市现代化管理水平；（2） 加快智慧城市管理平台建设；（3） 实现城乡环卫一体化；（4）加速垃圾资源化利用；（5）提升管理系统承载力；（6）推进城市治理现代化</w:t>
      </w:r>
      <w:r>
        <w:rPr>
          <w:rFonts w:hint="eastAsia"/>
          <w:color w:val="000000" w:themeColor="text1"/>
          <w:sz w:val="28"/>
          <w:szCs w:val="28"/>
        </w:rPr>
        <w:t>；（</w:t>
      </w:r>
      <w:r>
        <w:rPr>
          <w:rFonts w:hint="eastAsia" w:ascii="宋体" w:hAnsi="宋体"/>
          <w:color w:val="000000" w:themeColor="text1"/>
          <w:sz w:val="28"/>
          <w:szCs w:val="28"/>
        </w:rPr>
        <w:t>7）构建城市安全保障体系。</w:t>
      </w:r>
    </w:p>
    <w:p w14:paraId="44D66D9D">
      <w:pPr>
        <w:pStyle w:val="4"/>
        <w:numPr>
          <w:ilvl w:val="0"/>
          <w:numId w:val="0"/>
        </w:numPr>
        <w:spacing w:before="120" w:after="156" w:line="560" w:lineRule="exact"/>
        <w:ind w:left="482"/>
        <w:rPr>
          <w:rFonts w:cs="宋体"/>
          <w:color w:val="000000" w:themeColor="text1"/>
          <w:sz w:val="28"/>
          <w:szCs w:val="28"/>
          <w:lang w:eastAsia="zh-CN"/>
        </w:rPr>
      </w:pPr>
      <w:bookmarkStart w:id="32" w:name="_Toc31748"/>
      <w:r>
        <w:rPr>
          <w:rFonts w:hint="eastAsia" w:cs="宋体"/>
          <w:color w:val="000000" w:themeColor="text1"/>
          <w:sz w:val="28"/>
          <w:szCs w:val="28"/>
          <w:lang w:eastAsia="zh-CN"/>
        </w:rPr>
        <w:t>二、主要指标</w:t>
      </w:r>
      <w:bookmarkEnd w:id="32"/>
    </w:p>
    <w:p w14:paraId="6291C911">
      <w:pPr>
        <w:spacing w:line="560" w:lineRule="exact"/>
        <w:ind w:firstLine="560" w:firstLineChars="200"/>
        <w:rPr>
          <w:rFonts w:ascii="宋体" w:hAnsi="宋体" w:cs="宋体"/>
          <w:color w:val="000000" w:themeColor="text1"/>
          <w:sz w:val="28"/>
          <w:szCs w:val="28"/>
        </w:rPr>
      </w:pPr>
      <w:r>
        <w:rPr>
          <w:rFonts w:hint="eastAsia" w:ascii="宋体" w:hAnsi="宋体" w:cs="宋体"/>
          <w:color w:val="000000" w:themeColor="text1"/>
          <w:sz w:val="28"/>
          <w:szCs w:val="28"/>
        </w:rPr>
        <w:t>依据国、省“十四五”建设目标和行业发展相关政策，设置主要指标如下（见表1）。</w:t>
      </w:r>
    </w:p>
    <w:p w14:paraId="6FAC6E03">
      <w:pPr>
        <w:rPr>
          <w:rFonts w:ascii="宋体" w:hAnsi="宋体" w:cs="宋体"/>
          <w:b/>
          <w:bCs/>
          <w:color w:val="000000" w:themeColor="text1"/>
          <w:kern w:val="0"/>
          <w:sz w:val="24"/>
          <w:szCs w:val="24"/>
        </w:rPr>
      </w:pPr>
      <w:r>
        <w:rPr>
          <w:rFonts w:hint="eastAsia" w:ascii="宋体" w:hAnsi="宋体" w:cs="宋体"/>
          <w:b/>
          <w:bCs/>
          <w:color w:val="000000" w:themeColor="text1"/>
          <w:kern w:val="0"/>
          <w:sz w:val="24"/>
          <w:szCs w:val="24"/>
        </w:rPr>
        <w:br w:type="page"/>
      </w:r>
    </w:p>
    <w:p w14:paraId="45DD3F1D">
      <w:pPr>
        <w:spacing w:afterLines="50" w:line="560" w:lineRule="exact"/>
        <w:ind w:firstLine="964" w:firstLineChars="400"/>
        <w:rPr>
          <w:rFonts w:ascii="宋体" w:hAnsi="宋体" w:cs="宋体"/>
          <w:b/>
          <w:bCs/>
          <w:color w:val="000000" w:themeColor="text1"/>
          <w:kern w:val="0"/>
          <w:sz w:val="24"/>
          <w:szCs w:val="24"/>
        </w:rPr>
      </w:pPr>
    </w:p>
    <w:p w14:paraId="4BB8A350">
      <w:pPr>
        <w:spacing w:afterLines="50" w:line="560" w:lineRule="exact"/>
        <w:ind w:firstLine="964" w:firstLineChars="400"/>
        <w:rPr>
          <w:rFonts w:ascii="宋体" w:hAnsi="宋体" w:cs="宋体"/>
          <w:color w:val="000000" w:themeColor="text1"/>
          <w:sz w:val="24"/>
          <w:szCs w:val="24"/>
        </w:rPr>
      </w:pPr>
      <w:r>
        <w:rPr>
          <w:rFonts w:hint="eastAsia" w:ascii="宋体" w:hAnsi="宋体" w:cs="宋体"/>
          <w:b/>
          <w:bCs/>
          <w:color w:val="000000" w:themeColor="text1"/>
          <w:kern w:val="0"/>
          <w:sz w:val="24"/>
          <w:szCs w:val="24"/>
        </w:rPr>
        <w:t>表1：  湘潭“十四五”城市管理系统建设主要指标</w:t>
      </w:r>
    </w:p>
    <w:tbl>
      <w:tblPr>
        <w:tblStyle w:val="28"/>
        <w:tblW w:w="8429" w:type="dxa"/>
        <w:tblInd w:w="93" w:type="dxa"/>
        <w:tblLayout w:type="fixed"/>
        <w:tblCellMar>
          <w:top w:w="0" w:type="dxa"/>
          <w:left w:w="108" w:type="dxa"/>
          <w:bottom w:w="0" w:type="dxa"/>
          <w:right w:w="108" w:type="dxa"/>
        </w:tblCellMar>
      </w:tblPr>
      <w:tblGrid>
        <w:gridCol w:w="754"/>
        <w:gridCol w:w="1116"/>
        <w:gridCol w:w="1248"/>
        <w:gridCol w:w="2580"/>
        <w:gridCol w:w="720"/>
        <w:gridCol w:w="1080"/>
        <w:gridCol w:w="931"/>
      </w:tblGrid>
      <w:tr w14:paraId="32B67EC3">
        <w:tblPrEx>
          <w:tblCellMar>
            <w:top w:w="0" w:type="dxa"/>
            <w:left w:w="108" w:type="dxa"/>
            <w:bottom w:w="0" w:type="dxa"/>
            <w:right w:w="108" w:type="dxa"/>
          </w:tblCellMar>
        </w:tblPrEx>
        <w:trPr>
          <w:trHeight w:val="526" w:hRule="atLeast"/>
        </w:trPr>
        <w:tc>
          <w:tcPr>
            <w:tcW w:w="754" w:type="dxa"/>
            <w:tcBorders>
              <w:top w:val="single" w:color="auto" w:sz="4" w:space="0"/>
              <w:left w:val="single" w:color="auto" w:sz="4" w:space="0"/>
              <w:bottom w:val="single" w:color="auto" w:sz="4" w:space="0"/>
              <w:right w:val="single" w:color="auto" w:sz="4" w:space="0"/>
            </w:tcBorders>
            <w:noWrap/>
            <w:vAlign w:val="center"/>
          </w:tcPr>
          <w:p w14:paraId="5AC6D4A9">
            <w:pPr>
              <w:spacing w:line="400" w:lineRule="exact"/>
              <w:jc w:val="center"/>
              <w:rPr>
                <w:rFonts w:ascii="宋体" w:cs="宋体"/>
                <w:b/>
                <w:bCs/>
                <w:kern w:val="0"/>
                <w:szCs w:val="21"/>
              </w:rPr>
            </w:pPr>
            <w:r>
              <w:rPr>
                <w:rFonts w:hint="eastAsia" w:ascii="宋体" w:hAnsi="宋体" w:cs="宋体"/>
                <w:b/>
                <w:bCs/>
                <w:kern w:val="0"/>
                <w:szCs w:val="21"/>
              </w:rPr>
              <w:t>序号</w:t>
            </w:r>
          </w:p>
        </w:tc>
        <w:tc>
          <w:tcPr>
            <w:tcW w:w="2364" w:type="dxa"/>
            <w:gridSpan w:val="2"/>
            <w:tcBorders>
              <w:top w:val="single" w:color="auto" w:sz="4" w:space="0"/>
              <w:left w:val="single" w:color="auto" w:sz="4" w:space="0"/>
              <w:bottom w:val="single" w:color="auto" w:sz="4" w:space="0"/>
              <w:right w:val="single" w:color="auto" w:sz="4" w:space="0"/>
            </w:tcBorders>
            <w:vAlign w:val="center"/>
          </w:tcPr>
          <w:p w14:paraId="0731A2E6">
            <w:pPr>
              <w:spacing w:line="400" w:lineRule="exact"/>
              <w:jc w:val="center"/>
              <w:rPr>
                <w:rFonts w:ascii="宋体" w:cs="宋体"/>
                <w:b/>
                <w:bCs/>
                <w:kern w:val="0"/>
                <w:szCs w:val="21"/>
              </w:rPr>
            </w:pPr>
            <w:r>
              <w:rPr>
                <w:rFonts w:hint="eastAsia" w:ascii="宋体" w:hAnsi="宋体" w:cs="宋体"/>
                <w:b/>
                <w:bCs/>
                <w:kern w:val="0"/>
                <w:szCs w:val="21"/>
              </w:rPr>
              <w:t>指标名称</w:t>
            </w:r>
          </w:p>
        </w:tc>
        <w:tc>
          <w:tcPr>
            <w:tcW w:w="2580" w:type="dxa"/>
            <w:tcBorders>
              <w:top w:val="single" w:color="auto" w:sz="4" w:space="0"/>
              <w:left w:val="single" w:color="auto" w:sz="4" w:space="0"/>
              <w:bottom w:val="single" w:color="auto" w:sz="4" w:space="0"/>
              <w:right w:val="single" w:color="auto" w:sz="4" w:space="0"/>
            </w:tcBorders>
            <w:vAlign w:val="center"/>
          </w:tcPr>
          <w:p w14:paraId="5C3DC9DB">
            <w:pPr>
              <w:widowControl/>
              <w:spacing w:line="400" w:lineRule="exact"/>
              <w:jc w:val="center"/>
              <w:rPr>
                <w:rFonts w:ascii="宋体" w:cs="宋体"/>
                <w:b/>
                <w:bCs/>
                <w:kern w:val="0"/>
                <w:szCs w:val="21"/>
              </w:rPr>
            </w:pPr>
            <w:r>
              <w:rPr>
                <w:rFonts w:hint="eastAsia" w:ascii="宋体" w:hAnsi="宋体" w:cs="宋体"/>
                <w:b/>
                <w:bCs/>
                <w:kern w:val="0"/>
                <w:szCs w:val="21"/>
              </w:rPr>
              <w:t>指标来源</w:t>
            </w:r>
          </w:p>
        </w:tc>
        <w:tc>
          <w:tcPr>
            <w:tcW w:w="720" w:type="dxa"/>
            <w:tcBorders>
              <w:top w:val="single" w:color="auto" w:sz="4" w:space="0"/>
              <w:left w:val="single" w:color="auto" w:sz="4" w:space="0"/>
              <w:bottom w:val="single" w:color="auto" w:sz="4" w:space="0"/>
              <w:right w:val="single" w:color="auto" w:sz="4" w:space="0"/>
            </w:tcBorders>
            <w:vAlign w:val="center"/>
          </w:tcPr>
          <w:p w14:paraId="3E046C8B">
            <w:pPr>
              <w:spacing w:line="400" w:lineRule="exact"/>
              <w:jc w:val="center"/>
              <w:rPr>
                <w:rFonts w:ascii="宋体" w:cs="宋体"/>
                <w:b/>
                <w:bCs/>
                <w:kern w:val="0"/>
                <w:szCs w:val="21"/>
              </w:rPr>
            </w:pPr>
            <w:r>
              <w:rPr>
                <w:rFonts w:hint="eastAsia" w:ascii="宋体" w:hAnsi="宋体" w:cs="宋体"/>
                <w:b/>
                <w:bCs/>
                <w:kern w:val="0"/>
                <w:szCs w:val="21"/>
              </w:rPr>
              <w:t>单位</w:t>
            </w:r>
          </w:p>
        </w:tc>
        <w:tc>
          <w:tcPr>
            <w:tcW w:w="1080" w:type="dxa"/>
            <w:tcBorders>
              <w:top w:val="single" w:color="auto" w:sz="4" w:space="0"/>
              <w:left w:val="single" w:color="auto" w:sz="4" w:space="0"/>
              <w:bottom w:val="single" w:color="auto" w:sz="4" w:space="0"/>
              <w:right w:val="single" w:color="auto" w:sz="4" w:space="0"/>
            </w:tcBorders>
            <w:vAlign w:val="center"/>
          </w:tcPr>
          <w:p w14:paraId="5798B89B">
            <w:pPr>
              <w:spacing w:line="400" w:lineRule="exact"/>
              <w:jc w:val="center"/>
              <w:rPr>
                <w:rFonts w:ascii="宋体" w:cs="宋体"/>
                <w:b/>
                <w:bCs/>
                <w:kern w:val="0"/>
                <w:szCs w:val="21"/>
              </w:rPr>
            </w:pPr>
            <w:r>
              <w:rPr>
                <w:rFonts w:ascii="宋体" w:hAnsi="宋体" w:cs="宋体"/>
                <w:b/>
                <w:bCs/>
                <w:kern w:val="0"/>
                <w:szCs w:val="21"/>
              </w:rPr>
              <w:t>2020</w:t>
            </w:r>
            <w:r>
              <w:rPr>
                <w:rFonts w:hint="eastAsia" w:ascii="宋体" w:hAnsi="宋体" w:cs="宋体"/>
                <w:b/>
                <w:bCs/>
                <w:kern w:val="0"/>
                <w:szCs w:val="21"/>
              </w:rPr>
              <w:t>年</w:t>
            </w:r>
          </w:p>
        </w:tc>
        <w:tc>
          <w:tcPr>
            <w:tcW w:w="931" w:type="dxa"/>
            <w:tcBorders>
              <w:top w:val="single" w:color="auto" w:sz="4" w:space="0"/>
              <w:left w:val="single" w:color="auto" w:sz="4" w:space="0"/>
              <w:bottom w:val="single" w:color="auto" w:sz="4" w:space="0"/>
              <w:right w:val="single" w:color="000000" w:sz="4" w:space="0"/>
            </w:tcBorders>
            <w:vAlign w:val="center"/>
          </w:tcPr>
          <w:p w14:paraId="6A9CB259">
            <w:pPr>
              <w:spacing w:line="400" w:lineRule="exact"/>
              <w:jc w:val="center"/>
              <w:rPr>
                <w:rFonts w:ascii="宋体" w:cs="宋体"/>
                <w:b/>
                <w:bCs/>
                <w:kern w:val="0"/>
                <w:szCs w:val="21"/>
              </w:rPr>
            </w:pPr>
            <w:r>
              <w:rPr>
                <w:rFonts w:ascii="宋体" w:hAnsi="宋体" w:cs="宋体"/>
                <w:b/>
                <w:bCs/>
                <w:kern w:val="0"/>
                <w:szCs w:val="21"/>
              </w:rPr>
              <w:t>2025</w:t>
            </w:r>
            <w:r>
              <w:rPr>
                <w:rFonts w:hint="eastAsia" w:ascii="宋体" w:hAnsi="宋体" w:cs="宋体"/>
                <w:b/>
                <w:bCs/>
                <w:kern w:val="0"/>
                <w:szCs w:val="21"/>
              </w:rPr>
              <w:t>年</w:t>
            </w:r>
          </w:p>
        </w:tc>
      </w:tr>
      <w:tr w14:paraId="5848CFF5">
        <w:tblPrEx>
          <w:tblCellMar>
            <w:top w:w="0" w:type="dxa"/>
            <w:left w:w="108" w:type="dxa"/>
            <w:bottom w:w="0" w:type="dxa"/>
            <w:right w:w="108" w:type="dxa"/>
          </w:tblCellMar>
        </w:tblPrEx>
        <w:trPr>
          <w:trHeight w:val="730" w:hRule="atLeast"/>
        </w:trPr>
        <w:tc>
          <w:tcPr>
            <w:tcW w:w="754" w:type="dxa"/>
            <w:tcBorders>
              <w:top w:val="single" w:color="auto" w:sz="4" w:space="0"/>
              <w:left w:val="single" w:color="auto" w:sz="4" w:space="0"/>
              <w:bottom w:val="single" w:color="auto" w:sz="4" w:space="0"/>
              <w:right w:val="single" w:color="auto" w:sz="4" w:space="0"/>
            </w:tcBorders>
            <w:noWrap/>
            <w:vAlign w:val="center"/>
          </w:tcPr>
          <w:p w14:paraId="6680895A">
            <w:pPr>
              <w:widowControl/>
              <w:spacing w:line="280" w:lineRule="exact"/>
              <w:jc w:val="center"/>
              <w:rPr>
                <w:rFonts w:ascii="宋体" w:cs="宋体"/>
                <w:kern w:val="0"/>
                <w:szCs w:val="21"/>
              </w:rPr>
            </w:pPr>
            <w:r>
              <w:rPr>
                <w:rFonts w:ascii="宋体" w:hAnsi="宋体" w:cs="宋体"/>
                <w:kern w:val="0"/>
                <w:szCs w:val="21"/>
              </w:rPr>
              <w:t>1</w:t>
            </w:r>
          </w:p>
        </w:tc>
        <w:tc>
          <w:tcPr>
            <w:tcW w:w="2364" w:type="dxa"/>
            <w:gridSpan w:val="2"/>
            <w:tcBorders>
              <w:top w:val="single" w:color="auto" w:sz="4" w:space="0"/>
              <w:left w:val="nil"/>
              <w:bottom w:val="single" w:color="auto" w:sz="4" w:space="0"/>
              <w:right w:val="single" w:color="auto" w:sz="4" w:space="0"/>
            </w:tcBorders>
            <w:noWrap/>
            <w:vAlign w:val="center"/>
          </w:tcPr>
          <w:p w14:paraId="44DD87AE">
            <w:pPr>
              <w:widowControl/>
              <w:spacing w:line="280" w:lineRule="exact"/>
              <w:rPr>
                <w:rFonts w:ascii="宋体" w:cs="宋体"/>
                <w:kern w:val="0"/>
                <w:szCs w:val="21"/>
              </w:rPr>
            </w:pPr>
            <w:r>
              <w:rPr>
                <w:rFonts w:hint="eastAsia" w:ascii="宋体" w:hAnsi="宋体" w:cs="宋体"/>
                <w:kern w:val="0"/>
                <w:szCs w:val="21"/>
              </w:rPr>
              <w:t>人均公园绿地面积</w:t>
            </w:r>
          </w:p>
        </w:tc>
        <w:tc>
          <w:tcPr>
            <w:tcW w:w="2580" w:type="dxa"/>
            <w:tcBorders>
              <w:top w:val="single" w:color="auto" w:sz="4" w:space="0"/>
              <w:left w:val="nil"/>
              <w:bottom w:val="single" w:color="auto" w:sz="4" w:space="0"/>
              <w:right w:val="single" w:color="auto" w:sz="4" w:space="0"/>
            </w:tcBorders>
            <w:vAlign w:val="center"/>
          </w:tcPr>
          <w:p w14:paraId="64C101FE">
            <w:pPr>
              <w:widowControl/>
              <w:spacing w:line="280" w:lineRule="exact"/>
              <w:rPr>
                <w:rFonts w:ascii="宋体" w:cs="宋体"/>
                <w:kern w:val="0"/>
                <w:szCs w:val="21"/>
              </w:rPr>
            </w:pPr>
            <w:r>
              <w:rPr>
                <w:rFonts w:hint="eastAsia" w:ascii="宋体" w:hAnsi="宋体" w:cs="宋体"/>
                <w:szCs w:val="21"/>
                <w:shd w:val="clear" w:color="auto" w:fill="FFFFFF"/>
              </w:rPr>
              <w:t>湖南省“绿色住建”发展规划</w:t>
            </w:r>
            <w:r>
              <w:rPr>
                <w:rFonts w:ascii="宋体" w:hAnsi="宋体" w:cs="宋体"/>
                <w:szCs w:val="21"/>
                <w:shd w:val="clear" w:color="auto" w:fill="FFFFFF"/>
              </w:rPr>
              <w:t>(2020-2025</w:t>
            </w:r>
            <w:r>
              <w:rPr>
                <w:rFonts w:hint="eastAsia" w:ascii="宋体" w:hAnsi="宋体" w:cs="宋体"/>
                <w:szCs w:val="21"/>
                <w:shd w:val="clear" w:color="auto" w:fill="FFFFFF"/>
              </w:rPr>
              <w:t>年</w:t>
            </w:r>
            <w:r>
              <w:rPr>
                <w:rFonts w:ascii="宋体" w:hAnsi="宋体" w:cs="宋体"/>
                <w:szCs w:val="21"/>
                <w:shd w:val="clear" w:color="auto" w:fill="FFFFFF"/>
              </w:rPr>
              <w:t>)</w:t>
            </w:r>
          </w:p>
        </w:tc>
        <w:tc>
          <w:tcPr>
            <w:tcW w:w="720" w:type="dxa"/>
            <w:tcBorders>
              <w:top w:val="single" w:color="auto" w:sz="4" w:space="0"/>
              <w:left w:val="nil"/>
              <w:bottom w:val="single" w:color="auto" w:sz="4" w:space="0"/>
              <w:right w:val="single" w:color="auto" w:sz="4" w:space="0"/>
            </w:tcBorders>
            <w:noWrap/>
            <w:vAlign w:val="center"/>
          </w:tcPr>
          <w:p w14:paraId="0D8477DF">
            <w:pPr>
              <w:widowControl/>
              <w:spacing w:line="280" w:lineRule="exact"/>
              <w:jc w:val="center"/>
              <w:rPr>
                <w:rFonts w:ascii="宋体" w:cs="宋体"/>
                <w:kern w:val="0"/>
                <w:szCs w:val="21"/>
              </w:rPr>
            </w:pPr>
            <w:r>
              <w:rPr>
                <w:rFonts w:hint="eastAsia" w:ascii="宋体" w:hAnsi="宋体" w:cs="宋体"/>
                <w:kern w:val="0"/>
                <w:szCs w:val="21"/>
              </w:rPr>
              <w:t>平米</w:t>
            </w:r>
            <w:r>
              <w:rPr>
                <w:rFonts w:ascii="宋体" w:hAnsi="宋体" w:cs="宋体"/>
                <w:kern w:val="0"/>
                <w:szCs w:val="21"/>
              </w:rPr>
              <w:t>/</w:t>
            </w:r>
            <w:r>
              <w:rPr>
                <w:rFonts w:hint="eastAsia" w:ascii="宋体" w:hAnsi="宋体" w:cs="宋体"/>
                <w:kern w:val="0"/>
                <w:szCs w:val="21"/>
              </w:rPr>
              <w:t>人</w:t>
            </w:r>
          </w:p>
        </w:tc>
        <w:tc>
          <w:tcPr>
            <w:tcW w:w="1080" w:type="dxa"/>
            <w:tcBorders>
              <w:top w:val="single" w:color="auto" w:sz="4" w:space="0"/>
              <w:left w:val="nil"/>
              <w:bottom w:val="single" w:color="auto" w:sz="4" w:space="0"/>
              <w:right w:val="single" w:color="auto" w:sz="4" w:space="0"/>
            </w:tcBorders>
            <w:noWrap/>
            <w:vAlign w:val="center"/>
          </w:tcPr>
          <w:p w14:paraId="6794F4D9">
            <w:pPr>
              <w:widowControl/>
              <w:spacing w:line="280" w:lineRule="exact"/>
              <w:jc w:val="right"/>
              <w:rPr>
                <w:rFonts w:ascii="宋体" w:cs="宋体"/>
                <w:kern w:val="0"/>
                <w:szCs w:val="21"/>
              </w:rPr>
            </w:pPr>
            <w:r>
              <w:rPr>
                <w:rFonts w:ascii="宋体" w:hAnsi="宋体" w:cs="宋体"/>
                <w:kern w:val="0"/>
                <w:szCs w:val="21"/>
              </w:rPr>
              <w:t>12.23</w:t>
            </w:r>
          </w:p>
        </w:tc>
        <w:tc>
          <w:tcPr>
            <w:tcW w:w="931" w:type="dxa"/>
            <w:tcBorders>
              <w:top w:val="single" w:color="auto" w:sz="4" w:space="0"/>
              <w:left w:val="nil"/>
              <w:bottom w:val="single" w:color="auto" w:sz="4" w:space="0"/>
              <w:right w:val="single" w:color="auto" w:sz="4" w:space="0"/>
            </w:tcBorders>
            <w:noWrap/>
            <w:vAlign w:val="center"/>
          </w:tcPr>
          <w:p w14:paraId="3BC35CED">
            <w:pPr>
              <w:widowControl/>
              <w:spacing w:line="280" w:lineRule="exact"/>
              <w:jc w:val="right"/>
              <w:rPr>
                <w:rFonts w:ascii="宋体" w:cs="宋体"/>
                <w:kern w:val="0"/>
                <w:szCs w:val="21"/>
              </w:rPr>
            </w:pPr>
            <w:r>
              <w:rPr>
                <w:rFonts w:ascii="宋体" w:hAnsi="宋体" w:cs="宋体"/>
                <w:kern w:val="0"/>
                <w:szCs w:val="21"/>
              </w:rPr>
              <w:t>13.00</w:t>
            </w:r>
          </w:p>
        </w:tc>
      </w:tr>
      <w:tr w14:paraId="08EDF502">
        <w:tblPrEx>
          <w:tblCellMar>
            <w:top w:w="0" w:type="dxa"/>
            <w:left w:w="108" w:type="dxa"/>
            <w:bottom w:w="0" w:type="dxa"/>
            <w:right w:w="108" w:type="dxa"/>
          </w:tblCellMar>
        </w:tblPrEx>
        <w:trPr>
          <w:trHeight w:val="435" w:hRule="atLeast"/>
        </w:trPr>
        <w:tc>
          <w:tcPr>
            <w:tcW w:w="754" w:type="dxa"/>
            <w:tcBorders>
              <w:top w:val="nil"/>
              <w:left w:val="single" w:color="auto" w:sz="4" w:space="0"/>
              <w:bottom w:val="single" w:color="auto" w:sz="4" w:space="0"/>
              <w:right w:val="single" w:color="auto" w:sz="4" w:space="0"/>
            </w:tcBorders>
            <w:noWrap/>
            <w:vAlign w:val="center"/>
          </w:tcPr>
          <w:p w14:paraId="3AABB6F9">
            <w:pPr>
              <w:widowControl/>
              <w:spacing w:line="280" w:lineRule="exact"/>
              <w:jc w:val="center"/>
              <w:rPr>
                <w:rFonts w:ascii="宋体" w:cs="宋体"/>
                <w:kern w:val="0"/>
                <w:szCs w:val="21"/>
              </w:rPr>
            </w:pPr>
            <w:r>
              <w:rPr>
                <w:rFonts w:ascii="宋体" w:hAnsi="宋体" w:cs="宋体"/>
                <w:kern w:val="0"/>
                <w:szCs w:val="21"/>
              </w:rPr>
              <w:t>2</w:t>
            </w:r>
          </w:p>
        </w:tc>
        <w:tc>
          <w:tcPr>
            <w:tcW w:w="2364" w:type="dxa"/>
            <w:gridSpan w:val="2"/>
            <w:tcBorders>
              <w:top w:val="nil"/>
              <w:left w:val="nil"/>
              <w:bottom w:val="single" w:color="auto" w:sz="4" w:space="0"/>
              <w:right w:val="single" w:color="auto" w:sz="4" w:space="0"/>
            </w:tcBorders>
            <w:noWrap/>
            <w:vAlign w:val="center"/>
          </w:tcPr>
          <w:p w14:paraId="036537D4">
            <w:pPr>
              <w:widowControl/>
              <w:spacing w:line="280" w:lineRule="exact"/>
              <w:rPr>
                <w:rFonts w:ascii="宋体" w:cs="宋体"/>
                <w:kern w:val="0"/>
                <w:szCs w:val="21"/>
              </w:rPr>
            </w:pPr>
            <w:r>
              <w:rPr>
                <w:rFonts w:hint="eastAsia" w:ascii="宋体" w:hAnsi="宋体" w:cs="宋体"/>
                <w:kern w:val="0"/>
                <w:szCs w:val="21"/>
              </w:rPr>
              <w:t>城市建成区绿地率</w:t>
            </w:r>
          </w:p>
        </w:tc>
        <w:tc>
          <w:tcPr>
            <w:tcW w:w="2580" w:type="dxa"/>
            <w:tcBorders>
              <w:top w:val="nil"/>
              <w:left w:val="nil"/>
              <w:bottom w:val="single" w:color="auto" w:sz="4" w:space="0"/>
              <w:right w:val="single" w:color="auto" w:sz="4" w:space="0"/>
            </w:tcBorders>
            <w:vAlign w:val="center"/>
          </w:tcPr>
          <w:p w14:paraId="625E57B8">
            <w:pPr>
              <w:widowControl/>
              <w:spacing w:line="280" w:lineRule="exact"/>
              <w:rPr>
                <w:rFonts w:ascii="宋体" w:cs="宋体"/>
                <w:kern w:val="0"/>
                <w:szCs w:val="21"/>
              </w:rPr>
            </w:pPr>
            <w:r>
              <w:rPr>
                <w:rFonts w:hint="eastAsia" w:ascii="宋体" w:hAnsi="宋体" w:cs="宋体"/>
                <w:kern w:val="0"/>
                <w:szCs w:val="21"/>
              </w:rPr>
              <w:t>湘潭市“十四五”新型城镇化规划</w:t>
            </w:r>
          </w:p>
        </w:tc>
        <w:tc>
          <w:tcPr>
            <w:tcW w:w="720" w:type="dxa"/>
            <w:tcBorders>
              <w:top w:val="nil"/>
              <w:left w:val="nil"/>
              <w:bottom w:val="single" w:color="auto" w:sz="4" w:space="0"/>
              <w:right w:val="single" w:color="auto" w:sz="4" w:space="0"/>
            </w:tcBorders>
            <w:noWrap/>
            <w:vAlign w:val="center"/>
          </w:tcPr>
          <w:p w14:paraId="58D05FF9">
            <w:pPr>
              <w:widowControl/>
              <w:spacing w:line="280" w:lineRule="exact"/>
              <w:jc w:val="center"/>
              <w:rPr>
                <w:rFonts w:ascii="宋体" w:cs="宋体"/>
                <w:kern w:val="0"/>
                <w:szCs w:val="21"/>
              </w:rPr>
            </w:pPr>
            <w:r>
              <w:rPr>
                <w:rFonts w:ascii="宋体" w:hAnsi="宋体" w:cs="宋体"/>
                <w:kern w:val="0"/>
                <w:szCs w:val="21"/>
              </w:rPr>
              <w:t>%</w:t>
            </w:r>
          </w:p>
        </w:tc>
        <w:tc>
          <w:tcPr>
            <w:tcW w:w="1080" w:type="dxa"/>
            <w:tcBorders>
              <w:top w:val="nil"/>
              <w:left w:val="nil"/>
              <w:bottom w:val="single" w:color="auto" w:sz="4" w:space="0"/>
              <w:right w:val="single" w:color="auto" w:sz="4" w:space="0"/>
            </w:tcBorders>
            <w:noWrap/>
            <w:vAlign w:val="center"/>
          </w:tcPr>
          <w:p w14:paraId="148A9319">
            <w:pPr>
              <w:widowControl/>
              <w:spacing w:line="280" w:lineRule="exact"/>
              <w:jc w:val="right"/>
              <w:rPr>
                <w:rFonts w:ascii="宋体" w:cs="宋体"/>
                <w:kern w:val="0"/>
                <w:szCs w:val="21"/>
              </w:rPr>
            </w:pPr>
            <w:r>
              <w:rPr>
                <w:rFonts w:ascii="宋体" w:hAnsi="宋体" w:cs="宋体"/>
                <w:kern w:val="0"/>
                <w:szCs w:val="21"/>
              </w:rPr>
              <w:t>38.88</w:t>
            </w:r>
          </w:p>
        </w:tc>
        <w:tc>
          <w:tcPr>
            <w:tcW w:w="931" w:type="dxa"/>
            <w:tcBorders>
              <w:top w:val="nil"/>
              <w:left w:val="nil"/>
              <w:bottom w:val="single" w:color="auto" w:sz="4" w:space="0"/>
              <w:right w:val="single" w:color="auto" w:sz="4" w:space="0"/>
            </w:tcBorders>
            <w:noWrap/>
            <w:vAlign w:val="center"/>
          </w:tcPr>
          <w:p w14:paraId="1D202439">
            <w:pPr>
              <w:widowControl/>
              <w:spacing w:line="280" w:lineRule="exact"/>
              <w:jc w:val="right"/>
              <w:rPr>
                <w:rFonts w:ascii="宋体" w:cs="宋体"/>
                <w:kern w:val="0"/>
                <w:szCs w:val="21"/>
              </w:rPr>
            </w:pPr>
            <w:r>
              <w:rPr>
                <w:rFonts w:ascii="宋体" w:hAnsi="宋体" w:cs="宋体"/>
                <w:kern w:val="0"/>
                <w:szCs w:val="21"/>
              </w:rPr>
              <w:t>39.00</w:t>
            </w:r>
          </w:p>
        </w:tc>
      </w:tr>
      <w:tr w14:paraId="02AE355A">
        <w:tblPrEx>
          <w:tblCellMar>
            <w:top w:w="0" w:type="dxa"/>
            <w:left w:w="108" w:type="dxa"/>
            <w:bottom w:w="0" w:type="dxa"/>
            <w:right w:w="108" w:type="dxa"/>
          </w:tblCellMar>
        </w:tblPrEx>
        <w:trPr>
          <w:trHeight w:val="435" w:hRule="atLeast"/>
        </w:trPr>
        <w:tc>
          <w:tcPr>
            <w:tcW w:w="754" w:type="dxa"/>
            <w:tcBorders>
              <w:top w:val="nil"/>
              <w:left w:val="single" w:color="auto" w:sz="4" w:space="0"/>
              <w:bottom w:val="single" w:color="auto" w:sz="4" w:space="0"/>
              <w:right w:val="single" w:color="auto" w:sz="4" w:space="0"/>
            </w:tcBorders>
            <w:noWrap/>
            <w:vAlign w:val="center"/>
          </w:tcPr>
          <w:p w14:paraId="72EC735C">
            <w:pPr>
              <w:widowControl/>
              <w:spacing w:line="280" w:lineRule="exact"/>
              <w:jc w:val="center"/>
              <w:rPr>
                <w:rFonts w:ascii="宋体" w:cs="宋体"/>
                <w:kern w:val="0"/>
                <w:szCs w:val="21"/>
              </w:rPr>
            </w:pPr>
            <w:r>
              <w:rPr>
                <w:rFonts w:ascii="宋体" w:hAnsi="宋体" w:cs="宋体"/>
                <w:kern w:val="0"/>
                <w:szCs w:val="21"/>
              </w:rPr>
              <w:t>3</w:t>
            </w:r>
          </w:p>
        </w:tc>
        <w:tc>
          <w:tcPr>
            <w:tcW w:w="2364" w:type="dxa"/>
            <w:gridSpan w:val="2"/>
            <w:tcBorders>
              <w:top w:val="nil"/>
              <w:left w:val="nil"/>
              <w:bottom w:val="single" w:color="auto" w:sz="4" w:space="0"/>
              <w:right w:val="single" w:color="auto" w:sz="4" w:space="0"/>
            </w:tcBorders>
            <w:noWrap/>
            <w:vAlign w:val="center"/>
          </w:tcPr>
          <w:p w14:paraId="56F06E87">
            <w:pPr>
              <w:widowControl/>
              <w:spacing w:line="280" w:lineRule="exact"/>
              <w:rPr>
                <w:rFonts w:ascii="宋体" w:cs="宋体"/>
                <w:spacing w:val="-11"/>
                <w:kern w:val="0"/>
                <w:szCs w:val="21"/>
              </w:rPr>
            </w:pPr>
            <w:r>
              <w:rPr>
                <w:rFonts w:hint="eastAsia" w:ascii="宋体" w:hAnsi="宋体" w:cs="宋体"/>
                <w:spacing w:val="-11"/>
                <w:kern w:val="0"/>
                <w:szCs w:val="21"/>
              </w:rPr>
              <w:t>旧城区人均公园绿地面积</w:t>
            </w:r>
          </w:p>
        </w:tc>
        <w:tc>
          <w:tcPr>
            <w:tcW w:w="2580" w:type="dxa"/>
            <w:tcBorders>
              <w:top w:val="nil"/>
              <w:left w:val="nil"/>
              <w:bottom w:val="single" w:color="auto" w:sz="4" w:space="0"/>
              <w:right w:val="single" w:color="auto" w:sz="4" w:space="0"/>
            </w:tcBorders>
            <w:vAlign w:val="center"/>
          </w:tcPr>
          <w:p w14:paraId="7565946E">
            <w:pPr>
              <w:widowControl/>
              <w:spacing w:line="280" w:lineRule="exact"/>
              <w:rPr>
                <w:rFonts w:ascii="宋体" w:cs="宋体"/>
                <w:kern w:val="0"/>
                <w:szCs w:val="21"/>
              </w:rPr>
            </w:pPr>
            <w:r>
              <w:rPr>
                <w:rFonts w:hint="eastAsia" w:ascii="宋体" w:hAnsi="宋体" w:cs="宋体"/>
                <w:kern w:val="0"/>
                <w:szCs w:val="21"/>
              </w:rPr>
              <w:t>湘潭市“十四五”新型城镇化规划</w:t>
            </w:r>
          </w:p>
        </w:tc>
        <w:tc>
          <w:tcPr>
            <w:tcW w:w="720" w:type="dxa"/>
            <w:tcBorders>
              <w:top w:val="nil"/>
              <w:left w:val="nil"/>
              <w:bottom w:val="single" w:color="auto" w:sz="4" w:space="0"/>
              <w:right w:val="single" w:color="auto" w:sz="4" w:space="0"/>
            </w:tcBorders>
            <w:noWrap/>
            <w:vAlign w:val="center"/>
          </w:tcPr>
          <w:p w14:paraId="15DC44C9">
            <w:pPr>
              <w:widowControl/>
              <w:spacing w:line="280" w:lineRule="exact"/>
              <w:jc w:val="center"/>
              <w:rPr>
                <w:rFonts w:ascii="宋体" w:cs="宋体"/>
                <w:kern w:val="0"/>
                <w:szCs w:val="21"/>
              </w:rPr>
            </w:pPr>
            <w:r>
              <w:rPr>
                <w:rFonts w:hint="eastAsia" w:ascii="宋体" w:hAnsi="宋体" w:cs="宋体"/>
                <w:kern w:val="0"/>
                <w:szCs w:val="21"/>
              </w:rPr>
              <w:t>平米</w:t>
            </w:r>
            <w:r>
              <w:rPr>
                <w:rFonts w:ascii="宋体" w:hAnsi="宋体" w:cs="宋体"/>
                <w:kern w:val="0"/>
                <w:szCs w:val="21"/>
              </w:rPr>
              <w:t>/</w:t>
            </w:r>
            <w:r>
              <w:rPr>
                <w:rFonts w:hint="eastAsia" w:ascii="宋体" w:hAnsi="宋体" w:cs="宋体"/>
                <w:kern w:val="0"/>
                <w:szCs w:val="21"/>
              </w:rPr>
              <w:t>人</w:t>
            </w:r>
          </w:p>
        </w:tc>
        <w:tc>
          <w:tcPr>
            <w:tcW w:w="1080" w:type="dxa"/>
            <w:tcBorders>
              <w:top w:val="nil"/>
              <w:left w:val="nil"/>
              <w:bottom w:val="single" w:color="auto" w:sz="4" w:space="0"/>
              <w:right w:val="single" w:color="auto" w:sz="4" w:space="0"/>
            </w:tcBorders>
            <w:noWrap/>
            <w:vAlign w:val="center"/>
          </w:tcPr>
          <w:p w14:paraId="25FCB685">
            <w:pPr>
              <w:widowControl/>
              <w:spacing w:line="280" w:lineRule="exact"/>
              <w:jc w:val="right"/>
              <w:rPr>
                <w:rFonts w:ascii="宋体" w:cs="宋体"/>
                <w:kern w:val="0"/>
                <w:szCs w:val="21"/>
              </w:rPr>
            </w:pPr>
            <w:r>
              <w:rPr>
                <w:rFonts w:ascii="宋体" w:hAnsi="宋体" w:cs="宋体"/>
                <w:kern w:val="0"/>
                <w:szCs w:val="21"/>
              </w:rPr>
              <w:t>5.20</w:t>
            </w:r>
          </w:p>
        </w:tc>
        <w:tc>
          <w:tcPr>
            <w:tcW w:w="931" w:type="dxa"/>
            <w:tcBorders>
              <w:top w:val="nil"/>
              <w:left w:val="nil"/>
              <w:bottom w:val="single" w:color="auto" w:sz="4" w:space="0"/>
              <w:right w:val="single" w:color="auto" w:sz="4" w:space="0"/>
            </w:tcBorders>
            <w:noWrap/>
            <w:vAlign w:val="center"/>
          </w:tcPr>
          <w:p w14:paraId="5027C8BB">
            <w:pPr>
              <w:widowControl/>
              <w:spacing w:line="280" w:lineRule="exact"/>
              <w:jc w:val="right"/>
              <w:rPr>
                <w:rFonts w:ascii="宋体" w:cs="宋体"/>
                <w:kern w:val="0"/>
                <w:szCs w:val="21"/>
              </w:rPr>
            </w:pPr>
            <w:r>
              <w:rPr>
                <w:rFonts w:ascii="宋体" w:hAnsi="宋体" w:cs="宋体"/>
                <w:kern w:val="0"/>
                <w:szCs w:val="21"/>
              </w:rPr>
              <w:t>5.50</w:t>
            </w:r>
          </w:p>
        </w:tc>
      </w:tr>
      <w:tr w14:paraId="789931CD">
        <w:tblPrEx>
          <w:tblCellMar>
            <w:top w:w="0" w:type="dxa"/>
            <w:left w:w="108" w:type="dxa"/>
            <w:bottom w:w="0" w:type="dxa"/>
            <w:right w:w="108" w:type="dxa"/>
          </w:tblCellMar>
        </w:tblPrEx>
        <w:trPr>
          <w:trHeight w:val="752" w:hRule="atLeast"/>
        </w:trPr>
        <w:tc>
          <w:tcPr>
            <w:tcW w:w="754" w:type="dxa"/>
            <w:tcBorders>
              <w:top w:val="nil"/>
              <w:left w:val="single" w:color="auto" w:sz="4" w:space="0"/>
              <w:bottom w:val="single" w:color="auto" w:sz="4" w:space="0"/>
              <w:right w:val="single" w:color="auto" w:sz="4" w:space="0"/>
            </w:tcBorders>
            <w:noWrap/>
            <w:vAlign w:val="center"/>
          </w:tcPr>
          <w:p w14:paraId="6E2082F7">
            <w:pPr>
              <w:widowControl/>
              <w:spacing w:line="280" w:lineRule="exact"/>
              <w:jc w:val="center"/>
              <w:rPr>
                <w:rFonts w:ascii="宋体" w:cs="宋体"/>
                <w:kern w:val="0"/>
                <w:szCs w:val="21"/>
              </w:rPr>
            </w:pPr>
            <w:r>
              <w:rPr>
                <w:rFonts w:ascii="宋体" w:hAnsi="宋体" w:cs="宋体"/>
                <w:kern w:val="0"/>
                <w:szCs w:val="21"/>
              </w:rPr>
              <w:t>4</w:t>
            </w:r>
          </w:p>
        </w:tc>
        <w:tc>
          <w:tcPr>
            <w:tcW w:w="2364" w:type="dxa"/>
            <w:gridSpan w:val="2"/>
            <w:tcBorders>
              <w:top w:val="nil"/>
              <w:left w:val="nil"/>
              <w:bottom w:val="single" w:color="auto" w:sz="4" w:space="0"/>
              <w:right w:val="single" w:color="auto" w:sz="4" w:space="0"/>
            </w:tcBorders>
            <w:noWrap/>
            <w:vAlign w:val="center"/>
          </w:tcPr>
          <w:p w14:paraId="5EF7FADC">
            <w:pPr>
              <w:widowControl/>
              <w:spacing w:line="280" w:lineRule="exact"/>
              <w:rPr>
                <w:rFonts w:ascii="宋体" w:cs="宋体"/>
                <w:spacing w:val="-11"/>
                <w:kern w:val="0"/>
                <w:szCs w:val="21"/>
              </w:rPr>
            </w:pPr>
            <w:r>
              <w:rPr>
                <w:rFonts w:hint="eastAsia" w:ascii="宋体" w:hAnsi="宋体" w:cs="宋体"/>
                <w:spacing w:val="-11"/>
                <w:szCs w:val="21"/>
              </w:rPr>
              <w:t>公园绿地服务半径覆盖率</w:t>
            </w:r>
          </w:p>
        </w:tc>
        <w:tc>
          <w:tcPr>
            <w:tcW w:w="2580" w:type="dxa"/>
            <w:tcBorders>
              <w:top w:val="nil"/>
              <w:left w:val="nil"/>
              <w:bottom w:val="single" w:color="auto" w:sz="4" w:space="0"/>
              <w:right w:val="single" w:color="auto" w:sz="4" w:space="0"/>
            </w:tcBorders>
            <w:vAlign w:val="center"/>
          </w:tcPr>
          <w:p w14:paraId="5F583F1C">
            <w:pPr>
              <w:widowControl/>
              <w:spacing w:line="280" w:lineRule="exact"/>
              <w:rPr>
                <w:rFonts w:ascii="宋体" w:cs="宋体"/>
                <w:kern w:val="0"/>
                <w:szCs w:val="21"/>
              </w:rPr>
            </w:pPr>
            <w:r>
              <w:rPr>
                <w:rFonts w:hint="eastAsia" w:ascii="宋体" w:hAnsi="宋体" w:cs="宋体"/>
                <w:szCs w:val="21"/>
              </w:rPr>
              <w:t>湘潭市“十四五”城市市政基础设施建设规划目标</w:t>
            </w:r>
          </w:p>
        </w:tc>
        <w:tc>
          <w:tcPr>
            <w:tcW w:w="720" w:type="dxa"/>
            <w:tcBorders>
              <w:top w:val="nil"/>
              <w:left w:val="nil"/>
              <w:bottom w:val="single" w:color="auto" w:sz="4" w:space="0"/>
              <w:right w:val="single" w:color="auto" w:sz="4" w:space="0"/>
            </w:tcBorders>
            <w:noWrap/>
            <w:vAlign w:val="center"/>
          </w:tcPr>
          <w:p w14:paraId="6297E08A">
            <w:pPr>
              <w:widowControl/>
              <w:spacing w:line="280" w:lineRule="exact"/>
              <w:jc w:val="center"/>
              <w:rPr>
                <w:rFonts w:ascii="宋体" w:cs="宋体"/>
                <w:kern w:val="0"/>
                <w:szCs w:val="21"/>
              </w:rPr>
            </w:pPr>
            <w:r>
              <w:rPr>
                <w:rFonts w:ascii="宋体" w:hAnsi="宋体" w:cs="宋体"/>
                <w:kern w:val="0"/>
                <w:szCs w:val="21"/>
              </w:rPr>
              <w:t>%</w:t>
            </w:r>
          </w:p>
        </w:tc>
        <w:tc>
          <w:tcPr>
            <w:tcW w:w="1080" w:type="dxa"/>
            <w:tcBorders>
              <w:top w:val="nil"/>
              <w:left w:val="nil"/>
              <w:bottom w:val="single" w:color="auto" w:sz="4" w:space="0"/>
              <w:right w:val="single" w:color="auto" w:sz="4" w:space="0"/>
            </w:tcBorders>
            <w:noWrap/>
            <w:vAlign w:val="center"/>
          </w:tcPr>
          <w:p w14:paraId="4C1823C3">
            <w:pPr>
              <w:widowControl/>
              <w:spacing w:line="280" w:lineRule="exact"/>
              <w:jc w:val="right"/>
              <w:rPr>
                <w:rFonts w:ascii="宋体" w:cs="宋体"/>
                <w:kern w:val="0"/>
                <w:szCs w:val="21"/>
              </w:rPr>
            </w:pPr>
            <w:r>
              <w:rPr>
                <w:rFonts w:hint="eastAsia" w:ascii="宋体" w:cs="宋体"/>
                <w:kern w:val="0"/>
                <w:szCs w:val="21"/>
              </w:rPr>
              <w:t>82.00</w:t>
            </w:r>
          </w:p>
        </w:tc>
        <w:tc>
          <w:tcPr>
            <w:tcW w:w="931" w:type="dxa"/>
            <w:tcBorders>
              <w:top w:val="nil"/>
              <w:left w:val="nil"/>
              <w:bottom w:val="single" w:color="auto" w:sz="4" w:space="0"/>
              <w:right w:val="single" w:color="auto" w:sz="4" w:space="0"/>
            </w:tcBorders>
            <w:noWrap/>
            <w:vAlign w:val="center"/>
          </w:tcPr>
          <w:p w14:paraId="5B4E88ED">
            <w:pPr>
              <w:widowControl/>
              <w:spacing w:line="280" w:lineRule="exact"/>
              <w:jc w:val="right"/>
              <w:rPr>
                <w:rFonts w:ascii="宋体" w:cs="宋体"/>
                <w:kern w:val="0"/>
                <w:szCs w:val="21"/>
              </w:rPr>
            </w:pPr>
            <w:r>
              <w:rPr>
                <w:rFonts w:hint="eastAsia" w:ascii="宋体" w:hAnsi="宋体" w:cs="宋体"/>
                <w:kern w:val="0"/>
                <w:szCs w:val="21"/>
              </w:rPr>
              <w:t>82.00</w:t>
            </w:r>
          </w:p>
        </w:tc>
      </w:tr>
      <w:tr w14:paraId="7E5E23A0">
        <w:tblPrEx>
          <w:tblCellMar>
            <w:top w:w="0" w:type="dxa"/>
            <w:left w:w="108" w:type="dxa"/>
            <w:bottom w:w="0" w:type="dxa"/>
            <w:right w:w="108" w:type="dxa"/>
          </w:tblCellMar>
        </w:tblPrEx>
        <w:trPr>
          <w:trHeight w:val="588" w:hRule="atLeast"/>
        </w:trPr>
        <w:tc>
          <w:tcPr>
            <w:tcW w:w="754" w:type="dxa"/>
            <w:vMerge w:val="restart"/>
            <w:tcBorders>
              <w:top w:val="nil"/>
              <w:left w:val="single" w:color="auto" w:sz="4" w:space="0"/>
              <w:right w:val="single" w:color="auto" w:sz="4" w:space="0"/>
            </w:tcBorders>
            <w:noWrap/>
            <w:vAlign w:val="center"/>
          </w:tcPr>
          <w:p w14:paraId="5D227C37">
            <w:pPr>
              <w:widowControl/>
              <w:spacing w:line="280" w:lineRule="exact"/>
              <w:jc w:val="center"/>
              <w:rPr>
                <w:rFonts w:ascii="宋体" w:cs="宋体"/>
                <w:kern w:val="0"/>
                <w:szCs w:val="21"/>
              </w:rPr>
            </w:pPr>
            <w:r>
              <w:rPr>
                <w:rFonts w:ascii="宋体" w:hAnsi="宋体" w:cs="宋体"/>
                <w:kern w:val="0"/>
                <w:szCs w:val="21"/>
              </w:rPr>
              <w:t>5</w:t>
            </w:r>
          </w:p>
        </w:tc>
        <w:tc>
          <w:tcPr>
            <w:tcW w:w="1116" w:type="dxa"/>
            <w:vMerge w:val="restart"/>
            <w:tcBorders>
              <w:top w:val="nil"/>
              <w:left w:val="nil"/>
              <w:right w:val="single" w:color="auto" w:sz="4" w:space="0"/>
            </w:tcBorders>
            <w:noWrap/>
            <w:vAlign w:val="center"/>
          </w:tcPr>
          <w:p w14:paraId="1C2957A0">
            <w:pPr>
              <w:widowControl/>
              <w:spacing w:line="280" w:lineRule="exact"/>
              <w:jc w:val="left"/>
              <w:rPr>
                <w:rFonts w:ascii="宋体" w:cs="宋体"/>
                <w:kern w:val="0"/>
                <w:szCs w:val="21"/>
              </w:rPr>
            </w:pPr>
            <w:r>
              <w:rPr>
                <w:rFonts w:hint="eastAsia" w:ascii="宋体" w:hAnsi="宋体" w:cs="宋体"/>
                <w:kern w:val="0"/>
                <w:szCs w:val="21"/>
              </w:rPr>
              <w:t>照明设施明亮率</w:t>
            </w:r>
          </w:p>
        </w:tc>
        <w:tc>
          <w:tcPr>
            <w:tcW w:w="1248" w:type="dxa"/>
            <w:tcBorders>
              <w:top w:val="nil"/>
              <w:left w:val="single" w:color="auto" w:sz="4" w:space="0"/>
              <w:bottom w:val="single" w:color="auto" w:sz="4" w:space="0"/>
              <w:right w:val="single" w:color="auto" w:sz="4" w:space="0"/>
            </w:tcBorders>
            <w:noWrap/>
            <w:vAlign w:val="center"/>
          </w:tcPr>
          <w:p w14:paraId="7F266398">
            <w:pPr>
              <w:widowControl/>
              <w:spacing w:line="280" w:lineRule="exact"/>
              <w:rPr>
                <w:rFonts w:ascii="宋体" w:cs="宋体"/>
                <w:kern w:val="0"/>
                <w:szCs w:val="21"/>
              </w:rPr>
            </w:pPr>
            <w:r>
              <w:rPr>
                <w:rFonts w:hint="eastAsia" w:ascii="宋体" w:hAnsi="宋体" w:cs="宋体"/>
                <w:kern w:val="0"/>
                <w:szCs w:val="21"/>
              </w:rPr>
              <w:t>主干道</w:t>
            </w:r>
          </w:p>
        </w:tc>
        <w:tc>
          <w:tcPr>
            <w:tcW w:w="2580" w:type="dxa"/>
            <w:vMerge w:val="restart"/>
            <w:tcBorders>
              <w:top w:val="nil"/>
              <w:left w:val="nil"/>
              <w:right w:val="single" w:color="auto" w:sz="4" w:space="0"/>
            </w:tcBorders>
            <w:vAlign w:val="center"/>
          </w:tcPr>
          <w:p w14:paraId="2B98D743">
            <w:pPr>
              <w:widowControl/>
              <w:spacing w:line="280" w:lineRule="exact"/>
              <w:rPr>
                <w:rFonts w:ascii="宋体" w:cs="宋体"/>
                <w:kern w:val="0"/>
                <w:szCs w:val="21"/>
              </w:rPr>
            </w:pPr>
            <w:r>
              <w:rPr>
                <w:rFonts w:hint="eastAsia" w:ascii="宋体" w:hAnsi="宋体" w:cs="宋体"/>
                <w:szCs w:val="21"/>
              </w:rPr>
              <w:t>参照湖南省照明设施维护标准和市城管执法局实际</w:t>
            </w:r>
          </w:p>
        </w:tc>
        <w:tc>
          <w:tcPr>
            <w:tcW w:w="720" w:type="dxa"/>
            <w:vMerge w:val="restart"/>
            <w:tcBorders>
              <w:top w:val="nil"/>
              <w:left w:val="nil"/>
              <w:right w:val="single" w:color="auto" w:sz="4" w:space="0"/>
            </w:tcBorders>
            <w:noWrap/>
            <w:vAlign w:val="center"/>
          </w:tcPr>
          <w:p w14:paraId="458DC129">
            <w:pPr>
              <w:widowControl/>
              <w:spacing w:line="280" w:lineRule="exact"/>
              <w:jc w:val="center"/>
              <w:rPr>
                <w:rFonts w:ascii="宋体" w:cs="宋体"/>
                <w:kern w:val="0"/>
                <w:szCs w:val="21"/>
              </w:rPr>
            </w:pPr>
            <w:r>
              <w:rPr>
                <w:rFonts w:ascii="宋体" w:hAnsi="宋体" w:cs="宋体"/>
                <w:kern w:val="0"/>
                <w:szCs w:val="21"/>
              </w:rPr>
              <w:t>%</w:t>
            </w:r>
          </w:p>
        </w:tc>
        <w:tc>
          <w:tcPr>
            <w:tcW w:w="1080" w:type="dxa"/>
            <w:tcBorders>
              <w:top w:val="nil"/>
              <w:left w:val="nil"/>
              <w:bottom w:val="single" w:color="auto" w:sz="4" w:space="0"/>
              <w:right w:val="single" w:color="auto" w:sz="4" w:space="0"/>
            </w:tcBorders>
            <w:noWrap/>
            <w:vAlign w:val="center"/>
          </w:tcPr>
          <w:p w14:paraId="0F9FC1A0">
            <w:pPr>
              <w:widowControl/>
              <w:spacing w:line="280" w:lineRule="exact"/>
              <w:jc w:val="right"/>
              <w:rPr>
                <w:rFonts w:ascii="宋体" w:cs="宋体"/>
                <w:kern w:val="0"/>
                <w:szCs w:val="21"/>
              </w:rPr>
            </w:pPr>
            <w:r>
              <w:rPr>
                <w:rFonts w:ascii="宋体" w:hAnsi="宋体" w:cs="宋体"/>
                <w:kern w:val="0"/>
                <w:szCs w:val="21"/>
              </w:rPr>
              <w:t>98.00</w:t>
            </w:r>
          </w:p>
        </w:tc>
        <w:tc>
          <w:tcPr>
            <w:tcW w:w="931" w:type="dxa"/>
            <w:tcBorders>
              <w:top w:val="nil"/>
              <w:left w:val="nil"/>
              <w:bottom w:val="single" w:color="auto" w:sz="4" w:space="0"/>
              <w:right w:val="single" w:color="auto" w:sz="4" w:space="0"/>
            </w:tcBorders>
            <w:noWrap/>
            <w:vAlign w:val="center"/>
          </w:tcPr>
          <w:p w14:paraId="7D1313F8">
            <w:pPr>
              <w:widowControl/>
              <w:spacing w:line="280" w:lineRule="exact"/>
              <w:jc w:val="right"/>
              <w:rPr>
                <w:rFonts w:ascii="宋体" w:cs="宋体"/>
                <w:kern w:val="0"/>
                <w:szCs w:val="21"/>
              </w:rPr>
            </w:pPr>
            <w:r>
              <w:rPr>
                <w:rFonts w:ascii="宋体" w:hAnsi="宋体" w:cs="宋体"/>
                <w:kern w:val="0"/>
                <w:szCs w:val="21"/>
              </w:rPr>
              <w:t>98.00</w:t>
            </w:r>
          </w:p>
        </w:tc>
      </w:tr>
      <w:tr w14:paraId="1F75A688">
        <w:tblPrEx>
          <w:tblCellMar>
            <w:top w:w="0" w:type="dxa"/>
            <w:left w:w="108" w:type="dxa"/>
            <w:bottom w:w="0" w:type="dxa"/>
            <w:right w:w="108" w:type="dxa"/>
          </w:tblCellMar>
        </w:tblPrEx>
        <w:trPr>
          <w:trHeight w:val="564" w:hRule="atLeast"/>
        </w:trPr>
        <w:tc>
          <w:tcPr>
            <w:tcW w:w="754" w:type="dxa"/>
            <w:vMerge w:val="continue"/>
            <w:tcBorders>
              <w:left w:val="single" w:color="auto" w:sz="4" w:space="0"/>
              <w:bottom w:val="single" w:color="auto" w:sz="4" w:space="0"/>
              <w:right w:val="single" w:color="auto" w:sz="4" w:space="0"/>
            </w:tcBorders>
            <w:noWrap/>
            <w:vAlign w:val="center"/>
          </w:tcPr>
          <w:p w14:paraId="727DFE82">
            <w:pPr>
              <w:widowControl/>
              <w:spacing w:line="280" w:lineRule="exact"/>
              <w:jc w:val="center"/>
              <w:rPr>
                <w:rFonts w:ascii="宋体" w:cs="宋体"/>
                <w:kern w:val="0"/>
                <w:szCs w:val="21"/>
              </w:rPr>
            </w:pPr>
          </w:p>
        </w:tc>
        <w:tc>
          <w:tcPr>
            <w:tcW w:w="1116" w:type="dxa"/>
            <w:vMerge w:val="continue"/>
            <w:tcBorders>
              <w:left w:val="nil"/>
              <w:bottom w:val="single" w:color="auto" w:sz="4" w:space="0"/>
              <w:right w:val="single" w:color="auto" w:sz="4" w:space="0"/>
            </w:tcBorders>
            <w:noWrap/>
            <w:vAlign w:val="center"/>
          </w:tcPr>
          <w:p w14:paraId="3CE202A5">
            <w:pPr>
              <w:widowControl/>
              <w:spacing w:line="280" w:lineRule="exact"/>
              <w:rPr>
                <w:rFonts w:ascii="宋体" w:cs="宋体"/>
                <w:kern w:val="0"/>
                <w:szCs w:val="21"/>
              </w:rPr>
            </w:pPr>
          </w:p>
        </w:tc>
        <w:tc>
          <w:tcPr>
            <w:tcW w:w="1248" w:type="dxa"/>
            <w:tcBorders>
              <w:top w:val="single" w:color="auto" w:sz="4" w:space="0"/>
              <w:left w:val="single" w:color="auto" w:sz="4" w:space="0"/>
              <w:bottom w:val="single" w:color="auto" w:sz="4" w:space="0"/>
              <w:right w:val="single" w:color="auto" w:sz="4" w:space="0"/>
            </w:tcBorders>
            <w:noWrap/>
            <w:vAlign w:val="center"/>
          </w:tcPr>
          <w:p w14:paraId="23330667">
            <w:pPr>
              <w:widowControl/>
              <w:spacing w:line="280" w:lineRule="exact"/>
              <w:jc w:val="left"/>
              <w:rPr>
                <w:rFonts w:ascii="宋体" w:cs="宋体"/>
                <w:kern w:val="0"/>
                <w:szCs w:val="21"/>
              </w:rPr>
            </w:pPr>
            <w:r>
              <w:rPr>
                <w:rFonts w:hint="eastAsia" w:ascii="宋体" w:hAnsi="宋体" w:cs="宋体"/>
                <w:spacing w:val="-6"/>
                <w:kern w:val="0"/>
                <w:szCs w:val="21"/>
              </w:rPr>
              <w:t>次干道支路</w:t>
            </w:r>
          </w:p>
        </w:tc>
        <w:tc>
          <w:tcPr>
            <w:tcW w:w="2580" w:type="dxa"/>
            <w:vMerge w:val="continue"/>
            <w:tcBorders>
              <w:left w:val="nil"/>
              <w:bottom w:val="single" w:color="auto" w:sz="4" w:space="0"/>
              <w:right w:val="single" w:color="auto" w:sz="4" w:space="0"/>
            </w:tcBorders>
            <w:vAlign w:val="center"/>
          </w:tcPr>
          <w:p w14:paraId="24C41290">
            <w:pPr>
              <w:widowControl/>
              <w:spacing w:line="280" w:lineRule="exact"/>
              <w:rPr>
                <w:rFonts w:ascii="宋体" w:cs="宋体"/>
                <w:szCs w:val="21"/>
              </w:rPr>
            </w:pPr>
          </w:p>
        </w:tc>
        <w:tc>
          <w:tcPr>
            <w:tcW w:w="720" w:type="dxa"/>
            <w:vMerge w:val="continue"/>
            <w:tcBorders>
              <w:left w:val="nil"/>
              <w:bottom w:val="single" w:color="auto" w:sz="4" w:space="0"/>
              <w:right w:val="single" w:color="auto" w:sz="4" w:space="0"/>
            </w:tcBorders>
            <w:noWrap/>
            <w:vAlign w:val="center"/>
          </w:tcPr>
          <w:p w14:paraId="011178C0">
            <w:pPr>
              <w:widowControl/>
              <w:spacing w:line="280" w:lineRule="exact"/>
              <w:jc w:val="center"/>
              <w:rPr>
                <w:rFonts w:ascii="宋体" w:cs="宋体"/>
                <w:kern w:val="0"/>
                <w:szCs w:val="21"/>
              </w:rPr>
            </w:pPr>
          </w:p>
        </w:tc>
        <w:tc>
          <w:tcPr>
            <w:tcW w:w="1080" w:type="dxa"/>
            <w:tcBorders>
              <w:top w:val="nil"/>
              <w:left w:val="nil"/>
              <w:bottom w:val="single" w:color="auto" w:sz="4" w:space="0"/>
              <w:right w:val="single" w:color="auto" w:sz="4" w:space="0"/>
            </w:tcBorders>
            <w:noWrap/>
            <w:vAlign w:val="center"/>
          </w:tcPr>
          <w:p w14:paraId="7698610F">
            <w:pPr>
              <w:widowControl/>
              <w:spacing w:line="280" w:lineRule="exact"/>
              <w:jc w:val="right"/>
              <w:rPr>
                <w:rFonts w:ascii="宋体" w:cs="宋体"/>
                <w:kern w:val="0"/>
                <w:szCs w:val="21"/>
              </w:rPr>
            </w:pPr>
            <w:r>
              <w:rPr>
                <w:rFonts w:ascii="宋体" w:hAnsi="宋体" w:cs="宋体"/>
                <w:kern w:val="0"/>
                <w:szCs w:val="21"/>
              </w:rPr>
              <w:t>96.00</w:t>
            </w:r>
          </w:p>
        </w:tc>
        <w:tc>
          <w:tcPr>
            <w:tcW w:w="931" w:type="dxa"/>
            <w:tcBorders>
              <w:top w:val="nil"/>
              <w:left w:val="nil"/>
              <w:bottom w:val="single" w:color="auto" w:sz="4" w:space="0"/>
              <w:right w:val="single" w:color="auto" w:sz="4" w:space="0"/>
            </w:tcBorders>
            <w:noWrap/>
            <w:vAlign w:val="center"/>
          </w:tcPr>
          <w:p w14:paraId="05DF9533">
            <w:pPr>
              <w:widowControl/>
              <w:spacing w:line="280" w:lineRule="exact"/>
              <w:jc w:val="right"/>
              <w:rPr>
                <w:rFonts w:ascii="宋体" w:cs="宋体"/>
                <w:kern w:val="0"/>
                <w:szCs w:val="21"/>
              </w:rPr>
            </w:pPr>
            <w:r>
              <w:rPr>
                <w:rFonts w:ascii="宋体" w:hAnsi="宋体" w:cs="宋体"/>
                <w:kern w:val="0"/>
                <w:szCs w:val="21"/>
              </w:rPr>
              <w:t>96.00</w:t>
            </w:r>
          </w:p>
        </w:tc>
      </w:tr>
      <w:tr w14:paraId="46851F9F">
        <w:tblPrEx>
          <w:tblCellMar>
            <w:top w:w="0" w:type="dxa"/>
            <w:left w:w="108" w:type="dxa"/>
            <w:bottom w:w="0" w:type="dxa"/>
            <w:right w:w="108" w:type="dxa"/>
          </w:tblCellMar>
        </w:tblPrEx>
        <w:trPr>
          <w:trHeight w:val="684" w:hRule="atLeast"/>
        </w:trPr>
        <w:tc>
          <w:tcPr>
            <w:tcW w:w="754" w:type="dxa"/>
            <w:tcBorders>
              <w:top w:val="nil"/>
              <w:left w:val="single" w:color="auto" w:sz="4" w:space="0"/>
              <w:bottom w:val="single" w:color="auto" w:sz="4" w:space="0"/>
              <w:right w:val="single" w:color="auto" w:sz="4" w:space="0"/>
            </w:tcBorders>
            <w:noWrap/>
            <w:vAlign w:val="center"/>
          </w:tcPr>
          <w:p w14:paraId="7FBBF078">
            <w:pPr>
              <w:widowControl/>
              <w:spacing w:line="280" w:lineRule="exact"/>
              <w:jc w:val="center"/>
              <w:rPr>
                <w:rFonts w:ascii="宋体" w:cs="宋体"/>
                <w:kern w:val="0"/>
                <w:szCs w:val="21"/>
              </w:rPr>
            </w:pPr>
            <w:r>
              <w:rPr>
                <w:rFonts w:ascii="宋体" w:hAnsi="宋体" w:cs="宋体"/>
                <w:kern w:val="0"/>
                <w:szCs w:val="21"/>
              </w:rPr>
              <w:t>6</w:t>
            </w:r>
          </w:p>
        </w:tc>
        <w:tc>
          <w:tcPr>
            <w:tcW w:w="2364" w:type="dxa"/>
            <w:gridSpan w:val="2"/>
            <w:tcBorders>
              <w:top w:val="nil"/>
              <w:left w:val="nil"/>
              <w:bottom w:val="single" w:color="auto" w:sz="4" w:space="0"/>
              <w:right w:val="single" w:color="auto" w:sz="4" w:space="0"/>
            </w:tcBorders>
            <w:noWrap/>
            <w:vAlign w:val="center"/>
          </w:tcPr>
          <w:p w14:paraId="5DB0966F">
            <w:pPr>
              <w:widowControl/>
              <w:spacing w:line="280" w:lineRule="exact"/>
              <w:rPr>
                <w:rFonts w:ascii="宋体" w:cs="宋体"/>
                <w:kern w:val="0"/>
                <w:szCs w:val="21"/>
              </w:rPr>
            </w:pPr>
            <w:r>
              <w:rPr>
                <w:rFonts w:hint="eastAsia" w:ascii="宋体" w:hAnsi="宋体" w:cs="宋体"/>
                <w:kern w:val="0"/>
                <w:szCs w:val="21"/>
              </w:rPr>
              <w:t>照明设施完好率</w:t>
            </w:r>
          </w:p>
        </w:tc>
        <w:tc>
          <w:tcPr>
            <w:tcW w:w="2580" w:type="dxa"/>
            <w:tcBorders>
              <w:top w:val="nil"/>
              <w:left w:val="nil"/>
              <w:bottom w:val="single" w:color="auto" w:sz="4" w:space="0"/>
              <w:right w:val="single" w:color="auto" w:sz="4" w:space="0"/>
            </w:tcBorders>
            <w:vAlign w:val="center"/>
          </w:tcPr>
          <w:p w14:paraId="7001A33C">
            <w:pPr>
              <w:pStyle w:val="8"/>
              <w:spacing w:line="280" w:lineRule="exact"/>
              <w:jc w:val="both"/>
              <w:rPr>
                <w:rFonts w:ascii="宋体" w:cs="宋体"/>
                <w:kern w:val="0"/>
                <w:szCs w:val="21"/>
              </w:rPr>
            </w:pPr>
            <w:r>
              <w:rPr>
                <w:rFonts w:hint="eastAsia" w:ascii="宋体" w:hAnsi="宋体" w:cs="宋体"/>
                <w:szCs w:val="21"/>
              </w:rPr>
              <w:t>湖南省照明设施维护标准和市城管执法局实际</w:t>
            </w:r>
          </w:p>
        </w:tc>
        <w:tc>
          <w:tcPr>
            <w:tcW w:w="720" w:type="dxa"/>
            <w:tcBorders>
              <w:top w:val="nil"/>
              <w:left w:val="nil"/>
              <w:bottom w:val="single" w:color="auto" w:sz="4" w:space="0"/>
              <w:right w:val="single" w:color="auto" w:sz="4" w:space="0"/>
            </w:tcBorders>
            <w:noWrap/>
            <w:vAlign w:val="center"/>
          </w:tcPr>
          <w:p w14:paraId="7B08C527">
            <w:pPr>
              <w:widowControl/>
              <w:spacing w:line="280" w:lineRule="exact"/>
              <w:jc w:val="center"/>
              <w:rPr>
                <w:rFonts w:ascii="宋体" w:cs="宋体"/>
                <w:kern w:val="0"/>
                <w:szCs w:val="21"/>
              </w:rPr>
            </w:pPr>
            <w:r>
              <w:rPr>
                <w:rFonts w:ascii="宋体" w:hAnsi="宋体" w:cs="宋体"/>
                <w:kern w:val="0"/>
                <w:szCs w:val="21"/>
              </w:rPr>
              <w:t>%</w:t>
            </w:r>
          </w:p>
        </w:tc>
        <w:tc>
          <w:tcPr>
            <w:tcW w:w="1080" w:type="dxa"/>
            <w:tcBorders>
              <w:top w:val="nil"/>
              <w:left w:val="nil"/>
              <w:bottom w:val="single" w:color="auto" w:sz="4" w:space="0"/>
              <w:right w:val="single" w:color="auto" w:sz="4" w:space="0"/>
            </w:tcBorders>
            <w:noWrap/>
            <w:vAlign w:val="center"/>
          </w:tcPr>
          <w:p w14:paraId="0E171CEF">
            <w:pPr>
              <w:widowControl/>
              <w:spacing w:line="280" w:lineRule="exact"/>
              <w:jc w:val="right"/>
              <w:rPr>
                <w:rFonts w:ascii="宋体" w:cs="宋体"/>
                <w:kern w:val="0"/>
                <w:szCs w:val="21"/>
              </w:rPr>
            </w:pPr>
            <w:r>
              <w:rPr>
                <w:rFonts w:ascii="宋体" w:hAnsi="宋体" w:cs="宋体"/>
                <w:kern w:val="0"/>
                <w:szCs w:val="21"/>
              </w:rPr>
              <w:t>98.00</w:t>
            </w:r>
          </w:p>
        </w:tc>
        <w:tc>
          <w:tcPr>
            <w:tcW w:w="931" w:type="dxa"/>
            <w:tcBorders>
              <w:top w:val="nil"/>
              <w:left w:val="nil"/>
              <w:bottom w:val="single" w:color="auto" w:sz="4" w:space="0"/>
              <w:right w:val="single" w:color="auto" w:sz="4" w:space="0"/>
            </w:tcBorders>
            <w:noWrap/>
            <w:vAlign w:val="center"/>
          </w:tcPr>
          <w:p w14:paraId="3851646C">
            <w:pPr>
              <w:widowControl/>
              <w:spacing w:line="280" w:lineRule="exact"/>
              <w:jc w:val="right"/>
              <w:rPr>
                <w:rFonts w:ascii="宋体" w:cs="宋体"/>
                <w:kern w:val="0"/>
                <w:szCs w:val="21"/>
              </w:rPr>
            </w:pPr>
            <w:r>
              <w:rPr>
                <w:rFonts w:ascii="宋体" w:hAnsi="宋体" w:cs="宋体"/>
                <w:kern w:val="0"/>
                <w:szCs w:val="21"/>
              </w:rPr>
              <w:t>98.00</w:t>
            </w:r>
          </w:p>
        </w:tc>
      </w:tr>
      <w:tr w14:paraId="2D9EAAD6">
        <w:tblPrEx>
          <w:tblCellMar>
            <w:top w:w="0" w:type="dxa"/>
            <w:left w:w="108" w:type="dxa"/>
            <w:bottom w:w="0" w:type="dxa"/>
            <w:right w:w="108" w:type="dxa"/>
          </w:tblCellMar>
        </w:tblPrEx>
        <w:trPr>
          <w:trHeight w:val="435" w:hRule="atLeast"/>
        </w:trPr>
        <w:tc>
          <w:tcPr>
            <w:tcW w:w="754" w:type="dxa"/>
            <w:tcBorders>
              <w:top w:val="nil"/>
              <w:left w:val="single" w:color="auto" w:sz="4" w:space="0"/>
              <w:bottom w:val="single" w:color="auto" w:sz="4" w:space="0"/>
              <w:right w:val="single" w:color="auto" w:sz="4" w:space="0"/>
            </w:tcBorders>
            <w:noWrap/>
            <w:vAlign w:val="center"/>
          </w:tcPr>
          <w:p w14:paraId="1DE000C4">
            <w:pPr>
              <w:widowControl/>
              <w:spacing w:line="280" w:lineRule="exact"/>
              <w:jc w:val="center"/>
              <w:rPr>
                <w:rFonts w:ascii="宋体" w:cs="宋体"/>
                <w:kern w:val="0"/>
                <w:szCs w:val="21"/>
              </w:rPr>
            </w:pPr>
            <w:r>
              <w:rPr>
                <w:rFonts w:ascii="宋体" w:hAnsi="宋体" w:cs="宋体"/>
                <w:kern w:val="0"/>
                <w:szCs w:val="21"/>
              </w:rPr>
              <w:t>7</w:t>
            </w:r>
          </w:p>
        </w:tc>
        <w:tc>
          <w:tcPr>
            <w:tcW w:w="2364" w:type="dxa"/>
            <w:gridSpan w:val="2"/>
            <w:tcBorders>
              <w:top w:val="nil"/>
              <w:left w:val="nil"/>
              <w:bottom w:val="single" w:color="auto" w:sz="4" w:space="0"/>
              <w:right w:val="single" w:color="auto" w:sz="4" w:space="0"/>
            </w:tcBorders>
            <w:noWrap/>
            <w:vAlign w:val="center"/>
          </w:tcPr>
          <w:p w14:paraId="3AF92F65">
            <w:pPr>
              <w:widowControl/>
              <w:spacing w:line="280" w:lineRule="exact"/>
              <w:rPr>
                <w:rFonts w:ascii="宋体" w:cs="宋体"/>
                <w:kern w:val="0"/>
                <w:szCs w:val="21"/>
              </w:rPr>
            </w:pPr>
            <w:r>
              <w:rPr>
                <w:rFonts w:hint="eastAsia" w:ascii="宋体" w:hAnsi="宋体" w:cs="宋体"/>
                <w:kern w:val="0"/>
                <w:szCs w:val="21"/>
              </w:rPr>
              <w:t>照明故障处置率</w:t>
            </w:r>
          </w:p>
        </w:tc>
        <w:tc>
          <w:tcPr>
            <w:tcW w:w="2580" w:type="dxa"/>
            <w:tcBorders>
              <w:top w:val="nil"/>
              <w:left w:val="nil"/>
              <w:bottom w:val="single" w:color="auto" w:sz="4" w:space="0"/>
              <w:right w:val="single" w:color="auto" w:sz="4" w:space="0"/>
            </w:tcBorders>
            <w:vAlign w:val="center"/>
          </w:tcPr>
          <w:p w14:paraId="4FEDDE21">
            <w:pPr>
              <w:widowControl/>
              <w:spacing w:line="280" w:lineRule="exact"/>
              <w:rPr>
                <w:rFonts w:ascii="宋体" w:cs="宋体"/>
                <w:kern w:val="0"/>
                <w:szCs w:val="21"/>
              </w:rPr>
            </w:pPr>
            <w:r>
              <w:rPr>
                <w:rFonts w:hint="eastAsia" w:ascii="宋体" w:hAnsi="宋体" w:cs="宋体"/>
                <w:szCs w:val="21"/>
              </w:rPr>
              <w:t>湖南省照明设施维护标准和市城管执法局实际</w:t>
            </w:r>
          </w:p>
        </w:tc>
        <w:tc>
          <w:tcPr>
            <w:tcW w:w="720" w:type="dxa"/>
            <w:tcBorders>
              <w:top w:val="nil"/>
              <w:left w:val="nil"/>
              <w:bottom w:val="single" w:color="auto" w:sz="4" w:space="0"/>
              <w:right w:val="single" w:color="auto" w:sz="4" w:space="0"/>
            </w:tcBorders>
            <w:noWrap/>
            <w:vAlign w:val="center"/>
          </w:tcPr>
          <w:p w14:paraId="4C0E470F">
            <w:pPr>
              <w:widowControl/>
              <w:spacing w:line="280" w:lineRule="exact"/>
              <w:jc w:val="center"/>
              <w:rPr>
                <w:rFonts w:ascii="宋体" w:cs="宋体"/>
                <w:kern w:val="0"/>
                <w:szCs w:val="21"/>
              </w:rPr>
            </w:pPr>
            <w:r>
              <w:rPr>
                <w:rFonts w:ascii="宋体" w:hAnsi="宋体" w:cs="宋体"/>
                <w:kern w:val="0"/>
                <w:szCs w:val="21"/>
              </w:rPr>
              <w:t>%</w:t>
            </w:r>
          </w:p>
        </w:tc>
        <w:tc>
          <w:tcPr>
            <w:tcW w:w="1080" w:type="dxa"/>
            <w:tcBorders>
              <w:top w:val="nil"/>
              <w:left w:val="nil"/>
              <w:bottom w:val="single" w:color="auto" w:sz="4" w:space="0"/>
              <w:right w:val="single" w:color="auto" w:sz="4" w:space="0"/>
            </w:tcBorders>
            <w:noWrap/>
            <w:vAlign w:val="center"/>
          </w:tcPr>
          <w:p w14:paraId="08F8757D">
            <w:pPr>
              <w:widowControl/>
              <w:spacing w:line="280" w:lineRule="exact"/>
              <w:jc w:val="right"/>
              <w:rPr>
                <w:rFonts w:ascii="宋体" w:cs="宋体"/>
                <w:kern w:val="0"/>
                <w:szCs w:val="21"/>
              </w:rPr>
            </w:pPr>
            <w:r>
              <w:rPr>
                <w:rFonts w:ascii="宋体" w:hAnsi="宋体" w:cs="宋体"/>
                <w:kern w:val="0"/>
                <w:szCs w:val="21"/>
              </w:rPr>
              <w:t>100.00</w:t>
            </w:r>
          </w:p>
        </w:tc>
        <w:tc>
          <w:tcPr>
            <w:tcW w:w="931" w:type="dxa"/>
            <w:tcBorders>
              <w:top w:val="nil"/>
              <w:left w:val="nil"/>
              <w:bottom w:val="single" w:color="auto" w:sz="4" w:space="0"/>
              <w:right w:val="single" w:color="auto" w:sz="4" w:space="0"/>
            </w:tcBorders>
            <w:noWrap/>
            <w:vAlign w:val="center"/>
          </w:tcPr>
          <w:p w14:paraId="5A6712A4">
            <w:pPr>
              <w:widowControl/>
              <w:spacing w:line="280" w:lineRule="exact"/>
              <w:jc w:val="right"/>
              <w:rPr>
                <w:rFonts w:ascii="宋体" w:cs="宋体"/>
                <w:kern w:val="0"/>
                <w:szCs w:val="21"/>
              </w:rPr>
            </w:pPr>
            <w:r>
              <w:rPr>
                <w:rFonts w:ascii="宋体" w:hAnsi="宋体" w:cs="宋体"/>
                <w:kern w:val="0"/>
                <w:szCs w:val="21"/>
              </w:rPr>
              <w:t>100.00</w:t>
            </w:r>
          </w:p>
        </w:tc>
      </w:tr>
      <w:tr w14:paraId="60001A1F">
        <w:tblPrEx>
          <w:tblCellMar>
            <w:top w:w="0" w:type="dxa"/>
            <w:left w:w="108" w:type="dxa"/>
            <w:bottom w:w="0" w:type="dxa"/>
            <w:right w:w="108" w:type="dxa"/>
          </w:tblCellMar>
        </w:tblPrEx>
        <w:trPr>
          <w:trHeight w:val="435" w:hRule="atLeast"/>
        </w:trPr>
        <w:tc>
          <w:tcPr>
            <w:tcW w:w="754" w:type="dxa"/>
            <w:tcBorders>
              <w:top w:val="nil"/>
              <w:left w:val="single" w:color="auto" w:sz="4" w:space="0"/>
              <w:bottom w:val="single" w:color="auto" w:sz="4" w:space="0"/>
              <w:right w:val="single" w:color="auto" w:sz="4" w:space="0"/>
            </w:tcBorders>
            <w:noWrap/>
            <w:vAlign w:val="center"/>
          </w:tcPr>
          <w:p w14:paraId="70FAC7AC">
            <w:pPr>
              <w:widowControl/>
              <w:spacing w:line="280" w:lineRule="exact"/>
              <w:jc w:val="center"/>
              <w:rPr>
                <w:rFonts w:ascii="宋体" w:cs="宋体"/>
                <w:kern w:val="0"/>
                <w:szCs w:val="21"/>
              </w:rPr>
            </w:pPr>
            <w:r>
              <w:rPr>
                <w:rFonts w:ascii="宋体" w:hAnsi="宋体" w:cs="宋体"/>
                <w:kern w:val="0"/>
                <w:szCs w:val="21"/>
              </w:rPr>
              <w:t>8</w:t>
            </w:r>
          </w:p>
        </w:tc>
        <w:tc>
          <w:tcPr>
            <w:tcW w:w="2364" w:type="dxa"/>
            <w:gridSpan w:val="2"/>
            <w:tcBorders>
              <w:top w:val="nil"/>
              <w:left w:val="nil"/>
              <w:bottom w:val="single" w:color="auto" w:sz="4" w:space="0"/>
              <w:right w:val="single" w:color="auto" w:sz="4" w:space="0"/>
            </w:tcBorders>
            <w:noWrap/>
            <w:vAlign w:val="center"/>
          </w:tcPr>
          <w:p w14:paraId="1202DA61">
            <w:pPr>
              <w:widowControl/>
              <w:spacing w:line="280" w:lineRule="exact"/>
              <w:rPr>
                <w:rFonts w:ascii="宋体" w:cs="宋体"/>
                <w:kern w:val="0"/>
                <w:szCs w:val="21"/>
              </w:rPr>
            </w:pPr>
            <w:r>
              <w:rPr>
                <w:rFonts w:hint="eastAsia" w:ascii="宋体" w:hAnsi="宋体" w:cs="宋体"/>
                <w:kern w:val="0"/>
                <w:szCs w:val="21"/>
              </w:rPr>
              <w:t>城市燃气普及率</w:t>
            </w:r>
          </w:p>
        </w:tc>
        <w:tc>
          <w:tcPr>
            <w:tcW w:w="2580" w:type="dxa"/>
            <w:tcBorders>
              <w:top w:val="nil"/>
              <w:left w:val="nil"/>
              <w:bottom w:val="single" w:color="auto" w:sz="4" w:space="0"/>
              <w:right w:val="single" w:color="auto" w:sz="4" w:space="0"/>
            </w:tcBorders>
            <w:vAlign w:val="center"/>
          </w:tcPr>
          <w:p w14:paraId="4C820D06">
            <w:pPr>
              <w:widowControl/>
              <w:spacing w:line="280" w:lineRule="exact"/>
              <w:rPr>
                <w:rFonts w:ascii="宋体" w:cs="宋体"/>
                <w:kern w:val="0"/>
                <w:szCs w:val="21"/>
              </w:rPr>
            </w:pPr>
            <w:r>
              <w:rPr>
                <w:rFonts w:hint="eastAsia" w:ascii="宋体" w:hAnsi="宋体" w:cs="宋体"/>
                <w:kern w:val="0"/>
                <w:szCs w:val="21"/>
              </w:rPr>
              <w:t>湘潭市“十四五”新型城镇化规划和</w:t>
            </w:r>
            <w:r>
              <w:rPr>
                <w:rFonts w:hint="eastAsia" w:ascii="宋体" w:hAnsi="宋体" w:cs="宋体"/>
                <w:szCs w:val="21"/>
              </w:rPr>
              <w:t>湘潭市“十四五”城市市政基础设施建设规划目标</w:t>
            </w:r>
          </w:p>
        </w:tc>
        <w:tc>
          <w:tcPr>
            <w:tcW w:w="720" w:type="dxa"/>
            <w:tcBorders>
              <w:top w:val="nil"/>
              <w:left w:val="nil"/>
              <w:bottom w:val="single" w:color="auto" w:sz="4" w:space="0"/>
              <w:right w:val="single" w:color="auto" w:sz="4" w:space="0"/>
            </w:tcBorders>
            <w:noWrap/>
            <w:vAlign w:val="center"/>
          </w:tcPr>
          <w:p w14:paraId="620C4B3E">
            <w:pPr>
              <w:widowControl/>
              <w:spacing w:line="280" w:lineRule="exact"/>
              <w:jc w:val="center"/>
              <w:rPr>
                <w:rFonts w:ascii="宋体" w:cs="宋体"/>
                <w:kern w:val="0"/>
                <w:szCs w:val="21"/>
              </w:rPr>
            </w:pPr>
            <w:r>
              <w:rPr>
                <w:rFonts w:ascii="宋体" w:hAnsi="宋体" w:cs="宋体"/>
                <w:kern w:val="0"/>
                <w:szCs w:val="21"/>
              </w:rPr>
              <w:t>%</w:t>
            </w:r>
          </w:p>
        </w:tc>
        <w:tc>
          <w:tcPr>
            <w:tcW w:w="1080" w:type="dxa"/>
            <w:tcBorders>
              <w:top w:val="nil"/>
              <w:left w:val="nil"/>
              <w:bottom w:val="single" w:color="auto" w:sz="4" w:space="0"/>
              <w:right w:val="single" w:color="auto" w:sz="4" w:space="0"/>
            </w:tcBorders>
            <w:noWrap/>
            <w:vAlign w:val="center"/>
          </w:tcPr>
          <w:p w14:paraId="73CA958B">
            <w:pPr>
              <w:widowControl/>
              <w:spacing w:line="280" w:lineRule="exact"/>
              <w:jc w:val="right"/>
              <w:rPr>
                <w:rFonts w:ascii="宋体" w:cs="宋体"/>
                <w:kern w:val="0"/>
                <w:szCs w:val="21"/>
              </w:rPr>
            </w:pPr>
            <w:r>
              <w:rPr>
                <w:rFonts w:ascii="宋体" w:hAnsi="宋体" w:cs="宋体"/>
                <w:kern w:val="0"/>
                <w:szCs w:val="21"/>
              </w:rPr>
              <w:t>98.</w:t>
            </w:r>
            <w:r>
              <w:rPr>
                <w:rFonts w:hint="eastAsia" w:ascii="宋体" w:hAnsi="宋体" w:cs="宋体"/>
                <w:kern w:val="0"/>
                <w:szCs w:val="21"/>
              </w:rPr>
              <w:t>50</w:t>
            </w:r>
          </w:p>
        </w:tc>
        <w:tc>
          <w:tcPr>
            <w:tcW w:w="931" w:type="dxa"/>
            <w:tcBorders>
              <w:top w:val="nil"/>
              <w:left w:val="nil"/>
              <w:bottom w:val="single" w:color="auto" w:sz="4" w:space="0"/>
              <w:right w:val="single" w:color="auto" w:sz="4" w:space="0"/>
            </w:tcBorders>
            <w:noWrap/>
            <w:vAlign w:val="center"/>
          </w:tcPr>
          <w:p w14:paraId="28C980AE">
            <w:pPr>
              <w:widowControl/>
              <w:spacing w:line="280" w:lineRule="exact"/>
              <w:jc w:val="right"/>
              <w:rPr>
                <w:rFonts w:ascii="宋体" w:cs="宋体"/>
                <w:kern w:val="0"/>
                <w:szCs w:val="21"/>
              </w:rPr>
            </w:pPr>
            <w:r>
              <w:rPr>
                <w:rFonts w:ascii="宋体" w:hAnsi="宋体" w:cs="宋体"/>
                <w:kern w:val="0"/>
                <w:szCs w:val="21"/>
              </w:rPr>
              <w:t>99.00</w:t>
            </w:r>
          </w:p>
        </w:tc>
      </w:tr>
      <w:tr w14:paraId="0E40E169">
        <w:tblPrEx>
          <w:tblCellMar>
            <w:top w:w="0" w:type="dxa"/>
            <w:left w:w="108" w:type="dxa"/>
            <w:bottom w:w="0" w:type="dxa"/>
            <w:right w:w="108" w:type="dxa"/>
          </w:tblCellMar>
        </w:tblPrEx>
        <w:trPr>
          <w:trHeight w:val="435" w:hRule="atLeast"/>
        </w:trPr>
        <w:tc>
          <w:tcPr>
            <w:tcW w:w="754" w:type="dxa"/>
            <w:tcBorders>
              <w:top w:val="nil"/>
              <w:left w:val="single" w:color="auto" w:sz="4" w:space="0"/>
              <w:bottom w:val="single" w:color="auto" w:sz="4" w:space="0"/>
              <w:right w:val="single" w:color="auto" w:sz="4" w:space="0"/>
            </w:tcBorders>
            <w:noWrap/>
            <w:vAlign w:val="center"/>
          </w:tcPr>
          <w:p w14:paraId="48182557">
            <w:pPr>
              <w:widowControl/>
              <w:spacing w:line="280" w:lineRule="exact"/>
              <w:jc w:val="center"/>
              <w:rPr>
                <w:rFonts w:ascii="宋体" w:cs="宋体"/>
                <w:kern w:val="0"/>
                <w:szCs w:val="21"/>
              </w:rPr>
            </w:pPr>
            <w:r>
              <w:rPr>
                <w:rFonts w:hint="eastAsia" w:ascii="宋体" w:hAnsi="宋体" w:cs="宋体"/>
                <w:kern w:val="0"/>
                <w:szCs w:val="21"/>
              </w:rPr>
              <w:t>9</w:t>
            </w:r>
          </w:p>
        </w:tc>
        <w:tc>
          <w:tcPr>
            <w:tcW w:w="2364" w:type="dxa"/>
            <w:gridSpan w:val="2"/>
            <w:tcBorders>
              <w:top w:val="nil"/>
              <w:left w:val="nil"/>
              <w:bottom w:val="single" w:color="auto" w:sz="4" w:space="0"/>
              <w:right w:val="single" w:color="auto" w:sz="4" w:space="0"/>
            </w:tcBorders>
            <w:noWrap/>
            <w:vAlign w:val="center"/>
          </w:tcPr>
          <w:p w14:paraId="1B86467E">
            <w:pPr>
              <w:widowControl/>
              <w:spacing w:line="280" w:lineRule="exact"/>
              <w:rPr>
                <w:rFonts w:ascii="宋体" w:cs="宋体"/>
                <w:kern w:val="0"/>
                <w:szCs w:val="21"/>
              </w:rPr>
            </w:pPr>
            <w:r>
              <w:rPr>
                <w:rFonts w:hint="eastAsia" w:ascii="宋体" w:hAnsi="宋体" w:cs="宋体"/>
                <w:kern w:val="0"/>
                <w:szCs w:val="21"/>
              </w:rPr>
              <w:t>生活垃圾无害化处理率</w:t>
            </w:r>
          </w:p>
        </w:tc>
        <w:tc>
          <w:tcPr>
            <w:tcW w:w="2580" w:type="dxa"/>
            <w:tcBorders>
              <w:top w:val="nil"/>
              <w:left w:val="nil"/>
              <w:bottom w:val="single" w:color="auto" w:sz="4" w:space="0"/>
              <w:right w:val="single" w:color="auto" w:sz="4" w:space="0"/>
            </w:tcBorders>
            <w:vAlign w:val="center"/>
          </w:tcPr>
          <w:p w14:paraId="111A83A9">
            <w:pPr>
              <w:widowControl/>
              <w:spacing w:line="280" w:lineRule="exact"/>
              <w:rPr>
                <w:rFonts w:ascii="宋体" w:cs="宋体"/>
                <w:kern w:val="0"/>
                <w:szCs w:val="21"/>
              </w:rPr>
            </w:pPr>
            <w:r>
              <w:rPr>
                <w:rFonts w:hint="eastAsia" w:ascii="宋体" w:hAnsi="宋体" w:cs="宋体"/>
                <w:szCs w:val="21"/>
              </w:rPr>
              <w:t>湘潭市“十四五”城市市政基础设施建设规划目标</w:t>
            </w:r>
          </w:p>
        </w:tc>
        <w:tc>
          <w:tcPr>
            <w:tcW w:w="720" w:type="dxa"/>
            <w:tcBorders>
              <w:top w:val="nil"/>
              <w:left w:val="nil"/>
              <w:bottom w:val="single" w:color="auto" w:sz="4" w:space="0"/>
              <w:right w:val="single" w:color="auto" w:sz="4" w:space="0"/>
            </w:tcBorders>
            <w:noWrap/>
            <w:vAlign w:val="center"/>
          </w:tcPr>
          <w:p w14:paraId="356A8C62">
            <w:pPr>
              <w:widowControl/>
              <w:spacing w:line="280" w:lineRule="exact"/>
              <w:jc w:val="center"/>
              <w:rPr>
                <w:rFonts w:ascii="宋体" w:cs="宋体"/>
                <w:kern w:val="0"/>
                <w:szCs w:val="21"/>
              </w:rPr>
            </w:pPr>
            <w:r>
              <w:rPr>
                <w:rFonts w:ascii="宋体" w:hAnsi="宋体" w:cs="宋体"/>
                <w:kern w:val="0"/>
                <w:szCs w:val="21"/>
              </w:rPr>
              <w:t>%</w:t>
            </w:r>
          </w:p>
        </w:tc>
        <w:tc>
          <w:tcPr>
            <w:tcW w:w="1080" w:type="dxa"/>
            <w:tcBorders>
              <w:top w:val="nil"/>
              <w:left w:val="nil"/>
              <w:bottom w:val="single" w:color="auto" w:sz="4" w:space="0"/>
              <w:right w:val="single" w:color="auto" w:sz="4" w:space="0"/>
            </w:tcBorders>
            <w:noWrap/>
            <w:vAlign w:val="center"/>
          </w:tcPr>
          <w:p w14:paraId="726F3E49">
            <w:pPr>
              <w:widowControl/>
              <w:spacing w:line="280" w:lineRule="exact"/>
              <w:jc w:val="right"/>
              <w:rPr>
                <w:rFonts w:ascii="宋体" w:cs="宋体"/>
                <w:kern w:val="0"/>
                <w:szCs w:val="21"/>
              </w:rPr>
            </w:pPr>
          </w:p>
        </w:tc>
        <w:tc>
          <w:tcPr>
            <w:tcW w:w="931" w:type="dxa"/>
            <w:tcBorders>
              <w:top w:val="nil"/>
              <w:left w:val="nil"/>
              <w:bottom w:val="single" w:color="auto" w:sz="4" w:space="0"/>
              <w:right w:val="single" w:color="auto" w:sz="4" w:space="0"/>
            </w:tcBorders>
            <w:noWrap/>
            <w:vAlign w:val="center"/>
          </w:tcPr>
          <w:p w14:paraId="58EAEF84">
            <w:pPr>
              <w:widowControl/>
              <w:spacing w:line="280" w:lineRule="exact"/>
              <w:jc w:val="right"/>
              <w:rPr>
                <w:rFonts w:ascii="宋体" w:cs="宋体"/>
                <w:kern w:val="0"/>
                <w:szCs w:val="21"/>
              </w:rPr>
            </w:pPr>
            <w:r>
              <w:rPr>
                <w:rFonts w:ascii="宋体" w:hAnsi="宋体" w:cs="宋体"/>
                <w:kern w:val="0"/>
                <w:szCs w:val="21"/>
              </w:rPr>
              <w:t>100.00</w:t>
            </w:r>
          </w:p>
        </w:tc>
      </w:tr>
      <w:tr w14:paraId="66AFBC1F">
        <w:tblPrEx>
          <w:tblCellMar>
            <w:top w:w="0" w:type="dxa"/>
            <w:left w:w="108" w:type="dxa"/>
            <w:bottom w:w="0" w:type="dxa"/>
            <w:right w:w="108" w:type="dxa"/>
          </w:tblCellMar>
        </w:tblPrEx>
        <w:trPr>
          <w:trHeight w:val="435" w:hRule="atLeast"/>
        </w:trPr>
        <w:tc>
          <w:tcPr>
            <w:tcW w:w="754" w:type="dxa"/>
            <w:tcBorders>
              <w:top w:val="nil"/>
              <w:left w:val="single" w:color="auto" w:sz="4" w:space="0"/>
              <w:bottom w:val="single" w:color="auto" w:sz="4" w:space="0"/>
              <w:right w:val="single" w:color="auto" w:sz="4" w:space="0"/>
            </w:tcBorders>
            <w:noWrap/>
            <w:vAlign w:val="center"/>
          </w:tcPr>
          <w:p w14:paraId="635A60FB">
            <w:pPr>
              <w:widowControl/>
              <w:spacing w:line="280" w:lineRule="exact"/>
              <w:jc w:val="center"/>
              <w:rPr>
                <w:rFonts w:ascii="宋体" w:cs="宋体"/>
                <w:kern w:val="0"/>
                <w:szCs w:val="21"/>
              </w:rPr>
            </w:pPr>
            <w:r>
              <w:rPr>
                <w:rFonts w:ascii="宋体" w:hAnsi="宋体" w:cs="宋体"/>
                <w:kern w:val="0"/>
                <w:szCs w:val="21"/>
              </w:rPr>
              <w:t>1</w:t>
            </w:r>
            <w:r>
              <w:rPr>
                <w:rFonts w:hint="eastAsia" w:ascii="宋体" w:hAnsi="宋体" w:cs="宋体"/>
                <w:kern w:val="0"/>
                <w:szCs w:val="21"/>
              </w:rPr>
              <w:t>0</w:t>
            </w:r>
          </w:p>
        </w:tc>
        <w:tc>
          <w:tcPr>
            <w:tcW w:w="2364" w:type="dxa"/>
            <w:gridSpan w:val="2"/>
            <w:tcBorders>
              <w:top w:val="nil"/>
              <w:left w:val="nil"/>
              <w:bottom w:val="single" w:color="auto" w:sz="4" w:space="0"/>
              <w:right w:val="single" w:color="auto" w:sz="4" w:space="0"/>
            </w:tcBorders>
            <w:noWrap/>
            <w:vAlign w:val="center"/>
          </w:tcPr>
          <w:p w14:paraId="72C23759">
            <w:pPr>
              <w:widowControl/>
              <w:spacing w:line="280" w:lineRule="exact"/>
              <w:rPr>
                <w:rFonts w:ascii="宋体" w:cs="宋体"/>
                <w:kern w:val="0"/>
                <w:szCs w:val="21"/>
              </w:rPr>
            </w:pPr>
            <w:r>
              <w:t>城市生活垃圾焚烧处理能力占比</w:t>
            </w:r>
          </w:p>
        </w:tc>
        <w:tc>
          <w:tcPr>
            <w:tcW w:w="2580" w:type="dxa"/>
            <w:tcBorders>
              <w:top w:val="nil"/>
              <w:left w:val="nil"/>
              <w:bottom w:val="single" w:color="auto" w:sz="4" w:space="0"/>
              <w:right w:val="single" w:color="auto" w:sz="4" w:space="0"/>
            </w:tcBorders>
            <w:vAlign w:val="center"/>
          </w:tcPr>
          <w:p w14:paraId="57738C32">
            <w:pPr>
              <w:widowControl/>
              <w:spacing w:line="280" w:lineRule="exact"/>
              <w:rPr>
                <w:rFonts w:ascii="宋体" w:cs="宋体"/>
                <w:kern w:val="0"/>
                <w:szCs w:val="21"/>
              </w:rPr>
            </w:pPr>
            <w:r>
              <w:rPr>
                <w:rFonts w:hint="eastAsia" w:ascii="宋体" w:hAnsi="宋体" w:cs="宋体"/>
                <w:szCs w:val="21"/>
              </w:rPr>
              <w:t>“十四五”城镇生活垃圾分类和处理设施发展规划（发改环资</w:t>
            </w:r>
            <w:r>
              <w:rPr>
                <w:rFonts w:ascii="宋体" w:hAnsi="宋体" w:cs="宋体"/>
                <w:szCs w:val="21"/>
              </w:rPr>
              <w:t>[2021]642</w:t>
            </w:r>
            <w:r>
              <w:rPr>
                <w:rFonts w:hint="eastAsia" w:ascii="宋体" w:hAnsi="宋体" w:cs="宋体"/>
                <w:szCs w:val="21"/>
              </w:rPr>
              <w:t>号）</w:t>
            </w:r>
          </w:p>
        </w:tc>
        <w:tc>
          <w:tcPr>
            <w:tcW w:w="720" w:type="dxa"/>
            <w:tcBorders>
              <w:top w:val="nil"/>
              <w:left w:val="nil"/>
              <w:bottom w:val="single" w:color="auto" w:sz="4" w:space="0"/>
              <w:right w:val="single" w:color="auto" w:sz="4" w:space="0"/>
            </w:tcBorders>
            <w:noWrap/>
            <w:vAlign w:val="center"/>
          </w:tcPr>
          <w:p w14:paraId="2634F730">
            <w:pPr>
              <w:widowControl/>
              <w:spacing w:line="280" w:lineRule="exact"/>
              <w:jc w:val="center"/>
              <w:rPr>
                <w:rFonts w:ascii="宋体" w:cs="宋体"/>
                <w:kern w:val="0"/>
                <w:szCs w:val="21"/>
              </w:rPr>
            </w:pPr>
            <w:r>
              <w:rPr>
                <w:rFonts w:ascii="宋体" w:hAnsi="宋体" w:cs="宋体"/>
                <w:kern w:val="0"/>
                <w:szCs w:val="21"/>
              </w:rPr>
              <w:t>%</w:t>
            </w:r>
          </w:p>
        </w:tc>
        <w:tc>
          <w:tcPr>
            <w:tcW w:w="1080" w:type="dxa"/>
            <w:tcBorders>
              <w:top w:val="nil"/>
              <w:left w:val="nil"/>
              <w:bottom w:val="single" w:color="auto" w:sz="4" w:space="0"/>
              <w:right w:val="single" w:color="auto" w:sz="4" w:space="0"/>
            </w:tcBorders>
            <w:noWrap/>
            <w:vAlign w:val="center"/>
          </w:tcPr>
          <w:p w14:paraId="05FD51D6">
            <w:pPr>
              <w:widowControl/>
              <w:spacing w:line="280" w:lineRule="exact"/>
              <w:jc w:val="right"/>
              <w:rPr>
                <w:rFonts w:ascii="宋体" w:cs="宋体"/>
                <w:kern w:val="0"/>
                <w:szCs w:val="21"/>
              </w:rPr>
            </w:pPr>
          </w:p>
        </w:tc>
        <w:tc>
          <w:tcPr>
            <w:tcW w:w="931" w:type="dxa"/>
            <w:tcBorders>
              <w:top w:val="nil"/>
              <w:left w:val="nil"/>
              <w:bottom w:val="single" w:color="auto" w:sz="4" w:space="0"/>
              <w:right w:val="single" w:color="auto" w:sz="4" w:space="0"/>
            </w:tcBorders>
            <w:noWrap/>
            <w:vAlign w:val="center"/>
          </w:tcPr>
          <w:p w14:paraId="194E0017">
            <w:pPr>
              <w:widowControl/>
              <w:spacing w:line="280" w:lineRule="exact"/>
              <w:jc w:val="right"/>
              <w:rPr>
                <w:rFonts w:ascii="宋体" w:cs="宋体"/>
                <w:kern w:val="0"/>
                <w:szCs w:val="21"/>
              </w:rPr>
            </w:pPr>
            <w:r>
              <w:rPr>
                <w:rFonts w:ascii="宋体" w:hAnsi="宋体" w:cs="宋体"/>
                <w:kern w:val="0"/>
                <w:szCs w:val="21"/>
              </w:rPr>
              <w:t>65.00</w:t>
            </w:r>
          </w:p>
        </w:tc>
      </w:tr>
      <w:tr w14:paraId="3162204B">
        <w:tblPrEx>
          <w:tblCellMar>
            <w:top w:w="0" w:type="dxa"/>
            <w:left w:w="108" w:type="dxa"/>
            <w:bottom w:w="0" w:type="dxa"/>
            <w:right w:w="108" w:type="dxa"/>
          </w:tblCellMar>
        </w:tblPrEx>
        <w:trPr>
          <w:trHeight w:val="435" w:hRule="atLeast"/>
        </w:trPr>
        <w:tc>
          <w:tcPr>
            <w:tcW w:w="754" w:type="dxa"/>
            <w:tcBorders>
              <w:top w:val="nil"/>
              <w:left w:val="single" w:color="auto" w:sz="4" w:space="0"/>
              <w:bottom w:val="single" w:color="auto" w:sz="4" w:space="0"/>
              <w:right w:val="single" w:color="auto" w:sz="4" w:space="0"/>
            </w:tcBorders>
            <w:noWrap/>
            <w:vAlign w:val="center"/>
          </w:tcPr>
          <w:p w14:paraId="11A08099">
            <w:pPr>
              <w:widowControl/>
              <w:spacing w:line="280" w:lineRule="exact"/>
              <w:jc w:val="center"/>
              <w:rPr>
                <w:rFonts w:ascii="宋体" w:cs="宋体"/>
                <w:kern w:val="0"/>
                <w:szCs w:val="21"/>
              </w:rPr>
            </w:pPr>
            <w:r>
              <w:rPr>
                <w:rFonts w:ascii="宋体" w:hAnsi="宋体" w:cs="宋体"/>
                <w:kern w:val="0"/>
                <w:szCs w:val="21"/>
              </w:rPr>
              <w:t>1</w:t>
            </w:r>
            <w:r>
              <w:rPr>
                <w:rFonts w:hint="eastAsia" w:ascii="宋体" w:hAnsi="宋体" w:cs="宋体"/>
                <w:kern w:val="0"/>
                <w:szCs w:val="21"/>
              </w:rPr>
              <w:t>1</w:t>
            </w:r>
          </w:p>
        </w:tc>
        <w:tc>
          <w:tcPr>
            <w:tcW w:w="2364" w:type="dxa"/>
            <w:gridSpan w:val="2"/>
            <w:tcBorders>
              <w:top w:val="nil"/>
              <w:left w:val="nil"/>
              <w:bottom w:val="single" w:color="auto" w:sz="4" w:space="0"/>
              <w:right w:val="single" w:color="auto" w:sz="4" w:space="0"/>
            </w:tcBorders>
            <w:noWrap/>
            <w:vAlign w:val="center"/>
          </w:tcPr>
          <w:p w14:paraId="719A2F0A">
            <w:pPr>
              <w:widowControl/>
              <w:spacing w:line="280" w:lineRule="exact"/>
              <w:rPr>
                <w:rFonts w:ascii="宋体" w:cs="宋体"/>
                <w:kern w:val="0"/>
                <w:szCs w:val="21"/>
              </w:rPr>
            </w:pPr>
            <w:r>
              <w:rPr>
                <w:rFonts w:hint="eastAsia" w:ascii="宋体" w:hAnsi="宋体" w:cs="宋体"/>
                <w:kern w:val="0"/>
                <w:szCs w:val="21"/>
              </w:rPr>
              <w:t>有害垃圾无害化处理率</w:t>
            </w:r>
          </w:p>
        </w:tc>
        <w:tc>
          <w:tcPr>
            <w:tcW w:w="2580" w:type="dxa"/>
            <w:tcBorders>
              <w:top w:val="nil"/>
              <w:left w:val="nil"/>
              <w:bottom w:val="single" w:color="auto" w:sz="4" w:space="0"/>
              <w:right w:val="single" w:color="auto" w:sz="4" w:space="0"/>
            </w:tcBorders>
            <w:vAlign w:val="center"/>
          </w:tcPr>
          <w:p w14:paraId="21AD3FEF">
            <w:pPr>
              <w:widowControl/>
              <w:spacing w:line="280" w:lineRule="exact"/>
              <w:rPr>
                <w:rFonts w:ascii="宋体" w:cs="宋体"/>
                <w:kern w:val="0"/>
                <w:szCs w:val="21"/>
              </w:rPr>
            </w:pPr>
            <w:r>
              <w:rPr>
                <w:rFonts w:hint="eastAsia" w:ascii="宋体" w:hAnsi="宋体" w:cs="宋体"/>
                <w:szCs w:val="21"/>
              </w:rPr>
              <w:t>湘潭市“十四五”城市市政基础设施建设规划目标</w:t>
            </w:r>
          </w:p>
        </w:tc>
        <w:tc>
          <w:tcPr>
            <w:tcW w:w="720" w:type="dxa"/>
            <w:tcBorders>
              <w:top w:val="nil"/>
              <w:left w:val="nil"/>
              <w:bottom w:val="single" w:color="auto" w:sz="4" w:space="0"/>
              <w:right w:val="single" w:color="auto" w:sz="4" w:space="0"/>
            </w:tcBorders>
            <w:noWrap/>
            <w:vAlign w:val="center"/>
          </w:tcPr>
          <w:p w14:paraId="596F44BE">
            <w:pPr>
              <w:widowControl/>
              <w:spacing w:line="280" w:lineRule="exact"/>
              <w:jc w:val="center"/>
              <w:rPr>
                <w:rFonts w:ascii="宋体" w:cs="宋体"/>
                <w:kern w:val="0"/>
                <w:szCs w:val="21"/>
              </w:rPr>
            </w:pPr>
            <w:r>
              <w:rPr>
                <w:rFonts w:ascii="宋体" w:hAnsi="宋体" w:cs="宋体"/>
                <w:kern w:val="0"/>
                <w:szCs w:val="21"/>
              </w:rPr>
              <w:t>%</w:t>
            </w:r>
          </w:p>
        </w:tc>
        <w:tc>
          <w:tcPr>
            <w:tcW w:w="1080" w:type="dxa"/>
            <w:tcBorders>
              <w:top w:val="nil"/>
              <w:left w:val="nil"/>
              <w:bottom w:val="single" w:color="auto" w:sz="4" w:space="0"/>
              <w:right w:val="single" w:color="auto" w:sz="4" w:space="0"/>
            </w:tcBorders>
            <w:noWrap/>
            <w:vAlign w:val="center"/>
          </w:tcPr>
          <w:p w14:paraId="219F565E">
            <w:pPr>
              <w:widowControl/>
              <w:spacing w:line="280" w:lineRule="exact"/>
              <w:jc w:val="right"/>
              <w:rPr>
                <w:rFonts w:ascii="宋体" w:cs="宋体"/>
                <w:kern w:val="0"/>
                <w:szCs w:val="21"/>
              </w:rPr>
            </w:pPr>
          </w:p>
        </w:tc>
        <w:tc>
          <w:tcPr>
            <w:tcW w:w="931" w:type="dxa"/>
            <w:tcBorders>
              <w:top w:val="nil"/>
              <w:left w:val="nil"/>
              <w:bottom w:val="single" w:color="auto" w:sz="4" w:space="0"/>
              <w:right w:val="single" w:color="auto" w:sz="4" w:space="0"/>
            </w:tcBorders>
            <w:noWrap/>
            <w:vAlign w:val="center"/>
          </w:tcPr>
          <w:p w14:paraId="2A6EE5A6">
            <w:pPr>
              <w:widowControl/>
              <w:spacing w:line="280" w:lineRule="exact"/>
              <w:jc w:val="right"/>
              <w:rPr>
                <w:rFonts w:ascii="宋体" w:cs="宋体"/>
                <w:kern w:val="0"/>
                <w:szCs w:val="21"/>
              </w:rPr>
            </w:pPr>
            <w:r>
              <w:rPr>
                <w:rFonts w:ascii="宋体" w:hAnsi="宋体" w:cs="宋体"/>
                <w:kern w:val="0"/>
                <w:szCs w:val="21"/>
              </w:rPr>
              <w:t>100.00</w:t>
            </w:r>
          </w:p>
        </w:tc>
      </w:tr>
      <w:tr w14:paraId="036B7185">
        <w:tblPrEx>
          <w:tblCellMar>
            <w:top w:w="0" w:type="dxa"/>
            <w:left w:w="108" w:type="dxa"/>
            <w:bottom w:w="0" w:type="dxa"/>
            <w:right w:w="108" w:type="dxa"/>
          </w:tblCellMar>
        </w:tblPrEx>
        <w:trPr>
          <w:trHeight w:val="435" w:hRule="atLeast"/>
        </w:trPr>
        <w:tc>
          <w:tcPr>
            <w:tcW w:w="754" w:type="dxa"/>
            <w:tcBorders>
              <w:top w:val="nil"/>
              <w:left w:val="single" w:color="auto" w:sz="4" w:space="0"/>
              <w:bottom w:val="single" w:color="auto" w:sz="4" w:space="0"/>
              <w:right w:val="single" w:color="auto" w:sz="4" w:space="0"/>
            </w:tcBorders>
            <w:noWrap/>
            <w:vAlign w:val="center"/>
          </w:tcPr>
          <w:p w14:paraId="547F1967">
            <w:pPr>
              <w:widowControl/>
              <w:spacing w:line="280" w:lineRule="exact"/>
              <w:jc w:val="center"/>
              <w:rPr>
                <w:rFonts w:ascii="宋体" w:cs="宋体"/>
                <w:kern w:val="0"/>
                <w:szCs w:val="21"/>
              </w:rPr>
            </w:pPr>
            <w:r>
              <w:rPr>
                <w:rFonts w:ascii="宋体" w:hAnsi="宋体" w:cs="宋体"/>
                <w:kern w:val="0"/>
                <w:szCs w:val="21"/>
              </w:rPr>
              <w:t>1</w:t>
            </w:r>
            <w:r>
              <w:rPr>
                <w:rFonts w:hint="eastAsia" w:ascii="宋体" w:hAnsi="宋体" w:cs="宋体"/>
                <w:kern w:val="0"/>
                <w:szCs w:val="21"/>
              </w:rPr>
              <w:t>2</w:t>
            </w:r>
          </w:p>
        </w:tc>
        <w:tc>
          <w:tcPr>
            <w:tcW w:w="2364" w:type="dxa"/>
            <w:gridSpan w:val="2"/>
            <w:tcBorders>
              <w:top w:val="nil"/>
              <w:left w:val="nil"/>
              <w:bottom w:val="single" w:color="auto" w:sz="4" w:space="0"/>
              <w:right w:val="single" w:color="auto" w:sz="4" w:space="0"/>
            </w:tcBorders>
            <w:noWrap/>
            <w:vAlign w:val="center"/>
          </w:tcPr>
          <w:p w14:paraId="7EB3B122">
            <w:pPr>
              <w:widowControl/>
              <w:spacing w:line="280" w:lineRule="exact"/>
              <w:rPr>
                <w:rFonts w:ascii="宋体" w:cs="宋体"/>
                <w:kern w:val="0"/>
                <w:szCs w:val="21"/>
              </w:rPr>
            </w:pPr>
            <w:r>
              <w:rPr>
                <w:rFonts w:hint="eastAsia" w:ascii="宋体" w:hAnsi="宋体" w:cs="宋体"/>
                <w:kern w:val="0"/>
                <w:szCs w:val="21"/>
              </w:rPr>
              <w:t>城市生活垃圾资源化利用率</w:t>
            </w:r>
          </w:p>
        </w:tc>
        <w:tc>
          <w:tcPr>
            <w:tcW w:w="2580" w:type="dxa"/>
            <w:tcBorders>
              <w:top w:val="nil"/>
              <w:left w:val="nil"/>
              <w:bottom w:val="single" w:color="auto" w:sz="4" w:space="0"/>
              <w:right w:val="single" w:color="auto" w:sz="4" w:space="0"/>
            </w:tcBorders>
            <w:vAlign w:val="center"/>
          </w:tcPr>
          <w:p w14:paraId="4FD195DE">
            <w:pPr>
              <w:widowControl/>
              <w:spacing w:line="280" w:lineRule="exact"/>
              <w:rPr>
                <w:rFonts w:ascii="宋体" w:cs="宋体"/>
                <w:kern w:val="0"/>
                <w:szCs w:val="21"/>
              </w:rPr>
            </w:pPr>
            <w:r>
              <w:rPr>
                <w:rFonts w:hint="eastAsia" w:ascii="宋体" w:hAnsi="宋体" w:cs="宋体"/>
                <w:szCs w:val="21"/>
              </w:rPr>
              <w:t>“十四五”城镇生活垃圾分类和处理设施发展规划（发改环资</w:t>
            </w:r>
            <w:r>
              <w:rPr>
                <w:rFonts w:ascii="宋体" w:hAnsi="宋体" w:cs="宋体"/>
                <w:szCs w:val="21"/>
              </w:rPr>
              <w:t>[2021]642</w:t>
            </w:r>
            <w:r>
              <w:rPr>
                <w:rFonts w:hint="eastAsia" w:ascii="宋体" w:hAnsi="宋体" w:cs="宋体"/>
                <w:szCs w:val="21"/>
              </w:rPr>
              <w:t>号）</w:t>
            </w:r>
          </w:p>
        </w:tc>
        <w:tc>
          <w:tcPr>
            <w:tcW w:w="720" w:type="dxa"/>
            <w:tcBorders>
              <w:top w:val="nil"/>
              <w:left w:val="nil"/>
              <w:bottom w:val="single" w:color="auto" w:sz="4" w:space="0"/>
              <w:right w:val="single" w:color="auto" w:sz="4" w:space="0"/>
            </w:tcBorders>
            <w:noWrap/>
            <w:vAlign w:val="center"/>
          </w:tcPr>
          <w:p w14:paraId="0F360594">
            <w:pPr>
              <w:spacing w:line="280" w:lineRule="exact"/>
              <w:jc w:val="center"/>
              <w:rPr>
                <w:rFonts w:ascii="宋体" w:cs="宋体"/>
                <w:kern w:val="0"/>
                <w:szCs w:val="21"/>
              </w:rPr>
            </w:pPr>
          </w:p>
          <w:p w14:paraId="0357E53F">
            <w:pPr>
              <w:spacing w:line="280" w:lineRule="exact"/>
              <w:jc w:val="center"/>
              <w:rPr>
                <w:rFonts w:ascii="宋体" w:cs="宋体"/>
                <w:szCs w:val="21"/>
              </w:rPr>
            </w:pPr>
            <w:r>
              <w:rPr>
                <w:rFonts w:ascii="宋体" w:hAnsi="宋体" w:cs="宋体"/>
                <w:kern w:val="0"/>
                <w:szCs w:val="21"/>
              </w:rPr>
              <w:t>%</w:t>
            </w:r>
          </w:p>
        </w:tc>
        <w:tc>
          <w:tcPr>
            <w:tcW w:w="1080" w:type="dxa"/>
            <w:tcBorders>
              <w:top w:val="nil"/>
              <w:left w:val="nil"/>
              <w:bottom w:val="single" w:color="auto" w:sz="4" w:space="0"/>
              <w:right w:val="single" w:color="auto" w:sz="4" w:space="0"/>
            </w:tcBorders>
            <w:noWrap/>
            <w:vAlign w:val="center"/>
          </w:tcPr>
          <w:p w14:paraId="5DAC7043">
            <w:pPr>
              <w:widowControl/>
              <w:spacing w:line="280" w:lineRule="exact"/>
              <w:jc w:val="right"/>
              <w:rPr>
                <w:rFonts w:ascii="宋体" w:cs="宋体"/>
                <w:kern w:val="0"/>
                <w:szCs w:val="21"/>
              </w:rPr>
            </w:pPr>
            <w:r>
              <w:rPr>
                <w:rFonts w:ascii="宋体" w:hAnsi="宋体" w:cs="宋体"/>
                <w:kern w:val="0"/>
                <w:szCs w:val="21"/>
              </w:rPr>
              <w:t>17.48</w:t>
            </w:r>
          </w:p>
        </w:tc>
        <w:tc>
          <w:tcPr>
            <w:tcW w:w="931" w:type="dxa"/>
            <w:tcBorders>
              <w:top w:val="nil"/>
              <w:left w:val="nil"/>
              <w:bottom w:val="single" w:color="auto" w:sz="4" w:space="0"/>
              <w:right w:val="single" w:color="auto" w:sz="4" w:space="0"/>
            </w:tcBorders>
            <w:noWrap/>
            <w:vAlign w:val="center"/>
          </w:tcPr>
          <w:p w14:paraId="5ABB7453">
            <w:pPr>
              <w:widowControl/>
              <w:spacing w:line="280" w:lineRule="exact"/>
              <w:jc w:val="right"/>
              <w:rPr>
                <w:rFonts w:ascii="宋体" w:cs="宋体"/>
                <w:kern w:val="0"/>
                <w:szCs w:val="21"/>
              </w:rPr>
            </w:pPr>
            <w:r>
              <w:rPr>
                <w:rFonts w:ascii="宋体" w:hAnsi="宋体" w:cs="宋体"/>
                <w:kern w:val="0"/>
                <w:szCs w:val="21"/>
              </w:rPr>
              <w:t>60.00</w:t>
            </w:r>
          </w:p>
        </w:tc>
      </w:tr>
      <w:tr w14:paraId="16BE07E9">
        <w:tblPrEx>
          <w:tblCellMar>
            <w:top w:w="0" w:type="dxa"/>
            <w:left w:w="108" w:type="dxa"/>
            <w:bottom w:w="0" w:type="dxa"/>
            <w:right w:w="108" w:type="dxa"/>
          </w:tblCellMar>
        </w:tblPrEx>
        <w:trPr>
          <w:trHeight w:val="435" w:hRule="atLeast"/>
        </w:trPr>
        <w:tc>
          <w:tcPr>
            <w:tcW w:w="754" w:type="dxa"/>
            <w:tcBorders>
              <w:top w:val="nil"/>
              <w:left w:val="single" w:color="auto" w:sz="4" w:space="0"/>
              <w:bottom w:val="single" w:color="auto" w:sz="4" w:space="0"/>
              <w:right w:val="single" w:color="auto" w:sz="4" w:space="0"/>
            </w:tcBorders>
            <w:noWrap/>
            <w:vAlign w:val="center"/>
          </w:tcPr>
          <w:p w14:paraId="5E304A2C">
            <w:pPr>
              <w:widowControl/>
              <w:spacing w:line="280" w:lineRule="exact"/>
              <w:jc w:val="center"/>
              <w:rPr>
                <w:rFonts w:ascii="宋体" w:cs="宋体"/>
                <w:kern w:val="0"/>
                <w:szCs w:val="21"/>
              </w:rPr>
            </w:pPr>
            <w:r>
              <w:rPr>
                <w:rFonts w:ascii="宋体" w:hAnsi="宋体" w:cs="宋体"/>
                <w:kern w:val="0"/>
                <w:szCs w:val="21"/>
              </w:rPr>
              <w:t>1</w:t>
            </w:r>
            <w:r>
              <w:rPr>
                <w:rFonts w:hint="eastAsia" w:ascii="宋体" w:hAnsi="宋体" w:cs="宋体"/>
                <w:kern w:val="0"/>
                <w:szCs w:val="21"/>
              </w:rPr>
              <w:t>3</w:t>
            </w:r>
          </w:p>
        </w:tc>
        <w:tc>
          <w:tcPr>
            <w:tcW w:w="2364" w:type="dxa"/>
            <w:gridSpan w:val="2"/>
            <w:tcBorders>
              <w:top w:val="nil"/>
              <w:left w:val="nil"/>
              <w:bottom w:val="single" w:color="auto" w:sz="4" w:space="0"/>
              <w:right w:val="single" w:color="auto" w:sz="4" w:space="0"/>
            </w:tcBorders>
            <w:noWrap/>
            <w:vAlign w:val="center"/>
          </w:tcPr>
          <w:p w14:paraId="3DE56D19">
            <w:pPr>
              <w:widowControl/>
              <w:spacing w:line="280" w:lineRule="exact"/>
              <w:rPr>
                <w:rFonts w:ascii="宋体" w:cs="宋体"/>
                <w:kern w:val="0"/>
                <w:szCs w:val="21"/>
              </w:rPr>
            </w:pPr>
            <w:r>
              <w:rPr>
                <w:rFonts w:hint="eastAsia" w:ascii="宋体" w:hAnsi="宋体" w:cs="宋体"/>
                <w:spacing w:val="-11"/>
                <w:kern w:val="0"/>
                <w:szCs w:val="21"/>
              </w:rPr>
              <w:t>城市生活垃圾回收利用率</w:t>
            </w:r>
          </w:p>
        </w:tc>
        <w:tc>
          <w:tcPr>
            <w:tcW w:w="2580" w:type="dxa"/>
            <w:tcBorders>
              <w:top w:val="nil"/>
              <w:left w:val="nil"/>
              <w:bottom w:val="single" w:color="auto" w:sz="4" w:space="0"/>
              <w:right w:val="single" w:color="auto" w:sz="4" w:space="0"/>
            </w:tcBorders>
            <w:vAlign w:val="center"/>
          </w:tcPr>
          <w:p w14:paraId="07EC0D2D">
            <w:pPr>
              <w:widowControl/>
              <w:spacing w:line="280" w:lineRule="exact"/>
              <w:rPr>
                <w:rFonts w:ascii="宋体" w:cs="宋体"/>
                <w:szCs w:val="21"/>
              </w:rPr>
            </w:pPr>
            <w:r>
              <w:rPr>
                <w:rFonts w:hint="eastAsia" w:ascii="宋体" w:hAnsi="宋体" w:cs="宋体"/>
                <w:szCs w:val="21"/>
              </w:rPr>
              <w:t>关于进一步推进生活垃圾分类工作的若干意见</w:t>
            </w:r>
            <w:r>
              <w:rPr>
                <w:rFonts w:hint="eastAsia" w:ascii="宋体" w:hAnsi="宋体"/>
                <w:szCs w:val="21"/>
                <w:shd w:val="clear" w:color="auto" w:fill="FFFFFF"/>
              </w:rPr>
              <w:t>（</w:t>
            </w:r>
            <w:r>
              <w:rPr>
                <w:rFonts w:ascii="宋体" w:hAnsi="宋体"/>
                <w:szCs w:val="21"/>
                <w:shd w:val="clear" w:color="auto" w:fill="FFFFFF"/>
              </w:rPr>
              <w:t>建城</w:t>
            </w:r>
            <w:r>
              <w:rPr>
                <w:rFonts w:hint="eastAsia" w:ascii="宋体" w:hAnsi="宋体"/>
                <w:szCs w:val="21"/>
                <w:shd w:val="clear" w:color="auto" w:fill="FFFFFF"/>
              </w:rPr>
              <w:t>﹝</w:t>
            </w:r>
            <w:r>
              <w:rPr>
                <w:rFonts w:ascii="宋体" w:hAnsi="宋体"/>
                <w:szCs w:val="21"/>
                <w:shd w:val="clear" w:color="auto" w:fill="FFFFFF"/>
              </w:rPr>
              <w:t>2020</w:t>
            </w:r>
            <w:r>
              <w:rPr>
                <w:rFonts w:hint="eastAsia" w:ascii="宋体" w:hAnsi="宋体"/>
                <w:szCs w:val="21"/>
                <w:shd w:val="clear" w:color="auto" w:fill="FFFFFF"/>
              </w:rPr>
              <w:t>）</w:t>
            </w:r>
            <w:r>
              <w:rPr>
                <w:rFonts w:ascii="宋体" w:hAnsi="宋体"/>
                <w:szCs w:val="21"/>
                <w:shd w:val="clear" w:color="auto" w:fill="FFFFFF"/>
              </w:rPr>
              <w:t>93号</w:t>
            </w:r>
            <w:r>
              <w:rPr>
                <w:rFonts w:hint="eastAsia" w:ascii="宋体" w:hAnsi="宋体"/>
                <w:szCs w:val="21"/>
                <w:shd w:val="clear" w:color="auto" w:fill="FFFFFF"/>
              </w:rPr>
              <w:t>）</w:t>
            </w:r>
          </w:p>
        </w:tc>
        <w:tc>
          <w:tcPr>
            <w:tcW w:w="720" w:type="dxa"/>
            <w:tcBorders>
              <w:top w:val="nil"/>
              <w:left w:val="nil"/>
              <w:bottom w:val="single" w:color="auto" w:sz="4" w:space="0"/>
              <w:right w:val="single" w:color="auto" w:sz="4" w:space="0"/>
            </w:tcBorders>
            <w:noWrap/>
            <w:vAlign w:val="center"/>
          </w:tcPr>
          <w:p w14:paraId="7D8E88AD">
            <w:pPr>
              <w:spacing w:line="280" w:lineRule="exact"/>
              <w:jc w:val="center"/>
              <w:rPr>
                <w:rFonts w:ascii="宋体" w:cs="宋体"/>
                <w:kern w:val="0"/>
                <w:szCs w:val="21"/>
              </w:rPr>
            </w:pPr>
            <w:r>
              <w:rPr>
                <w:rFonts w:ascii="宋体" w:hAnsi="宋体" w:cs="宋体"/>
                <w:kern w:val="0"/>
                <w:szCs w:val="21"/>
              </w:rPr>
              <w:t>%</w:t>
            </w:r>
          </w:p>
        </w:tc>
        <w:tc>
          <w:tcPr>
            <w:tcW w:w="1080" w:type="dxa"/>
            <w:tcBorders>
              <w:top w:val="nil"/>
              <w:left w:val="nil"/>
              <w:bottom w:val="single" w:color="auto" w:sz="4" w:space="0"/>
              <w:right w:val="single" w:color="auto" w:sz="4" w:space="0"/>
            </w:tcBorders>
            <w:noWrap/>
            <w:vAlign w:val="center"/>
          </w:tcPr>
          <w:p w14:paraId="4C39A488">
            <w:pPr>
              <w:widowControl/>
              <w:spacing w:line="280" w:lineRule="exact"/>
              <w:jc w:val="right"/>
              <w:rPr>
                <w:rFonts w:ascii="宋体" w:cs="宋体"/>
                <w:kern w:val="0"/>
                <w:szCs w:val="21"/>
              </w:rPr>
            </w:pPr>
          </w:p>
        </w:tc>
        <w:tc>
          <w:tcPr>
            <w:tcW w:w="931" w:type="dxa"/>
            <w:tcBorders>
              <w:top w:val="nil"/>
              <w:left w:val="nil"/>
              <w:bottom w:val="single" w:color="auto" w:sz="4" w:space="0"/>
              <w:right w:val="single" w:color="auto" w:sz="4" w:space="0"/>
            </w:tcBorders>
            <w:noWrap/>
            <w:vAlign w:val="center"/>
          </w:tcPr>
          <w:p w14:paraId="12A7DD1E">
            <w:pPr>
              <w:widowControl/>
              <w:spacing w:line="280" w:lineRule="exact"/>
              <w:jc w:val="right"/>
              <w:rPr>
                <w:rFonts w:ascii="宋体" w:cs="宋体"/>
                <w:kern w:val="0"/>
                <w:szCs w:val="21"/>
              </w:rPr>
            </w:pPr>
            <w:r>
              <w:rPr>
                <w:rFonts w:ascii="宋体" w:hAnsi="宋体" w:cs="宋体"/>
                <w:kern w:val="0"/>
                <w:szCs w:val="21"/>
              </w:rPr>
              <w:t>35.00</w:t>
            </w:r>
          </w:p>
        </w:tc>
      </w:tr>
      <w:tr w14:paraId="642C4B86">
        <w:tblPrEx>
          <w:tblCellMar>
            <w:top w:w="0" w:type="dxa"/>
            <w:left w:w="108" w:type="dxa"/>
            <w:bottom w:w="0" w:type="dxa"/>
            <w:right w:w="108" w:type="dxa"/>
          </w:tblCellMar>
        </w:tblPrEx>
        <w:trPr>
          <w:trHeight w:val="435" w:hRule="atLeast"/>
        </w:trPr>
        <w:tc>
          <w:tcPr>
            <w:tcW w:w="754" w:type="dxa"/>
            <w:tcBorders>
              <w:top w:val="nil"/>
              <w:left w:val="single" w:color="auto" w:sz="4" w:space="0"/>
              <w:bottom w:val="single" w:color="auto" w:sz="4" w:space="0"/>
              <w:right w:val="single" w:color="auto" w:sz="4" w:space="0"/>
            </w:tcBorders>
            <w:noWrap/>
            <w:vAlign w:val="center"/>
          </w:tcPr>
          <w:p w14:paraId="5854EB8F">
            <w:pPr>
              <w:widowControl/>
              <w:spacing w:line="280" w:lineRule="exact"/>
              <w:jc w:val="center"/>
              <w:rPr>
                <w:rFonts w:ascii="宋体" w:cs="宋体"/>
                <w:kern w:val="0"/>
                <w:szCs w:val="21"/>
              </w:rPr>
            </w:pPr>
            <w:r>
              <w:rPr>
                <w:rFonts w:ascii="宋体" w:hAnsi="宋体" w:cs="宋体"/>
                <w:kern w:val="0"/>
                <w:szCs w:val="21"/>
              </w:rPr>
              <w:t>1</w:t>
            </w:r>
            <w:r>
              <w:rPr>
                <w:rFonts w:hint="eastAsia" w:ascii="宋体" w:hAnsi="宋体" w:cs="宋体"/>
                <w:kern w:val="0"/>
                <w:szCs w:val="21"/>
              </w:rPr>
              <w:t>4</w:t>
            </w:r>
          </w:p>
        </w:tc>
        <w:tc>
          <w:tcPr>
            <w:tcW w:w="2364" w:type="dxa"/>
            <w:gridSpan w:val="2"/>
            <w:tcBorders>
              <w:top w:val="nil"/>
              <w:left w:val="nil"/>
              <w:bottom w:val="single" w:color="auto" w:sz="4" w:space="0"/>
              <w:right w:val="single" w:color="auto" w:sz="4" w:space="0"/>
            </w:tcBorders>
            <w:noWrap/>
            <w:vAlign w:val="center"/>
          </w:tcPr>
          <w:p w14:paraId="12422C87">
            <w:pPr>
              <w:widowControl/>
              <w:spacing w:line="280" w:lineRule="exact"/>
              <w:rPr>
                <w:rFonts w:ascii="宋体" w:cs="宋体"/>
                <w:kern w:val="0"/>
                <w:szCs w:val="21"/>
              </w:rPr>
            </w:pPr>
            <w:r>
              <w:rPr>
                <w:rFonts w:hint="eastAsia" w:ascii="宋体" w:hAnsi="宋体" w:cs="宋体"/>
                <w:kern w:val="0"/>
                <w:szCs w:val="21"/>
              </w:rPr>
              <w:t>餐厨垃圾收集率</w:t>
            </w:r>
          </w:p>
        </w:tc>
        <w:tc>
          <w:tcPr>
            <w:tcW w:w="2580" w:type="dxa"/>
            <w:tcBorders>
              <w:top w:val="nil"/>
              <w:left w:val="nil"/>
              <w:bottom w:val="single" w:color="auto" w:sz="4" w:space="0"/>
              <w:right w:val="single" w:color="auto" w:sz="4" w:space="0"/>
            </w:tcBorders>
            <w:vAlign w:val="center"/>
          </w:tcPr>
          <w:p w14:paraId="331B6735">
            <w:pPr>
              <w:widowControl/>
              <w:spacing w:line="280" w:lineRule="exact"/>
              <w:rPr>
                <w:rFonts w:ascii="宋体" w:cs="宋体"/>
                <w:kern w:val="0"/>
                <w:szCs w:val="21"/>
              </w:rPr>
            </w:pPr>
            <w:r>
              <w:rPr>
                <w:rFonts w:hint="eastAsia" w:ascii="宋体" w:hAnsi="宋体" w:cs="宋体"/>
                <w:szCs w:val="21"/>
              </w:rPr>
              <w:t>湘潭市“十四五”城市市政基础设施建设规划目标</w:t>
            </w:r>
          </w:p>
        </w:tc>
        <w:tc>
          <w:tcPr>
            <w:tcW w:w="720" w:type="dxa"/>
            <w:tcBorders>
              <w:top w:val="nil"/>
              <w:left w:val="nil"/>
              <w:bottom w:val="single" w:color="auto" w:sz="4" w:space="0"/>
              <w:right w:val="single" w:color="auto" w:sz="4" w:space="0"/>
            </w:tcBorders>
            <w:noWrap/>
            <w:vAlign w:val="center"/>
          </w:tcPr>
          <w:p w14:paraId="67C2AF8C">
            <w:pPr>
              <w:spacing w:line="280" w:lineRule="exact"/>
              <w:jc w:val="center"/>
              <w:rPr>
                <w:rFonts w:ascii="宋体" w:cs="宋体"/>
                <w:szCs w:val="21"/>
              </w:rPr>
            </w:pPr>
            <w:r>
              <w:rPr>
                <w:rFonts w:ascii="宋体" w:hAnsi="宋体" w:cs="宋体"/>
                <w:kern w:val="0"/>
                <w:szCs w:val="21"/>
              </w:rPr>
              <w:t>%</w:t>
            </w:r>
          </w:p>
        </w:tc>
        <w:tc>
          <w:tcPr>
            <w:tcW w:w="1080" w:type="dxa"/>
            <w:tcBorders>
              <w:top w:val="nil"/>
              <w:left w:val="nil"/>
              <w:bottom w:val="single" w:color="auto" w:sz="4" w:space="0"/>
              <w:right w:val="single" w:color="auto" w:sz="4" w:space="0"/>
            </w:tcBorders>
            <w:noWrap/>
            <w:vAlign w:val="center"/>
          </w:tcPr>
          <w:p w14:paraId="5E970A3A">
            <w:pPr>
              <w:widowControl/>
              <w:spacing w:line="280" w:lineRule="exact"/>
              <w:jc w:val="right"/>
              <w:rPr>
                <w:rFonts w:ascii="宋体" w:cs="宋体"/>
                <w:kern w:val="0"/>
                <w:szCs w:val="21"/>
              </w:rPr>
            </w:pPr>
          </w:p>
        </w:tc>
        <w:tc>
          <w:tcPr>
            <w:tcW w:w="931" w:type="dxa"/>
            <w:tcBorders>
              <w:top w:val="nil"/>
              <w:left w:val="nil"/>
              <w:bottom w:val="single" w:color="auto" w:sz="4" w:space="0"/>
              <w:right w:val="single" w:color="auto" w:sz="4" w:space="0"/>
            </w:tcBorders>
            <w:noWrap/>
            <w:vAlign w:val="center"/>
          </w:tcPr>
          <w:p w14:paraId="4DFD2C32">
            <w:pPr>
              <w:widowControl/>
              <w:spacing w:line="280" w:lineRule="exact"/>
              <w:jc w:val="right"/>
              <w:rPr>
                <w:rFonts w:ascii="宋体" w:cs="宋体"/>
                <w:kern w:val="0"/>
                <w:szCs w:val="21"/>
              </w:rPr>
            </w:pPr>
            <w:r>
              <w:rPr>
                <w:rFonts w:ascii="宋体" w:hAnsi="宋体" w:cs="宋体"/>
                <w:kern w:val="0"/>
                <w:szCs w:val="21"/>
              </w:rPr>
              <w:t>95.00</w:t>
            </w:r>
          </w:p>
        </w:tc>
      </w:tr>
      <w:tr w14:paraId="0B5A48E6">
        <w:tblPrEx>
          <w:tblCellMar>
            <w:top w:w="0" w:type="dxa"/>
            <w:left w:w="108" w:type="dxa"/>
            <w:bottom w:w="0" w:type="dxa"/>
            <w:right w:w="108" w:type="dxa"/>
          </w:tblCellMar>
        </w:tblPrEx>
        <w:trPr>
          <w:trHeight w:val="435" w:hRule="atLeast"/>
        </w:trPr>
        <w:tc>
          <w:tcPr>
            <w:tcW w:w="754" w:type="dxa"/>
            <w:tcBorders>
              <w:top w:val="nil"/>
              <w:left w:val="single" w:color="auto" w:sz="4" w:space="0"/>
              <w:bottom w:val="single" w:color="auto" w:sz="4" w:space="0"/>
              <w:right w:val="single" w:color="auto" w:sz="4" w:space="0"/>
            </w:tcBorders>
            <w:noWrap/>
            <w:vAlign w:val="center"/>
          </w:tcPr>
          <w:p w14:paraId="7171C15F">
            <w:pPr>
              <w:widowControl/>
              <w:spacing w:line="280" w:lineRule="exact"/>
              <w:jc w:val="center"/>
              <w:rPr>
                <w:rFonts w:ascii="宋体" w:cs="宋体"/>
                <w:kern w:val="0"/>
                <w:szCs w:val="21"/>
              </w:rPr>
            </w:pPr>
            <w:r>
              <w:rPr>
                <w:rFonts w:ascii="宋体" w:hAnsi="宋体" w:cs="宋体"/>
                <w:kern w:val="0"/>
                <w:szCs w:val="21"/>
              </w:rPr>
              <w:t>1</w:t>
            </w:r>
            <w:r>
              <w:rPr>
                <w:rFonts w:hint="eastAsia" w:ascii="宋体" w:hAnsi="宋体" w:cs="宋体"/>
                <w:kern w:val="0"/>
                <w:szCs w:val="21"/>
              </w:rPr>
              <w:t>5</w:t>
            </w:r>
          </w:p>
        </w:tc>
        <w:tc>
          <w:tcPr>
            <w:tcW w:w="2364" w:type="dxa"/>
            <w:gridSpan w:val="2"/>
            <w:tcBorders>
              <w:top w:val="nil"/>
              <w:left w:val="nil"/>
              <w:bottom w:val="single" w:color="auto" w:sz="4" w:space="0"/>
              <w:right w:val="single" w:color="auto" w:sz="4" w:space="0"/>
            </w:tcBorders>
            <w:noWrap/>
            <w:vAlign w:val="center"/>
          </w:tcPr>
          <w:p w14:paraId="0E4237EE">
            <w:pPr>
              <w:widowControl/>
              <w:spacing w:line="280" w:lineRule="exact"/>
              <w:rPr>
                <w:rFonts w:ascii="宋体" w:cs="宋体"/>
                <w:kern w:val="0"/>
                <w:szCs w:val="21"/>
              </w:rPr>
            </w:pPr>
            <w:r>
              <w:rPr>
                <w:rFonts w:hint="eastAsia" w:ascii="宋体" w:hAnsi="宋体" w:cs="宋体"/>
                <w:kern w:val="0"/>
                <w:szCs w:val="21"/>
              </w:rPr>
              <w:t>建筑垃圾资源化利用率</w:t>
            </w:r>
          </w:p>
        </w:tc>
        <w:tc>
          <w:tcPr>
            <w:tcW w:w="2580" w:type="dxa"/>
            <w:tcBorders>
              <w:top w:val="nil"/>
              <w:left w:val="nil"/>
              <w:bottom w:val="single" w:color="auto" w:sz="4" w:space="0"/>
              <w:right w:val="single" w:color="auto" w:sz="4" w:space="0"/>
            </w:tcBorders>
            <w:vAlign w:val="center"/>
          </w:tcPr>
          <w:p w14:paraId="74EE7C46">
            <w:pPr>
              <w:widowControl/>
              <w:spacing w:line="280" w:lineRule="exact"/>
              <w:rPr>
                <w:rFonts w:ascii="宋体" w:cs="宋体"/>
                <w:kern w:val="0"/>
                <w:szCs w:val="21"/>
              </w:rPr>
            </w:pPr>
            <w:r>
              <w:rPr>
                <w:rFonts w:hint="eastAsia" w:ascii="宋体" w:hAnsi="宋体" w:cs="宋体"/>
                <w:szCs w:val="21"/>
              </w:rPr>
              <w:t>湖南省建筑垃圾资源化利用发展规划（</w:t>
            </w:r>
            <w:r>
              <w:rPr>
                <w:rFonts w:ascii="宋体" w:hAnsi="宋体" w:cs="宋体"/>
                <w:szCs w:val="21"/>
              </w:rPr>
              <w:t>2020-2030</w:t>
            </w:r>
            <w:r>
              <w:rPr>
                <w:rFonts w:hint="eastAsia" w:ascii="宋体" w:hAnsi="宋体" w:cs="宋体"/>
                <w:szCs w:val="21"/>
              </w:rPr>
              <w:t>）（湘建建</w:t>
            </w:r>
            <w:r>
              <w:rPr>
                <w:rFonts w:ascii="宋体" w:hAnsi="宋体" w:cs="宋体"/>
                <w:szCs w:val="21"/>
              </w:rPr>
              <w:t>[2020]52</w:t>
            </w:r>
            <w:r>
              <w:rPr>
                <w:rFonts w:hint="eastAsia" w:ascii="宋体" w:hAnsi="宋体" w:cs="宋体"/>
                <w:szCs w:val="21"/>
              </w:rPr>
              <w:t>号）</w:t>
            </w:r>
          </w:p>
        </w:tc>
        <w:tc>
          <w:tcPr>
            <w:tcW w:w="720" w:type="dxa"/>
            <w:tcBorders>
              <w:top w:val="nil"/>
              <w:left w:val="nil"/>
              <w:bottom w:val="single" w:color="auto" w:sz="4" w:space="0"/>
              <w:right w:val="single" w:color="auto" w:sz="4" w:space="0"/>
            </w:tcBorders>
            <w:noWrap/>
            <w:vAlign w:val="center"/>
          </w:tcPr>
          <w:p w14:paraId="417865E4">
            <w:pPr>
              <w:widowControl/>
              <w:spacing w:line="280" w:lineRule="exact"/>
              <w:jc w:val="center"/>
              <w:rPr>
                <w:rFonts w:ascii="宋体" w:cs="宋体"/>
                <w:kern w:val="0"/>
                <w:szCs w:val="21"/>
              </w:rPr>
            </w:pPr>
            <w:r>
              <w:rPr>
                <w:rFonts w:ascii="宋体" w:hAnsi="宋体" w:cs="宋体"/>
                <w:kern w:val="0"/>
                <w:szCs w:val="21"/>
              </w:rPr>
              <w:t>%</w:t>
            </w:r>
          </w:p>
        </w:tc>
        <w:tc>
          <w:tcPr>
            <w:tcW w:w="1080" w:type="dxa"/>
            <w:tcBorders>
              <w:top w:val="nil"/>
              <w:left w:val="nil"/>
              <w:bottom w:val="single" w:color="auto" w:sz="4" w:space="0"/>
              <w:right w:val="single" w:color="auto" w:sz="4" w:space="0"/>
            </w:tcBorders>
            <w:noWrap/>
            <w:vAlign w:val="center"/>
          </w:tcPr>
          <w:p w14:paraId="7B8728DD">
            <w:pPr>
              <w:widowControl/>
              <w:spacing w:line="280" w:lineRule="exact"/>
              <w:jc w:val="right"/>
              <w:rPr>
                <w:rFonts w:ascii="宋体" w:cs="宋体"/>
                <w:kern w:val="0"/>
                <w:szCs w:val="21"/>
              </w:rPr>
            </w:pPr>
            <w:r>
              <w:rPr>
                <w:rFonts w:ascii="宋体" w:hAnsi="宋体" w:cs="宋体"/>
                <w:kern w:val="0"/>
                <w:szCs w:val="21"/>
              </w:rPr>
              <w:t>35.00</w:t>
            </w:r>
          </w:p>
        </w:tc>
        <w:tc>
          <w:tcPr>
            <w:tcW w:w="931" w:type="dxa"/>
            <w:tcBorders>
              <w:top w:val="nil"/>
              <w:left w:val="nil"/>
              <w:bottom w:val="single" w:color="auto" w:sz="4" w:space="0"/>
              <w:right w:val="single" w:color="auto" w:sz="4" w:space="0"/>
            </w:tcBorders>
            <w:noWrap/>
            <w:vAlign w:val="center"/>
          </w:tcPr>
          <w:p w14:paraId="4FA048FE">
            <w:pPr>
              <w:widowControl/>
              <w:spacing w:line="280" w:lineRule="exact"/>
              <w:jc w:val="right"/>
              <w:rPr>
                <w:rFonts w:ascii="宋体" w:cs="宋体"/>
                <w:kern w:val="0"/>
                <w:szCs w:val="21"/>
              </w:rPr>
            </w:pPr>
            <w:r>
              <w:rPr>
                <w:rFonts w:ascii="宋体" w:hAnsi="宋体" w:cs="宋体"/>
                <w:kern w:val="0"/>
                <w:szCs w:val="21"/>
              </w:rPr>
              <w:t>70.00</w:t>
            </w:r>
          </w:p>
        </w:tc>
      </w:tr>
    </w:tbl>
    <w:p w14:paraId="3E9CD75F">
      <w:pPr>
        <w:pStyle w:val="3"/>
        <w:numPr>
          <w:ilvl w:val="0"/>
          <w:numId w:val="0"/>
        </w:numPr>
        <w:spacing w:before="156" w:after="156" w:line="560" w:lineRule="exact"/>
        <w:jc w:val="center"/>
        <w:rPr>
          <w:rFonts w:ascii="宋体" w:hAnsi="宋体" w:cs="宋体"/>
          <w:color w:val="000000" w:themeColor="text1"/>
        </w:rPr>
      </w:pPr>
      <w:bookmarkStart w:id="33" w:name="_Toc21989"/>
      <w:r>
        <w:rPr>
          <w:rFonts w:hint="eastAsia" w:ascii="宋体" w:hAnsi="宋体" w:cs="宋体"/>
          <w:color w:val="000000" w:themeColor="text1"/>
          <w:sz w:val="30"/>
          <w:szCs w:val="30"/>
        </w:rPr>
        <w:t>第四节  湘潭“十四五”城市管理系统建设任务</w:t>
      </w:r>
      <w:bookmarkEnd w:id="33"/>
    </w:p>
    <w:p w14:paraId="5E44E7FA">
      <w:pPr>
        <w:pStyle w:val="4"/>
        <w:numPr>
          <w:ilvl w:val="0"/>
          <w:numId w:val="0"/>
        </w:numPr>
        <w:spacing w:before="120" w:after="156" w:line="560" w:lineRule="exact"/>
        <w:ind w:left="482"/>
        <w:rPr>
          <w:rFonts w:cs="宋体"/>
          <w:color w:val="000000" w:themeColor="text1"/>
          <w:sz w:val="28"/>
          <w:szCs w:val="28"/>
          <w:lang w:eastAsia="zh-CN"/>
        </w:rPr>
      </w:pPr>
      <w:bookmarkStart w:id="34" w:name="_Toc32580"/>
      <w:r>
        <w:rPr>
          <w:rFonts w:hint="eastAsia" w:cs="宋体"/>
          <w:color w:val="000000" w:themeColor="text1"/>
          <w:sz w:val="28"/>
          <w:szCs w:val="28"/>
          <w:lang w:eastAsia="zh-CN"/>
        </w:rPr>
        <w:t>一、提升行业管理水平</w:t>
      </w:r>
      <w:bookmarkEnd w:id="34"/>
    </w:p>
    <w:p w14:paraId="512810AE">
      <w:pPr>
        <w:ind w:firstLine="560" w:firstLineChars="200"/>
        <w:rPr>
          <w:rFonts w:ascii="宋体" w:hAnsi="宋体" w:cs="宋体"/>
          <w:color w:val="000000" w:themeColor="text1"/>
          <w:sz w:val="28"/>
          <w:szCs w:val="28"/>
        </w:rPr>
      </w:pPr>
      <w:r>
        <w:rPr>
          <w:rFonts w:hint="eastAsia" w:ascii="宋体" w:hAnsi="宋体" w:cs="宋体"/>
          <w:color w:val="000000" w:themeColor="text1"/>
          <w:kern w:val="0"/>
          <w:sz w:val="28"/>
          <w:szCs w:val="28"/>
        </w:rPr>
        <w:t>持续深入开展城市精细化管理，促进市容市貌不断靓化，建设美丽湘潭。通过</w:t>
      </w:r>
      <w:r>
        <w:rPr>
          <w:rFonts w:hint="eastAsia" w:ascii="宋体" w:hAnsi="宋体" w:cs="宋体"/>
          <w:color w:val="000000" w:themeColor="text1"/>
          <w:sz w:val="28"/>
          <w:szCs w:val="28"/>
        </w:rPr>
        <w:t>全面提升城市管理标准、全面改善城市环境面貌和全面创新城市管理机制，深化城管进小区，强化网格化管理机制，进一步完善城市管理考核机制，加大督查考核力度。推进城市园林绿化、</w:t>
      </w:r>
      <w:r>
        <w:rPr>
          <w:rFonts w:hint="eastAsia" w:ascii="宋体" w:hAnsi="宋体" w:cs="宋体"/>
          <w:sz w:val="28"/>
          <w:szCs w:val="28"/>
        </w:rPr>
        <w:t>城市卫生、城市照明、城市广告、建筑工地和渣土运输精细化管理</w:t>
      </w:r>
      <w:r>
        <w:rPr>
          <w:rFonts w:hint="eastAsia" w:ascii="宋体" w:hAnsi="宋体" w:cs="宋体"/>
          <w:color w:val="000000" w:themeColor="text1"/>
          <w:kern w:val="0"/>
          <w:sz w:val="28"/>
          <w:szCs w:val="28"/>
        </w:rPr>
        <w:t>。探索建立“两级政府、三级管理、四级网络”的管理长效模式，</w:t>
      </w:r>
      <w:r>
        <w:rPr>
          <w:rFonts w:hint="eastAsia" w:ascii="宋体" w:hAnsi="宋体" w:cs="宋体"/>
          <w:color w:val="000000" w:themeColor="text1"/>
          <w:sz w:val="28"/>
          <w:szCs w:val="28"/>
        </w:rPr>
        <w:t>强化乡镇（街道）、社区（村）在城市精细化管理中的作用，</w:t>
      </w:r>
      <w:r>
        <w:rPr>
          <w:rFonts w:hint="eastAsia" w:ascii="宋体" w:hAnsi="宋体" w:cs="宋体"/>
          <w:color w:val="000000" w:themeColor="text1"/>
          <w:kern w:val="0"/>
          <w:sz w:val="28"/>
          <w:szCs w:val="28"/>
        </w:rPr>
        <w:t>牢固树立为人民服务的思想，让美丽湘潭成为湘潭人民追求日益美好生活的有力依托。</w:t>
      </w:r>
    </w:p>
    <w:p w14:paraId="00909707">
      <w:pPr>
        <w:pStyle w:val="4"/>
        <w:numPr>
          <w:ilvl w:val="0"/>
          <w:numId w:val="0"/>
        </w:numPr>
        <w:spacing w:before="120" w:after="156" w:line="560" w:lineRule="exact"/>
        <w:ind w:left="482"/>
        <w:rPr>
          <w:rFonts w:cs="宋体"/>
          <w:color w:val="000000" w:themeColor="text1"/>
          <w:sz w:val="28"/>
          <w:szCs w:val="28"/>
          <w:lang w:eastAsia="zh-CN"/>
        </w:rPr>
      </w:pPr>
      <w:bookmarkStart w:id="35" w:name="_Toc18773"/>
      <w:r>
        <w:rPr>
          <w:rFonts w:hint="eastAsia" w:cs="宋体"/>
          <w:color w:val="000000" w:themeColor="text1"/>
          <w:sz w:val="28"/>
          <w:szCs w:val="28"/>
          <w:lang w:eastAsia="zh-CN"/>
        </w:rPr>
        <w:t>二、打造城市综合管理服务平台</w:t>
      </w:r>
      <w:bookmarkEnd w:id="35"/>
    </w:p>
    <w:p w14:paraId="113BEA80">
      <w:pPr>
        <w:adjustRightInd w:val="0"/>
        <w:snapToGrid w:val="0"/>
        <w:spacing w:line="560" w:lineRule="exact"/>
        <w:ind w:firstLine="548" w:firstLineChars="196"/>
        <w:rPr>
          <w:rFonts w:ascii="宋体" w:hAnsi="宋体" w:cs="宋体"/>
          <w:color w:val="FF0000"/>
          <w:sz w:val="28"/>
          <w:szCs w:val="28"/>
        </w:rPr>
      </w:pPr>
      <w:r>
        <w:rPr>
          <w:rFonts w:hint="eastAsia" w:ascii="宋体" w:hAnsi="宋体" w:cs="宋体"/>
          <w:color w:val="000000" w:themeColor="text1"/>
          <w:sz w:val="28"/>
          <w:szCs w:val="28"/>
        </w:rPr>
        <w:t>以中央和湖南省关于深入推进城市执法体制改革，改进城市管理工作相关文件为指导，以体制机制创新为保障，运用大数据、云计算、物联网、区块链、5G等现代信息技术</w:t>
      </w:r>
      <w:r>
        <w:rPr>
          <w:rFonts w:hint="eastAsia" w:ascii="宋体" w:hAnsi="宋体" w:cs="宋体"/>
          <w:color w:val="000000" w:themeColor="text1"/>
          <w:kern w:val="0"/>
          <w:sz w:val="28"/>
          <w:szCs w:val="28"/>
        </w:rPr>
        <w:t>结合遥感技术、GIS技术</w:t>
      </w:r>
      <w:r>
        <w:rPr>
          <w:rFonts w:hint="eastAsia" w:ascii="宋体" w:hAnsi="宋体" w:cs="宋体"/>
          <w:color w:val="000000" w:themeColor="text1"/>
          <w:sz w:val="28"/>
          <w:szCs w:val="28"/>
        </w:rPr>
        <w:t>，整合信息平台，搭建功能实用、技术先进、架构开放的城市综合管理服务平台，推动城市治理体系及治理能力现代化，打造“干净、整洁、有序、安全、群众满意”的现代化城市。完善湘潭市城市综合管理服务平台一期即“智慧城管”二期建设（主要包括视频监控预警、渣土运输监管系统、“牛皮癣”治理系统、行政审批及处罚、公众服务等应用建设），建好湘潭市城市综合管理服务平台二期（包括管理体系、应用体系、数据体系、运行环境），其中应用体系建设内容包括智慧环卫系统、智慧园林系统、智慧照明系统、智慧燃气系统、智慧市政系统、智慧执法系统、桥梁在线监测系统、智慧停车系统、户外广告管理系统、全行业综合评价系统，完善城市管理“大脑”功能。实现城市综合管理服务平台国家、省、市、县四级联网互通和数据同步。</w:t>
      </w:r>
    </w:p>
    <w:p w14:paraId="1C4B7FE3">
      <w:pPr>
        <w:pStyle w:val="4"/>
        <w:numPr>
          <w:ilvl w:val="0"/>
          <w:numId w:val="0"/>
        </w:numPr>
        <w:spacing w:before="120" w:after="156" w:line="560" w:lineRule="exact"/>
        <w:ind w:left="482"/>
        <w:rPr>
          <w:rFonts w:cs="宋体"/>
          <w:color w:val="000000" w:themeColor="text1"/>
          <w:sz w:val="28"/>
          <w:szCs w:val="28"/>
          <w:lang w:eastAsia="zh-CN"/>
        </w:rPr>
      </w:pPr>
      <w:bookmarkStart w:id="36" w:name="_Toc5899"/>
      <w:r>
        <w:rPr>
          <w:rFonts w:hint="eastAsia" w:cs="宋体"/>
          <w:color w:val="000000" w:themeColor="text1"/>
          <w:sz w:val="28"/>
          <w:szCs w:val="28"/>
          <w:lang w:eastAsia="zh-CN"/>
        </w:rPr>
        <w:t>三、实现城乡环卫一体化</w:t>
      </w:r>
      <w:bookmarkEnd w:id="36"/>
    </w:p>
    <w:p w14:paraId="7A67A6F0">
      <w:pPr>
        <w:pStyle w:val="8"/>
        <w:spacing w:line="560" w:lineRule="exact"/>
        <w:ind w:firstLine="560" w:firstLineChars="200"/>
        <w:rPr>
          <w:rFonts w:ascii="宋体" w:hAnsi="宋体" w:cs="宋体"/>
          <w:color w:val="000000" w:themeColor="text1"/>
          <w:sz w:val="28"/>
          <w:szCs w:val="28"/>
        </w:rPr>
      </w:pPr>
      <w:r>
        <w:rPr>
          <w:rFonts w:hint="eastAsia" w:ascii="宋体" w:hAnsi="宋体" w:cs="宋体"/>
          <w:color w:val="000000" w:themeColor="text1"/>
          <w:sz w:val="28"/>
          <w:szCs w:val="28"/>
        </w:rPr>
        <w:t>遵循环境保护和节约资源的基本国策，贯彻落实新发展理念，按照节能减排和循环经济的要求，系统解决城乡环境卫生管理和设施建设中存在的突出问题，提升环境卫生设施设备整体水平，建设高效先进、节能环保的环境卫生管理和服务体系，努力创造更加清洁、舒适、安全、优美的人居环境。合理布局和建设环境卫生设施，完善环境卫生设备，缩小区域间环境卫生管理差距，提高环境卫生管理服务水平，将湘潭建设成为城乡环境卫生协调发展、生态环境优美的宜居城市，全市环境卫生达到国内领先水平。建立生活垃圾分类收集、分类运输、分类处置国内先进的生活垃圾收运处理系统；建立健全餐厨垃圾、建筑垃圾、大件垃圾等其他固废的收运处理体系，提高固废综合处理水平，使餐厨垃圾、建筑垃圾、大件垃圾等其他固废得到综合利用；完善城市日常保洁体系，提高城市日常保洁能力和环境卫生公共服务设施的建设、运行和服务水平，打造清洁城市。实现垃圾收集分类化，垃圾运输密闭化，垃圾处理减量化、资源化、无害化，粪便排放管道化，环境卫生作业机械化、环保化，环境卫生设施布局合理化，环境卫生管理法制化、社会化，环境卫生作业服务规范化、市场化。建立“组保洁、村收集、镇转运、市县集中处理”机制，将农村生活垃圾纳入县（市）生活垃圾处置系统统一处理，实现农村生活垃圾无害化处理。</w:t>
      </w:r>
    </w:p>
    <w:p w14:paraId="0991A1B8">
      <w:pPr>
        <w:pStyle w:val="4"/>
        <w:numPr>
          <w:ilvl w:val="2"/>
          <w:numId w:val="0"/>
        </w:numPr>
        <w:spacing w:after="156"/>
        <w:ind w:left="420" w:leftChars="200"/>
        <w:rPr>
          <w:rFonts w:cs="宋体"/>
          <w:color w:val="000000" w:themeColor="text1"/>
          <w:sz w:val="28"/>
          <w:szCs w:val="28"/>
          <w:lang w:eastAsia="zh-CN"/>
        </w:rPr>
      </w:pPr>
      <w:bookmarkStart w:id="37" w:name="_Toc28381"/>
      <w:r>
        <w:rPr>
          <w:rFonts w:hint="eastAsia"/>
          <w:sz w:val="28"/>
          <w:szCs w:val="28"/>
          <w:lang w:eastAsia="zh-CN"/>
        </w:rPr>
        <w:t>四、</w:t>
      </w:r>
      <w:r>
        <w:rPr>
          <w:rFonts w:hint="eastAsia" w:cs="宋体"/>
          <w:color w:val="000000" w:themeColor="text1"/>
          <w:sz w:val="28"/>
          <w:szCs w:val="28"/>
          <w:lang w:eastAsia="zh-CN"/>
        </w:rPr>
        <w:t>推进垃圾资源化利用</w:t>
      </w:r>
      <w:bookmarkEnd w:id="37"/>
    </w:p>
    <w:p w14:paraId="4D44B24E">
      <w:pPr>
        <w:pStyle w:val="8"/>
        <w:spacing w:line="560" w:lineRule="exact"/>
        <w:ind w:firstLine="560" w:firstLineChars="200"/>
        <w:jc w:val="both"/>
        <w:rPr>
          <w:rFonts w:ascii="宋体" w:hAnsi="宋体" w:cs="宋体"/>
          <w:color w:val="000000" w:themeColor="text1"/>
          <w:sz w:val="28"/>
          <w:szCs w:val="28"/>
        </w:rPr>
      </w:pPr>
      <w:r>
        <w:rPr>
          <w:rFonts w:hint="eastAsia" w:ascii="宋体" w:hAnsi="宋体" w:cs="宋体"/>
          <w:color w:val="000000" w:themeColor="text1"/>
          <w:sz w:val="28"/>
          <w:szCs w:val="28"/>
        </w:rPr>
        <w:t>深入贯彻习近平总书记关于普遍推行垃圾分类制度的重要指示精神，落实我省生活垃圾分类指南要求，建立并完善城乡生活垃圾分类投放、分类收集、分类运输、分类处理的体系，统筹规划建设垃圾分拣和终端处理设施，提高生活垃圾资源化利用水平；完善垃圾源头减量控制体系，有效衔接资源回收利用网络，缓解生活垃圾清运和终端处理压力，实现生活垃圾的减量化、无害化和资源化，改善全市人居环境质量。根据《湘潭市城市总体规划（2010-2020）（2017年修订）》《湘潭市环境卫生行业发展规划（2017-2030年）》《湘潭市城区生活垃圾分类和治理规划（2020-2035）》以及《湖南省“十三五”城镇生活垃圾无害化处理设施建设规划》，确定“十四五”湘潭市城区生活垃圾分类收运和处理目标，以“创新、协调、绿色、开放、共享”五大理念为引领，遵照国家关于城市生活垃圾减量化、资源化、无害化管理规定，围绕按照提高城镇人居环境质量、推进城市可持续发展的总体要求，强化政府责任和部门协同，提升全民公共环境责任意识，树立生活垃圾全过程分类管理理念，建立健全分类投放、分类收集、分类运输和分类处置的运行管理体系，构建“两网融合”废旧回收物循环再利用体系。抓住生活垃圾、餐厨垃圾、有害垃圾等重点对象，突出分类减量、规范回收、再生利用等关键环节，实现从单纯的分类投放向投、收、运、处全程分类管理转变，提高城乡生活垃圾分类管理水平，促进源头减量，推进资源化利用，确保无害化处理。</w:t>
      </w:r>
    </w:p>
    <w:p w14:paraId="60C10706">
      <w:pPr>
        <w:pStyle w:val="4"/>
        <w:numPr>
          <w:ilvl w:val="0"/>
          <w:numId w:val="0"/>
        </w:numPr>
        <w:spacing w:before="120" w:after="156" w:line="560" w:lineRule="exact"/>
        <w:ind w:left="482"/>
        <w:rPr>
          <w:rFonts w:cs="宋体"/>
          <w:color w:val="000000" w:themeColor="text1"/>
          <w:sz w:val="28"/>
          <w:szCs w:val="28"/>
          <w:lang w:eastAsia="zh-CN"/>
        </w:rPr>
      </w:pPr>
      <w:bookmarkStart w:id="38" w:name="_Toc5755"/>
      <w:r>
        <w:rPr>
          <w:rFonts w:hint="eastAsia" w:cs="宋体"/>
          <w:color w:val="000000" w:themeColor="text1"/>
          <w:sz w:val="28"/>
          <w:szCs w:val="28"/>
          <w:lang w:eastAsia="zh-CN"/>
        </w:rPr>
        <w:t>五、提升管理系统承载力</w:t>
      </w:r>
      <w:bookmarkEnd w:id="38"/>
    </w:p>
    <w:p w14:paraId="1E97C271">
      <w:pPr>
        <w:adjustRightInd w:val="0"/>
        <w:snapToGrid w:val="0"/>
        <w:spacing w:line="560" w:lineRule="exact"/>
        <w:ind w:firstLine="548" w:firstLineChars="196"/>
        <w:rPr>
          <w:rFonts w:ascii="宋体" w:hAnsi="宋体" w:cs="宋体"/>
          <w:color w:val="000000" w:themeColor="text1"/>
          <w:sz w:val="28"/>
          <w:szCs w:val="28"/>
        </w:rPr>
      </w:pPr>
      <w:r>
        <w:rPr>
          <w:rFonts w:hint="eastAsia" w:ascii="宋体" w:hAnsi="宋体" w:cs="宋体"/>
          <w:color w:val="000000" w:themeColor="text1"/>
          <w:sz w:val="28"/>
          <w:szCs w:val="28"/>
        </w:rPr>
        <w:t>紧紧围绕我市深化“六个湘潭”建设、打造“四区一地”的目标，积极推进园林绿化、城市照明、城市燃气、步行和自行车、停车场（位）、城市道路、给水排水、桥梁隧道、广场涵洞等基础设施建设，旨在建立完备、高效、稳定的市政基础设施系统，不断提高城市环境品位和居民生活幸福指数，奋力建设“伟人故里、大美湘潭”。完成</w:t>
      </w:r>
      <w:r>
        <w:rPr>
          <w:rFonts w:hint="eastAsia" w:ascii="宋体" w:hAnsi="宋体" w:cs="宋体"/>
          <w:sz w:val="28"/>
          <w:szCs w:val="28"/>
        </w:rPr>
        <w:t>湘潭市城市照明安全隐患整改项目</w:t>
      </w:r>
      <w:r>
        <w:rPr>
          <w:rFonts w:hint="eastAsia" w:ascii="宋体" w:hAnsi="宋体" w:cs="宋体"/>
          <w:color w:val="000000" w:themeColor="text1"/>
          <w:sz w:val="28"/>
          <w:szCs w:val="28"/>
        </w:rPr>
        <w:t>和湘潭市智慧照明三期建设项目。制定标准化的维护作业流程，实现维护作业精细化，</w:t>
      </w:r>
      <w:r>
        <w:rPr>
          <w:rStyle w:val="63"/>
          <w:rFonts w:hint="eastAsia" w:ascii="宋体" w:hAnsi="宋体" w:cs="宋体"/>
          <w:color w:val="000000" w:themeColor="text1"/>
          <w:sz w:val="28"/>
          <w:szCs w:val="28"/>
        </w:rPr>
        <w:t>在城区重要节点道路推行“多杆合一”智慧路灯试点</w:t>
      </w:r>
      <w:r>
        <w:rPr>
          <w:rFonts w:hint="eastAsia" w:ascii="宋体" w:hAnsi="宋体" w:cs="宋体"/>
          <w:color w:val="000000" w:themeColor="text1"/>
          <w:sz w:val="28"/>
          <w:szCs w:val="28"/>
        </w:rPr>
        <w:t>。</w:t>
      </w:r>
      <w:r>
        <w:rPr>
          <w:rFonts w:hint="eastAsia" w:ascii="宋体" w:hAnsi="宋体" w:cs="宋体"/>
          <w:color w:val="000000" w:themeColor="text1"/>
          <w:kern w:val="0"/>
          <w:sz w:val="28"/>
          <w:szCs w:val="28"/>
        </w:rPr>
        <w:t>合理布局湘潭燃气设施建设，积极推进分布式能源项目建设，拓展天然气消费，以增储为保障，以改革为抓手，构建湘潭燃气安全稳定生产体系。</w:t>
      </w:r>
      <w:r>
        <w:rPr>
          <w:rFonts w:hint="eastAsia" w:ascii="宋体" w:hAnsi="宋体" w:cs="宋体"/>
          <w:color w:val="000000" w:themeColor="text1"/>
          <w:sz w:val="28"/>
          <w:szCs w:val="28"/>
        </w:rPr>
        <w:t>改善行人、非机动车交通环境及便利条件，在公交优先的发展背景下，调控和引导短途自行车的合理使用发展，鼓励更多的短途出行使用环保、健身、休闲的步行及自行车交通方式，建设自然高品质的步行交通系统、畅通舒适安全的自行车交通系统。引入市场机制，吸引社会资本进行公共停车场投资、建设、运营，形成以配建停车为主体，城市公共停车为辅助，路内停车为补充的区域差异化停车供应体系，逐步建立合理的收费机制，推动停车发展的社会化、产业化和信息化，实现与湘潭社会经济的协调发展。推动传统停车场升级改造，推进城市智慧停车、共享车位、充电桩等建设。推进市区园林设施建设，开展公园绿地5至10分钟服务圈和城市绿道建设工程，构建布局平衡、功能完善的城市绿色基础设施系统。进一步加快防护绿地建设和城市空间立体绿化建设；进一步推进郊野公园、城市湿地公园及风景名胜区等的保护和建设力度。开展公园生态修复、基础设施修缮，有序推进市城区老旧公园改造。</w:t>
      </w:r>
    </w:p>
    <w:p w14:paraId="7DE64347">
      <w:pPr>
        <w:pStyle w:val="4"/>
        <w:numPr>
          <w:ilvl w:val="0"/>
          <w:numId w:val="0"/>
        </w:numPr>
        <w:spacing w:before="120" w:after="156" w:line="560" w:lineRule="exact"/>
        <w:ind w:left="482"/>
        <w:rPr>
          <w:rFonts w:cs="宋体"/>
          <w:color w:val="000000" w:themeColor="text1"/>
          <w:sz w:val="28"/>
          <w:szCs w:val="28"/>
          <w:lang w:eastAsia="zh-CN"/>
        </w:rPr>
      </w:pPr>
      <w:bookmarkStart w:id="39" w:name="_Toc31891"/>
      <w:r>
        <w:rPr>
          <w:rFonts w:hint="eastAsia" w:cs="宋体"/>
          <w:color w:val="000000" w:themeColor="text1"/>
          <w:sz w:val="28"/>
          <w:szCs w:val="28"/>
          <w:lang w:eastAsia="zh-CN"/>
        </w:rPr>
        <w:t>六、推进城市治理现代化</w:t>
      </w:r>
      <w:bookmarkEnd w:id="39"/>
    </w:p>
    <w:p w14:paraId="4906C2DA">
      <w:pPr>
        <w:adjustRightInd w:val="0"/>
        <w:snapToGrid w:val="0"/>
        <w:spacing w:line="560" w:lineRule="exact"/>
        <w:ind w:firstLine="548" w:firstLineChars="196"/>
        <w:jc w:val="left"/>
        <w:rPr>
          <w:rFonts w:ascii="宋体" w:hAnsi="宋体" w:cs="宋体"/>
          <w:color w:val="000000" w:themeColor="text1"/>
          <w:sz w:val="28"/>
          <w:szCs w:val="28"/>
        </w:rPr>
      </w:pPr>
      <w:r>
        <w:rPr>
          <w:rFonts w:hint="eastAsia" w:ascii="宋体" w:hAnsi="宋体" w:cs="宋体"/>
          <w:color w:val="000000" w:themeColor="text1"/>
          <w:sz w:val="28"/>
          <w:szCs w:val="28"/>
        </w:rPr>
        <w:t>以习近平新时代中国特色社会主义思想为指导，以城市治理现代化为指向，深化“六个湘潭”建设，落实 “伟人故里、大美湘潭”建设，进一步转变政府职能，构建权责明晰、服务为先、管理优化、执法规范、安全有序的精细化城市管理体制。完成市本级城市管理领域的机构综合设置，实现住房城乡建设领域行政处罚权的集中行使，行政执法人员持证上岗；全面推行行政执法“三项制度”和“双随机、一公开”监管、开展行政执法案卷评查，严格规范执法行为；理顺城市管理执法体制和管理机制，完善城市管理法律法规和标准体系，加强机构的队伍建设，进一步完善保障机制，基本形成现代城市治理体系，大幅提高城市管理效能，显著提升人民群众满意度。</w:t>
      </w:r>
    </w:p>
    <w:p w14:paraId="63F95D2C">
      <w:pPr>
        <w:pStyle w:val="4"/>
        <w:numPr>
          <w:ilvl w:val="0"/>
          <w:numId w:val="0"/>
        </w:numPr>
        <w:spacing w:before="120" w:after="156" w:line="560" w:lineRule="exact"/>
        <w:ind w:left="482"/>
        <w:rPr>
          <w:rFonts w:cs="宋体"/>
          <w:color w:val="000000" w:themeColor="text1"/>
          <w:sz w:val="28"/>
          <w:szCs w:val="28"/>
          <w:lang w:eastAsia="zh-CN"/>
        </w:rPr>
      </w:pPr>
      <w:bookmarkStart w:id="40" w:name="_Toc13543"/>
      <w:r>
        <w:rPr>
          <w:rFonts w:hint="eastAsia" w:cs="宋体"/>
          <w:color w:val="000000" w:themeColor="text1"/>
          <w:sz w:val="28"/>
          <w:szCs w:val="28"/>
          <w:lang w:eastAsia="zh-CN"/>
        </w:rPr>
        <w:t>七、构建安全保障体系</w:t>
      </w:r>
      <w:bookmarkEnd w:id="40"/>
    </w:p>
    <w:p w14:paraId="035F0B5A">
      <w:pPr>
        <w:adjustRightInd w:val="0"/>
        <w:snapToGrid w:val="0"/>
        <w:spacing w:line="560" w:lineRule="exact"/>
        <w:ind w:firstLine="588" w:firstLineChars="196"/>
        <w:rPr>
          <w:rFonts w:ascii="宋体" w:hAnsi="宋体" w:cs="宋体"/>
          <w:color w:val="000000" w:themeColor="text1"/>
          <w:sz w:val="28"/>
          <w:szCs w:val="28"/>
        </w:rPr>
      </w:pPr>
      <w:r>
        <w:rPr>
          <w:rFonts w:hint="eastAsia"/>
          <w:color w:val="000000" w:themeColor="text1"/>
          <w:sz w:val="30"/>
          <w:szCs w:val="30"/>
        </w:rPr>
        <w:t>抓好安全教育，</w:t>
      </w:r>
      <w:r>
        <w:rPr>
          <w:rFonts w:hint="eastAsia" w:ascii="宋体" w:hAnsi="宋体" w:cs="仿宋"/>
          <w:color w:val="000000" w:themeColor="text1"/>
          <w:kern w:val="0"/>
          <w:sz w:val="28"/>
          <w:szCs w:val="28"/>
        </w:rPr>
        <w:t>树牢安全发展理念</w:t>
      </w:r>
      <w:r>
        <w:rPr>
          <w:rFonts w:hint="eastAsia" w:cs="仿宋"/>
          <w:color w:val="000000" w:themeColor="text1"/>
          <w:kern w:val="0"/>
          <w:sz w:val="28"/>
          <w:szCs w:val="28"/>
        </w:rPr>
        <w:t>，</w:t>
      </w:r>
      <w:r>
        <w:rPr>
          <w:rFonts w:hint="eastAsia" w:ascii="宋体" w:hAnsi="宋体" w:cs="仿宋"/>
          <w:color w:val="000000" w:themeColor="text1"/>
          <w:kern w:val="0"/>
          <w:sz w:val="28"/>
          <w:szCs w:val="28"/>
        </w:rPr>
        <w:t>强化红线意识</w:t>
      </w:r>
      <w:r>
        <w:rPr>
          <w:rFonts w:hint="eastAsia" w:cs="仿宋"/>
          <w:color w:val="000000" w:themeColor="text1"/>
          <w:kern w:val="0"/>
          <w:sz w:val="28"/>
          <w:szCs w:val="28"/>
        </w:rPr>
        <w:t>，</w:t>
      </w:r>
      <w:r>
        <w:rPr>
          <w:rFonts w:hint="eastAsia" w:ascii="宋体" w:hAnsi="宋体" w:cs="仿宋"/>
          <w:color w:val="000000" w:themeColor="text1"/>
          <w:kern w:val="0"/>
          <w:sz w:val="28"/>
          <w:szCs w:val="28"/>
        </w:rPr>
        <w:t>坚持问题导向</w:t>
      </w:r>
      <w:r>
        <w:rPr>
          <w:rFonts w:hint="eastAsia" w:cs="仿宋"/>
          <w:color w:val="000000" w:themeColor="text1"/>
          <w:kern w:val="0"/>
          <w:sz w:val="28"/>
          <w:szCs w:val="28"/>
        </w:rPr>
        <w:t>，</w:t>
      </w:r>
      <w:r>
        <w:rPr>
          <w:rFonts w:hint="eastAsia" w:ascii="宋体" w:hAnsi="宋体" w:cs="仿宋"/>
          <w:color w:val="000000" w:themeColor="text1"/>
          <w:kern w:val="0"/>
          <w:sz w:val="28"/>
          <w:szCs w:val="28"/>
        </w:rPr>
        <w:t>紧盯</w:t>
      </w:r>
      <w:r>
        <w:rPr>
          <w:rFonts w:hint="eastAsia"/>
          <w:color w:val="000000" w:themeColor="text1"/>
          <w:sz w:val="28"/>
          <w:szCs w:val="28"/>
        </w:rPr>
        <w:t>城镇燃气安全、园林行业安全、环卫行业安全、城区户外广告安全、城市照明设施安全、公共自行车设施安全、工程建设项目安全和“打非治违”专项</w:t>
      </w:r>
      <w:r>
        <w:rPr>
          <w:rFonts w:hint="eastAsia" w:ascii="宋体" w:hAnsi="宋体" w:cs="仿宋"/>
          <w:color w:val="000000" w:themeColor="text1"/>
          <w:kern w:val="0"/>
          <w:sz w:val="28"/>
          <w:szCs w:val="28"/>
        </w:rPr>
        <w:t>目标</w:t>
      </w:r>
      <w:r>
        <w:rPr>
          <w:rFonts w:hint="eastAsia" w:cs="仿宋"/>
          <w:color w:val="000000" w:themeColor="text1"/>
          <w:kern w:val="0"/>
          <w:sz w:val="28"/>
          <w:szCs w:val="28"/>
        </w:rPr>
        <w:t>安全</w:t>
      </w:r>
      <w:r>
        <w:rPr>
          <w:rFonts w:hint="eastAsia" w:ascii="宋体" w:hAnsi="宋体" w:cs="仿宋"/>
          <w:color w:val="000000" w:themeColor="text1"/>
          <w:kern w:val="0"/>
          <w:sz w:val="28"/>
          <w:szCs w:val="28"/>
        </w:rPr>
        <w:t>任务</w:t>
      </w:r>
      <w:r>
        <w:rPr>
          <w:rFonts w:hint="eastAsia" w:cs="仿宋"/>
          <w:color w:val="000000" w:themeColor="text1"/>
          <w:kern w:val="0"/>
          <w:sz w:val="28"/>
          <w:szCs w:val="28"/>
        </w:rPr>
        <w:t>，</w:t>
      </w:r>
      <w:r>
        <w:rPr>
          <w:rFonts w:hint="eastAsia" w:ascii="宋体" w:hAnsi="宋体" w:cs="仿宋"/>
          <w:color w:val="000000" w:themeColor="text1"/>
          <w:kern w:val="0"/>
          <w:sz w:val="28"/>
          <w:szCs w:val="28"/>
        </w:rPr>
        <w:t>深化源头治理，</w:t>
      </w:r>
      <w:r>
        <w:rPr>
          <w:rFonts w:hint="eastAsia"/>
          <w:color w:val="000000" w:themeColor="text1"/>
          <w:sz w:val="28"/>
          <w:szCs w:val="28"/>
        </w:rPr>
        <w:t>推行重大事项稳评机制，</w:t>
      </w:r>
      <w:r>
        <w:rPr>
          <w:rFonts w:hint="eastAsia" w:ascii="宋体" w:hAnsi="宋体" w:cs="仿宋"/>
          <w:color w:val="000000" w:themeColor="text1"/>
          <w:kern w:val="0"/>
          <w:sz w:val="28"/>
          <w:szCs w:val="28"/>
        </w:rPr>
        <w:t>切实在转变理念、狠抓治本上下功夫，完善和落实重在</w:t>
      </w:r>
      <w:r>
        <w:rPr>
          <w:rFonts w:hint="eastAsia" w:ascii="宋体" w:cs="仿宋"/>
          <w:color w:val="000000" w:themeColor="text1"/>
          <w:kern w:val="0"/>
          <w:sz w:val="28"/>
          <w:szCs w:val="28"/>
        </w:rPr>
        <w:t>“</w:t>
      </w:r>
      <w:r>
        <w:rPr>
          <w:rFonts w:hint="eastAsia" w:ascii="宋体" w:hAnsi="宋体" w:cs="仿宋"/>
          <w:color w:val="000000" w:themeColor="text1"/>
          <w:kern w:val="0"/>
          <w:sz w:val="28"/>
          <w:szCs w:val="28"/>
        </w:rPr>
        <w:t>从根本上消除事故隐患</w:t>
      </w:r>
      <w:r>
        <w:rPr>
          <w:rFonts w:hint="eastAsia" w:ascii="宋体" w:cs="仿宋"/>
          <w:color w:val="000000" w:themeColor="text1"/>
          <w:kern w:val="0"/>
          <w:sz w:val="28"/>
          <w:szCs w:val="28"/>
        </w:rPr>
        <w:t>”</w:t>
      </w:r>
      <w:r>
        <w:rPr>
          <w:rFonts w:hint="eastAsia" w:ascii="宋体" w:hAnsi="宋体" w:cs="仿宋"/>
          <w:color w:val="000000" w:themeColor="text1"/>
          <w:kern w:val="0"/>
          <w:sz w:val="28"/>
          <w:szCs w:val="28"/>
        </w:rPr>
        <w:t>的责任链条、制度成果、管理办法、重点项目和工作机制，</w:t>
      </w:r>
      <w:r>
        <w:rPr>
          <w:rFonts w:hint="eastAsia"/>
          <w:color w:val="000000" w:themeColor="text1"/>
          <w:sz w:val="28"/>
          <w:szCs w:val="28"/>
        </w:rPr>
        <w:t>落实企业安全生产主体责任，</w:t>
      </w:r>
      <w:r>
        <w:rPr>
          <w:rFonts w:hint="eastAsia" w:ascii="宋体" w:hAnsi="宋体" w:cs="仿宋"/>
          <w:color w:val="000000" w:themeColor="text1"/>
          <w:kern w:val="0"/>
          <w:sz w:val="28"/>
          <w:szCs w:val="28"/>
        </w:rPr>
        <w:t>防范遏制生产安全事故的发生。</w:t>
      </w:r>
    </w:p>
    <w:p w14:paraId="5967B395">
      <w:pPr>
        <w:adjustRightInd w:val="0"/>
        <w:snapToGrid w:val="0"/>
        <w:spacing w:line="560" w:lineRule="exact"/>
        <w:ind w:firstLine="548" w:firstLineChars="196"/>
        <w:rPr>
          <w:rFonts w:ascii="宋体" w:hAnsi="宋体" w:cs="宋体"/>
          <w:color w:val="000000" w:themeColor="text1"/>
          <w:sz w:val="28"/>
          <w:szCs w:val="28"/>
        </w:rPr>
      </w:pPr>
      <w:r>
        <w:rPr>
          <w:rFonts w:hint="eastAsia" w:ascii="宋体" w:hAnsi="宋体" w:cs="宋体"/>
          <w:color w:val="000000" w:themeColor="text1"/>
          <w:sz w:val="28"/>
          <w:szCs w:val="28"/>
        </w:rPr>
        <w:t>综合以上任务，确定湘潭城市管理系统建设“十四五”期间进行1 项重大改革（附件1）、制订4项重大政策（附件2）和建设17个重大项目（附件3）。</w:t>
      </w:r>
    </w:p>
    <w:p w14:paraId="4308AF7B">
      <w:pPr>
        <w:pStyle w:val="2"/>
        <w:numPr>
          <w:ilvl w:val="0"/>
          <w:numId w:val="0"/>
        </w:numPr>
        <w:spacing w:line="560" w:lineRule="exact"/>
        <w:rPr>
          <w:rFonts w:ascii="宋体" w:hAnsi="宋体" w:cs="宋体"/>
          <w:color w:val="000000" w:themeColor="text1"/>
          <w:szCs w:val="32"/>
          <w:lang w:eastAsia="zh-CN"/>
        </w:rPr>
      </w:pPr>
      <w:bookmarkStart w:id="41" w:name="_Toc1993"/>
      <w:r>
        <w:rPr>
          <w:rFonts w:hint="eastAsia" w:ascii="宋体" w:hAnsi="宋体" w:cs="宋体"/>
          <w:color w:val="000000" w:themeColor="text1"/>
          <w:szCs w:val="32"/>
          <w:lang w:eastAsia="zh-CN"/>
        </w:rPr>
        <w:t>第四章 全面加强城市精细化管理，</w:t>
      </w:r>
      <w:r>
        <w:rPr>
          <w:rFonts w:hint="eastAsia"/>
          <w:lang w:eastAsia="zh-CN"/>
        </w:rPr>
        <w:t>提升现代化管理水平</w:t>
      </w:r>
      <w:bookmarkEnd w:id="41"/>
    </w:p>
    <w:p w14:paraId="3AE275B3">
      <w:pPr>
        <w:pStyle w:val="3"/>
        <w:numPr>
          <w:ilvl w:val="0"/>
          <w:numId w:val="0"/>
        </w:numPr>
        <w:spacing w:before="156" w:after="156" w:line="560" w:lineRule="exact"/>
        <w:ind w:left="1559"/>
        <w:rPr>
          <w:rFonts w:ascii="宋体" w:hAnsi="宋体" w:cs="宋体"/>
          <w:color w:val="000000" w:themeColor="text1"/>
          <w:sz w:val="30"/>
          <w:szCs w:val="30"/>
        </w:rPr>
      </w:pPr>
    </w:p>
    <w:p w14:paraId="22057E28">
      <w:pPr>
        <w:pStyle w:val="3"/>
        <w:numPr>
          <w:ilvl w:val="0"/>
          <w:numId w:val="0"/>
        </w:numPr>
        <w:spacing w:before="156" w:after="156" w:line="560" w:lineRule="exact"/>
        <w:ind w:left="1559"/>
        <w:rPr>
          <w:rFonts w:ascii="宋体" w:hAnsi="宋体" w:cs="宋体"/>
          <w:color w:val="000000" w:themeColor="text1"/>
          <w:sz w:val="30"/>
          <w:szCs w:val="30"/>
        </w:rPr>
      </w:pPr>
      <w:bookmarkStart w:id="42" w:name="_Toc10358"/>
      <w:r>
        <w:rPr>
          <w:rFonts w:hint="eastAsia" w:ascii="宋体" w:hAnsi="宋体" w:cs="宋体"/>
          <w:color w:val="000000" w:themeColor="text1"/>
          <w:sz w:val="30"/>
          <w:szCs w:val="30"/>
        </w:rPr>
        <w:t>第一节  城市精细化管理理念与目标</w:t>
      </w:r>
      <w:bookmarkEnd w:id="42"/>
    </w:p>
    <w:p w14:paraId="4C18EAE2">
      <w:pPr>
        <w:pStyle w:val="4"/>
        <w:numPr>
          <w:ilvl w:val="2"/>
          <w:numId w:val="0"/>
        </w:numPr>
        <w:spacing w:after="156"/>
        <w:ind w:left="420" w:leftChars="200" w:firstLine="281" w:firstLineChars="100"/>
        <w:rPr>
          <w:sz w:val="28"/>
          <w:szCs w:val="28"/>
          <w:lang w:eastAsia="zh-CN"/>
        </w:rPr>
      </w:pPr>
      <w:bookmarkStart w:id="43" w:name="_Toc5024"/>
      <w:r>
        <w:rPr>
          <w:rFonts w:hint="eastAsia"/>
          <w:sz w:val="28"/>
          <w:szCs w:val="28"/>
          <w:lang w:eastAsia="zh-CN"/>
        </w:rPr>
        <w:t>一、城市精细化管理理念</w:t>
      </w:r>
      <w:bookmarkEnd w:id="43"/>
    </w:p>
    <w:p w14:paraId="657E319B">
      <w:pPr>
        <w:spacing w:line="560" w:lineRule="exact"/>
        <w:ind w:firstLine="560" w:firstLineChars="200"/>
        <w:rPr>
          <w:rFonts w:ascii="宋体" w:hAnsi="宋体" w:cs="宋体"/>
          <w:color w:val="000000" w:themeColor="text1"/>
          <w:sz w:val="28"/>
          <w:szCs w:val="28"/>
        </w:rPr>
      </w:pPr>
      <w:r>
        <w:rPr>
          <w:rFonts w:hint="eastAsia" w:ascii="宋体" w:hAnsi="宋体" w:cs="宋体"/>
          <w:color w:val="000000" w:themeColor="text1"/>
          <w:sz w:val="28"/>
          <w:szCs w:val="28"/>
        </w:rPr>
        <w:t xml:space="preserve">1.以人为本。以人民为中心、为市民服务是开展城市精细化管理的出发点和落脚点，以人民对城市的感受为准绳，充分考虑大众活动的舒适性、安全性、便捷性。 </w:t>
      </w:r>
    </w:p>
    <w:p w14:paraId="4CE68254">
      <w:pPr>
        <w:spacing w:line="560" w:lineRule="exact"/>
        <w:ind w:firstLine="560" w:firstLineChars="200"/>
        <w:rPr>
          <w:rFonts w:ascii="宋体" w:hAnsi="宋体" w:cs="宋体"/>
          <w:color w:val="000000" w:themeColor="text1"/>
          <w:sz w:val="28"/>
          <w:szCs w:val="28"/>
        </w:rPr>
      </w:pPr>
      <w:r>
        <w:rPr>
          <w:rFonts w:hint="eastAsia" w:ascii="宋体" w:hAnsi="宋体" w:cs="宋体"/>
          <w:color w:val="000000" w:themeColor="text1"/>
          <w:sz w:val="28"/>
          <w:szCs w:val="28"/>
        </w:rPr>
        <w:t>2.绿色生态。倡导鼓励绿色低碳出行，促进城市环境与自然和谐共存。</w:t>
      </w:r>
    </w:p>
    <w:p w14:paraId="0B0CFAF1">
      <w:pPr>
        <w:spacing w:line="560" w:lineRule="exact"/>
        <w:ind w:firstLine="560" w:firstLineChars="200"/>
        <w:rPr>
          <w:rFonts w:ascii="宋体" w:hAnsi="宋体" w:cs="宋体"/>
          <w:color w:val="000000" w:themeColor="text1"/>
          <w:sz w:val="28"/>
          <w:szCs w:val="28"/>
        </w:rPr>
      </w:pPr>
      <w:r>
        <w:rPr>
          <w:rFonts w:hint="eastAsia" w:ascii="宋体" w:hAnsi="宋体" w:cs="宋体"/>
          <w:color w:val="000000" w:themeColor="text1"/>
          <w:sz w:val="28"/>
          <w:szCs w:val="28"/>
        </w:rPr>
        <w:t xml:space="preserve">3.安全有序。整理优化城市道路地面空间，集约设施整合，引导有序出行。 </w:t>
      </w:r>
    </w:p>
    <w:p w14:paraId="59DF3EDC">
      <w:pPr>
        <w:spacing w:line="560" w:lineRule="exact"/>
        <w:ind w:firstLine="560" w:firstLineChars="200"/>
        <w:rPr>
          <w:rFonts w:ascii="宋体" w:hAnsi="宋体" w:cs="宋体"/>
          <w:color w:val="000000" w:themeColor="text1"/>
          <w:sz w:val="28"/>
          <w:szCs w:val="28"/>
        </w:rPr>
      </w:pPr>
      <w:r>
        <w:rPr>
          <w:rFonts w:hint="eastAsia" w:ascii="宋体" w:hAnsi="宋体" w:cs="宋体"/>
          <w:color w:val="000000" w:themeColor="text1"/>
          <w:sz w:val="28"/>
          <w:szCs w:val="28"/>
        </w:rPr>
        <w:t xml:space="preserve">4.设施友好。从使用者的需求出发，统筹城市设施类型、样式及布置位置。 </w:t>
      </w:r>
    </w:p>
    <w:p w14:paraId="2B798C5B">
      <w:pPr>
        <w:spacing w:line="560" w:lineRule="exact"/>
        <w:ind w:firstLine="560" w:firstLineChars="200"/>
        <w:rPr>
          <w:rFonts w:ascii="宋体" w:hAnsi="宋体" w:cs="宋体"/>
          <w:color w:val="000000" w:themeColor="text1"/>
          <w:sz w:val="28"/>
          <w:szCs w:val="28"/>
        </w:rPr>
      </w:pPr>
      <w:r>
        <w:rPr>
          <w:rFonts w:hint="eastAsia" w:ascii="宋体" w:hAnsi="宋体" w:cs="宋体"/>
          <w:color w:val="000000" w:themeColor="text1"/>
          <w:sz w:val="28"/>
          <w:szCs w:val="28"/>
        </w:rPr>
        <w:t xml:space="preserve">5.全生命周期。注重“设计—施工—管理—养护”全生命周期管理，提升城市设施使用性能。 </w:t>
      </w:r>
    </w:p>
    <w:p w14:paraId="1435E29F">
      <w:pPr>
        <w:spacing w:line="560" w:lineRule="exact"/>
        <w:ind w:firstLine="560" w:firstLineChars="200"/>
        <w:rPr>
          <w:rFonts w:ascii="宋体" w:hAnsi="宋体" w:cs="宋体"/>
          <w:color w:val="000000" w:themeColor="text1"/>
          <w:sz w:val="28"/>
          <w:szCs w:val="28"/>
        </w:rPr>
      </w:pPr>
      <w:r>
        <w:rPr>
          <w:rFonts w:hint="eastAsia" w:ascii="宋体" w:hAnsi="宋体" w:cs="宋体"/>
          <w:color w:val="000000" w:themeColor="text1"/>
          <w:sz w:val="28"/>
          <w:szCs w:val="28"/>
        </w:rPr>
        <w:t>6.全要素管理。实现城市空间内各类要素一体化，提升城市设施全要素管理水平。</w:t>
      </w:r>
    </w:p>
    <w:p w14:paraId="1821B17E">
      <w:pPr>
        <w:pStyle w:val="4"/>
        <w:numPr>
          <w:ilvl w:val="2"/>
          <w:numId w:val="0"/>
        </w:numPr>
        <w:spacing w:after="156"/>
        <w:ind w:left="420" w:leftChars="200" w:firstLine="281" w:firstLineChars="100"/>
        <w:rPr>
          <w:sz w:val="28"/>
          <w:szCs w:val="28"/>
          <w:lang w:eastAsia="zh-CN"/>
        </w:rPr>
      </w:pPr>
      <w:bookmarkStart w:id="44" w:name="_Toc24316"/>
      <w:r>
        <w:rPr>
          <w:rFonts w:hint="eastAsia"/>
          <w:sz w:val="28"/>
          <w:szCs w:val="28"/>
          <w:lang w:eastAsia="zh-CN"/>
        </w:rPr>
        <w:t>二、城市精细化管理目标</w:t>
      </w:r>
      <w:bookmarkEnd w:id="44"/>
    </w:p>
    <w:p w14:paraId="2B3B5D16">
      <w:pPr>
        <w:spacing w:line="560" w:lineRule="exact"/>
        <w:ind w:firstLine="562" w:firstLineChars="200"/>
        <w:rPr>
          <w:rFonts w:ascii="宋体" w:hAnsi="宋体" w:cs="宋体"/>
          <w:color w:val="000000" w:themeColor="text1"/>
          <w:sz w:val="28"/>
          <w:szCs w:val="28"/>
        </w:rPr>
      </w:pPr>
      <w:r>
        <w:rPr>
          <w:rFonts w:hint="eastAsia" w:ascii="宋体" w:hAnsi="宋体" w:cs="宋体"/>
          <w:b/>
          <w:bCs/>
          <w:color w:val="000000" w:themeColor="text1"/>
          <w:sz w:val="28"/>
          <w:szCs w:val="28"/>
        </w:rPr>
        <w:t>1.城市管理标准全面提升。</w:t>
      </w:r>
      <w:r>
        <w:rPr>
          <w:rFonts w:hint="eastAsia" w:ascii="宋体" w:hAnsi="宋体" w:cs="宋体"/>
          <w:color w:val="000000" w:themeColor="text1"/>
          <w:sz w:val="28"/>
          <w:szCs w:val="28"/>
        </w:rPr>
        <w:t>进一步提升城市管理科学化、精细化、智慧化水平，不断优化全市环境面貌。对标先进地区城市精细化管理经验做法， 加快提升城市管理专业化、系统化、整体化水平，推进城市管理工作提档升级。将强化与其他职能部门的沟通协作，实行共建共治、信息共享、要素整合、联动管理，确保问题隐患发现-流转-处置-监督形成闭环。坚持按需设岗，实行定人定岗定责，切实把专项整治任务落到最实最细处。</w:t>
      </w:r>
    </w:p>
    <w:p w14:paraId="54A9986B">
      <w:pPr>
        <w:pStyle w:val="8"/>
        <w:spacing w:line="560" w:lineRule="exact"/>
        <w:ind w:firstLine="562" w:firstLineChars="200"/>
        <w:rPr>
          <w:rFonts w:ascii="宋体" w:hAnsi="宋体" w:cs="宋体"/>
          <w:color w:val="000000" w:themeColor="text1"/>
          <w:sz w:val="28"/>
          <w:szCs w:val="28"/>
        </w:rPr>
      </w:pPr>
      <w:r>
        <w:rPr>
          <w:rFonts w:hint="eastAsia" w:ascii="宋体" w:hAnsi="宋体" w:cs="宋体"/>
          <w:b/>
          <w:bCs/>
          <w:color w:val="000000" w:themeColor="text1"/>
          <w:sz w:val="28"/>
          <w:szCs w:val="28"/>
        </w:rPr>
        <w:t>2.城市环境面貌全面改善。</w:t>
      </w:r>
      <w:r>
        <w:rPr>
          <w:rFonts w:hint="eastAsia" w:ascii="宋体" w:hAnsi="宋体" w:cs="宋体"/>
          <w:color w:val="000000" w:themeColor="text1"/>
          <w:sz w:val="28"/>
          <w:szCs w:val="28"/>
        </w:rPr>
        <w:t xml:space="preserve">城市是人们日常生活的场域，城市人居环境对于满足居民美好生活需要具有重要的驱动作用。为了满足城市居民对于美好生活的需求，建立起以“城管+商户+社区单位”为成员的微信服务群，实时分享政策、发送通知、解答疑问、宣传理念等，营造起共建、共治、共享的浓厚氛围。高质量开展“优美环境区”建设，全力推进背街小巷环境综合整治，推动全市环境面貌焕然一新。 </w:t>
      </w:r>
    </w:p>
    <w:p w14:paraId="582143DA">
      <w:pPr>
        <w:pStyle w:val="8"/>
        <w:spacing w:line="560" w:lineRule="exact"/>
        <w:ind w:firstLine="562" w:firstLineChars="200"/>
        <w:rPr>
          <w:rFonts w:ascii="宋体" w:hAnsi="宋体" w:cs="宋体"/>
          <w:color w:val="000000" w:themeColor="text1"/>
          <w:sz w:val="28"/>
          <w:szCs w:val="28"/>
        </w:rPr>
      </w:pPr>
      <w:r>
        <w:rPr>
          <w:rFonts w:hint="eastAsia" w:ascii="宋体" w:hAnsi="宋体" w:cs="宋体"/>
          <w:b/>
          <w:bCs/>
          <w:color w:val="000000" w:themeColor="text1"/>
          <w:sz w:val="28"/>
          <w:szCs w:val="28"/>
        </w:rPr>
        <w:t>3.城市管理机制全面创新。</w:t>
      </w:r>
      <w:r>
        <w:rPr>
          <w:rFonts w:hint="eastAsia" w:ascii="宋体" w:hAnsi="宋体" w:cs="宋体"/>
          <w:color w:val="000000" w:themeColor="text1"/>
          <w:sz w:val="28"/>
          <w:szCs w:val="28"/>
        </w:rPr>
        <w:t>城市管理机制要创新探索有效的管理措施，健全城市精细化管理长效机制，全面提升城市精细化管理水平，鼓励发动全民参与城市管理和志愿服务，积极营造人人参与城市管理的良好氛围，努力创造与新时代文明标杆相匹配的城市环境，满足人民对美好生活的向往，切实提升群众获得感和幸福感。整合执法力量，加快综合执法一体化平台整合建设，进一步提升城市管理工作运行效率。</w:t>
      </w:r>
    </w:p>
    <w:p w14:paraId="5101913C">
      <w:pPr>
        <w:pStyle w:val="8"/>
        <w:spacing w:line="560" w:lineRule="exact"/>
        <w:ind w:firstLine="560" w:firstLineChars="200"/>
        <w:rPr>
          <w:rFonts w:ascii="宋体" w:hAnsi="宋体" w:cs="宋体"/>
          <w:color w:val="000000" w:themeColor="text1"/>
          <w:sz w:val="28"/>
          <w:szCs w:val="28"/>
        </w:rPr>
      </w:pPr>
    </w:p>
    <w:p w14:paraId="0A9E875B">
      <w:pPr>
        <w:pStyle w:val="3"/>
        <w:numPr>
          <w:ilvl w:val="1"/>
          <w:numId w:val="0"/>
        </w:numPr>
        <w:spacing w:before="156" w:after="156"/>
        <w:ind w:left="1644"/>
        <w:rPr>
          <w:rFonts w:ascii="宋体" w:hAnsi="宋体" w:cs="宋体"/>
          <w:color w:val="000000" w:themeColor="text1"/>
          <w:sz w:val="30"/>
          <w:szCs w:val="30"/>
        </w:rPr>
      </w:pPr>
      <w:bookmarkStart w:id="45" w:name="_Toc14606"/>
      <w:r>
        <w:rPr>
          <w:rFonts w:hint="eastAsia"/>
          <w:color w:val="000000" w:themeColor="text1"/>
          <w:sz w:val="30"/>
          <w:szCs w:val="30"/>
        </w:rPr>
        <w:t>第二节  城市精细管理主要内容</w:t>
      </w:r>
      <w:bookmarkEnd w:id="45"/>
    </w:p>
    <w:p w14:paraId="7DC385E8">
      <w:pPr>
        <w:pStyle w:val="4"/>
        <w:numPr>
          <w:ilvl w:val="2"/>
          <w:numId w:val="0"/>
        </w:numPr>
        <w:spacing w:after="156"/>
        <w:ind w:firstLine="562" w:firstLineChars="200"/>
        <w:rPr>
          <w:rFonts w:cs="宋体"/>
          <w:color w:val="000000" w:themeColor="text1"/>
          <w:szCs w:val="28"/>
          <w:lang w:eastAsia="zh-CN"/>
        </w:rPr>
      </w:pPr>
      <w:bookmarkStart w:id="46" w:name="_Toc3674"/>
      <w:r>
        <w:rPr>
          <w:rFonts w:hint="eastAsia"/>
          <w:sz w:val="28"/>
          <w:szCs w:val="28"/>
          <w:lang w:eastAsia="zh-CN"/>
        </w:rPr>
        <w:t>一、城市园林绿化精细化管理</w:t>
      </w:r>
      <w:bookmarkEnd w:id="46"/>
    </w:p>
    <w:p w14:paraId="0F34B110">
      <w:pPr>
        <w:spacing w:line="560" w:lineRule="exact"/>
        <w:ind w:firstLine="560" w:firstLineChars="200"/>
        <w:rPr>
          <w:rFonts w:ascii="宋体" w:hAnsi="宋体" w:cs="宋体"/>
          <w:color w:val="000000" w:themeColor="text1"/>
          <w:sz w:val="28"/>
          <w:szCs w:val="28"/>
        </w:rPr>
      </w:pPr>
      <w:r>
        <w:rPr>
          <w:rFonts w:hint="eastAsia" w:ascii="宋体" w:hAnsi="宋体" w:cs="宋体"/>
          <w:color w:val="000000" w:themeColor="text1"/>
          <w:sz w:val="28"/>
          <w:szCs w:val="28"/>
        </w:rPr>
        <w:t>加快培养园林绿化专业技术人员和技术工人；加强绿化科研工作，增加对彩叶植物的研究力度，提升公园绿地景观效果。加大新技术、新成果的推广力度，促进科研成果的转化和应用。深入挖掘城市文化背景，不断提高公园历史文化品位和内涵，打造特色精品公园绿地。组织专家或第三方专业部门对公园绿地、设施设备真实现状，不同年龄、职业、性别人群的行为习惯和特点以及存在问题进行调查评估，用整体、科学、发展的眼光促发展，科学合理的分配资金及更新建设的先后顺序，制定公园绿地发展可行性方案。不断完善公园绿地的生态效益和服务功能，满足不同人群的使用需求，真正做到“以人为本”，发挥其节能减排、防灾避险、科普宣教、医疗康养等综合功能，接受公众监督。遵循市级统一监管考核，各县（区）、部门或社会企业属地管理的原则进行绿地管护。每月对全市范围内公园绿地进行监督管理和抽查考核。同时，每月确定主题开展行道树修剪、露地花卉种植、病虫害防治、古树名木养护、居住区绿地抽查、认建认养绿地督查等专项检查，通过监管平台及时通报各类绿地养护中存在的问题，督促整改，进一步提高全市公园绿地景观效果。</w:t>
      </w:r>
    </w:p>
    <w:p w14:paraId="456DE17E">
      <w:pPr>
        <w:pStyle w:val="4"/>
        <w:numPr>
          <w:ilvl w:val="2"/>
          <w:numId w:val="0"/>
        </w:numPr>
        <w:spacing w:after="156"/>
        <w:ind w:left="420" w:leftChars="200" w:firstLine="281" w:firstLineChars="100"/>
        <w:rPr>
          <w:sz w:val="28"/>
          <w:szCs w:val="28"/>
          <w:lang w:eastAsia="zh-CN"/>
        </w:rPr>
      </w:pPr>
      <w:bookmarkStart w:id="47" w:name="_Toc23589"/>
      <w:r>
        <w:rPr>
          <w:rFonts w:hint="eastAsia"/>
          <w:sz w:val="28"/>
          <w:szCs w:val="28"/>
          <w:lang w:eastAsia="zh-CN"/>
        </w:rPr>
        <w:t>二、 城市卫生精细化管理</w:t>
      </w:r>
      <w:bookmarkEnd w:id="47"/>
    </w:p>
    <w:p w14:paraId="596EC39F">
      <w:pPr>
        <w:spacing w:line="560" w:lineRule="exact"/>
        <w:ind w:firstLine="560" w:firstLineChars="200"/>
        <w:rPr>
          <w:rFonts w:ascii="宋体" w:hAnsi="宋体" w:cs="宋体"/>
          <w:color w:val="000000" w:themeColor="text1"/>
          <w:sz w:val="28"/>
          <w:szCs w:val="28"/>
        </w:rPr>
      </w:pPr>
      <w:r>
        <w:rPr>
          <w:rFonts w:hint="eastAsia" w:ascii="宋体" w:hAnsi="宋体" w:cs="宋体"/>
          <w:color w:val="000000" w:themeColor="text1"/>
          <w:sz w:val="28"/>
          <w:szCs w:val="28"/>
        </w:rPr>
        <w:t>建立高标准的道路保洁新机制，</w:t>
      </w:r>
      <w:r>
        <w:rPr>
          <w:rFonts w:hint="eastAsia" w:ascii="宋体" w:hAnsi="宋体" w:cs="宋体"/>
          <w:bCs/>
          <w:color w:val="000000" w:themeColor="text1"/>
          <w:sz w:val="28"/>
          <w:szCs w:val="28"/>
        </w:rPr>
        <w:t>路面范围内达到路见本色；强化道路机械化清扫；</w:t>
      </w:r>
      <w:r>
        <w:rPr>
          <w:rFonts w:hint="eastAsia" w:ascii="宋体" w:hAnsi="宋体" w:cs="宋体"/>
          <w:color w:val="000000" w:themeColor="text1"/>
          <w:sz w:val="28"/>
          <w:szCs w:val="28"/>
        </w:rPr>
        <w:t>城区所有环卫作业严格按照《湘潭市环卫作业规范（暂行）》要求作业；加强重点区域道路扬尘管控。</w:t>
      </w:r>
    </w:p>
    <w:p w14:paraId="5143E319">
      <w:pPr>
        <w:spacing w:line="560" w:lineRule="exact"/>
        <w:ind w:firstLine="562" w:firstLineChars="200"/>
        <w:rPr>
          <w:rFonts w:ascii="宋体" w:hAnsi="宋体" w:cs="宋体"/>
          <w:color w:val="000000" w:themeColor="text1"/>
          <w:sz w:val="28"/>
          <w:szCs w:val="28"/>
        </w:rPr>
      </w:pPr>
      <w:r>
        <w:rPr>
          <w:rFonts w:hint="eastAsia" w:ascii="宋体" w:hAnsi="宋体" w:cs="宋体"/>
          <w:b/>
          <w:color w:val="000000" w:themeColor="text1"/>
          <w:sz w:val="28"/>
          <w:szCs w:val="28"/>
        </w:rPr>
        <w:t>1.强化环卫作业模式，确保城区道路见本色。</w:t>
      </w:r>
      <w:r>
        <w:rPr>
          <w:rFonts w:hint="eastAsia" w:ascii="宋体" w:hAnsi="宋体" w:cs="宋体"/>
          <w:bCs/>
          <w:color w:val="000000" w:themeColor="text1"/>
          <w:sz w:val="28"/>
          <w:szCs w:val="28"/>
        </w:rPr>
        <w:t>①人工作业模式。</w:t>
      </w:r>
      <w:r>
        <w:rPr>
          <w:rFonts w:hint="eastAsia" w:ascii="宋体" w:hAnsi="宋体" w:cs="宋体"/>
          <w:color w:val="000000" w:themeColor="text1"/>
          <w:sz w:val="28"/>
          <w:szCs w:val="28"/>
        </w:rPr>
        <w:t>城区主次干道每天实行24小时清扫保洁，人工普扫必须在每天早上7:00 以前完毕，早上7:00以后使用捡拾夹、小扫把和撮箕捡拾路面垃圾，实施保洁作业。</w:t>
      </w:r>
      <w:r>
        <w:rPr>
          <w:rFonts w:hint="eastAsia" w:ascii="宋体" w:hAnsi="宋体" w:cs="宋体"/>
          <w:bCs/>
          <w:color w:val="000000" w:themeColor="text1"/>
          <w:sz w:val="28"/>
          <w:szCs w:val="28"/>
        </w:rPr>
        <w:t>②机械作业模式。</w:t>
      </w:r>
      <w:r>
        <w:rPr>
          <w:rFonts w:hint="eastAsia" w:ascii="宋体" w:hAnsi="宋体" w:cs="宋体"/>
          <w:color w:val="000000" w:themeColor="text1"/>
          <w:sz w:val="28"/>
          <w:szCs w:val="28"/>
        </w:rPr>
        <w:t>强化道路机械化清扫，市城区道路机械化清扫率达90%以上，</w:t>
      </w:r>
      <w:r>
        <w:rPr>
          <w:rFonts w:hint="eastAsia" w:ascii="宋体" w:hAnsi="宋体" w:cs="宋体"/>
          <w:bCs/>
          <w:color w:val="000000" w:themeColor="text1"/>
          <w:sz w:val="28"/>
          <w:szCs w:val="28"/>
        </w:rPr>
        <w:t>县市达到80%以上</w:t>
      </w:r>
      <w:r>
        <w:rPr>
          <w:rFonts w:hint="eastAsia" w:ascii="宋体" w:hAnsi="宋体" w:cs="宋体"/>
          <w:color w:val="000000" w:themeColor="text1"/>
          <w:sz w:val="28"/>
          <w:szCs w:val="28"/>
        </w:rPr>
        <w:t>。</w:t>
      </w:r>
      <w:r>
        <w:rPr>
          <w:rFonts w:hint="eastAsia" w:ascii="宋体" w:hAnsi="宋体" w:cs="宋体"/>
          <w:bCs/>
          <w:color w:val="000000" w:themeColor="text1"/>
          <w:sz w:val="28"/>
          <w:szCs w:val="28"/>
        </w:rPr>
        <w:t>采取机械化湿式清扫、精细化保洁、全方位洒水一体作业模式，</w:t>
      </w:r>
      <w:r>
        <w:rPr>
          <w:rFonts w:hint="eastAsia" w:ascii="宋体" w:hAnsi="宋体" w:cs="宋体"/>
          <w:color w:val="000000" w:themeColor="text1"/>
          <w:sz w:val="28"/>
          <w:szCs w:val="28"/>
        </w:rPr>
        <w:t>主干道每周清洗两次，次干道每周清洗一次。采用“车车组合”、“人机结合”等多种方式进行夜间作业，作业时间段为23:00至次日凌晨6:00。“车车组合”是指利用洒水车、洗扫一体车、高压冲洗车和吸扫车进行四车全方位组合作业，确保冲洗作业覆盖整个路面和路沿石立面横面，解决路沿石冲洗不到位的难题；“人机结合”是指采用“1+3”作业模式，即1部洒水车加3名以上清洗人员同时作业，确保消灭保洁盲区和人行道冲洗，解决道路中间护栏底部区域难清理、道路两侧停车造成车辆底部积存垃圾清理难的问题。</w:t>
      </w:r>
      <w:r>
        <w:rPr>
          <w:rFonts w:hint="eastAsia" w:ascii="宋体" w:hAnsi="宋体" w:cs="宋体"/>
          <w:bCs/>
          <w:color w:val="000000" w:themeColor="text1"/>
          <w:sz w:val="28"/>
          <w:szCs w:val="28"/>
        </w:rPr>
        <w:t>③小街小巷清扫保洁模式。</w:t>
      </w:r>
      <w:r>
        <w:rPr>
          <w:rFonts w:hint="eastAsia" w:ascii="宋体" w:hAnsi="宋体" w:cs="宋体"/>
          <w:color w:val="000000" w:themeColor="text1"/>
          <w:sz w:val="28"/>
          <w:szCs w:val="28"/>
        </w:rPr>
        <w:t>实行两扫一保，每天上午8:00以前须完成全面清扫工作，同时在路幅较宽的路段实行小型水车夜间洒水降尘作业，作业时间段为23:00至次日凌晨6:00。④</w:t>
      </w:r>
      <w:r>
        <w:rPr>
          <w:rFonts w:hint="eastAsia" w:ascii="宋体" w:hAnsi="宋体" w:cs="宋体"/>
          <w:bCs/>
          <w:color w:val="000000" w:themeColor="text1"/>
          <w:sz w:val="28"/>
          <w:szCs w:val="28"/>
        </w:rPr>
        <w:t>加强沿街绿化带和行道树保洁养护工作。</w:t>
      </w:r>
      <w:r>
        <w:rPr>
          <w:rFonts w:hint="eastAsia" w:ascii="宋体" w:hAnsi="宋体" w:cs="宋体"/>
          <w:color w:val="000000" w:themeColor="text1"/>
          <w:sz w:val="28"/>
          <w:szCs w:val="28"/>
        </w:rPr>
        <w:t>夏、秋季对行道树及绿化带的冲洗降尘工作每月不少于4次，冬季每月不少于2次，遵循先洗绿、再洗路的夜间作业模式（作业时间段为23:00至次日凌晨6:00）。实现叶片清洁、土地湿润，无悬挂垃圾，无泥水二次污染。</w:t>
      </w:r>
    </w:p>
    <w:p w14:paraId="4A9DBF44">
      <w:pPr>
        <w:spacing w:line="560" w:lineRule="exact"/>
        <w:ind w:firstLine="562" w:firstLineChars="200"/>
        <w:rPr>
          <w:rFonts w:ascii="宋体" w:hAnsi="宋体" w:cs="宋体"/>
          <w:color w:val="000000" w:themeColor="text1"/>
          <w:sz w:val="28"/>
          <w:szCs w:val="28"/>
        </w:rPr>
      </w:pPr>
      <w:r>
        <w:rPr>
          <w:rFonts w:hint="eastAsia" w:ascii="宋体" w:hAnsi="宋体" w:cs="宋体"/>
          <w:b/>
          <w:color w:val="000000" w:themeColor="text1"/>
          <w:sz w:val="28"/>
          <w:szCs w:val="28"/>
        </w:rPr>
        <w:t>2.强化垃圾密闭运输，确保运输途中无扬尘。</w:t>
      </w:r>
      <w:r>
        <w:rPr>
          <w:rFonts w:hint="eastAsia" w:ascii="宋体" w:hAnsi="宋体" w:cs="宋体"/>
          <w:color w:val="000000" w:themeColor="text1"/>
          <w:sz w:val="28"/>
          <w:szCs w:val="28"/>
        </w:rPr>
        <w:t>一是加强对作业人员规范作业培训，强化车辆日常维护保养，确保运输车辆上路前，达到车体干净无外挂，车厢密闭不渗漏，车况良好无故障的要求；二是要加强运输车辆装载、运输阶段的管理，禁止使用非生活垃圾运输车装载运输垃圾；三是建立和完善监管细则和标准，明确填埋场禁止接纳非密闭运输车辆进场，对车体脏污外挂杂物，箱体破损渗滤液滴漏的及时责令停运整改，整改达标后才能进场。</w:t>
      </w:r>
    </w:p>
    <w:p w14:paraId="68FD6B67">
      <w:pPr>
        <w:pStyle w:val="24"/>
        <w:spacing w:after="0" w:line="560" w:lineRule="exact"/>
        <w:ind w:firstLine="562" w:firstLineChars="200"/>
        <w:rPr>
          <w:color w:val="000000" w:themeColor="text1"/>
          <w:sz w:val="28"/>
          <w:szCs w:val="28"/>
        </w:rPr>
      </w:pPr>
      <w:r>
        <w:rPr>
          <w:rFonts w:hint="eastAsia"/>
          <w:b/>
          <w:color w:val="000000" w:themeColor="text1"/>
          <w:sz w:val="28"/>
          <w:szCs w:val="28"/>
        </w:rPr>
        <w:t>3.强化重点区域道路扬尘管控，确保空气质量优良。</w:t>
      </w:r>
      <w:r>
        <w:rPr>
          <w:rFonts w:hint="eastAsia"/>
          <w:color w:val="000000" w:themeColor="text1"/>
          <w:sz w:val="28"/>
          <w:szCs w:val="28"/>
        </w:rPr>
        <w:t>一是加强重点区域内的道路保洁工作，制定详细的清洁抑尘路线，每天开展机械化湿式清洁，基本保持道路湿润，记录巡查路线、时间、人员、现场情况等信息；二是强化重点区域湿法降尘措施，组织相关单位每天安排降尘车辆，在重点区域内进行湿法降尘；三是对重点区域内渣土运输进行执法检查，依法查处渣土抛洒等违法行为，每周确保不少于1次的执法行动，查处违法行为。</w:t>
      </w:r>
    </w:p>
    <w:p w14:paraId="3004C3E9">
      <w:pPr>
        <w:pStyle w:val="4"/>
        <w:numPr>
          <w:ilvl w:val="2"/>
          <w:numId w:val="0"/>
        </w:numPr>
        <w:spacing w:after="156"/>
        <w:ind w:left="420" w:leftChars="200" w:firstLine="281" w:firstLineChars="100"/>
        <w:rPr>
          <w:sz w:val="28"/>
          <w:szCs w:val="28"/>
          <w:lang w:eastAsia="zh-CN"/>
        </w:rPr>
      </w:pPr>
      <w:bookmarkStart w:id="48" w:name="_Toc24870"/>
      <w:r>
        <w:rPr>
          <w:rFonts w:hint="eastAsia"/>
          <w:sz w:val="28"/>
          <w:szCs w:val="28"/>
          <w:lang w:eastAsia="zh-CN"/>
        </w:rPr>
        <w:t>三、城市照明精细化管理</w:t>
      </w:r>
      <w:bookmarkEnd w:id="48"/>
    </w:p>
    <w:p w14:paraId="3AA30680">
      <w:pPr>
        <w:pStyle w:val="24"/>
        <w:spacing w:after="0" w:line="560" w:lineRule="exact"/>
        <w:ind w:firstLine="560" w:firstLineChars="200"/>
        <w:rPr>
          <w:color w:val="FF0000"/>
          <w:sz w:val="28"/>
          <w:szCs w:val="28"/>
        </w:rPr>
      </w:pPr>
      <w:r>
        <w:rPr>
          <w:rFonts w:hint="eastAsia"/>
          <w:color w:val="000000" w:themeColor="text1"/>
          <w:sz w:val="28"/>
          <w:szCs w:val="28"/>
        </w:rPr>
        <w:t>城市照明应与建筑、道路、广场、园林绿化、水域、广告标识等被照明对象及周边环境相协调，并体现被照明对象的特征及功能。推进城市照明“微亮化”建设，打造特色湘潭“微夜景”，营造温馨幸福的城市夜间环境。</w:t>
      </w:r>
      <w:r>
        <w:rPr>
          <w:rStyle w:val="63"/>
          <w:rFonts w:hint="eastAsia" w:ascii="宋体" w:hAnsi="宋体" w:cs="宋体"/>
          <w:color w:val="000000" w:themeColor="text1"/>
          <w:sz w:val="28"/>
          <w:szCs w:val="28"/>
        </w:rPr>
        <w:t>根据城市总体布局和《湘潭市城市照明专项规划（2017-2030）》要求</w:t>
      </w:r>
      <w:r>
        <w:rPr>
          <w:rFonts w:hint="eastAsia"/>
          <w:color w:val="000000" w:themeColor="text1"/>
          <w:sz w:val="28"/>
          <w:szCs w:val="28"/>
        </w:rPr>
        <w:t>，进行亮度等级划分，合理控制分区亮度，突出商业街区、城市广场等人流集中的公共区域、标志性建（构）筑物及主要景点等的景观照明。城市景观照明与功能照明应统筹兼顾，做到经济合理，满足使用功能，景观效果良好。城市照明应符合生态环境保护的要求，避免光污染。新建、改建工程的照明设施应与主体工程同步设计、同步施工、同步投入使用。城市照明应节约能源、保护环境，采用高效、节能、美观的照明灯具及光源。</w:t>
      </w:r>
      <w:r>
        <w:rPr>
          <w:rFonts w:hint="eastAsia"/>
          <w:sz w:val="28"/>
          <w:szCs w:val="28"/>
        </w:rPr>
        <w:t>灯杆、照明器、管线、配电设备等照明设施应定期维护</w:t>
      </w:r>
      <w:r>
        <w:rPr>
          <w:rFonts w:hint="eastAsia"/>
          <w:color w:val="000000" w:themeColor="text1"/>
          <w:sz w:val="28"/>
          <w:szCs w:val="28"/>
        </w:rPr>
        <w:t>，保持整洁完好，确保正常运行。城市功能照明设施应完好，新建、改建和扩建的城市道路装灯率应达到100%；道路照明主干道的亮灯率应达到98%，次干道、支路的亮灯率应达到96%；道路照明设施的完好率应达到98%；开关灯准时率达98%以上。城市亮化设施应采用新材料、新技术、新工艺，符合节能、环保和经济要求。夜景亮化设施不得影响居民生活、行人和车辆交通安全。</w:t>
      </w:r>
      <w:r>
        <w:rPr>
          <w:rFonts w:hint="eastAsia"/>
          <w:sz w:val="28"/>
          <w:szCs w:val="28"/>
        </w:rPr>
        <w:t>景观照明不宜单独使用灯带勾勒轮廓</w:t>
      </w:r>
      <w:r>
        <w:rPr>
          <w:rFonts w:hint="eastAsia"/>
          <w:color w:val="000000" w:themeColor="text1"/>
          <w:sz w:val="28"/>
          <w:szCs w:val="28"/>
        </w:rPr>
        <w:t>，电线不应裸露在外，灯光不宜采用红色和绿色光源，避免对行驶车辆的干扰。体现不同类型、用途的建筑物的亮化要求。</w:t>
      </w:r>
      <w:r>
        <w:rPr>
          <w:rFonts w:hint="eastAsia"/>
          <w:sz w:val="28"/>
          <w:szCs w:val="28"/>
        </w:rPr>
        <w:t>城市照明设施应以节能、环保灯具和材料为主，宜使用LED光源灯具，根据环境需要可适当使用卤化物灯和钠灯，严格控制大功率泛光灯和空中射灯</w:t>
      </w:r>
      <w:r>
        <w:rPr>
          <w:rFonts w:hint="eastAsia"/>
          <w:color w:val="000000" w:themeColor="text1"/>
          <w:sz w:val="28"/>
          <w:szCs w:val="28"/>
        </w:rPr>
        <w:t>。实行亮化三级控制方案：重大节日和重大活动期间为一级渲染；一般性活动及特殊时期为二级渲染；平时为三级渲染。整合市区现有亮化资源，实现信息化、智慧化管控。城市主干道两旁沿街商业经营单位的门面招牌，应当配置灯光或发光二极管（LED）灯箱、霓虹灯，橱窗应设置灯光装饰。城市夜景亮化应符合技术规范和操作规程，并采取防火、防漏电等安全措施。城市道路照明管理机构发现城市道路照明故障或接到群众投诉、媒体曝光后应立即进行现场核实，并组织维护和抢修；</w:t>
      </w:r>
      <w:r>
        <w:rPr>
          <w:rFonts w:hint="eastAsia"/>
          <w:sz w:val="28"/>
          <w:szCs w:val="28"/>
        </w:rPr>
        <w:t>照明管理部门发现道路照明故障或接到投诉、媒体曝光后应及时核实确定后再行实施维修；道路照明设施故障处置按单灯24小时处理、线路故障48小时修复、复杂故障72小时处置</w:t>
      </w:r>
      <w:r>
        <w:rPr>
          <w:rFonts w:hint="eastAsia"/>
          <w:color w:val="000000" w:themeColor="text1"/>
          <w:sz w:val="28"/>
          <w:szCs w:val="28"/>
        </w:rPr>
        <w:t>；发现城市道路照明设施上有乱贴乱画的，应及时组织清除；</w:t>
      </w:r>
      <w:r>
        <w:rPr>
          <w:rFonts w:hint="eastAsia"/>
          <w:sz w:val="28"/>
          <w:szCs w:val="28"/>
        </w:rPr>
        <w:t>照明灯具功能性检测每年定期进行</w:t>
      </w:r>
      <w:r>
        <w:rPr>
          <w:rFonts w:hint="eastAsia"/>
          <w:color w:val="000000" w:themeColor="text1"/>
          <w:sz w:val="28"/>
          <w:szCs w:val="28"/>
        </w:rPr>
        <w:t>。修订和完善《湘潭市城区亮化资金补贴政策》。</w:t>
      </w:r>
    </w:p>
    <w:p w14:paraId="0CD58877">
      <w:pPr>
        <w:pStyle w:val="4"/>
        <w:numPr>
          <w:ilvl w:val="2"/>
          <w:numId w:val="0"/>
        </w:numPr>
        <w:spacing w:after="156"/>
        <w:ind w:left="420" w:leftChars="200" w:firstLine="281" w:firstLineChars="100"/>
        <w:rPr>
          <w:sz w:val="28"/>
          <w:szCs w:val="28"/>
          <w:lang w:eastAsia="zh-CN"/>
        </w:rPr>
      </w:pPr>
      <w:bookmarkStart w:id="49" w:name="_Toc16553"/>
      <w:r>
        <w:rPr>
          <w:rFonts w:hint="eastAsia"/>
          <w:sz w:val="28"/>
          <w:szCs w:val="28"/>
          <w:lang w:eastAsia="zh-CN"/>
        </w:rPr>
        <w:t>四、城市户外广告精细化管理</w:t>
      </w:r>
      <w:bookmarkEnd w:id="49"/>
    </w:p>
    <w:p w14:paraId="21DC9418">
      <w:pPr>
        <w:spacing w:line="560" w:lineRule="exact"/>
        <w:ind w:firstLine="560" w:firstLineChars="200"/>
        <w:rPr>
          <w:rFonts w:ascii="宋体" w:hAnsi="宋体" w:cs="宋体"/>
          <w:color w:val="000000" w:themeColor="text1"/>
          <w:kern w:val="32"/>
          <w:sz w:val="28"/>
          <w:szCs w:val="28"/>
        </w:rPr>
      </w:pPr>
      <w:r>
        <w:rPr>
          <w:rFonts w:hint="eastAsia" w:ascii="宋体" w:hAnsi="宋体" w:cs="宋体"/>
          <w:color w:val="000000" w:themeColor="text1"/>
          <w:kern w:val="32"/>
          <w:sz w:val="28"/>
          <w:szCs w:val="28"/>
        </w:rPr>
        <w:t>城市户外广告管理应遵循《中华人民共和国广告法》《城市市容和环境卫生管理条例》《湖南省实施〈中华人民共和国广告法〉办法》《湘潭市城市户外广告和招牌设置管理办法》等法律法规规定。户外广告设施设置应当符合城市容貌标准、户外广告设施设置规划、户外广告设施设置技术规范和安全规定等。设置大型户外广告设施的，应当向市、县（市）城管执法部门或者实行相对集中行政审批权的行政机关申请办理《户外广告设置证》，未经审批，不得擅自设置大型户外广告设施。行政审批机关负责对设置者提交的申请及其材料进行审查，申请材料齐全的，应当自受理之日起五个工作日内作出是否批准的决定。对符合审批条件的，及时颁发《户外广告设置证》；对不符合审批条件的，不予批准，并书面说明理由。户外公益广告设施设置应当坚持谁设置、谁负责的原则。户外公益广告的内容由市、县（市、区）精神文明建设工作指导机构审定。相关单位设置户外公益广告设施应当按规定由城管执法部门审批或者备案，户外公益广告设施不得发布或者变相发布商业广告。在户外商业广告设施上发布公益广告的，由城管执法部门统一协调，精神文明建设工作指导机构和市场监管、交通运输、住房城乡建设等部门予以配合。户外广告设施和招牌设置者是户外广告设施和招牌安全管理的责任人应履行好安全管理责任和日常维护管理义务，户外广告设施和招牌出现画面污损、严重褪色、断亮、字体残缺等影响市容市貌情形的，应当及时维修、更新或者拆除。建立综合可视化、数字化的广告牌匾数据库，充分利用互联网、大数据等信息技术手段，使用信息管理平台对城市广告牌匾进行实时监测预警，并实现与网格化管理的有效衔接，构建起“发现 — 处置 — 核实 — 结案”的数字化管理流程，实现管理的实时性和联动性。</w:t>
      </w:r>
    </w:p>
    <w:p w14:paraId="2D9AED5B">
      <w:pPr>
        <w:pStyle w:val="4"/>
        <w:numPr>
          <w:ilvl w:val="2"/>
          <w:numId w:val="0"/>
        </w:numPr>
        <w:spacing w:after="156"/>
        <w:ind w:left="420" w:leftChars="200" w:firstLine="281" w:firstLineChars="100"/>
        <w:rPr>
          <w:sz w:val="28"/>
          <w:szCs w:val="28"/>
          <w:lang w:eastAsia="zh-CN"/>
        </w:rPr>
      </w:pPr>
      <w:bookmarkStart w:id="50" w:name="_Toc27000"/>
      <w:r>
        <w:rPr>
          <w:rFonts w:hint="eastAsia"/>
          <w:sz w:val="28"/>
          <w:szCs w:val="28"/>
          <w:lang w:eastAsia="zh-CN"/>
        </w:rPr>
        <w:t>五、建筑工地和渣土运输精细化管理</w:t>
      </w:r>
      <w:bookmarkEnd w:id="50"/>
    </w:p>
    <w:p w14:paraId="63C92F98">
      <w:pPr>
        <w:spacing w:line="560" w:lineRule="exact"/>
        <w:ind w:firstLine="560" w:firstLineChars="200"/>
        <w:rPr>
          <w:rFonts w:ascii="宋体" w:hAnsi="宋体" w:cs="宋体"/>
          <w:color w:val="000000" w:themeColor="text1"/>
          <w:sz w:val="28"/>
          <w:szCs w:val="28"/>
        </w:rPr>
      </w:pPr>
      <w:r>
        <w:rPr>
          <w:rFonts w:hint="eastAsia" w:ascii="宋体" w:hAnsi="宋体" w:cs="宋体"/>
          <w:color w:val="000000" w:themeColor="text1"/>
          <w:sz w:val="28"/>
          <w:szCs w:val="28"/>
        </w:rPr>
        <w:t>规范建筑工地文明施工，整治工地扬尘、黄土裸露、噪</w:t>
      </w:r>
      <w:r>
        <w:rPr>
          <w:rFonts w:hint="eastAsia" w:ascii="宋体" w:hAnsi="宋体" w:cs="宋体"/>
          <w:color w:val="000000" w:themeColor="text1"/>
          <w:sz w:val="28"/>
          <w:szCs w:val="28"/>
          <w:lang w:eastAsia="zh-CN"/>
        </w:rPr>
        <w:t>声</w:t>
      </w:r>
      <w:r>
        <w:rPr>
          <w:rFonts w:hint="eastAsia" w:ascii="宋体" w:hAnsi="宋体" w:cs="宋体"/>
          <w:color w:val="000000" w:themeColor="text1"/>
          <w:sz w:val="28"/>
          <w:szCs w:val="28"/>
        </w:rPr>
        <w:t>污染、环境污染、围墙围挡不规范等现象。规范建筑工地出入口管理，整治建筑工地出入口未硬化、无洗车平台、清扫保洁不到位、施工车辆未清洗干净、带泥上路等现象。规范渣土运输作业，整治渣土运输车辆准运证件不齐全、不按规定时间线路行驶、未落实全密闭措施、抛洒滴漏、随意倾倒等现象。推进存量建筑垃圾治理，消除安全、扬尘等隐患。五是落实《湘潭市人民政府办公室关于推广使用新型智能环保渣土车的通知》（潭政办发〔2018〕26号）要求，严禁非新型智能环保渣土车在北二环、东二环、岳塘区湘江沿岸、在建杨梅洲大桥连接线合围区域内进行渣土运输作业。推进“智慧城管”渣土管理子项目建设，要求渣土运输车辆统一安装卫星定位装置、与监管部门联网，实现动态跟踪监管；为各县市区人民政府（管委会）辖区内渣土堆植绿复绿工作提供技术支持；配合各县市区人民政府（管委会）开展的联合整治行动。</w:t>
      </w:r>
    </w:p>
    <w:p w14:paraId="6A9A4926">
      <w:pPr>
        <w:spacing w:line="560" w:lineRule="exact"/>
        <w:ind w:firstLine="560" w:firstLineChars="200"/>
        <w:rPr>
          <w:rFonts w:ascii="宋体" w:hAnsi="宋体" w:cs="宋体"/>
          <w:color w:val="000000" w:themeColor="text1"/>
          <w:sz w:val="28"/>
          <w:szCs w:val="28"/>
        </w:rPr>
      </w:pPr>
    </w:p>
    <w:p w14:paraId="1AFFE8ED">
      <w:pPr>
        <w:pStyle w:val="3"/>
        <w:numPr>
          <w:ilvl w:val="1"/>
          <w:numId w:val="0"/>
        </w:numPr>
        <w:spacing w:before="156" w:after="156"/>
        <w:ind w:left="1644" w:firstLine="602" w:firstLineChars="200"/>
        <w:rPr>
          <w:rFonts w:ascii="宋体" w:hAnsi="宋体" w:cs="宋体"/>
          <w:color w:val="000000" w:themeColor="text1"/>
          <w:sz w:val="30"/>
          <w:szCs w:val="30"/>
        </w:rPr>
      </w:pPr>
      <w:bookmarkStart w:id="51" w:name="_Toc8243"/>
      <w:r>
        <w:rPr>
          <w:rFonts w:hint="eastAsia"/>
          <w:color w:val="000000" w:themeColor="text1"/>
          <w:sz w:val="30"/>
          <w:szCs w:val="30"/>
        </w:rPr>
        <w:t>第三节城市精细化管理推进措施</w:t>
      </w:r>
      <w:bookmarkEnd w:id="51"/>
    </w:p>
    <w:p w14:paraId="6DCD5259">
      <w:pPr>
        <w:pStyle w:val="4"/>
        <w:numPr>
          <w:ilvl w:val="2"/>
          <w:numId w:val="0"/>
        </w:numPr>
        <w:spacing w:after="156"/>
        <w:ind w:left="420" w:leftChars="200" w:firstLine="281" w:firstLineChars="100"/>
        <w:rPr>
          <w:rFonts w:cs="宋体"/>
          <w:color w:val="000000" w:themeColor="text1"/>
          <w:szCs w:val="28"/>
          <w:lang w:eastAsia="zh-CN"/>
        </w:rPr>
      </w:pPr>
      <w:bookmarkStart w:id="52" w:name="_Toc4859"/>
      <w:r>
        <w:rPr>
          <w:rFonts w:hint="eastAsia"/>
          <w:color w:val="000000" w:themeColor="text1"/>
          <w:sz w:val="28"/>
          <w:szCs w:val="28"/>
          <w:lang w:eastAsia="zh-CN"/>
        </w:rPr>
        <w:t>一、以党建领航推进城市精细化管理</w:t>
      </w:r>
      <w:bookmarkEnd w:id="52"/>
    </w:p>
    <w:p w14:paraId="70A6E759">
      <w:pPr>
        <w:ind w:firstLine="560" w:firstLineChars="200"/>
        <w:rPr>
          <w:rFonts w:ascii="宋体" w:hAnsi="宋体" w:cs="宋体"/>
          <w:sz w:val="28"/>
          <w:szCs w:val="28"/>
        </w:rPr>
      </w:pPr>
      <w:r>
        <w:rPr>
          <w:rFonts w:hint="eastAsia" w:ascii="宋体" w:hAnsi="宋体" w:cs="宋体"/>
          <w:sz w:val="28"/>
          <w:szCs w:val="28"/>
        </w:rPr>
        <w:t>抓好党建业务互融互促，把党纪法规学习与业务制度规矩结合起来，提高依法行政水平。探索和推进“党建+垃圾分类”“党建+城市治理”“党建+智能化执法”“党建+融媒宣传”等，不断擦亮湘潭城管“党建+”品牌。</w:t>
      </w:r>
    </w:p>
    <w:p w14:paraId="178C2529">
      <w:pPr>
        <w:pStyle w:val="4"/>
        <w:numPr>
          <w:ilvl w:val="2"/>
          <w:numId w:val="0"/>
        </w:numPr>
        <w:spacing w:after="156"/>
        <w:ind w:left="420" w:leftChars="200" w:firstLine="281" w:firstLineChars="100"/>
        <w:rPr>
          <w:rFonts w:cs="宋体"/>
          <w:color w:val="000000" w:themeColor="text1"/>
          <w:sz w:val="28"/>
          <w:szCs w:val="28"/>
          <w:lang w:eastAsia="zh-CN"/>
        </w:rPr>
      </w:pPr>
      <w:bookmarkStart w:id="53" w:name="_Toc13929"/>
      <w:r>
        <w:rPr>
          <w:rFonts w:hint="eastAsia"/>
          <w:color w:val="000000" w:themeColor="text1"/>
          <w:sz w:val="28"/>
          <w:szCs w:val="28"/>
          <w:lang w:eastAsia="zh-CN"/>
        </w:rPr>
        <w:t>二、以组织协作推进城市精细化管理</w:t>
      </w:r>
      <w:bookmarkEnd w:id="53"/>
    </w:p>
    <w:p w14:paraId="59879BDA">
      <w:pPr>
        <w:spacing w:line="560" w:lineRule="exact"/>
        <w:ind w:firstLine="560" w:firstLineChars="200"/>
        <w:rPr>
          <w:rFonts w:ascii="宋体" w:hAnsi="宋体" w:cs="宋体"/>
          <w:color w:val="000000" w:themeColor="text1"/>
          <w:sz w:val="28"/>
          <w:szCs w:val="28"/>
        </w:rPr>
      </w:pPr>
      <w:r>
        <w:rPr>
          <w:rFonts w:hint="eastAsia" w:ascii="宋体" w:hAnsi="宋体" w:cs="宋体"/>
          <w:color w:val="000000" w:themeColor="text1"/>
          <w:sz w:val="28"/>
          <w:szCs w:val="28"/>
        </w:rPr>
        <w:t>有效加强工作的组织领导，改变原有分散的管理体系，构建“大城管”格局，发挥市城管委的协调、统筹、督促作用，建立部门联席会议制度，协调解决城市管理重点、热点与难点问题。通过加强队伍管理机制改革创新规范城管队伍建设，采取小组工作制，划分片区，构建以网格为管理重点，向周边辐射的全覆盖管理网格。着力打造“纪律严明、作风优良、规范执法、服务为民”的城市精细化管理队伍，夯实城市管理基础。</w:t>
      </w:r>
    </w:p>
    <w:p w14:paraId="079B8787">
      <w:pPr>
        <w:pStyle w:val="4"/>
        <w:numPr>
          <w:ilvl w:val="2"/>
          <w:numId w:val="0"/>
        </w:numPr>
        <w:spacing w:after="156"/>
        <w:ind w:left="420" w:leftChars="200" w:firstLine="281" w:firstLineChars="100"/>
        <w:rPr>
          <w:color w:val="000000" w:themeColor="text1"/>
          <w:sz w:val="28"/>
          <w:szCs w:val="28"/>
          <w:lang w:eastAsia="zh-CN"/>
        </w:rPr>
      </w:pPr>
      <w:bookmarkStart w:id="54" w:name="_Toc22204"/>
      <w:r>
        <w:rPr>
          <w:rFonts w:hint="eastAsia"/>
          <w:color w:val="000000" w:themeColor="text1"/>
          <w:sz w:val="28"/>
          <w:szCs w:val="28"/>
          <w:lang w:eastAsia="zh-CN"/>
        </w:rPr>
        <w:t>三、以制度建设推进城市精细化管理</w:t>
      </w:r>
      <w:bookmarkEnd w:id="54"/>
    </w:p>
    <w:p w14:paraId="48D49850">
      <w:pPr>
        <w:spacing w:line="560" w:lineRule="exact"/>
        <w:ind w:firstLine="560" w:firstLineChars="200"/>
        <w:rPr>
          <w:rFonts w:ascii="宋体" w:hAnsi="宋体" w:cs="宋体"/>
          <w:color w:val="000000" w:themeColor="text1"/>
          <w:sz w:val="28"/>
          <w:szCs w:val="28"/>
        </w:rPr>
      </w:pPr>
      <w:r>
        <w:rPr>
          <w:rFonts w:hint="eastAsia" w:ascii="宋体" w:hAnsi="宋体" w:cs="宋体"/>
          <w:color w:val="000000" w:themeColor="text1"/>
          <w:sz w:val="28"/>
          <w:szCs w:val="28"/>
        </w:rPr>
        <w:t>在《湘潭市城市精细化管理标准（试行）》《湘潭市城市精细化管理工作实施方案（试行）》和《湘潭市建设“城市精细化管理示范区”实施方案》基础上进一步优化标准，完善方案。通过持续的制度建设，加强组织领导、建立联动保障机制、实行考核奖补制度、构建城市精细化管理网格、配齐配强城市管理队伍。</w:t>
      </w:r>
    </w:p>
    <w:p w14:paraId="0DAFBDD9">
      <w:pPr>
        <w:pStyle w:val="4"/>
        <w:numPr>
          <w:ilvl w:val="2"/>
          <w:numId w:val="0"/>
        </w:numPr>
        <w:spacing w:after="156"/>
        <w:ind w:left="420" w:leftChars="200" w:firstLine="281" w:firstLineChars="100"/>
        <w:rPr>
          <w:color w:val="000000" w:themeColor="text1"/>
          <w:sz w:val="28"/>
          <w:szCs w:val="28"/>
          <w:lang w:eastAsia="zh-CN"/>
        </w:rPr>
      </w:pPr>
      <w:bookmarkStart w:id="55" w:name="_Toc7199"/>
      <w:r>
        <w:rPr>
          <w:rFonts w:hint="eastAsia"/>
          <w:color w:val="000000" w:themeColor="text1"/>
          <w:sz w:val="28"/>
          <w:szCs w:val="28"/>
          <w:lang w:eastAsia="zh-CN"/>
        </w:rPr>
        <w:t>四、以科学技术推进城市精细化管理</w:t>
      </w:r>
      <w:bookmarkEnd w:id="55"/>
    </w:p>
    <w:p w14:paraId="05EAAD1C">
      <w:pPr>
        <w:spacing w:line="560" w:lineRule="exact"/>
        <w:ind w:firstLine="560" w:firstLineChars="200"/>
        <w:rPr>
          <w:rFonts w:ascii="宋体" w:hAnsi="宋体" w:cs="宋体"/>
          <w:color w:val="000000" w:themeColor="text1"/>
          <w:sz w:val="28"/>
          <w:szCs w:val="28"/>
        </w:rPr>
      </w:pPr>
      <w:r>
        <w:rPr>
          <w:rFonts w:hint="eastAsia" w:ascii="宋体" w:hAnsi="宋体" w:cs="宋体"/>
          <w:color w:val="000000" w:themeColor="text1"/>
          <w:sz w:val="28"/>
          <w:szCs w:val="28"/>
        </w:rPr>
        <w:t>拓展科学技术在城市管理中的应用场景及其深度，瞄准城市管理的重点和难点问题，打通城市管理的数据系统，深入融合人、财、物、事、行等城市元素，精准区分治理场景及其对象，提供多样化或个性化的服务，推进城市精细化管理。集中技术专家和管理专家的智慧，建立多方参与的城市治理专家队伍，综合多学科专家人才的知识与技术，推进城市精细化管理。</w:t>
      </w:r>
    </w:p>
    <w:p w14:paraId="77E304BC">
      <w:pPr>
        <w:pStyle w:val="4"/>
        <w:numPr>
          <w:ilvl w:val="2"/>
          <w:numId w:val="0"/>
        </w:numPr>
        <w:spacing w:after="156"/>
        <w:ind w:left="420" w:leftChars="200" w:firstLine="281" w:firstLineChars="100"/>
        <w:rPr>
          <w:sz w:val="28"/>
          <w:szCs w:val="28"/>
          <w:lang w:eastAsia="zh-CN"/>
        </w:rPr>
      </w:pPr>
      <w:bookmarkStart w:id="56" w:name="_Toc18001"/>
      <w:r>
        <w:rPr>
          <w:rFonts w:hint="eastAsia"/>
          <w:sz w:val="28"/>
          <w:szCs w:val="28"/>
          <w:lang w:eastAsia="zh-CN"/>
        </w:rPr>
        <w:t>五、以专项整治推进城市精细化管理</w:t>
      </w:r>
      <w:bookmarkEnd w:id="56"/>
    </w:p>
    <w:p w14:paraId="2AD06277">
      <w:pPr>
        <w:spacing w:line="560" w:lineRule="exact"/>
        <w:ind w:firstLine="560" w:firstLineChars="200"/>
        <w:rPr>
          <w:rFonts w:ascii="宋体" w:cs="宋体"/>
          <w:color w:val="000000" w:themeColor="text1"/>
          <w:sz w:val="28"/>
          <w:szCs w:val="28"/>
        </w:rPr>
      </w:pPr>
      <w:r>
        <w:rPr>
          <w:rFonts w:hint="eastAsia" w:ascii="宋体" w:hAnsi="宋体" w:cs="宋体"/>
          <w:color w:val="000000" w:themeColor="text1"/>
          <w:sz w:val="28"/>
          <w:szCs w:val="28"/>
        </w:rPr>
        <w:t>以城市精细化管理示范区建设为抓手，集中整治城市管理中难点问题，塑造整洁有序的市容市貌。开展高频严管的违建防控，结合城市管理日常整治工作，强化网格城市管理部门联动，不断提高巡查覆盖率和实效性，不断加大违建防控整治力度，推进不留死角的城市精细化管理。抓好污染防治攻坚战，深入推进“双控”工程，开展裸露黄土专项整治，加强油烟净化设施建设及运行监测，加强燃放烟花爆竹监管，打击露天焚烧垃圾、秸秆焚烧等违法行为。深入开展交通问题顽瘅痼疾整治，加强渣土车、工程运输车、作业车的监管考核。持续开展黑臭水体整治，加强公园水体管养维护，推进和平公园原水管网改造，加强对各渠道沿线保洁和执法工作督查，配合开展水体执法。分类做好市重点项目公用设施的移交管养工作，落实接管责任，实现重点项目建设与管理的无缝衔接。</w:t>
      </w:r>
    </w:p>
    <w:p w14:paraId="7FD31E93">
      <w:pPr>
        <w:pStyle w:val="4"/>
        <w:numPr>
          <w:ilvl w:val="2"/>
          <w:numId w:val="0"/>
        </w:numPr>
        <w:spacing w:after="156"/>
        <w:ind w:left="420" w:leftChars="200" w:firstLine="281" w:firstLineChars="100"/>
        <w:rPr>
          <w:sz w:val="28"/>
          <w:szCs w:val="28"/>
          <w:lang w:eastAsia="zh-CN"/>
        </w:rPr>
      </w:pPr>
      <w:bookmarkStart w:id="57" w:name="_Toc20571"/>
      <w:r>
        <w:rPr>
          <w:rFonts w:hint="eastAsia"/>
          <w:sz w:val="28"/>
          <w:szCs w:val="28"/>
          <w:lang w:eastAsia="zh-CN"/>
        </w:rPr>
        <w:t>六、以服务提升推进城市精细化管理</w:t>
      </w:r>
      <w:bookmarkEnd w:id="57"/>
    </w:p>
    <w:p w14:paraId="34D98C64">
      <w:pPr>
        <w:spacing w:line="560" w:lineRule="exact"/>
        <w:ind w:firstLine="560" w:firstLineChars="200"/>
        <w:jc w:val="left"/>
        <w:rPr>
          <w:rFonts w:ascii="宋体" w:cs="宋体"/>
          <w:color w:val="000000" w:themeColor="text1"/>
          <w:sz w:val="28"/>
          <w:szCs w:val="28"/>
        </w:rPr>
      </w:pPr>
      <w:r>
        <w:rPr>
          <w:rFonts w:hint="eastAsia" w:ascii="宋体" w:cs="宋体"/>
          <w:color w:val="000000" w:themeColor="text1"/>
          <w:sz w:val="28"/>
          <w:szCs w:val="28"/>
        </w:rPr>
        <w:t>优化营商环境，继续深化“互联网</w:t>
      </w:r>
      <w:r>
        <w:rPr>
          <w:rFonts w:ascii="宋体" w:cs="宋体"/>
          <w:color w:val="000000" w:themeColor="text1"/>
          <w:sz w:val="28"/>
          <w:szCs w:val="28"/>
        </w:rPr>
        <w:t>+</w:t>
      </w:r>
      <w:r>
        <w:rPr>
          <w:rFonts w:hint="eastAsia" w:ascii="宋体" w:cs="宋体"/>
          <w:color w:val="000000" w:themeColor="text1"/>
          <w:sz w:val="28"/>
          <w:szCs w:val="28"/>
        </w:rPr>
        <w:t>政务服务”工作，进一步优化许可流程、精简办理环节、减少提交材料，提高行政审批效率。加强疫情常态化防控，做好城市道路、公园、广场、公厕、垃圾中转站、双马垃圾场等公共场所及设施的卫生保洁和病毒消杀工作，规范废弃口罩收运处置，做好常态化疫情防控工作。要用城市管理精细化思维、发挥专业优势，融入</w:t>
      </w:r>
      <w:r>
        <w:rPr>
          <w:rFonts w:hint="eastAsia" w:ascii="宋体" w:hAnsi="宋体" w:cs="宋体"/>
          <w:color w:val="000000" w:themeColor="text1"/>
          <w:sz w:val="28"/>
          <w:szCs w:val="28"/>
        </w:rPr>
        <w:t>乡村振兴“双新”工程，在</w:t>
      </w:r>
      <w:r>
        <w:rPr>
          <w:rFonts w:hint="eastAsia" w:ascii="宋体" w:cs="宋体"/>
          <w:color w:val="000000" w:themeColor="text1"/>
          <w:sz w:val="28"/>
          <w:szCs w:val="28"/>
        </w:rPr>
        <w:t>燃气下乡、村容村貌、垃圾分类等领域给予业务上的指导，助力打造美丽乡村。</w:t>
      </w:r>
    </w:p>
    <w:p w14:paraId="1A6C6E72">
      <w:pPr>
        <w:spacing w:line="560" w:lineRule="exact"/>
        <w:ind w:firstLine="560" w:firstLineChars="200"/>
        <w:rPr>
          <w:rFonts w:ascii="宋体" w:hAnsi="宋体" w:cs="宋体"/>
          <w:color w:val="000000" w:themeColor="text1"/>
          <w:sz w:val="28"/>
          <w:szCs w:val="28"/>
        </w:rPr>
      </w:pPr>
    </w:p>
    <w:p w14:paraId="32B8304F">
      <w:pPr>
        <w:pStyle w:val="2"/>
        <w:numPr>
          <w:ilvl w:val="0"/>
          <w:numId w:val="0"/>
        </w:numPr>
        <w:spacing w:before="316"/>
        <w:jc w:val="center"/>
        <w:rPr>
          <w:rFonts w:ascii="宋体" w:hAnsi="宋体" w:cs="宋体"/>
          <w:color w:val="000000" w:themeColor="text1"/>
          <w:szCs w:val="32"/>
          <w:lang w:eastAsia="zh-CN"/>
        </w:rPr>
      </w:pPr>
      <w:bookmarkStart w:id="58" w:name="_Toc29000"/>
      <w:r>
        <w:rPr>
          <w:rFonts w:hint="eastAsia" w:ascii="宋体" w:hAnsi="宋体" w:cs="宋体"/>
          <w:color w:val="000000" w:themeColor="text1"/>
          <w:szCs w:val="32"/>
          <w:lang w:eastAsia="zh-CN"/>
        </w:rPr>
        <w:t>第五章  推进城管智慧化转型，打造城市综合管理服务平台</w:t>
      </w:r>
      <w:bookmarkEnd w:id="58"/>
    </w:p>
    <w:p w14:paraId="0AF520F7">
      <w:pPr>
        <w:pStyle w:val="3"/>
        <w:numPr>
          <w:ilvl w:val="0"/>
          <w:numId w:val="0"/>
        </w:numPr>
        <w:spacing w:before="156" w:after="156" w:line="560" w:lineRule="exact"/>
        <w:jc w:val="center"/>
        <w:rPr>
          <w:rFonts w:ascii="宋体" w:hAnsi="宋体" w:cs="宋体"/>
          <w:color w:val="000000" w:themeColor="text1"/>
          <w:sz w:val="30"/>
          <w:szCs w:val="30"/>
        </w:rPr>
      </w:pPr>
    </w:p>
    <w:p w14:paraId="015B9520">
      <w:pPr>
        <w:pStyle w:val="3"/>
        <w:numPr>
          <w:ilvl w:val="0"/>
          <w:numId w:val="0"/>
        </w:numPr>
        <w:spacing w:before="156" w:after="156" w:line="560" w:lineRule="exact"/>
        <w:jc w:val="center"/>
        <w:rPr>
          <w:rFonts w:ascii="宋体" w:hAnsi="宋体" w:cs="宋体"/>
          <w:color w:val="000000" w:themeColor="text1"/>
          <w:sz w:val="30"/>
          <w:szCs w:val="30"/>
        </w:rPr>
      </w:pPr>
      <w:bookmarkStart w:id="59" w:name="_Toc1680"/>
      <w:r>
        <w:rPr>
          <w:rFonts w:hint="eastAsia" w:ascii="宋体" w:hAnsi="宋体" w:cs="宋体"/>
          <w:color w:val="000000" w:themeColor="text1"/>
          <w:sz w:val="30"/>
          <w:szCs w:val="30"/>
        </w:rPr>
        <w:t>第一节  完善城市综合管理服务平台一期</w:t>
      </w:r>
      <w:bookmarkEnd w:id="59"/>
    </w:p>
    <w:p w14:paraId="16FC87B5">
      <w:pPr>
        <w:pStyle w:val="4"/>
        <w:numPr>
          <w:ilvl w:val="0"/>
          <w:numId w:val="0"/>
        </w:numPr>
        <w:spacing w:before="120" w:after="156" w:line="560" w:lineRule="exact"/>
        <w:ind w:firstLine="560" w:firstLineChars="200"/>
        <w:rPr>
          <w:rStyle w:val="39"/>
          <w:rFonts w:cs="宋体"/>
          <w:b w:val="0"/>
          <w:bCs w:val="0"/>
          <w:color w:val="000000" w:themeColor="text1"/>
          <w:sz w:val="28"/>
          <w:szCs w:val="28"/>
          <w:lang w:eastAsia="zh-CN"/>
        </w:rPr>
      </w:pPr>
      <w:bookmarkStart w:id="60" w:name="_Toc32513"/>
      <w:r>
        <w:rPr>
          <w:rStyle w:val="39"/>
          <w:rFonts w:hint="eastAsia" w:cs="宋体"/>
          <w:b w:val="0"/>
          <w:bCs w:val="0"/>
          <w:color w:val="000000" w:themeColor="text1"/>
          <w:sz w:val="28"/>
          <w:szCs w:val="28"/>
          <w:lang w:eastAsia="zh-CN"/>
        </w:rPr>
        <w:t>一</w:t>
      </w:r>
      <w:r>
        <w:rPr>
          <w:rStyle w:val="39"/>
          <w:rFonts w:hint="eastAsia" w:cs="宋体"/>
          <w:b/>
          <w:bCs/>
          <w:color w:val="000000" w:themeColor="text1"/>
          <w:sz w:val="28"/>
          <w:szCs w:val="28"/>
          <w:lang w:eastAsia="zh-CN"/>
        </w:rPr>
        <w:t>、完善智能监控系统</w:t>
      </w:r>
      <w:bookmarkEnd w:id="60"/>
    </w:p>
    <w:p w14:paraId="37C07B29">
      <w:pPr>
        <w:adjustRightInd w:val="0"/>
        <w:snapToGrid w:val="0"/>
        <w:spacing w:line="560" w:lineRule="exact"/>
        <w:ind w:firstLine="548" w:firstLineChars="196"/>
        <w:rPr>
          <w:rFonts w:ascii="宋体" w:hAnsi="宋体" w:cs="宋体"/>
          <w:color w:val="000000" w:themeColor="text1"/>
          <w:sz w:val="28"/>
          <w:szCs w:val="28"/>
        </w:rPr>
      </w:pPr>
      <w:r>
        <w:rPr>
          <w:rFonts w:hint="eastAsia" w:ascii="宋体" w:hAnsi="宋体" w:cs="宋体"/>
          <w:color w:val="000000" w:themeColor="text1"/>
          <w:sz w:val="28"/>
          <w:szCs w:val="28"/>
        </w:rPr>
        <w:t>智能监控系统的完善包括视频监控系统扩容和视频监控预警系统两部分。（1）视频监控系统扩容。随着城市的发展，现有的350路城管视频监控点位在实际运用中发现一些城市管理的死角及公园、游园、广场、地下通道等没有全部覆盖到位，拟在全市范围内查漏补缺，新增150路视频监控点位。后期系统还将逐步融合公安、交通、小区治安等电子监控资源，支持和采用电子监控技术，对重点部位进行夜间监控。（2）视频监控预警系统。目前一期的视频监控系统完全靠视频观察员来观察，一是工作量太大，二是观察不够全面、及时。视频监控预警系统利用AI智能化技术，提升城市管理中事件感知和处理能力，针对一期自建的350路视频监控，建设视频预警即电子围栏系统，充分发挥技防的高效作用，将现有普通视频监控与智能视频分析两种资源进行整合，对视频的内容进行分析和处理，构建“AI+城管”的场景，能够自动对违章停车、流动摊担、超店经营、偷倒垃圾等事件的视频内容进行分析分类检索，报警上传，提供给相关单位处置。</w:t>
      </w:r>
    </w:p>
    <w:p w14:paraId="2C38E21C">
      <w:pPr>
        <w:pStyle w:val="4"/>
        <w:numPr>
          <w:ilvl w:val="0"/>
          <w:numId w:val="0"/>
        </w:numPr>
        <w:spacing w:before="120" w:after="156" w:line="560" w:lineRule="exact"/>
        <w:ind w:firstLine="562" w:firstLineChars="200"/>
        <w:rPr>
          <w:rFonts w:cs="宋体"/>
          <w:color w:val="000000" w:themeColor="text1"/>
          <w:sz w:val="28"/>
          <w:szCs w:val="28"/>
          <w:lang w:eastAsia="zh-CN"/>
        </w:rPr>
      </w:pPr>
      <w:bookmarkStart w:id="61" w:name="_Toc19334"/>
      <w:r>
        <w:rPr>
          <w:rFonts w:hint="eastAsia" w:cs="宋体"/>
          <w:color w:val="000000" w:themeColor="text1"/>
          <w:sz w:val="28"/>
          <w:szCs w:val="28"/>
          <w:lang w:eastAsia="zh-CN"/>
        </w:rPr>
        <w:t>二、完善渣土运输监管系统</w:t>
      </w:r>
      <w:bookmarkEnd w:id="61"/>
    </w:p>
    <w:p w14:paraId="228C2078">
      <w:pPr>
        <w:adjustRightInd w:val="0"/>
        <w:snapToGrid w:val="0"/>
        <w:spacing w:line="560" w:lineRule="exact"/>
        <w:ind w:firstLine="548" w:firstLineChars="196"/>
        <w:rPr>
          <w:rFonts w:ascii="宋体" w:hAnsi="宋体" w:cs="宋体"/>
          <w:color w:val="000000" w:themeColor="text1"/>
          <w:sz w:val="28"/>
          <w:szCs w:val="28"/>
        </w:rPr>
      </w:pPr>
      <w:r>
        <w:rPr>
          <w:rFonts w:hint="eastAsia" w:ascii="宋体" w:hAnsi="宋体" w:cs="宋体"/>
          <w:color w:val="000000" w:themeColor="text1"/>
          <w:sz w:val="28"/>
          <w:szCs w:val="28"/>
        </w:rPr>
        <w:t>渣土车运行目前存在交通违法行为、破坏市容环境、多头管理等问题。建设“智慧城管”渣土运输监管子系统，一是可实现在线审批，建立标准的准入、审批等制度，把握渣土车准入关；二是可实现实时监控，运用GPS、物联网、视频监控等信息技术结合地图子系统，对渣土车辆的行驶线路、清运地点、沿途抛洒、车顶是否封闭、超速、超载等问题全程监控；三是可对从业人员跟踪管理，建立从业人员管理制度，通过系统对渣土车驾驶员进行统一管理；四是可通过渣土车管理中心协调管理、指挥调度。</w:t>
      </w:r>
    </w:p>
    <w:p w14:paraId="737D3E98">
      <w:pPr>
        <w:pStyle w:val="4"/>
        <w:numPr>
          <w:ilvl w:val="0"/>
          <w:numId w:val="0"/>
        </w:numPr>
        <w:spacing w:before="120" w:after="156" w:line="560" w:lineRule="exact"/>
        <w:ind w:left="482"/>
        <w:rPr>
          <w:rFonts w:cs="宋体"/>
          <w:color w:val="000000" w:themeColor="text1"/>
          <w:sz w:val="28"/>
          <w:szCs w:val="28"/>
          <w:lang w:eastAsia="zh-CN"/>
        </w:rPr>
      </w:pPr>
      <w:bookmarkStart w:id="62" w:name="_Toc26716"/>
      <w:r>
        <w:rPr>
          <w:rFonts w:hint="eastAsia" w:cs="宋体"/>
          <w:color w:val="000000" w:themeColor="text1"/>
          <w:sz w:val="28"/>
          <w:szCs w:val="28"/>
          <w:lang w:eastAsia="zh-CN"/>
        </w:rPr>
        <w:t>三、完善“牛皮癣”治理系统</w:t>
      </w:r>
      <w:bookmarkEnd w:id="62"/>
    </w:p>
    <w:p w14:paraId="5C3C7FAF">
      <w:pPr>
        <w:adjustRightInd w:val="0"/>
        <w:snapToGrid w:val="0"/>
        <w:spacing w:line="560" w:lineRule="exact"/>
        <w:ind w:firstLine="560" w:firstLineChars="200"/>
        <w:rPr>
          <w:rFonts w:ascii="宋体" w:hAnsi="宋体" w:cs="宋体"/>
          <w:color w:val="000000" w:themeColor="text1"/>
          <w:sz w:val="28"/>
          <w:szCs w:val="28"/>
        </w:rPr>
      </w:pPr>
      <w:r>
        <w:rPr>
          <w:rFonts w:hint="eastAsia" w:ascii="宋体" w:hAnsi="宋体" w:cs="宋体"/>
          <w:color w:val="000000" w:themeColor="text1"/>
          <w:sz w:val="28"/>
          <w:szCs w:val="28"/>
        </w:rPr>
        <w:t>“牛皮癣”的要害，就是断其“通讯”，让其成为无效广告，并将当事人纳入执法处罚对象。本系统构建“牛皮癣”的采集、录入、分发、惩治、警示、处罚的全流程、精细化的管控，即一线人员采集“牛皮癣”张贴证据，指挥中心分发到区城管局，区城管局核实录入系统，通过通讯设备惩治语音号码，纳入通信黑名单，超高频警示断通信。</w:t>
      </w:r>
    </w:p>
    <w:p w14:paraId="7724CEE4">
      <w:pPr>
        <w:pStyle w:val="4"/>
        <w:numPr>
          <w:ilvl w:val="0"/>
          <w:numId w:val="0"/>
        </w:numPr>
        <w:spacing w:before="120" w:after="156" w:line="560" w:lineRule="exact"/>
        <w:ind w:firstLine="562" w:firstLineChars="200"/>
        <w:rPr>
          <w:rFonts w:cs="宋体"/>
          <w:color w:val="000000" w:themeColor="text1"/>
          <w:sz w:val="28"/>
          <w:szCs w:val="28"/>
          <w:lang w:eastAsia="zh-CN"/>
        </w:rPr>
      </w:pPr>
      <w:bookmarkStart w:id="63" w:name="_Toc24278"/>
      <w:bookmarkStart w:id="64" w:name="_Toc33021099"/>
      <w:bookmarkStart w:id="65" w:name="_Toc33021102"/>
      <w:r>
        <w:rPr>
          <w:rFonts w:hint="eastAsia" w:cs="宋体"/>
          <w:color w:val="000000" w:themeColor="text1"/>
          <w:sz w:val="28"/>
          <w:szCs w:val="28"/>
          <w:lang w:eastAsia="zh-CN"/>
        </w:rPr>
        <w:t>四、建好全行业综合评价系统</w:t>
      </w:r>
      <w:bookmarkEnd w:id="63"/>
    </w:p>
    <w:p w14:paraId="505848EE">
      <w:pPr>
        <w:adjustRightInd w:val="0"/>
        <w:snapToGrid w:val="0"/>
        <w:spacing w:line="560" w:lineRule="exact"/>
        <w:ind w:firstLine="560" w:firstLineChars="200"/>
        <w:rPr>
          <w:rFonts w:ascii="宋体" w:hAnsi="宋体" w:cs="宋体"/>
          <w:color w:val="000000" w:themeColor="text1"/>
          <w:sz w:val="28"/>
          <w:szCs w:val="28"/>
        </w:rPr>
      </w:pPr>
      <w:r>
        <w:rPr>
          <w:rFonts w:hint="eastAsia" w:ascii="宋体" w:hAnsi="宋体" w:cs="宋体"/>
          <w:color w:val="000000" w:themeColor="text1"/>
          <w:sz w:val="28"/>
          <w:szCs w:val="28"/>
        </w:rPr>
        <w:t>根据城市综合管理服务评价工作要求，结合湘潭城市管理实际，围绕“干净、整洁、有序、安全、群众满意”等核心指标，构建全行业综合评价体系，实现评价指标管理、评价任务管理、评价结果生成和展示等功能模块。</w:t>
      </w:r>
    </w:p>
    <w:p w14:paraId="1D9FDC26">
      <w:pPr>
        <w:pStyle w:val="4"/>
        <w:numPr>
          <w:ilvl w:val="0"/>
          <w:numId w:val="0"/>
        </w:numPr>
        <w:spacing w:before="120" w:after="156" w:line="560" w:lineRule="exact"/>
        <w:ind w:left="482"/>
        <w:rPr>
          <w:rFonts w:cs="宋体"/>
          <w:color w:val="000000" w:themeColor="text1"/>
          <w:sz w:val="28"/>
          <w:szCs w:val="28"/>
          <w:lang w:eastAsia="zh-CN"/>
        </w:rPr>
      </w:pPr>
      <w:bookmarkStart w:id="66" w:name="_Toc22506"/>
      <w:r>
        <w:rPr>
          <w:rFonts w:hint="eastAsia" w:cs="宋体"/>
          <w:color w:val="000000" w:themeColor="text1"/>
          <w:sz w:val="28"/>
          <w:szCs w:val="28"/>
          <w:lang w:eastAsia="zh-CN"/>
        </w:rPr>
        <w:t>五、建好城市管理“大脑”</w:t>
      </w:r>
      <w:bookmarkEnd w:id="66"/>
    </w:p>
    <w:p w14:paraId="5DB492B5">
      <w:pPr>
        <w:adjustRightInd w:val="0"/>
        <w:snapToGrid w:val="0"/>
        <w:spacing w:line="560" w:lineRule="exact"/>
        <w:ind w:firstLine="560" w:firstLineChars="200"/>
        <w:rPr>
          <w:rFonts w:ascii="宋体" w:hAnsi="宋体" w:cs="宋体"/>
          <w:color w:val="000000" w:themeColor="text1"/>
          <w:sz w:val="28"/>
          <w:szCs w:val="28"/>
        </w:rPr>
      </w:pPr>
      <w:r>
        <w:rPr>
          <w:rFonts w:hint="eastAsia" w:ascii="宋体" w:hAnsi="宋体" w:cs="宋体"/>
          <w:color w:val="000000" w:themeColor="text1"/>
          <w:sz w:val="28"/>
          <w:szCs w:val="28"/>
        </w:rPr>
        <w:t>以应用场景为导向，以综合性城市管理数据库为基础，构建市民参与、城管执法、环境卫生、园林绿化、城市亮化、渣土工地、停车管理、违法建设、垃圾分类、城市桥隧、户外广告、供气供水、城市排水等城市综合管理服务专题大数据分析模型，构建多源数据接入、智能分析预警、智能扁平处置于一体的智能城市运行体系。</w:t>
      </w:r>
    </w:p>
    <w:p w14:paraId="74C75834">
      <w:pPr>
        <w:adjustRightInd w:val="0"/>
        <w:snapToGrid w:val="0"/>
        <w:spacing w:line="560" w:lineRule="exact"/>
        <w:ind w:firstLine="560" w:firstLineChars="200"/>
        <w:rPr>
          <w:rFonts w:ascii="宋体" w:hAnsi="宋体" w:cs="宋体"/>
          <w:bCs/>
          <w:color w:val="000000" w:themeColor="text1"/>
          <w:sz w:val="28"/>
          <w:szCs w:val="28"/>
        </w:rPr>
      </w:pPr>
    </w:p>
    <w:p w14:paraId="2DB89E16">
      <w:pPr>
        <w:pStyle w:val="3"/>
        <w:numPr>
          <w:ilvl w:val="0"/>
          <w:numId w:val="0"/>
        </w:numPr>
        <w:spacing w:before="156" w:after="156" w:line="560" w:lineRule="exact"/>
        <w:jc w:val="center"/>
        <w:rPr>
          <w:rFonts w:ascii="宋体" w:hAnsi="宋体" w:cs="宋体"/>
          <w:color w:val="000000" w:themeColor="text1"/>
          <w:sz w:val="30"/>
          <w:szCs w:val="30"/>
        </w:rPr>
      </w:pPr>
      <w:bookmarkStart w:id="67" w:name="_Toc19673"/>
      <w:r>
        <w:rPr>
          <w:rFonts w:hint="eastAsia" w:ascii="宋体" w:hAnsi="宋体" w:cs="宋体"/>
          <w:color w:val="000000" w:themeColor="text1"/>
          <w:sz w:val="30"/>
          <w:szCs w:val="30"/>
        </w:rPr>
        <w:t>第二节  建好城市综合管理服务平台二期</w:t>
      </w:r>
      <w:bookmarkEnd w:id="67"/>
    </w:p>
    <w:p w14:paraId="6A4C1EDA">
      <w:pPr>
        <w:pStyle w:val="4"/>
        <w:numPr>
          <w:ilvl w:val="0"/>
          <w:numId w:val="0"/>
        </w:numPr>
        <w:spacing w:before="120" w:after="156" w:line="560" w:lineRule="exact"/>
        <w:ind w:left="482"/>
        <w:rPr>
          <w:rFonts w:cs="宋体"/>
          <w:color w:val="000000" w:themeColor="text1"/>
          <w:sz w:val="28"/>
          <w:szCs w:val="28"/>
          <w:lang w:eastAsia="zh-CN"/>
        </w:rPr>
      </w:pPr>
      <w:bookmarkStart w:id="68" w:name="_Toc11385"/>
      <w:r>
        <w:rPr>
          <w:rFonts w:hint="eastAsia" w:cs="宋体"/>
          <w:color w:val="000000" w:themeColor="text1"/>
          <w:sz w:val="28"/>
          <w:szCs w:val="28"/>
          <w:lang w:eastAsia="zh-CN"/>
        </w:rPr>
        <w:t>一、深化智慧环卫平台</w:t>
      </w:r>
      <w:bookmarkEnd w:id="68"/>
    </w:p>
    <w:p w14:paraId="72268DA2">
      <w:pPr>
        <w:spacing w:line="560" w:lineRule="exact"/>
        <w:ind w:firstLine="482"/>
        <w:rPr>
          <w:rFonts w:ascii="宋体" w:hAnsi="宋体" w:cs="宋体"/>
          <w:color w:val="000000" w:themeColor="text1"/>
          <w:sz w:val="28"/>
          <w:szCs w:val="28"/>
        </w:rPr>
      </w:pPr>
      <w:r>
        <w:rPr>
          <w:rFonts w:hint="eastAsia" w:ascii="宋体" w:hAnsi="宋体" w:cs="宋体"/>
          <w:color w:val="000000" w:themeColor="text1"/>
          <w:sz w:val="28"/>
          <w:szCs w:val="28"/>
        </w:rPr>
        <w:t>整合现有环卫管理信息系统，并拓展完善，形成全市统一的环卫综合管理平台，实现对卫生环境、环卫作业效果、环卫车辆、环卫设施、废弃物终端处置的全面监管，使环卫作业问题能够及早发现、早解决。管理人员可以全面、实时、透明的掌握环卫作业情况，随时掌握可能出现的问题，统筹调配作业资源，多级协同处理；针对突发事件快速反应，监督管理部门与作业人员的实时互动，最大限度的提高应急处理能力。通过智慧环卫管理系统，可实现实时掌握一线管理、作业部门的绩效情况，及时反应各部门的响应灵敏度和处理问题的效果，形成长效管理考核机制，使环卫管理更科学、合理、规范。</w:t>
      </w:r>
    </w:p>
    <w:p w14:paraId="3708C116">
      <w:pPr>
        <w:pStyle w:val="4"/>
        <w:numPr>
          <w:ilvl w:val="0"/>
          <w:numId w:val="0"/>
        </w:numPr>
        <w:spacing w:before="120" w:after="156" w:line="560" w:lineRule="exact"/>
        <w:ind w:left="482"/>
        <w:rPr>
          <w:rFonts w:cs="宋体"/>
          <w:color w:val="000000" w:themeColor="text1"/>
          <w:sz w:val="28"/>
          <w:szCs w:val="28"/>
          <w:lang w:eastAsia="zh-CN"/>
        </w:rPr>
      </w:pPr>
      <w:bookmarkStart w:id="69" w:name="_Toc30077"/>
      <w:r>
        <w:rPr>
          <w:rFonts w:hint="eastAsia" w:cs="宋体"/>
          <w:color w:val="000000" w:themeColor="text1"/>
          <w:sz w:val="28"/>
          <w:szCs w:val="28"/>
          <w:lang w:eastAsia="zh-CN"/>
        </w:rPr>
        <w:t>二、深化智慧园林平台</w:t>
      </w:r>
      <w:bookmarkEnd w:id="69"/>
    </w:p>
    <w:p w14:paraId="53E154B3">
      <w:pPr>
        <w:adjustRightInd w:val="0"/>
        <w:snapToGrid w:val="0"/>
        <w:spacing w:line="560" w:lineRule="exact"/>
        <w:ind w:firstLine="560" w:firstLineChars="200"/>
        <w:rPr>
          <w:rFonts w:ascii="宋体" w:hAnsi="宋体" w:cs="宋体"/>
          <w:color w:val="000000" w:themeColor="text1"/>
          <w:sz w:val="28"/>
          <w:szCs w:val="28"/>
        </w:rPr>
      </w:pPr>
      <w:r>
        <w:rPr>
          <w:rFonts w:hint="eastAsia" w:ascii="宋体" w:hAnsi="宋体" w:cs="宋体"/>
          <w:color w:val="000000" w:themeColor="text1"/>
          <w:sz w:val="28"/>
          <w:szCs w:val="28"/>
        </w:rPr>
        <w:t>整合现有园林绿化信息系统，并拓展完善，建立、完善城市绿化、古树名木、公园等专题数据库，针对园林规划、建设、养护建立全生命周期管理系统，提高业务水平和管理效率，并对园林绿化情况进行综合评价，为更好管理城市、服务市民以及城市发展战略提供必要的信息。</w:t>
      </w:r>
    </w:p>
    <w:p w14:paraId="51223C6A">
      <w:pPr>
        <w:pStyle w:val="4"/>
        <w:numPr>
          <w:ilvl w:val="2"/>
          <w:numId w:val="0"/>
        </w:numPr>
        <w:spacing w:after="156"/>
        <w:ind w:left="420" w:leftChars="200" w:firstLine="281" w:firstLineChars="100"/>
        <w:rPr>
          <w:sz w:val="28"/>
          <w:szCs w:val="28"/>
          <w:lang w:eastAsia="zh-CN"/>
        </w:rPr>
      </w:pPr>
      <w:bookmarkStart w:id="70" w:name="_Toc14648"/>
      <w:r>
        <w:rPr>
          <w:rFonts w:hint="eastAsia"/>
          <w:sz w:val="28"/>
          <w:szCs w:val="28"/>
          <w:lang w:eastAsia="zh-CN"/>
        </w:rPr>
        <w:t>三、深化</w:t>
      </w:r>
      <w:r>
        <w:rPr>
          <w:rFonts w:hint="eastAsia"/>
          <w:color w:val="000000" w:themeColor="text1"/>
          <w:sz w:val="28"/>
          <w:szCs w:val="28"/>
          <w:lang w:eastAsia="zh-CN"/>
        </w:rPr>
        <w:t>智慧</w:t>
      </w:r>
      <w:r>
        <w:rPr>
          <w:rFonts w:hint="eastAsia"/>
          <w:sz w:val="28"/>
          <w:szCs w:val="28"/>
          <w:lang w:eastAsia="zh-CN"/>
        </w:rPr>
        <w:t>照明平台</w:t>
      </w:r>
      <w:bookmarkEnd w:id="70"/>
    </w:p>
    <w:p w14:paraId="7586356D">
      <w:pPr>
        <w:adjustRightInd w:val="0"/>
        <w:snapToGrid w:val="0"/>
        <w:spacing w:line="560" w:lineRule="exact"/>
        <w:ind w:firstLine="560" w:firstLineChars="200"/>
        <w:rPr>
          <w:rFonts w:asciiTheme="minorEastAsia" w:hAnsiTheme="minorEastAsia" w:eastAsiaTheme="minorEastAsia" w:cstheme="minorEastAsia"/>
          <w:color w:val="000000" w:themeColor="text1"/>
          <w:sz w:val="28"/>
          <w:szCs w:val="28"/>
        </w:rPr>
      </w:pPr>
      <w:r>
        <w:rPr>
          <w:rFonts w:hint="eastAsia" w:asciiTheme="minorEastAsia" w:hAnsiTheme="minorEastAsia" w:eastAsiaTheme="minorEastAsia" w:cstheme="minorEastAsia"/>
          <w:sz w:val="28"/>
          <w:szCs w:val="28"/>
        </w:rPr>
        <w:t>智能照明平台目前存在视频监控系统为模拟信号设备；路灯控制终端的2G通讯模块存在信号丢失和数据传输延时等现象；</w:t>
      </w:r>
      <w:r>
        <w:rPr>
          <w:rFonts w:hint="eastAsia" w:asciiTheme="minorEastAsia" w:hAnsiTheme="minorEastAsia" w:eastAsiaTheme="minorEastAsia" w:cstheme="minorEastAsia"/>
          <w:kern w:val="0"/>
          <w:sz w:val="28"/>
          <w:szCs w:val="28"/>
        </w:rPr>
        <w:t>城市照明设施</w:t>
      </w:r>
      <w:r>
        <w:rPr>
          <w:rFonts w:hint="eastAsia" w:asciiTheme="minorEastAsia" w:hAnsiTheme="minorEastAsia" w:eastAsiaTheme="minorEastAsia" w:cstheme="minorEastAsia"/>
          <w:sz w:val="28"/>
          <w:szCs w:val="28"/>
        </w:rPr>
        <w:t>覆盖面广及设施移交数量增加，但目前监控系统仍处于集中控制阶段等问题。深化智能照明平台，一是视频监控系统的高清效果可提高动态监控质量和信息准确性，并与市城管局智慧城管数字视频监控系统实现对接。二是终端4G网络保证数据在传输过程中精准且实现城市照明监控中心对路灯设施漏电系统的监测控制。三是物联网单灯监控可提升设施监控体量，降低日常管理难度，缩减运营成本等。</w:t>
      </w:r>
    </w:p>
    <w:p w14:paraId="18A95AF5">
      <w:pPr>
        <w:pStyle w:val="4"/>
        <w:numPr>
          <w:ilvl w:val="0"/>
          <w:numId w:val="0"/>
        </w:numPr>
        <w:spacing w:before="120" w:after="156" w:line="560" w:lineRule="exact"/>
        <w:ind w:firstLine="562" w:firstLineChars="200"/>
        <w:rPr>
          <w:rFonts w:cs="宋体"/>
          <w:color w:val="000000" w:themeColor="text1"/>
          <w:sz w:val="28"/>
          <w:szCs w:val="28"/>
          <w:lang w:eastAsia="zh-CN"/>
        </w:rPr>
      </w:pPr>
      <w:bookmarkStart w:id="71" w:name="_Toc20066"/>
      <w:r>
        <w:rPr>
          <w:rFonts w:hint="eastAsia" w:cs="宋体"/>
          <w:color w:val="000000" w:themeColor="text1"/>
          <w:sz w:val="28"/>
          <w:szCs w:val="28"/>
          <w:lang w:eastAsia="zh-CN"/>
        </w:rPr>
        <w:t>四、建好智慧市政平台</w:t>
      </w:r>
      <w:bookmarkEnd w:id="71"/>
    </w:p>
    <w:p w14:paraId="2F15FDAD">
      <w:pPr>
        <w:adjustRightInd w:val="0"/>
        <w:snapToGrid w:val="0"/>
        <w:spacing w:line="560" w:lineRule="exact"/>
        <w:ind w:firstLine="560" w:firstLineChars="200"/>
        <w:rPr>
          <w:rFonts w:ascii="宋体" w:hAnsi="宋体" w:cs="宋体"/>
          <w:color w:val="000000" w:themeColor="text1"/>
          <w:sz w:val="28"/>
          <w:szCs w:val="28"/>
        </w:rPr>
      </w:pPr>
      <w:r>
        <w:rPr>
          <w:rFonts w:hint="eastAsia" w:ascii="宋体" w:hAnsi="宋体" w:cs="宋体"/>
          <w:color w:val="000000" w:themeColor="text1"/>
          <w:sz w:val="28"/>
          <w:szCs w:val="28"/>
        </w:rPr>
        <w:t>基于物联网技术、BIM技术、CIM等技术，实现对路面、桥梁、隧道、地下管网危险源气体、井盖、路灯等市政信息的实时在线监测并上传监控中心的市政综合管理平台。可以实现对市政照明的有效管控，同时可以强化城市防汛、灾害天气及重大活动保障期间实时动态掌握，实施有效监督指挥，加强应急处置相关的人力、物力及重要目标空间分布的动态信息管理，建立健全城市安全风险防控体系，提高城市重大事件的应急处置和决策指挥能力。</w:t>
      </w:r>
    </w:p>
    <w:bookmarkEnd w:id="64"/>
    <w:bookmarkEnd w:id="65"/>
    <w:p w14:paraId="63341452">
      <w:pPr>
        <w:pStyle w:val="4"/>
        <w:numPr>
          <w:ilvl w:val="0"/>
          <w:numId w:val="0"/>
        </w:numPr>
        <w:spacing w:before="120" w:after="156" w:line="560" w:lineRule="exact"/>
        <w:ind w:firstLine="562" w:firstLineChars="200"/>
        <w:rPr>
          <w:rFonts w:cs="宋体"/>
          <w:color w:val="000000" w:themeColor="text1"/>
          <w:sz w:val="28"/>
          <w:szCs w:val="28"/>
          <w:lang w:eastAsia="zh-CN"/>
        </w:rPr>
      </w:pPr>
      <w:bookmarkStart w:id="72" w:name="_Toc30662"/>
      <w:r>
        <w:rPr>
          <w:rFonts w:hint="eastAsia" w:cs="宋体"/>
          <w:color w:val="000000" w:themeColor="text1"/>
          <w:sz w:val="28"/>
          <w:szCs w:val="28"/>
          <w:lang w:eastAsia="zh-CN"/>
        </w:rPr>
        <w:t>五、建好智慧执法平台</w:t>
      </w:r>
      <w:bookmarkEnd w:id="72"/>
    </w:p>
    <w:p w14:paraId="08542417">
      <w:pPr>
        <w:adjustRightInd w:val="0"/>
        <w:snapToGrid w:val="0"/>
        <w:spacing w:line="560" w:lineRule="exact"/>
        <w:ind w:firstLine="560" w:firstLineChars="200"/>
        <w:rPr>
          <w:rFonts w:ascii="宋体" w:hAnsi="宋体" w:cs="宋体"/>
          <w:color w:val="000000" w:themeColor="text1"/>
          <w:sz w:val="28"/>
          <w:szCs w:val="28"/>
        </w:rPr>
      </w:pPr>
      <w:r>
        <w:rPr>
          <w:rFonts w:hint="eastAsia" w:ascii="宋体" w:hAnsi="宋体" w:cs="宋体"/>
          <w:color w:val="000000" w:themeColor="text1"/>
          <w:sz w:val="28"/>
          <w:szCs w:val="28"/>
        </w:rPr>
        <w:t>共享全省城市管理执法一体化平台，并对接整合到湘潭市城市综合管理服务平台，实现网上办案、网上勤务、网上督察、网上考核等功能，并建立智慧执法数据库与多种无线终端之间的双向信息交换，在城市管理现场执法业务处理时实现“信息上路”，执法人员在路面即可实现相关信息的查询、处理，全面提升城管执法信息化水平，做到执法事前、事中、事后全过程监管，从而达到规范执法、文明执法、科学执法的美好愿景。</w:t>
      </w:r>
    </w:p>
    <w:p w14:paraId="7BE91A1F">
      <w:pPr>
        <w:pStyle w:val="4"/>
        <w:numPr>
          <w:ilvl w:val="0"/>
          <w:numId w:val="0"/>
        </w:numPr>
        <w:spacing w:before="120" w:after="156" w:line="560" w:lineRule="exact"/>
        <w:ind w:left="482"/>
        <w:rPr>
          <w:rFonts w:cs="宋体"/>
          <w:color w:val="000000" w:themeColor="text1"/>
          <w:sz w:val="28"/>
          <w:szCs w:val="28"/>
          <w:lang w:eastAsia="zh-CN"/>
        </w:rPr>
      </w:pPr>
      <w:bookmarkStart w:id="73" w:name="_Toc25378"/>
      <w:r>
        <w:rPr>
          <w:rFonts w:hint="eastAsia" w:cs="宋体"/>
          <w:color w:val="000000" w:themeColor="text1"/>
          <w:sz w:val="28"/>
          <w:szCs w:val="28"/>
          <w:lang w:eastAsia="zh-CN"/>
        </w:rPr>
        <w:t>六、建好智慧停车平台</w:t>
      </w:r>
      <w:bookmarkEnd w:id="73"/>
    </w:p>
    <w:p w14:paraId="473E7AB3">
      <w:pPr>
        <w:adjustRightInd w:val="0"/>
        <w:snapToGrid w:val="0"/>
        <w:spacing w:line="560" w:lineRule="exact"/>
        <w:ind w:firstLine="560" w:firstLineChars="200"/>
        <w:rPr>
          <w:rFonts w:ascii="宋体" w:hAnsi="宋体" w:cs="宋体"/>
          <w:color w:val="000000" w:themeColor="text1"/>
          <w:sz w:val="28"/>
          <w:szCs w:val="28"/>
        </w:rPr>
      </w:pPr>
      <w:r>
        <w:rPr>
          <w:rFonts w:hint="eastAsia" w:ascii="宋体" w:hAnsi="宋体" w:cs="宋体"/>
          <w:color w:val="000000" w:themeColor="text1"/>
          <w:sz w:val="28"/>
          <w:szCs w:val="28"/>
        </w:rPr>
        <w:t>通过对道路停车泊位、公共停车场库、专用停车场库、社会停车场库的信息管理、运营管理、评价管理、应急管理等，加强政府管理部门对人员、车辆、车场、车位、服务的统一监管，实现规范化经营，提升城市停车服务水平。在城市停车联网建设基础上，进行公众服务平台建设，实现车位查询、预约、导航、停车费无感支付、个人车位共享、车辆管理、消息推送等功能，全面提升公众停车便利性。</w:t>
      </w:r>
    </w:p>
    <w:p w14:paraId="671C536C">
      <w:pPr>
        <w:pStyle w:val="4"/>
        <w:numPr>
          <w:ilvl w:val="0"/>
          <w:numId w:val="0"/>
        </w:numPr>
        <w:spacing w:before="120" w:after="156" w:line="560" w:lineRule="exact"/>
        <w:ind w:firstLine="562" w:firstLineChars="200"/>
        <w:rPr>
          <w:rFonts w:cs="宋体"/>
          <w:color w:val="000000" w:themeColor="text1"/>
          <w:sz w:val="28"/>
          <w:szCs w:val="28"/>
          <w:lang w:eastAsia="zh-CN"/>
        </w:rPr>
      </w:pPr>
      <w:bookmarkStart w:id="74" w:name="_Toc17382"/>
      <w:r>
        <w:rPr>
          <w:rFonts w:hint="eastAsia" w:cs="宋体"/>
          <w:color w:val="000000" w:themeColor="text1"/>
          <w:sz w:val="28"/>
          <w:szCs w:val="28"/>
          <w:lang w:eastAsia="zh-CN"/>
        </w:rPr>
        <w:t>七、深化户外广告管理平台</w:t>
      </w:r>
      <w:bookmarkEnd w:id="74"/>
    </w:p>
    <w:p w14:paraId="4F4D82E0">
      <w:pPr>
        <w:adjustRightInd w:val="0"/>
        <w:snapToGrid w:val="0"/>
        <w:spacing w:line="560" w:lineRule="exact"/>
        <w:ind w:firstLine="560" w:firstLineChars="200"/>
        <w:rPr>
          <w:rFonts w:ascii="宋体" w:hAnsi="宋体" w:cs="宋体"/>
          <w:color w:val="FF0000"/>
          <w:sz w:val="28"/>
          <w:szCs w:val="28"/>
        </w:rPr>
      </w:pPr>
      <w:r>
        <w:rPr>
          <w:rFonts w:hint="eastAsia" w:ascii="宋体" w:hAnsi="宋体" w:cs="宋体"/>
          <w:color w:val="000000" w:themeColor="text1"/>
          <w:sz w:val="28"/>
          <w:szCs w:val="28"/>
        </w:rPr>
        <w:t>通过建立户外广告数据库，将已审批的户外广告信息和分布情况全部录入数据库，巡查人员发现问题可以不受时间、地点、场所的限制，随时利用平台实时上传问题，并即刻交办，进一步强化日常管理的力度和精度；同时通过在大型户外广告设施上安装摄像头，实现对大型户外广告设施的远程监管，及时发现可能存在的安全风险，第一时间作出应对，消除隐患。</w:t>
      </w:r>
    </w:p>
    <w:p w14:paraId="713E954F">
      <w:pPr>
        <w:pStyle w:val="4"/>
        <w:numPr>
          <w:ilvl w:val="0"/>
          <w:numId w:val="0"/>
        </w:numPr>
        <w:spacing w:before="120" w:after="156" w:line="560" w:lineRule="exact"/>
        <w:ind w:firstLine="562" w:firstLineChars="200"/>
        <w:rPr>
          <w:rFonts w:cs="宋体"/>
          <w:color w:val="000000" w:themeColor="text1"/>
          <w:sz w:val="28"/>
          <w:szCs w:val="28"/>
          <w:lang w:eastAsia="zh-CN"/>
        </w:rPr>
      </w:pPr>
      <w:bookmarkStart w:id="75" w:name="_Toc27841"/>
      <w:r>
        <w:rPr>
          <w:rFonts w:hint="eastAsia" w:cs="宋体"/>
          <w:color w:val="000000" w:themeColor="text1"/>
          <w:sz w:val="28"/>
          <w:szCs w:val="28"/>
          <w:lang w:eastAsia="zh-CN"/>
        </w:rPr>
        <w:t>八、完善燃气智能监管平台</w:t>
      </w:r>
      <w:bookmarkEnd w:id="75"/>
    </w:p>
    <w:p w14:paraId="57C805F5">
      <w:pPr>
        <w:adjustRightInd w:val="0"/>
        <w:snapToGrid w:val="0"/>
        <w:spacing w:line="560" w:lineRule="exact"/>
        <w:ind w:firstLine="560" w:firstLineChars="200"/>
        <w:rPr>
          <w:rFonts w:ascii="宋体" w:hAnsi="宋体" w:cs="宋体"/>
          <w:color w:val="000000" w:themeColor="text1"/>
          <w:sz w:val="28"/>
          <w:szCs w:val="28"/>
        </w:rPr>
      </w:pPr>
      <w:r>
        <w:rPr>
          <w:rFonts w:hint="eastAsia" w:ascii="宋体" w:hAnsi="宋体" w:cs="宋体"/>
          <w:color w:val="000000" w:themeColor="text1"/>
          <w:sz w:val="28"/>
          <w:szCs w:val="28"/>
        </w:rPr>
        <w:t>将全市14个液化气充装站，277个供应站，60余台重装秤，700余名从业人员、数十万液化气钢瓶以及液化气用户统一纳入平台监管，实现气瓶从生产、过期监测、报废全过程监管和瓶装液化气从充装运输、供应、配送、使用、入户安检、回收等各个环节的闭环监管，实现政府监管部门通过平台和执法APP进行执法、检查等。</w:t>
      </w:r>
    </w:p>
    <w:p w14:paraId="1649E76B">
      <w:pPr>
        <w:pStyle w:val="4"/>
        <w:numPr>
          <w:ilvl w:val="0"/>
          <w:numId w:val="0"/>
        </w:numPr>
        <w:spacing w:before="120" w:after="156" w:line="560" w:lineRule="exact"/>
        <w:ind w:firstLine="562" w:firstLineChars="200"/>
        <w:rPr>
          <w:rFonts w:cs="宋体"/>
          <w:color w:val="000000" w:themeColor="text1"/>
          <w:sz w:val="28"/>
          <w:szCs w:val="28"/>
          <w:lang w:eastAsia="zh-CN"/>
        </w:rPr>
      </w:pPr>
      <w:bookmarkStart w:id="76" w:name="_Toc13746"/>
      <w:r>
        <w:rPr>
          <w:rFonts w:hint="eastAsia" w:cs="宋体"/>
          <w:color w:val="000000" w:themeColor="text1"/>
          <w:sz w:val="28"/>
          <w:szCs w:val="28"/>
          <w:lang w:eastAsia="zh-CN"/>
        </w:rPr>
        <w:t>九、完善餐饮油烟排放监控平台</w:t>
      </w:r>
      <w:bookmarkEnd w:id="76"/>
    </w:p>
    <w:p w14:paraId="19269ABB">
      <w:pPr>
        <w:adjustRightInd w:val="0"/>
        <w:snapToGrid w:val="0"/>
        <w:spacing w:line="560" w:lineRule="exact"/>
        <w:ind w:firstLine="560" w:firstLineChars="200"/>
        <w:rPr>
          <w:rFonts w:ascii="宋体" w:hAnsi="宋体" w:cs="宋体"/>
          <w:color w:val="000000" w:themeColor="text1"/>
          <w:sz w:val="28"/>
          <w:szCs w:val="28"/>
        </w:rPr>
      </w:pPr>
      <w:r>
        <w:rPr>
          <w:rFonts w:hint="eastAsia" w:ascii="宋体" w:hAnsi="宋体" w:cs="宋体"/>
          <w:color w:val="000000" w:themeColor="text1"/>
          <w:sz w:val="28"/>
          <w:szCs w:val="28"/>
        </w:rPr>
        <w:t>餐饮油烟排放扰民一直是城管部门</w:t>
      </w:r>
      <w:r>
        <w:rPr>
          <w:rFonts w:hint="eastAsia" w:ascii="宋体" w:hAnsi="宋体" w:cs="宋体"/>
          <w:bCs/>
          <w:color w:val="000000" w:themeColor="text1"/>
          <w:sz w:val="28"/>
          <w:szCs w:val="28"/>
        </w:rPr>
        <w:t>工作的“老大难”之一，也是群众投诉较多、反</w:t>
      </w:r>
      <w:r>
        <w:rPr>
          <w:rFonts w:hint="eastAsia" w:ascii="宋体" w:hAnsi="宋体" w:cs="宋体"/>
          <w:bCs/>
          <w:color w:val="000000" w:themeColor="text1"/>
          <w:sz w:val="28"/>
          <w:szCs w:val="28"/>
          <w:lang w:eastAsia="zh-CN"/>
        </w:rPr>
        <w:t>应</w:t>
      </w:r>
      <w:r>
        <w:rPr>
          <w:rFonts w:hint="eastAsia" w:ascii="宋体" w:hAnsi="宋体" w:cs="宋体"/>
          <w:bCs/>
          <w:color w:val="000000" w:themeColor="text1"/>
          <w:sz w:val="28"/>
          <w:szCs w:val="28"/>
        </w:rPr>
        <w:t>比较强烈的问题之一。要解决油烟扰民问题，必须建立更高效的发现机制。通过建设餐饮油烟排放监控平台，在餐饮企业前端安装油烟排放监控设备，及时了解餐饮企业的油烟净化设备的时间、目前运转情况、排放油烟的浓度、温度、湿度及排放口的清洁度，督促餐饮企业加强油烟净化器的日常运维，对未落实整改且油烟排放持续超标的企业及时进行处罚。</w:t>
      </w:r>
    </w:p>
    <w:p w14:paraId="019078F2">
      <w:pPr>
        <w:pStyle w:val="2"/>
        <w:numPr>
          <w:ilvl w:val="0"/>
          <w:numId w:val="0"/>
        </w:numPr>
        <w:spacing w:line="560" w:lineRule="exact"/>
        <w:jc w:val="center"/>
        <w:rPr>
          <w:rFonts w:ascii="宋体" w:hAnsi="宋体" w:cs="宋体"/>
          <w:color w:val="000000" w:themeColor="text1"/>
          <w:szCs w:val="32"/>
          <w:lang w:eastAsia="zh-CN"/>
        </w:rPr>
      </w:pPr>
      <w:bookmarkStart w:id="77" w:name="_Toc24966"/>
      <w:r>
        <w:rPr>
          <w:rFonts w:hint="eastAsia" w:ascii="宋体" w:hAnsi="宋体" w:cs="宋体"/>
          <w:color w:val="000000" w:themeColor="text1"/>
          <w:szCs w:val="32"/>
          <w:lang w:eastAsia="zh-CN"/>
        </w:rPr>
        <w:t xml:space="preserve">第六章  </w:t>
      </w:r>
      <w:r>
        <w:rPr>
          <w:rFonts w:hint="eastAsia"/>
          <w:color w:val="000000" w:themeColor="text1"/>
          <w:lang w:eastAsia="zh-CN"/>
        </w:rPr>
        <w:t>统筹城乡环境卫生管理系统，实现城乡环卫一体化</w:t>
      </w:r>
      <w:bookmarkEnd w:id="77"/>
    </w:p>
    <w:p w14:paraId="1C55D0F7">
      <w:pPr>
        <w:pStyle w:val="3"/>
        <w:numPr>
          <w:ilvl w:val="0"/>
          <w:numId w:val="0"/>
        </w:numPr>
        <w:spacing w:before="156" w:after="156" w:line="560" w:lineRule="exact"/>
        <w:jc w:val="center"/>
        <w:rPr>
          <w:rFonts w:ascii="宋体" w:hAnsi="宋体" w:cs="宋体"/>
          <w:color w:val="000000" w:themeColor="text1"/>
          <w:sz w:val="30"/>
          <w:szCs w:val="30"/>
        </w:rPr>
      </w:pPr>
    </w:p>
    <w:p w14:paraId="57B42E13">
      <w:pPr>
        <w:pStyle w:val="3"/>
        <w:numPr>
          <w:ilvl w:val="0"/>
          <w:numId w:val="0"/>
        </w:numPr>
        <w:spacing w:before="156" w:after="156" w:line="560" w:lineRule="exact"/>
        <w:jc w:val="center"/>
        <w:rPr>
          <w:rFonts w:ascii="宋体" w:hAnsi="宋体" w:cs="宋体"/>
          <w:color w:val="000000" w:themeColor="text1"/>
          <w:sz w:val="30"/>
          <w:szCs w:val="30"/>
        </w:rPr>
      </w:pPr>
      <w:bookmarkStart w:id="78" w:name="_Toc5761"/>
      <w:r>
        <w:rPr>
          <w:rFonts w:hint="eastAsia" w:ascii="宋体" w:hAnsi="宋体" w:cs="宋体"/>
          <w:color w:val="000000" w:themeColor="text1"/>
          <w:sz w:val="30"/>
          <w:szCs w:val="30"/>
        </w:rPr>
        <w:t>第一节  统筹城乡垃圾收运处置管理</w:t>
      </w:r>
      <w:bookmarkEnd w:id="78"/>
    </w:p>
    <w:p w14:paraId="718DAD20">
      <w:pPr>
        <w:pStyle w:val="4"/>
        <w:numPr>
          <w:ilvl w:val="0"/>
          <w:numId w:val="0"/>
        </w:numPr>
        <w:spacing w:before="120" w:after="156" w:line="560" w:lineRule="exact"/>
        <w:ind w:firstLine="562" w:firstLineChars="200"/>
        <w:rPr>
          <w:rFonts w:cs="宋体"/>
          <w:color w:val="000000" w:themeColor="text1"/>
          <w:sz w:val="28"/>
          <w:szCs w:val="28"/>
          <w:lang w:eastAsia="zh-CN"/>
        </w:rPr>
      </w:pPr>
      <w:bookmarkStart w:id="79" w:name="_Toc10459"/>
      <w:r>
        <w:rPr>
          <w:rFonts w:hint="eastAsia" w:cs="宋体"/>
          <w:color w:val="000000" w:themeColor="text1"/>
          <w:sz w:val="28"/>
          <w:szCs w:val="28"/>
          <w:lang w:eastAsia="zh-CN"/>
        </w:rPr>
        <w:t>一、统一垃圾分类标准</w:t>
      </w:r>
      <w:bookmarkEnd w:id="79"/>
    </w:p>
    <w:p w14:paraId="632A2332">
      <w:pPr>
        <w:spacing w:line="560" w:lineRule="exact"/>
        <w:ind w:firstLine="560" w:firstLineChars="200"/>
        <w:rPr>
          <w:rFonts w:ascii="宋体" w:hAnsi="宋体" w:cs="宋体"/>
          <w:color w:val="000000" w:themeColor="text1"/>
          <w:sz w:val="28"/>
          <w:szCs w:val="28"/>
        </w:rPr>
      </w:pPr>
      <w:r>
        <w:rPr>
          <w:rFonts w:hint="eastAsia" w:ascii="宋体" w:hAnsi="宋体" w:cs="宋体"/>
          <w:color w:val="000000" w:themeColor="text1"/>
          <w:sz w:val="28"/>
          <w:szCs w:val="28"/>
        </w:rPr>
        <w:t>统一按照四分类即厨余垃圾、有害垃圾、可回收物和其他垃圾的方式进行分类。其中，居住区分为厨余垃圾、其他垃圾、有害垃圾、可回收物；企事业单位分为可回收物、其他垃圾和有害垃圾，有食堂的单位或餐饮单位将餐厨垃圾分出；公共场所分为可回收物、其他垃圾；集贸市场分为厨余垃圾、其他垃圾。</w:t>
      </w:r>
    </w:p>
    <w:p w14:paraId="2501EDFD">
      <w:pPr>
        <w:pStyle w:val="4"/>
        <w:numPr>
          <w:ilvl w:val="0"/>
          <w:numId w:val="0"/>
        </w:numPr>
        <w:spacing w:before="120" w:after="156" w:line="560" w:lineRule="exact"/>
        <w:ind w:firstLine="562" w:firstLineChars="200"/>
        <w:rPr>
          <w:rFonts w:cs="宋体"/>
          <w:color w:val="000000" w:themeColor="text1"/>
          <w:sz w:val="28"/>
          <w:szCs w:val="28"/>
          <w:lang w:eastAsia="zh-CN"/>
        </w:rPr>
      </w:pPr>
      <w:bookmarkStart w:id="80" w:name="_Toc3547"/>
      <w:r>
        <w:rPr>
          <w:rFonts w:hint="eastAsia" w:cs="宋体"/>
          <w:color w:val="000000" w:themeColor="text1"/>
          <w:sz w:val="28"/>
          <w:szCs w:val="28"/>
          <w:lang w:eastAsia="zh-CN"/>
        </w:rPr>
        <w:t>二、明确垃圾收运模式</w:t>
      </w:r>
      <w:bookmarkEnd w:id="80"/>
    </w:p>
    <w:p w14:paraId="30B0A10B">
      <w:pPr>
        <w:pStyle w:val="46"/>
        <w:spacing w:line="560" w:lineRule="exact"/>
        <w:ind w:firstLine="560" w:firstLineChars="200"/>
        <w:jc w:val="both"/>
        <w:rPr>
          <w:rFonts w:hAnsi="宋体"/>
          <w:color w:val="000000" w:themeColor="text1"/>
          <w:sz w:val="28"/>
          <w:szCs w:val="28"/>
        </w:rPr>
      </w:pPr>
      <w:r>
        <w:rPr>
          <w:rFonts w:hint="eastAsia" w:hAnsi="宋体"/>
          <w:color w:val="000000" w:themeColor="text1"/>
          <w:sz w:val="28"/>
          <w:szCs w:val="28"/>
        </w:rPr>
        <w:t>厨余垃圾采用分类垃圾收集点（厨余垃圾桶）+桶换桶收集车/罐装车+垃圾收集站/垃圾转运站（厨余垃圾泊位）方式收运。居住区内设置分类垃圾收集点（垃圾分类桶组），作业人员采用桶换桶收集车将厨余垃圾驳运至垃圾收集站的厨余垃圾泊位，或采用密罐车将厨余垃圾驳运至垃圾转运站的厨余垃圾泊位。其他垃圾采用分类垃圾收集点（其他垃圾桶）+小型收集车/压缩车+垃圾收集站/垃圾转运站（其他垃圾泊位）方式收运。居住区内设置分类垃圾收集点（垃圾分类桶组），作业人员采用小型收集车将其他垃圾驳运至垃圾收集站的其他垃圾泊位，或采用压缩车将其他垃圾驳运至垃圾转运站的其他垃圾泊位。有害垃圾/可回收物：采用分类收集房+小型收集车+垃圾转运站（分类车间）方式收运。居住区内设置分类收集房，暂存可回收物、有害垃圾，作业人员采用小型收集车将可回收物、有害垃圾定期驳运至垃圾转运站的垃圾分类车间。</w:t>
      </w:r>
    </w:p>
    <w:p w14:paraId="4D6BAA82">
      <w:pPr>
        <w:pStyle w:val="8"/>
        <w:rPr>
          <w:rFonts w:ascii="宋体" w:hAnsi="宋体" w:cs="宋体"/>
          <w:color w:val="000000" w:themeColor="text1"/>
          <w:sz w:val="28"/>
          <w:szCs w:val="28"/>
        </w:rPr>
      </w:pPr>
      <w:r>
        <w:rPr>
          <w:rFonts w:hint="eastAsia" w:ascii="宋体" w:hAnsi="宋体" w:cs="宋体"/>
          <w:color w:val="000000" w:themeColor="text1"/>
          <w:sz w:val="28"/>
          <w:szCs w:val="28"/>
        </w:rPr>
        <w:t>湘潭市区采用转运站转运方式，均将垃圾压缩后运往垃圾处理厂。其中河西旧城-万楼片区、河东中心片区、岳塘新城片区、高新区、湘潭经开区采用大中型转运站转运，昭山示范区、姜畲镇、鹤岭镇采用小型转运站转运。韶山市城区采用中型转运站转运方式。湘乡市和湘潭县城区以直运方式为主，生活垃圾由分类垃圾桶或小型收集站收集，经8吨压缩车或拉臂车直接收运至垃圾处理厂；部分大于10公里的城区可分散转运，转运规模为50吨/日～100吨/日，配套8吨集装车运往处置场。</w:t>
      </w:r>
    </w:p>
    <w:p w14:paraId="1CCA98F9">
      <w:pPr>
        <w:pStyle w:val="4"/>
        <w:numPr>
          <w:ilvl w:val="0"/>
          <w:numId w:val="0"/>
        </w:numPr>
        <w:spacing w:before="120" w:after="156" w:line="560" w:lineRule="exact"/>
        <w:ind w:firstLine="562" w:firstLineChars="200"/>
        <w:rPr>
          <w:rFonts w:cs="宋体"/>
          <w:color w:val="000000" w:themeColor="text1"/>
          <w:sz w:val="28"/>
          <w:szCs w:val="28"/>
          <w:lang w:eastAsia="zh-CN"/>
        </w:rPr>
      </w:pPr>
      <w:bookmarkStart w:id="81" w:name="_Toc15073"/>
      <w:r>
        <w:rPr>
          <w:rFonts w:hint="eastAsia" w:cs="宋体"/>
          <w:color w:val="000000" w:themeColor="text1"/>
          <w:sz w:val="28"/>
          <w:szCs w:val="28"/>
          <w:lang w:eastAsia="zh-CN"/>
        </w:rPr>
        <w:t>三、完善垃圾收运设施</w:t>
      </w:r>
      <w:bookmarkEnd w:id="81"/>
    </w:p>
    <w:p w14:paraId="0C99872C">
      <w:pPr>
        <w:pStyle w:val="8"/>
        <w:spacing w:line="560" w:lineRule="exact"/>
        <w:ind w:firstLine="560" w:firstLineChars="200"/>
        <w:jc w:val="both"/>
        <w:rPr>
          <w:rFonts w:ascii="宋体" w:hAnsi="宋体" w:cs="宋体"/>
          <w:color w:val="000000" w:themeColor="text1"/>
          <w:sz w:val="28"/>
          <w:szCs w:val="28"/>
        </w:rPr>
      </w:pPr>
      <w:r>
        <w:rPr>
          <w:rFonts w:hint="eastAsia" w:ascii="宋体" w:hAnsi="宋体" w:cs="宋体"/>
          <w:color w:val="000000" w:themeColor="text1"/>
          <w:sz w:val="28"/>
          <w:szCs w:val="28"/>
        </w:rPr>
        <w:t>规划新建5座大件垃圾处理厂，处理利用本市产生的大件垃圾和电子垃圾。以现有废品产业为基础，利用网络、环卫清运队伍等资源，整合部分回收企业，实现大件和电子垃圾规范收集。利用电话或网络申报相结合的方式建设木质类大件垃圾申报平台，对大件垃圾进行申报；结合小区垃圾房或垃圾收集点临时设置大件垃圾收集点；新增配置专用IC卡的大件垃圾清运车，实现大件垃圾的处置计量。通过网上申报方式将大型家电集中至1～2家指定的资源利用公司回收利用；利用电子垃圾有偿回收并结合废品回收系统推动包括社区回收网点、企业回收网点的低成本互联网回收体系建设。</w:t>
      </w:r>
    </w:p>
    <w:p w14:paraId="6D8907D3">
      <w:pPr>
        <w:pStyle w:val="4"/>
        <w:numPr>
          <w:ilvl w:val="0"/>
          <w:numId w:val="0"/>
        </w:numPr>
        <w:spacing w:before="120" w:after="156" w:line="560" w:lineRule="exact"/>
        <w:ind w:left="482"/>
        <w:rPr>
          <w:rFonts w:cs="宋体"/>
          <w:color w:val="00B0F0"/>
          <w:sz w:val="28"/>
          <w:szCs w:val="28"/>
          <w:lang w:eastAsia="zh-CN"/>
        </w:rPr>
      </w:pPr>
      <w:bookmarkStart w:id="82" w:name="_Toc20271"/>
      <w:r>
        <w:rPr>
          <w:rFonts w:hint="eastAsia" w:cs="宋体"/>
          <w:color w:val="000000" w:themeColor="text1"/>
          <w:sz w:val="28"/>
          <w:szCs w:val="28"/>
          <w:lang w:eastAsia="zh-CN"/>
        </w:rPr>
        <w:t>四、科学处置各类垃圾</w:t>
      </w:r>
      <w:bookmarkEnd w:id="82"/>
    </w:p>
    <w:p w14:paraId="6E8149EE">
      <w:pPr>
        <w:spacing w:line="560" w:lineRule="exact"/>
        <w:ind w:firstLine="562" w:firstLineChars="200"/>
        <w:rPr>
          <w:color w:val="000000" w:themeColor="text1"/>
        </w:rPr>
      </w:pPr>
      <w:r>
        <w:rPr>
          <w:rFonts w:hint="eastAsia" w:ascii="宋体" w:hAnsi="宋体" w:cs="宋体"/>
          <w:b/>
          <w:bCs/>
          <w:color w:val="000000" w:themeColor="text1"/>
          <w:sz w:val="28"/>
          <w:szCs w:val="28"/>
        </w:rPr>
        <w:t>1.粪便收运处置。</w:t>
      </w:r>
      <w:r>
        <w:rPr>
          <w:rFonts w:hint="eastAsia" w:cs="宋体" w:asciiTheme="minorEastAsia" w:hAnsiTheme="minorEastAsia" w:eastAsiaTheme="minorEastAsia"/>
          <w:color w:val="000000" w:themeColor="text1"/>
          <w:kern w:val="0"/>
          <w:sz w:val="28"/>
          <w:szCs w:val="28"/>
        </w:rPr>
        <w:t xml:space="preserve">湘潭市配置 </w:t>
      </w:r>
      <w:r>
        <w:rPr>
          <w:rFonts w:asciiTheme="minorEastAsia" w:hAnsiTheme="minorEastAsia" w:eastAsiaTheme="minorEastAsia"/>
          <w:color w:val="000000" w:themeColor="text1"/>
          <w:kern w:val="0"/>
          <w:sz w:val="28"/>
          <w:szCs w:val="28"/>
        </w:rPr>
        <w:t>3</w:t>
      </w:r>
      <w:r>
        <w:rPr>
          <w:rFonts w:hint="eastAsia" w:ascii="宋体" w:hAnsi="宋体" w:cs="宋体"/>
          <w:color w:val="000000" w:themeColor="text1"/>
          <w:sz w:val="28"/>
          <w:szCs w:val="28"/>
        </w:rPr>
        <w:t>～</w:t>
      </w:r>
      <w:r>
        <w:rPr>
          <w:rFonts w:asciiTheme="minorEastAsia" w:hAnsiTheme="minorEastAsia" w:eastAsiaTheme="minorEastAsia"/>
          <w:color w:val="000000" w:themeColor="text1"/>
          <w:kern w:val="0"/>
          <w:sz w:val="28"/>
          <w:szCs w:val="28"/>
        </w:rPr>
        <w:t xml:space="preserve">5 </w:t>
      </w:r>
      <w:r>
        <w:rPr>
          <w:rFonts w:hint="eastAsia" w:cs="宋体" w:asciiTheme="minorEastAsia" w:hAnsiTheme="minorEastAsia" w:eastAsiaTheme="minorEastAsia"/>
          <w:color w:val="000000" w:themeColor="text1"/>
          <w:kern w:val="0"/>
          <w:sz w:val="28"/>
          <w:szCs w:val="28"/>
        </w:rPr>
        <w:t>吨吸粪车清运粪便。各区</w:t>
      </w:r>
      <w:r>
        <w:rPr>
          <w:rFonts w:asciiTheme="minorEastAsia" w:hAnsiTheme="minorEastAsia" w:eastAsiaTheme="minorEastAsia"/>
          <w:color w:val="000000" w:themeColor="text1"/>
          <w:kern w:val="0"/>
          <w:sz w:val="28"/>
          <w:szCs w:val="28"/>
        </w:rPr>
        <w:t>/</w:t>
      </w:r>
      <w:r>
        <w:rPr>
          <w:rFonts w:hint="eastAsia" w:cs="宋体" w:asciiTheme="minorEastAsia" w:hAnsiTheme="minorEastAsia" w:eastAsiaTheme="minorEastAsia"/>
          <w:color w:val="000000" w:themeColor="text1"/>
          <w:kern w:val="0"/>
          <w:sz w:val="28"/>
          <w:szCs w:val="28"/>
        </w:rPr>
        <w:t>镇市容环卫管理部门负责各街道、开发区、镇区的粪便清运管理，农村粪便由市农业农村局协同管理。居民住宅化粪池每年清掏不得少于</w:t>
      </w:r>
      <w:r>
        <w:rPr>
          <w:rFonts w:asciiTheme="minorEastAsia" w:hAnsiTheme="minorEastAsia" w:eastAsiaTheme="minorEastAsia"/>
          <w:color w:val="000000" w:themeColor="text1"/>
          <w:kern w:val="0"/>
          <w:sz w:val="28"/>
          <w:szCs w:val="28"/>
        </w:rPr>
        <w:t xml:space="preserve">2 </w:t>
      </w:r>
      <w:r>
        <w:rPr>
          <w:rFonts w:hint="eastAsia" w:cs="宋体" w:asciiTheme="minorEastAsia" w:hAnsiTheme="minorEastAsia" w:eastAsiaTheme="minorEastAsia"/>
          <w:color w:val="000000" w:themeColor="text1"/>
          <w:kern w:val="0"/>
          <w:sz w:val="28"/>
          <w:szCs w:val="28"/>
        </w:rPr>
        <w:t xml:space="preserve">次；机关单位、学校、工厂、企业、服务行业等的化粪池每年清掏 </w:t>
      </w:r>
      <w:r>
        <w:rPr>
          <w:rFonts w:asciiTheme="minorEastAsia" w:hAnsiTheme="minorEastAsia" w:eastAsiaTheme="minorEastAsia"/>
          <w:color w:val="000000" w:themeColor="text1"/>
          <w:kern w:val="0"/>
          <w:sz w:val="28"/>
          <w:szCs w:val="28"/>
        </w:rPr>
        <w:t xml:space="preserve">1 </w:t>
      </w:r>
      <w:r>
        <w:rPr>
          <w:rFonts w:hint="eastAsia" w:cs="宋体" w:asciiTheme="minorEastAsia" w:hAnsiTheme="minorEastAsia" w:eastAsiaTheme="minorEastAsia"/>
          <w:color w:val="000000" w:themeColor="text1"/>
          <w:kern w:val="0"/>
          <w:sz w:val="28"/>
          <w:szCs w:val="28"/>
        </w:rPr>
        <w:t xml:space="preserve">至 </w:t>
      </w:r>
      <w:r>
        <w:rPr>
          <w:rFonts w:asciiTheme="minorEastAsia" w:hAnsiTheme="minorEastAsia" w:eastAsiaTheme="minorEastAsia"/>
          <w:color w:val="000000" w:themeColor="text1"/>
          <w:kern w:val="0"/>
          <w:sz w:val="28"/>
          <w:szCs w:val="28"/>
        </w:rPr>
        <w:t xml:space="preserve">2 </w:t>
      </w:r>
      <w:r>
        <w:rPr>
          <w:rFonts w:hint="eastAsia" w:cs="宋体" w:asciiTheme="minorEastAsia" w:hAnsiTheme="minorEastAsia" w:eastAsiaTheme="minorEastAsia"/>
          <w:color w:val="000000" w:themeColor="text1"/>
          <w:kern w:val="0"/>
          <w:sz w:val="28"/>
          <w:szCs w:val="28"/>
        </w:rPr>
        <w:t xml:space="preserve">次； 定期清掏公厕粪渣。湘潭市区产生的粪渣同餐厨垃圾协同处置；县（市）城市化区域，粪渣量小于 </w:t>
      </w:r>
      <w:r>
        <w:rPr>
          <w:rFonts w:asciiTheme="minorEastAsia" w:hAnsiTheme="minorEastAsia" w:eastAsiaTheme="minorEastAsia"/>
          <w:color w:val="000000" w:themeColor="text1"/>
          <w:kern w:val="0"/>
          <w:sz w:val="28"/>
          <w:szCs w:val="28"/>
        </w:rPr>
        <w:t>100t/d</w:t>
      </w:r>
      <w:r>
        <w:rPr>
          <w:rFonts w:hint="eastAsia" w:cs="宋体" w:asciiTheme="minorEastAsia" w:hAnsiTheme="minorEastAsia" w:eastAsiaTheme="minorEastAsia"/>
          <w:color w:val="000000" w:themeColor="text1"/>
          <w:kern w:val="0"/>
          <w:sz w:val="28"/>
          <w:szCs w:val="28"/>
        </w:rPr>
        <w:t>，可采用在各自服务区域的污水处理厂处设置预处理设施的方式处理粪渣。镇区粪便采用化粪池方式简单处理收集，粪渣清掏后农用。农村粪便采用农用制肥、沼气利用等模式分散处理。</w:t>
      </w:r>
    </w:p>
    <w:p w14:paraId="7458FAE7">
      <w:pPr>
        <w:spacing w:line="560" w:lineRule="exact"/>
        <w:ind w:firstLine="562" w:firstLineChars="200"/>
        <w:rPr>
          <w:rFonts w:ascii="宋体" w:hAnsi="宋体" w:cs="宋体"/>
          <w:color w:val="000000" w:themeColor="text1"/>
          <w:sz w:val="28"/>
          <w:szCs w:val="28"/>
        </w:rPr>
      </w:pPr>
      <w:r>
        <w:rPr>
          <w:rFonts w:hint="eastAsia" w:ascii="宋体" w:hAnsi="宋体" w:cs="宋体"/>
          <w:b/>
          <w:bCs/>
          <w:color w:val="000000" w:themeColor="text1"/>
          <w:sz w:val="28"/>
          <w:szCs w:val="28"/>
        </w:rPr>
        <w:t>2.餐厨垃圾收运处置。</w:t>
      </w:r>
      <w:r>
        <w:rPr>
          <w:rFonts w:hint="eastAsia" w:ascii="宋体" w:hAnsi="宋体" w:cs="宋体"/>
          <w:color w:val="000000" w:themeColor="text1"/>
          <w:sz w:val="28"/>
          <w:szCs w:val="28"/>
        </w:rPr>
        <w:t>湘潭市城管部门负责湘潭市餐厨垃圾的综合协调管理，负责餐厨垃圾产生、收运、处置的监督管理，公安、环保、农业、卫生、工商、质监、价格、食品药品监协同监管。制定《湘潭市餐厨垃圾管理办法》和《餐厨垃圾运输处理企业准入制度》，实行餐厨垃圾申报制度，餐厨垃圾收运准入制度，统一配置密闭餐厨垃圾收集容器，采取联合执法措施，由各区城管环卫部门负责监督、指导餐厨垃圾处理企业配置专用餐厨垃圾收运车辆，对城区的大、中型餐饮企业及企事业单位集中用餐点实施定时、定点、定人、定车上门收集制度，确保餐厨垃圾的密闭清洁运输。</w:t>
      </w:r>
    </w:p>
    <w:p w14:paraId="05517BF8">
      <w:pPr>
        <w:spacing w:line="560" w:lineRule="exact"/>
        <w:ind w:firstLine="562" w:firstLineChars="200"/>
        <w:rPr>
          <w:rFonts w:ascii="宋体" w:hAnsi="宋体" w:cs="宋体"/>
          <w:color w:val="000000" w:themeColor="text1"/>
          <w:sz w:val="28"/>
          <w:szCs w:val="28"/>
        </w:rPr>
      </w:pPr>
      <w:r>
        <w:rPr>
          <w:rFonts w:hint="eastAsia" w:ascii="宋体" w:hAnsi="宋体" w:cs="宋体"/>
          <w:b/>
          <w:bCs/>
          <w:color w:val="000000" w:themeColor="text1"/>
          <w:sz w:val="28"/>
          <w:szCs w:val="28"/>
        </w:rPr>
        <w:t>3．建筑垃圾收运处置。</w:t>
      </w:r>
      <w:r>
        <w:rPr>
          <w:rFonts w:hint="eastAsia" w:ascii="宋体" w:hAnsi="宋体" w:cs="宋体"/>
          <w:color w:val="000000" w:themeColor="text1"/>
          <w:kern w:val="0"/>
          <w:sz w:val="28"/>
          <w:szCs w:val="28"/>
        </w:rPr>
        <w:t>建筑垃圾按照其产生源和种类不同实行分类收运流程管理。工程渣土、工程垃圾、拆除垃圾产生后，由指定的承运单位进场进行清运。建筑垃圾运输车辆的行驶路线和时间，由公安交通管理部门确定，并告知运输单位。装修垃圾产生后，由产生单位或物业公司先进行申请或委托，再由环卫部门或者有资质的运输企业至装修垃圾收集点进行收集，运至建筑垃圾转运调配场。在转运调配场进行细分类后，由环卫部门或作业公司运至各类处置场所。</w:t>
      </w:r>
      <w:r>
        <w:rPr>
          <w:rFonts w:hint="eastAsia" w:ascii="宋体" w:hAnsi="宋体" w:cs="宋体"/>
          <w:color w:val="000000" w:themeColor="text1"/>
          <w:sz w:val="28"/>
          <w:szCs w:val="28"/>
        </w:rPr>
        <w:t xml:space="preserve">湘潭市建筑垃圾以回填、筑路、堆高造景等方式市场化平衡为主，新建/拆建建筑垃圾、装潢垃圾纳入建筑垃圾资源化利用厂处理利用。湘潭市分别在河东、河西设置1处建筑垃圾调配厂；湘潭县、湘乡市、韶山市分别设置1处建筑垃圾资源化利用厂。 </w:t>
      </w:r>
    </w:p>
    <w:p w14:paraId="6E478B21">
      <w:pPr>
        <w:widowControl/>
        <w:spacing w:line="560" w:lineRule="exact"/>
        <w:rPr>
          <w:b/>
          <w:bCs/>
          <w:color w:val="000000" w:themeColor="text1"/>
          <w:sz w:val="24"/>
        </w:rPr>
      </w:pPr>
      <w:r>
        <w:rPr>
          <w:rFonts w:hint="eastAsia" w:ascii="宋体" w:hAnsi="宋体" w:cs="宋体"/>
          <w:color w:val="000000" w:themeColor="text1"/>
          <w:sz w:val="28"/>
          <w:szCs w:val="28"/>
        </w:rPr>
        <w:t xml:space="preserve">    4. </w:t>
      </w:r>
      <w:r>
        <w:rPr>
          <w:rFonts w:hint="eastAsia" w:ascii="宋体" w:hAnsi="宋体" w:cs="宋体"/>
          <w:b/>
          <w:color w:val="000000" w:themeColor="text1"/>
          <w:kern w:val="0"/>
          <w:sz w:val="28"/>
          <w:szCs w:val="28"/>
        </w:rPr>
        <w:t>大件垃圾收运处置。</w:t>
      </w:r>
      <w:r>
        <w:rPr>
          <w:rFonts w:hint="eastAsia" w:ascii="宋体" w:hAnsi="宋体" w:cs="宋体"/>
          <w:color w:val="000000" w:themeColor="text1"/>
          <w:kern w:val="0"/>
          <w:sz w:val="28"/>
          <w:szCs w:val="28"/>
        </w:rPr>
        <w:t xml:space="preserve">设立木质类大件垃圾申报平台，对大件垃圾进行申报；结合小区垃圾房或垃圾收集点临时设置大件垃圾收集点；新增配置专用 </w:t>
      </w:r>
      <w:r>
        <w:rPr>
          <w:rFonts w:ascii="Times New Roman" w:hAnsi="Times New Roman"/>
          <w:color w:val="000000" w:themeColor="text1"/>
          <w:kern w:val="0"/>
          <w:sz w:val="28"/>
          <w:szCs w:val="28"/>
        </w:rPr>
        <w:t xml:space="preserve">IC </w:t>
      </w:r>
      <w:r>
        <w:rPr>
          <w:rFonts w:hint="eastAsia" w:ascii="宋体" w:hAnsi="宋体" w:cs="宋体"/>
          <w:color w:val="000000" w:themeColor="text1"/>
          <w:kern w:val="0"/>
          <w:sz w:val="28"/>
          <w:szCs w:val="28"/>
        </w:rPr>
        <w:t xml:space="preserve">卡的大件垃圾清运车，实现大件垃圾的处置计量。电子类大件垃圾依托现有具有专业资质的家电回收企业，建立线上线下回收平台，由企业上门回收。木质类大件垃圾中可修复的废旧家具可重复使用；不能直接回收利用的木质大件垃圾进行破碎拆分。分拣后的金属、木材等可利用的物质集中后回收利用；不可利用的物质进入焚烧厂处理。电子类大件垃圾由专业企业进行拆解回收。湘潭市区设置 </w:t>
      </w:r>
      <w:r>
        <w:rPr>
          <w:rFonts w:ascii="Times New Roman" w:hAnsi="Times New Roman"/>
          <w:color w:val="000000" w:themeColor="text1"/>
          <w:kern w:val="0"/>
          <w:sz w:val="28"/>
          <w:szCs w:val="28"/>
        </w:rPr>
        <w:t xml:space="preserve">5 </w:t>
      </w:r>
      <w:r>
        <w:rPr>
          <w:rFonts w:hint="eastAsia" w:ascii="宋体" w:hAnsi="宋体" w:cs="宋体"/>
          <w:color w:val="000000" w:themeColor="text1"/>
          <w:kern w:val="0"/>
          <w:sz w:val="28"/>
          <w:szCs w:val="28"/>
        </w:rPr>
        <w:t xml:space="preserve">座大件垃圾（可回收物）分拣拆解中心，其中雨湖区和岳塘区分别结合河东、河西转运站分别设置 </w:t>
      </w:r>
      <w:r>
        <w:rPr>
          <w:rFonts w:ascii="Times New Roman" w:hAnsi="Times New Roman"/>
          <w:color w:val="000000" w:themeColor="text1"/>
          <w:kern w:val="0"/>
          <w:sz w:val="28"/>
          <w:szCs w:val="28"/>
        </w:rPr>
        <w:t xml:space="preserve">1 </w:t>
      </w:r>
      <w:r>
        <w:rPr>
          <w:rFonts w:hint="eastAsia" w:ascii="宋体" w:hAnsi="宋体" w:cs="宋体"/>
          <w:color w:val="000000" w:themeColor="text1"/>
          <w:kern w:val="0"/>
          <w:sz w:val="28"/>
          <w:szCs w:val="28"/>
        </w:rPr>
        <w:t xml:space="preserve">处大件垃圾拆解中心，湘潭经开区、九华高新区、昭山示范区各自设置 </w:t>
      </w:r>
      <w:r>
        <w:rPr>
          <w:rFonts w:ascii="Times New Roman" w:hAnsi="Times New Roman"/>
          <w:color w:val="000000" w:themeColor="text1"/>
          <w:kern w:val="0"/>
          <w:sz w:val="28"/>
          <w:szCs w:val="28"/>
        </w:rPr>
        <w:t xml:space="preserve">1 </w:t>
      </w:r>
      <w:r>
        <w:rPr>
          <w:rFonts w:hint="eastAsia" w:ascii="宋体" w:hAnsi="宋体" w:cs="宋体"/>
          <w:color w:val="000000" w:themeColor="text1"/>
          <w:kern w:val="0"/>
          <w:sz w:val="28"/>
          <w:szCs w:val="28"/>
        </w:rPr>
        <w:t xml:space="preserve">处。 韶山市、湘乡市、湘潭县分别结转运设施新建或升级改造，至少设置 </w:t>
      </w:r>
      <w:r>
        <w:rPr>
          <w:rFonts w:ascii="Times New Roman" w:hAnsi="Times New Roman"/>
          <w:color w:val="000000" w:themeColor="text1"/>
          <w:kern w:val="0"/>
          <w:sz w:val="28"/>
          <w:szCs w:val="28"/>
        </w:rPr>
        <w:t xml:space="preserve">1 </w:t>
      </w:r>
      <w:r>
        <w:rPr>
          <w:rFonts w:hint="eastAsia" w:ascii="宋体" w:hAnsi="宋体" w:cs="宋体"/>
          <w:color w:val="000000" w:themeColor="text1"/>
          <w:kern w:val="0"/>
          <w:sz w:val="28"/>
          <w:szCs w:val="28"/>
        </w:rPr>
        <w:t xml:space="preserve">处大件垃圾拆解中心。 </w:t>
      </w:r>
    </w:p>
    <w:p w14:paraId="7B2358E8">
      <w:pPr>
        <w:pStyle w:val="4"/>
        <w:numPr>
          <w:ilvl w:val="0"/>
          <w:numId w:val="0"/>
        </w:numPr>
        <w:spacing w:before="120" w:after="156" w:line="560" w:lineRule="exact"/>
        <w:ind w:firstLine="562" w:firstLineChars="200"/>
        <w:rPr>
          <w:rFonts w:cs="宋体"/>
          <w:color w:val="000000" w:themeColor="text1"/>
          <w:sz w:val="28"/>
          <w:szCs w:val="28"/>
          <w:lang w:eastAsia="zh-CN"/>
        </w:rPr>
      </w:pPr>
      <w:bookmarkStart w:id="83" w:name="_Toc29139"/>
      <w:r>
        <w:rPr>
          <w:rFonts w:hint="eastAsia" w:cs="宋体"/>
          <w:color w:val="000000" w:themeColor="text1"/>
          <w:sz w:val="28"/>
          <w:szCs w:val="28"/>
          <w:lang w:eastAsia="zh-CN"/>
        </w:rPr>
        <w:t>五、严格垃圾收运管理监督</w:t>
      </w:r>
      <w:bookmarkEnd w:id="83"/>
    </w:p>
    <w:p w14:paraId="6F4C1741">
      <w:pPr>
        <w:pStyle w:val="8"/>
        <w:spacing w:line="560" w:lineRule="exact"/>
        <w:ind w:firstLine="560" w:firstLineChars="200"/>
        <w:rPr>
          <w:rFonts w:ascii="宋体" w:hAnsi="宋体" w:cs="宋体"/>
          <w:color w:val="000000" w:themeColor="text1"/>
          <w:sz w:val="28"/>
          <w:szCs w:val="28"/>
        </w:rPr>
      </w:pPr>
      <w:r>
        <w:rPr>
          <w:rFonts w:hint="eastAsia" w:ascii="宋体" w:hAnsi="宋体" w:cs="宋体"/>
          <w:color w:val="000000" w:themeColor="text1"/>
          <w:sz w:val="28"/>
          <w:szCs w:val="28"/>
        </w:rPr>
        <w:t>至2025年，湘潭市基本建成生活垃圾分类处理系统，建立基本的垃圾分类投放、分类收集、分类运输、分类处理综合治理体系。加强垃圾分类收集房的配套，采用积分兑换制度，建立奖励、激励机制，加强分类实效考评，建设“两网融合”体系，完善垃圾分类工作机制，防止垃圾混装、混运，严格垃圾收运管理监督。</w:t>
      </w:r>
    </w:p>
    <w:p w14:paraId="1ABDF553">
      <w:pPr>
        <w:pStyle w:val="8"/>
        <w:spacing w:line="560" w:lineRule="exact"/>
        <w:ind w:firstLine="560" w:firstLineChars="200"/>
        <w:rPr>
          <w:rFonts w:ascii="宋体" w:hAnsi="宋体" w:cs="宋体"/>
          <w:color w:val="000000" w:themeColor="text1"/>
          <w:sz w:val="28"/>
          <w:szCs w:val="28"/>
        </w:rPr>
      </w:pPr>
    </w:p>
    <w:p w14:paraId="55CFD98F">
      <w:pPr>
        <w:pStyle w:val="3"/>
        <w:numPr>
          <w:ilvl w:val="0"/>
          <w:numId w:val="0"/>
        </w:numPr>
        <w:spacing w:before="156" w:after="156" w:line="560" w:lineRule="exact"/>
        <w:jc w:val="center"/>
        <w:rPr>
          <w:rFonts w:ascii="宋体" w:hAnsi="宋体" w:cs="宋体"/>
          <w:color w:val="000000" w:themeColor="text1"/>
        </w:rPr>
      </w:pPr>
      <w:bookmarkStart w:id="84" w:name="_Toc5679"/>
      <w:r>
        <w:rPr>
          <w:rFonts w:hint="eastAsia" w:ascii="宋体" w:hAnsi="宋体" w:cs="宋体"/>
          <w:color w:val="000000" w:themeColor="text1"/>
          <w:sz w:val="30"/>
          <w:szCs w:val="30"/>
        </w:rPr>
        <w:t>第二节  统筹城乡保洁管理</w:t>
      </w:r>
      <w:bookmarkEnd w:id="84"/>
    </w:p>
    <w:p w14:paraId="5094BD5B">
      <w:pPr>
        <w:pStyle w:val="4"/>
        <w:numPr>
          <w:ilvl w:val="0"/>
          <w:numId w:val="0"/>
        </w:numPr>
        <w:spacing w:before="120" w:after="156" w:line="560" w:lineRule="exact"/>
        <w:ind w:firstLine="562" w:firstLineChars="200"/>
        <w:rPr>
          <w:rFonts w:cs="宋体"/>
          <w:color w:val="000000" w:themeColor="text1"/>
          <w:sz w:val="28"/>
          <w:szCs w:val="28"/>
          <w:lang w:eastAsia="zh-CN"/>
        </w:rPr>
      </w:pPr>
      <w:bookmarkStart w:id="85" w:name="_Toc17273"/>
      <w:r>
        <w:rPr>
          <w:rFonts w:hint="eastAsia" w:cs="宋体"/>
          <w:color w:val="000000" w:themeColor="text1"/>
          <w:sz w:val="28"/>
          <w:szCs w:val="28"/>
          <w:lang w:eastAsia="zh-CN"/>
        </w:rPr>
        <w:t>一、统筹好城乡道路保洁</w:t>
      </w:r>
      <w:bookmarkEnd w:id="85"/>
    </w:p>
    <w:p w14:paraId="75354A48">
      <w:pPr>
        <w:spacing w:line="560" w:lineRule="exact"/>
        <w:ind w:firstLine="560" w:firstLineChars="200"/>
        <w:rPr>
          <w:rFonts w:ascii="宋体" w:hAnsi="宋体" w:cs="宋体"/>
          <w:color w:val="000000" w:themeColor="text1"/>
          <w:sz w:val="28"/>
          <w:szCs w:val="28"/>
        </w:rPr>
      </w:pPr>
      <w:r>
        <w:rPr>
          <w:rFonts w:hint="eastAsia" w:ascii="宋体" w:hAnsi="宋体" w:cs="宋体"/>
          <w:color w:val="000000" w:themeColor="text1"/>
          <w:sz w:val="28"/>
          <w:szCs w:val="28"/>
        </w:rPr>
        <w:t>根据《城市环境卫生质量标准》划分道路保洁等级，并满足建设部相应保洁等级的质量要求。市区主干路、次干路和支路保洁等级均不低于《城市环境卫生质量标准》确定的三级道路保洁质量要求；小街小巷的保洁等级不低于《城市环境卫生质量标准》确定的四级道路保洁质量要求。其中，以商业、金融、旅游、行政、商务等功能为主的区域，道路保洁等级以一级为主；以居住、教育、科研为主的区域，道路保洁等级以二级为主；以工业、轻工业、出口加工业、仓储物流为主的区域，道路保洁等级以三级为主。湘乡市、湘潭县、韶山市城区的主干路、次干路的保洁应达到二级保洁作业标准及以上；其它道路达到四级保洁作业标准及以上。</w:t>
      </w:r>
    </w:p>
    <w:p w14:paraId="1C1E4448">
      <w:pPr>
        <w:pStyle w:val="4"/>
        <w:numPr>
          <w:ilvl w:val="0"/>
          <w:numId w:val="0"/>
        </w:numPr>
        <w:spacing w:before="120" w:after="156" w:line="560" w:lineRule="exact"/>
        <w:ind w:left="482"/>
        <w:rPr>
          <w:rFonts w:cs="宋体"/>
          <w:color w:val="000000" w:themeColor="text1"/>
          <w:sz w:val="28"/>
          <w:szCs w:val="28"/>
          <w:lang w:eastAsia="zh-CN"/>
        </w:rPr>
      </w:pPr>
      <w:bookmarkStart w:id="86" w:name="_Toc28401"/>
      <w:r>
        <w:rPr>
          <w:rFonts w:hint="eastAsia" w:cs="宋体"/>
          <w:color w:val="000000" w:themeColor="text1"/>
          <w:sz w:val="28"/>
          <w:szCs w:val="28"/>
          <w:lang w:eastAsia="zh-CN"/>
        </w:rPr>
        <w:t>二、统筹好城乡水域保洁</w:t>
      </w:r>
      <w:bookmarkEnd w:id="86"/>
    </w:p>
    <w:p w14:paraId="5243A23C">
      <w:pPr>
        <w:pStyle w:val="46"/>
        <w:spacing w:line="560" w:lineRule="exact"/>
        <w:ind w:firstLine="480"/>
        <w:rPr>
          <w:rFonts w:hAnsi="宋体"/>
          <w:color w:val="000000" w:themeColor="text1"/>
          <w:sz w:val="28"/>
          <w:szCs w:val="28"/>
        </w:rPr>
      </w:pPr>
      <w:r>
        <w:rPr>
          <w:rFonts w:hint="eastAsia" w:hAnsi="宋体"/>
          <w:color w:val="000000" w:themeColor="text1"/>
          <w:sz w:val="28"/>
          <w:szCs w:val="28"/>
        </w:rPr>
        <w:t>市区范围内的公共水域（不含湘江水域）的保洁质量应达到《城市环境卫生质量标准》的要求。白马湖、雨湖、木鱼湖等主要景观水域应每天保洁，以机动船+人工保洁为主，并在岸边合理设置水域垃圾码头，水域保洁垃圾依靠保洁船只运往指定的码头，上岸后经过滤水，就近进入生活垃圾收运处置系统。</w:t>
      </w:r>
    </w:p>
    <w:p w14:paraId="399B0948">
      <w:pPr>
        <w:pStyle w:val="3"/>
        <w:numPr>
          <w:ilvl w:val="0"/>
          <w:numId w:val="0"/>
        </w:numPr>
        <w:spacing w:before="156" w:after="156" w:line="560" w:lineRule="exact"/>
        <w:jc w:val="center"/>
        <w:rPr>
          <w:rFonts w:ascii="宋体" w:hAnsi="宋体" w:cs="宋体"/>
          <w:color w:val="000000" w:themeColor="text1"/>
          <w:sz w:val="30"/>
          <w:szCs w:val="30"/>
        </w:rPr>
      </w:pPr>
    </w:p>
    <w:p w14:paraId="0D35FE29">
      <w:pPr>
        <w:pStyle w:val="3"/>
        <w:numPr>
          <w:ilvl w:val="0"/>
          <w:numId w:val="0"/>
        </w:numPr>
        <w:spacing w:before="156" w:after="156" w:line="560" w:lineRule="exact"/>
        <w:jc w:val="center"/>
        <w:rPr>
          <w:rFonts w:ascii="宋体" w:hAnsi="宋体" w:cs="宋体"/>
          <w:color w:val="000000" w:themeColor="text1"/>
        </w:rPr>
      </w:pPr>
      <w:bookmarkStart w:id="87" w:name="_Toc2870"/>
      <w:r>
        <w:rPr>
          <w:rFonts w:hint="eastAsia" w:ascii="宋体" w:hAnsi="宋体" w:cs="宋体"/>
          <w:color w:val="000000" w:themeColor="text1"/>
          <w:sz w:val="30"/>
          <w:szCs w:val="30"/>
        </w:rPr>
        <w:t>第三节  统筹城乡环境卫生设施</w:t>
      </w:r>
      <w:bookmarkEnd w:id="87"/>
    </w:p>
    <w:p w14:paraId="6A06D9F9">
      <w:pPr>
        <w:pStyle w:val="4"/>
        <w:numPr>
          <w:ilvl w:val="0"/>
          <w:numId w:val="0"/>
        </w:numPr>
        <w:spacing w:before="120" w:after="156" w:line="560" w:lineRule="exact"/>
        <w:ind w:left="482"/>
        <w:rPr>
          <w:rFonts w:cs="宋体"/>
          <w:color w:val="000000" w:themeColor="text1"/>
          <w:sz w:val="28"/>
          <w:szCs w:val="28"/>
          <w:lang w:eastAsia="zh-CN"/>
        </w:rPr>
      </w:pPr>
      <w:bookmarkStart w:id="88" w:name="_Toc28752"/>
      <w:r>
        <w:rPr>
          <w:rFonts w:hint="eastAsia" w:cs="宋体"/>
          <w:color w:val="000000" w:themeColor="text1"/>
          <w:sz w:val="28"/>
          <w:szCs w:val="28"/>
          <w:lang w:eastAsia="zh-CN"/>
        </w:rPr>
        <w:t>一、统筹环境卫生公共设施</w:t>
      </w:r>
      <w:bookmarkEnd w:id="88"/>
    </w:p>
    <w:p w14:paraId="7444422D">
      <w:pPr>
        <w:pStyle w:val="46"/>
        <w:spacing w:line="560" w:lineRule="exact"/>
        <w:ind w:firstLine="562" w:firstLineChars="200"/>
        <w:rPr>
          <w:rFonts w:hAnsi="宋体"/>
          <w:color w:val="000000" w:themeColor="text1"/>
          <w:sz w:val="28"/>
          <w:szCs w:val="28"/>
        </w:rPr>
      </w:pPr>
      <w:r>
        <w:rPr>
          <w:rFonts w:hint="eastAsia" w:hAnsi="宋体"/>
          <w:b/>
          <w:bCs/>
          <w:color w:val="000000" w:themeColor="text1"/>
          <w:sz w:val="28"/>
          <w:szCs w:val="28"/>
        </w:rPr>
        <w:t>1.公共厕所。</w:t>
      </w:r>
      <w:r>
        <w:rPr>
          <w:rFonts w:hint="eastAsia" w:hAnsi="宋体"/>
          <w:color w:val="000000" w:themeColor="text1"/>
          <w:sz w:val="28"/>
          <w:szCs w:val="28"/>
        </w:rPr>
        <w:t>公共厕所的规划布局采用“补、改、建”的总体思路。在已建区域，凡公厕设置量不足的区域，应规划补建公共厕所，或征用社区、单位自建公厕，或补设移动厕所；凡对应旧区改造计划或总体规划无变动计划的用地，原有公厕布局合理的均保留，适当的作等级改造，如确因旧城改造、道路拓宽等原因需要拆除的，要遵循“拆一补一、就近建设”的原则进行建设。在未建区域，均应按规划要求实施建设，并与主体建设项目同时规划、同时施工、同时验收。规划湘潭市区、湘乡市城区、湘潭县和韶山市城区的公共厕所全部达到三类以上标准，湘潭市区二类及以上公共厕所达到45%，其中一类公共厕所比例达到10%。湘潭市区城镇区域（不含下辖县市）新建/配套公共厕所</w:t>
      </w:r>
      <w:r>
        <w:rPr>
          <w:rFonts w:hAnsi="宋体"/>
          <w:color w:val="000000" w:themeColor="text1"/>
          <w:sz w:val="28"/>
          <w:szCs w:val="28"/>
        </w:rPr>
        <w:t>331</w:t>
      </w:r>
      <w:r>
        <w:rPr>
          <w:rFonts w:hint="eastAsia" w:hAnsi="宋体"/>
          <w:color w:val="000000" w:themeColor="text1"/>
          <w:sz w:val="28"/>
          <w:szCs w:val="28"/>
        </w:rPr>
        <w:t>座，近期</w:t>
      </w:r>
      <w:r>
        <w:rPr>
          <w:rFonts w:hAnsi="宋体"/>
          <w:color w:val="000000" w:themeColor="text1"/>
          <w:sz w:val="28"/>
          <w:szCs w:val="28"/>
        </w:rPr>
        <w:t>237</w:t>
      </w:r>
      <w:r>
        <w:rPr>
          <w:rFonts w:hint="eastAsia" w:hAnsi="宋体"/>
          <w:color w:val="000000" w:themeColor="text1"/>
          <w:sz w:val="28"/>
          <w:szCs w:val="28"/>
        </w:rPr>
        <w:t>座，远期</w:t>
      </w:r>
      <w:r>
        <w:rPr>
          <w:rFonts w:hAnsi="宋体"/>
          <w:color w:val="000000" w:themeColor="text1"/>
          <w:sz w:val="28"/>
          <w:szCs w:val="28"/>
        </w:rPr>
        <w:t>94</w:t>
      </w:r>
      <w:r>
        <w:rPr>
          <w:rFonts w:hint="eastAsia" w:hAnsi="宋体"/>
          <w:color w:val="000000" w:themeColor="text1"/>
          <w:sz w:val="28"/>
          <w:szCs w:val="28"/>
        </w:rPr>
        <w:t>座，其中环卫公厕</w:t>
      </w:r>
      <w:r>
        <w:rPr>
          <w:rFonts w:hAnsi="宋体"/>
          <w:color w:val="000000" w:themeColor="text1"/>
          <w:sz w:val="28"/>
          <w:szCs w:val="28"/>
        </w:rPr>
        <w:t>101</w:t>
      </w:r>
      <w:r>
        <w:rPr>
          <w:rFonts w:hint="eastAsia" w:hAnsi="宋体"/>
          <w:color w:val="000000" w:themeColor="text1"/>
          <w:sz w:val="28"/>
          <w:szCs w:val="28"/>
        </w:rPr>
        <w:t>座，近期</w:t>
      </w:r>
      <w:r>
        <w:rPr>
          <w:rFonts w:hAnsi="宋体"/>
          <w:color w:val="000000" w:themeColor="text1"/>
          <w:sz w:val="28"/>
          <w:szCs w:val="28"/>
        </w:rPr>
        <w:t>72</w:t>
      </w:r>
      <w:r>
        <w:rPr>
          <w:rFonts w:hint="eastAsia" w:hAnsi="宋体"/>
          <w:color w:val="000000" w:themeColor="text1"/>
          <w:sz w:val="28"/>
          <w:szCs w:val="28"/>
        </w:rPr>
        <w:t>座，远期</w:t>
      </w:r>
      <w:r>
        <w:rPr>
          <w:rFonts w:hAnsi="宋体"/>
          <w:color w:val="000000" w:themeColor="text1"/>
          <w:sz w:val="28"/>
          <w:szCs w:val="28"/>
        </w:rPr>
        <w:t>29</w:t>
      </w:r>
      <w:r>
        <w:rPr>
          <w:rFonts w:hint="eastAsia" w:hAnsi="宋体"/>
          <w:color w:val="000000" w:themeColor="text1"/>
          <w:sz w:val="28"/>
          <w:szCs w:val="28"/>
        </w:rPr>
        <w:t>座；近期改造公共厕所</w:t>
      </w:r>
      <w:r>
        <w:rPr>
          <w:rFonts w:hAnsi="宋体"/>
          <w:color w:val="000000" w:themeColor="text1"/>
          <w:sz w:val="28"/>
          <w:szCs w:val="28"/>
        </w:rPr>
        <w:t>31</w:t>
      </w:r>
      <w:r>
        <w:rPr>
          <w:rFonts w:hint="eastAsia" w:hAnsi="宋体"/>
          <w:color w:val="000000" w:themeColor="text1"/>
          <w:sz w:val="28"/>
          <w:szCs w:val="28"/>
        </w:rPr>
        <w:t>座，其余为公建配套或社会开放公厕。下辖县市城区公厕新建及改造结合实际参照湘潭市区进行。</w:t>
      </w:r>
    </w:p>
    <w:p w14:paraId="61FDB5CE">
      <w:pPr>
        <w:pStyle w:val="8"/>
        <w:ind w:firstLine="562" w:firstLineChars="200"/>
        <w:rPr>
          <w:rFonts w:ascii="宋体" w:hAnsi="宋体" w:cs="宋体"/>
          <w:color w:val="000000" w:themeColor="text1"/>
          <w:sz w:val="28"/>
          <w:szCs w:val="28"/>
        </w:rPr>
      </w:pPr>
      <w:r>
        <w:rPr>
          <w:rFonts w:hint="eastAsia" w:ascii="宋体" w:hAnsi="宋体" w:cs="宋体"/>
          <w:b/>
          <w:bCs/>
          <w:color w:val="000000" w:themeColor="text1"/>
          <w:sz w:val="28"/>
          <w:szCs w:val="28"/>
        </w:rPr>
        <w:t>2.废物箱。</w:t>
      </w:r>
      <w:r>
        <w:rPr>
          <w:rFonts w:hint="eastAsia" w:ascii="宋体" w:hAnsi="宋体" w:cs="宋体"/>
          <w:color w:val="000000" w:themeColor="text1"/>
          <w:sz w:val="28"/>
          <w:szCs w:val="28"/>
        </w:rPr>
        <w:t>在道路两侧以及公共设施、广场、商业大街、社会停车场、加油站、公交站点等出入口附近应设置废物箱。废物箱设置间隔标准为：人流密集的公共场所及主要商业街间隔25～50米；一般商业街间隔50～80米；主干路、次干路、有辅道的快速路设置间距为100～200米；支路、有人行道的快速路设置间距为200～400米。湘潭市区需废物箱15640个。其他各县市城区应参照湘潭市区设置标准，结合城市道路等级按标准配置，同时做好设备维护及更新工作。</w:t>
      </w:r>
    </w:p>
    <w:p w14:paraId="252B5DCB">
      <w:pPr>
        <w:pStyle w:val="46"/>
        <w:spacing w:line="560" w:lineRule="exact"/>
        <w:ind w:firstLine="562" w:firstLineChars="200"/>
        <w:rPr>
          <w:rFonts w:hAnsi="宋体"/>
          <w:color w:val="000000" w:themeColor="text1"/>
          <w:sz w:val="28"/>
          <w:szCs w:val="28"/>
        </w:rPr>
      </w:pPr>
      <w:r>
        <w:rPr>
          <w:rFonts w:hint="eastAsia" w:hAnsi="宋体"/>
          <w:b/>
          <w:bCs/>
          <w:color w:val="000000" w:themeColor="text1"/>
          <w:sz w:val="28"/>
          <w:szCs w:val="28"/>
        </w:rPr>
        <w:t>3.粪便污水前端处理设施。</w:t>
      </w:r>
      <w:r>
        <w:rPr>
          <w:rFonts w:hint="eastAsia" w:hAnsi="宋体"/>
          <w:color w:val="000000" w:themeColor="text1"/>
          <w:sz w:val="28"/>
          <w:szCs w:val="28"/>
        </w:rPr>
        <w:t>湘潭市区公厕粪便污水均纳入污水管道，污水管道未覆盖的地区，增加相应的粪便清掏和清运频次；其他县市地区应加快城市污水管道建设，逐步纳管处理，污水管道未覆盖的地方应保留粪便污水前端处理设施，同时组织相关部分做好维护保养工作；对于乡镇及农村地区，为减轻粪便污水对环境的直接污染，可以保留粪便污水前端处理设施。</w:t>
      </w:r>
    </w:p>
    <w:p w14:paraId="5E905A3F">
      <w:pPr>
        <w:pStyle w:val="46"/>
        <w:spacing w:line="560" w:lineRule="exact"/>
        <w:ind w:firstLine="562" w:firstLineChars="200"/>
        <w:rPr>
          <w:rFonts w:hAnsi="宋体"/>
          <w:color w:val="000000" w:themeColor="text1"/>
          <w:sz w:val="28"/>
          <w:szCs w:val="28"/>
        </w:rPr>
      </w:pPr>
      <w:r>
        <w:rPr>
          <w:rFonts w:hint="eastAsia" w:hAnsi="宋体"/>
          <w:b/>
          <w:bCs/>
          <w:color w:val="000000" w:themeColor="text1"/>
          <w:sz w:val="28"/>
          <w:szCs w:val="28"/>
        </w:rPr>
        <w:t>4.基层环卫管理设施。</w:t>
      </w:r>
      <w:r>
        <w:rPr>
          <w:rFonts w:hint="eastAsia" w:hAnsi="宋体"/>
          <w:color w:val="000000" w:themeColor="text1"/>
          <w:sz w:val="28"/>
          <w:szCs w:val="28"/>
        </w:rPr>
        <w:t>湘潭市区</w:t>
      </w:r>
      <w:r>
        <w:rPr>
          <w:rFonts w:hint="eastAsia"/>
          <w:sz w:val="28"/>
          <w:szCs w:val="28"/>
        </w:rPr>
        <w:t>现</w:t>
      </w:r>
      <w:r>
        <w:rPr>
          <w:rFonts w:hint="eastAsia"/>
          <w:color w:val="000000" w:themeColor="text1"/>
          <w:sz w:val="28"/>
          <w:szCs w:val="28"/>
        </w:rPr>
        <w:t>有市环卫处、雨湖区、岳塘区（含岳塘经开）、高新区和经开区等5个环卫机构</w:t>
      </w:r>
      <w:r>
        <w:rPr>
          <w:rFonts w:hint="eastAsia"/>
          <w:color w:val="000000" w:themeColor="text1"/>
        </w:rPr>
        <w:t>，</w:t>
      </w:r>
      <w:r>
        <w:rPr>
          <w:rFonts w:hint="eastAsia" w:hAnsi="宋体"/>
          <w:color w:val="000000" w:themeColor="text1"/>
          <w:sz w:val="28"/>
          <w:szCs w:val="28"/>
        </w:rPr>
        <w:t>对其他县市保留原有基层环卫机构，同时按需求增加用地。规划湘潭市区基层环卫机构合计用地规模约36724平方米。 湘潭市区规划环卫停车场5座，用地规模合计需61023平方米。其他各县市环卫停车场面积应参照湘潭市区设置标准配置，根据服务范围合理设置环卫停车场数量，考虑节约用地原则应尽量选择与基层环卫机构或垃圾中转站联建。各县市环卫停车场用地共需40687平方米。湘潭市区设置127座环卫作息场所。环境卫生洒水冲洗车可利用市政给水管网及地表水、地下水、中水作为水源，湘潭市区需要供水器123个。</w:t>
      </w:r>
    </w:p>
    <w:p w14:paraId="5809F632">
      <w:pPr>
        <w:pStyle w:val="4"/>
        <w:numPr>
          <w:ilvl w:val="0"/>
          <w:numId w:val="0"/>
        </w:numPr>
        <w:spacing w:before="120" w:after="156" w:line="560" w:lineRule="exact"/>
        <w:ind w:left="482"/>
        <w:rPr>
          <w:rFonts w:cs="宋体"/>
          <w:color w:val="000000" w:themeColor="text1"/>
          <w:sz w:val="28"/>
          <w:szCs w:val="28"/>
          <w:lang w:eastAsia="zh-CN"/>
        </w:rPr>
      </w:pPr>
      <w:bookmarkStart w:id="89" w:name="_Toc4466"/>
      <w:r>
        <w:rPr>
          <w:rFonts w:hint="eastAsia" w:cs="宋体"/>
          <w:color w:val="000000" w:themeColor="text1"/>
          <w:sz w:val="28"/>
          <w:szCs w:val="28"/>
          <w:lang w:eastAsia="zh-CN"/>
        </w:rPr>
        <w:t>二、统筹生活垃圾转运设施</w:t>
      </w:r>
      <w:bookmarkEnd w:id="89"/>
    </w:p>
    <w:p w14:paraId="301DF1A9">
      <w:pPr>
        <w:pStyle w:val="46"/>
        <w:spacing w:line="560" w:lineRule="exact"/>
        <w:ind w:firstLine="560" w:firstLineChars="200"/>
        <w:jc w:val="both"/>
        <w:rPr>
          <w:rFonts w:hAnsi="宋体"/>
          <w:color w:val="000000" w:themeColor="text1"/>
          <w:sz w:val="28"/>
          <w:szCs w:val="28"/>
        </w:rPr>
      </w:pPr>
      <w:r>
        <w:rPr>
          <w:rFonts w:hint="eastAsia" w:hAnsi="宋体"/>
          <w:color w:val="000000" w:themeColor="text1"/>
          <w:sz w:val="28"/>
          <w:szCs w:val="28"/>
        </w:rPr>
        <w:t>湘潭市区垃圾收运设施有垃圾收集点（240升标准桶）、垃圾分类收集房（间）、垃圾收集站和垃圾转运站。湘潭市区规划建设大中型垃圾转运站2座，小型转运站1座；市区共规划垃圾分类收集站170 座，其中现状保留91座，新建79座；湘潭市区规划生活垃圾收运车辆342辆。加快建设湘潭市焚烧发电厂，选址湘潭县杨河工业园的河口镇宏兴村，规划处理规模为1800t/d（近期建设1200t/d，远期预留600t/d），占地200亩。市区（含湘潭县）、湘乡市、韶山市分别配套1座应急垃圾填埋场，湘潭县上马垃圾填埋场、湘乡市的泉湖垃圾填埋场用作填埋焚烧厂飞灰和炉渣的配套设施，以及焚烧厂遇突发事件不能正常运转等应急情况下的生活垃圾处理任务。</w:t>
      </w:r>
    </w:p>
    <w:p w14:paraId="2F452889">
      <w:pPr>
        <w:pStyle w:val="4"/>
        <w:numPr>
          <w:ilvl w:val="0"/>
          <w:numId w:val="0"/>
        </w:numPr>
        <w:spacing w:before="120" w:after="156" w:line="560" w:lineRule="exact"/>
        <w:ind w:left="482"/>
        <w:rPr>
          <w:rFonts w:cs="宋体"/>
          <w:color w:val="000000" w:themeColor="text1"/>
          <w:sz w:val="28"/>
          <w:szCs w:val="28"/>
          <w:lang w:eastAsia="zh-CN"/>
        </w:rPr>
      </w:pPr>
      <w:bookmarkStart w:id="90" w:name="_Toc549"/>
      <w:r>
        <w:rPr>
          <w:rFonts w:hint="eastAsia" w:cs="宋体"/>
          <w:color w:val="000000" w:themeColor="text1"/>
          <w:sz w:val="28"/>
          <w:szCs w:val="28"/>
          <w:lang w:eastAsia="zh-CN"/>
        </w:rPr>
        <w:t>三、统筹粪便处理设施</w:t>
      </w:r>
      <w:bookmarkEnd w:id="90"/>
    </w:p>
    <w:p w14:paraId="0FE2F416">
      <w:pPr>
        <w:pStyle w:val="46"/>
        <w:spacing w:line="560" w:lineRule="exact"/>
        <w:ind w:firstLine="560" w:firstLineChars="200"/>
        <w:jc w:val="both"/>
        <w:rPr>
          <w:rFonts w:hAnsi="宋体"/>
          <w:color w:val="000000" w:themeColor="text1"/>
          <w:sz w:val="28"/>
          <w:szCs w:val="28"/>
        </w:rPr>
      </w:pPr>
      <w:r>
        <w:rPr>
          <w:rFonts w:hint="eastAsia" w:hAnsi="宋体"/>
          <w:color w:val="000000" w:themeColor="text1"/>
          <w:sz w:val="28"/>
          <w:szCs w:val="28"/>
        </w:rPr>
        <w:t>湘潭市区清掏粪渣同餐厨垃圾协同处置，下辖市县城市化区域，采用在各自服务区域的污水处理厂设置粪便预处理设施方式处理粪渣。</w:t>
      </w:r>
    </w:p>
    <w:p w14:paraId="667198EF">
      <w:pPr>
        <w:pStyle w:val="4"/>
        <w:numPr>
          <w:ilvl w:val="0"/>
          <w:numId w:val="0"/>
        </w:numPr>
        <w:spacing w:before="120" w:after="156" w:line="560" w:lineRule="exact"/>
        <w:ind w:left="482"/>
        <w:rPr>
          <w:rFonts w:cs="宋体"/>
          <w:color w:val="000000" w:themeColor="text1"/>
          <w:sz w:val="28"/>
          <w:szCs w:val="28"/>
          <w:lang w:eastAsia="zh-CN"/>
        </w:rPr>
      </w:pPr>
      <w:bookmarkStart w:id="91" w:name="_Toc9077"/>
      <w:r>
        <w:rPr>
          <w:rFonts w:hint="eastAsia" w:cs="宋体"/>
          <w:color w:val="000000" w:themeColor="text1"/>
          <w:sz w:val="28"/>
          <w:szCs w:val="28"/>
          <w:lang w:eastAsia="zh-CN"/>
        </w:rPr>
        <w:t>四、统筹餐厨垃圾处置设施</w:t>
      </w:r>
      <w:bookmarkEnd w:id="91"/>
    </w:p>
    <w:p w14:paraId="532A44E6">
      <w:pPr>
        <w:widowControl/>
        <w:ind w:firstLine="560" w:firstLineChars="200"/>
        <w:jc w:val="left"/>
        <w:rPr>
          <w:rFonts w:hAnsi="宋体"/>
          <w:color w:val="000000" w:themeColor="text1"/>
          <w:sz w:val="28"/>
          <w:szCs w:val="28"/>
        </w:rPr>
      </w:pPr>
      <w:r>
        <w:rPr>
          <w:rFonts w:hint="eastAsia" w:ascii="宋体" w:hAnsi="宋体" w:cs="宋体"/>
          <w:color w:val="000000" w:themeColor="text1"/>
          <w:kern w:val="0"/>
          <w:sz w:val="28"/>
          <w:szCs w:val="28"/>
        </w:rPr>
        <w:t>新建湘潭市餐厨垃圾处理中心，设计处理规模350吨</w:t>
      </w:r>
      <w:r>
        <w:rPr>
          <w:rFonts w:ascii="宋体" w:hAnsi="宋体" w:cs="宋体"/>
          <w:color w:val="000000" w:themeColor="text1"/>
          <w:kern w:val="0"/>
          <w:sz w:val="28"/>
          <w:szCs w:val="28"/>
        </w:rPr>
        <w:t>/</w:t>
      </w:r>
      <w:r>
        <w:rPr>
          <w:rFonts w:hint="eastAsia" w:ascii="宋体" w:hAnsi="宋体" w:cs="宋体"/>
          <w:color w:val="000000" w:themeColor="text1"/>
          <w:kern w:val="0"/>
          <w:sz w:val="28"/>
          <w:szCs w:val="28"/>
        </w:rPr>
        <w:t>日，其中废弃油脂30吨</w:t>
      </w:r>
      <w:r>
        <w:rPr>
          <w:rFonts w:ascii="宋体" w:hAnsi="宋体" w:cs="宋体"/>
          <w:color w:val="000000" w:themeColor="text1"/>
          <w:kern w:val="0"/>
          <w:sz w:val="28"/>
          <w:szCs w:val="28"/>
        </w:rPr>
        <w:t>/</w:t>
      </w:r>
      <w:r>
        <w:rPr>
          <w:rFonts w:hint="eastAsia" w:ascii="宋体" w:hAnsi="宋体" w:cs="宋体"/>
          <w:color w:val="000000" w:themeColor="text1"/>
          <w:kern w:val="0"/>
          <w:sz w:val="28"/>
          <w:szCs w:val="28"/>
        </w:rPr>
        <w:t>日、餐厨垃圾150吨</w:t>
      </w:r>
      <w:r>
        <w:rPr>
          <w:rFonts w:ascii="宋体" w:hAnsi="宋体" w:cs="宋体"/>
          <w:color w:val="000000" w:themeColor="text1"/>
          <w:kern w:val="0"/>
          <w:sz w:val="28"/>
          <w:szCs w:val="28"/>
        </w:rPr>
        <w:t>/</w:t>
      </w:r>
      <w:r>
        <w:rPr>
          <w:rFonts w:hint="eastAsia" w:ascii="宋体" w:hAnsi="宋体" w:cs="宋体"/>
          <w:color w:val="000000" w:themeColor="text1"/>
          <w:kern w:val="0"/>
          <w:sz w:val="28"/>
          <w:szCs w:val="28"/>
        </w:rPr>
        <w:t>日、厨余垃圾120吨</w:t>
      </w:r>
      <w:r>
        <w:rPr>
          <w:rFonts w:ascii="宋体" w:hAnsi="宋体" w:cs="宋体"/>
          <w:color w:val="000000" w:themeColor="text1"/>
          <w:kern w:val="0"/>
          <w:sz w:val="28"/>
          <w:szCs w:val="28"/>
        </w:rPr>
        <w:t>/</w:t>
      </w:r>
      <w:r>
        <w:rPr>
          <w:rFonts w:hint="eastAsia" w:ascii="宋体" w:hAnsi="宋体" w:cs="宋体"/>
          <w:color w:val="000000" w:themeColor="text1"/>
          <w:kern w:val="0"/>
          <w:sz w:val="28"/>
          <w:szCs w:val="28"/>
        </w:rPr>
        <w:t>日、粪渣50吨</w:t>
      </w:r>
      <w:r>
        <w:rPr>
          <w:rFonts w:ascii="宋体" w:hAnsi="宋体" w:cs="宋体"/>
          <w:color w:val="000000" w:themeColor="text1"/>
          <w:kern w:val="0"/>
          <w:sz w:val="28"/>
          <w:szCs w:val="28"/>
        </w:rPr>
        <w:t>/</w:t>
      </w:r>
      <w:r>
        <w:rPr>
          <w:rFonts w:hint="eastAsia" w:ascii="宋体" w:hAnsi="宋体" w:cs="宋体"/>
          <w:color w:val="000000" w:themeColor="text1"/>
          <w:kern w:val="0"/>
          <w:sz w:val="28"/>
          <w:szCs w:val="28"/>
        </w:rPr>
        <w:t>日，服务范围为湘潭市区和湘潭县城区，规划选址在双马填埋场旁</w:t>
      </w:r>
      <w:r>
        <w:rPr>
          <w:rFonts w:hint="eastAsia" w:ascii="宋体" w:hAnsi="宋体" w:cs="宋体"/>
          <w:color w:val="000000" w:themeColor="text1"/>
          <w:sz w:val="28"/>
          <w:szCs w:val="28"/>
        </w:rPr>
        <w:t>占地为50亩，分两期建设，一期处理规模为150t/d。</w:t>
      </w:r>
      <w:r>
        <w:rPr>
          <w:rFonts w:hint="eastAsia" w:ascii="宋体" w:hAnsi="宋体" w:cs="宋体"/>
          <w:color w:val="000000" w:themeColor="text1"/>
          <w:kern w:val="0"/>
          <w:sz w:val="28"/>
          <w:szCs w:val="28"/>
        </w:rPr>
        <w:t>湘乡市、韶山市合建1处餐厨垃圾处理厂，拟选址位于泉湖生活垃圾填埋场旁，设计处理规模180吨</w:t>
      </w:r>
      <w:r>
        <w:rPr>
          <w:rFonts w:ascii="宋体" w:hAnsi="宋体" w:cs="宋体"/>
          <w:color w:val="000000" w:themeColor="text1"/>
          <w:kern w:val="0"/>
          <w:sz w:val="28"/>
          <w:szCs w:val="28"/>
        </w:rPr>
        <w:t>/</w:t>
      </w:r>
      <w:r>
        <w:rPr>
          <w:rFonts w:hint="eastAsia" w:ascii="宋体" w:hAnsi="宋体" w:cs="宋体"/>
          <w:color w:val="000000" w:themeColor="text1"/>
          <w:kern w:val="0"/>
          <w:sz w:val="28"/>
          <w:szCs w:val="28"/>
        </w:rPr>
        <w:t>日，其中餐厨垃圾80吨</w:t>
      </w:r>
      <w:r>
        <w:rPr>
          <w:rFonts w:ascii="宋体" w:hAnsi="宋体" w:cs="宋体"/>
          <w:color w:val="000000" w:themeColor="text1"/>
          <w:kern w:val="0"/>
          <w:sz w:val="28"/>
          <w:szCs w:val="28"/>
        </w:rPr>
        <w:t>/</w:t>
      </w:r>
      <w:r>
        <w:rPr>
          <w:rFonts w:hint="eastAsia" w:ascii="宋体" w:hAnsi="宋体" w:cs="宋体"/>
          <w:color w:val="000000" w:themeColor="text1"/>
          <w:kern w:val="0"/>
          <w:sz w:val="28"/>
          <w:szCs w:val="28"/>
        </w:rPr>
        <w:t xml:space="preserve">日，厨余垃圾 </w:t>
      </w:r>
      <w:r>
        <w:rPr>
          <w:rFonts w:ascii="宋体" w:hAnsi="宋体" w:cs="宋体"/>
          <w:color w:val="000000" w:themeColor="text1"/>
          <w:kern w:val="0"/>
          <w:sz w:val="28"/>
          <w:szCs w:val="28"/>
        </w:rPr>
        <w:t xml:space="preserve">100 </w:t>
      </w:r>
      <w:r>
        <w:rPr>
          <w:rFonts w:hint="eastAsia" w:ascii="宋体" w:hAnsi="宋体" w:cs="宋体"/>
          <w:color w:val="000000" w:themeColor="text1"/>
          <w:kern w:val="0"/>
          <w:sz w:val="28"/>
          <w:szCs w:val="28"/>
        </w:rPr>
        <w:t>吨</w:t>
      </w:r>
      <w:r>
        <w:rPr>
          <w:rFonts w:ascii="宋体" w:hAnsi="宋体" w:cs="宋体"/>
          <w:color w:val="000000" w:themeColor="text1"/>
          <w:kern w:val="0"/>
          <w:sz w:val="28"/>
          <w:szCs w:val="28"/>
        </w:rPr>
        <w:t>/</w:t>
      </w:r>
      <w:r>
        <w:rPr>
          <w:rFonts w:hint="eastAsia" w:ascii="宋体" w:hAnsi="宋体" w:cs="宋体"/>
          <w:color w:val="000000" w:themeColor="text1"/>
          <w:kern w:val="0"/>
          <w:sz w:val="28"/>
          <w:szCs w:val="28"/>
        </w:rPr>
        <w:t>日。</w:t>
      </w:r>
    </w:p>
    <w:p w14:paraId="33D4B9A0">
      <w:pPr>
        <w:pStyle w:val="4"/>
        <w:numPr>
          <w:ilvl w:val="0"/>
          <w:numId w:val="0"/>
        </w:numPr>
        <w:spacing w:before="120" w:after="156" w:line="560" w:lineRule="exact"/>
        <w:ind w:left="482"/>
        <w:rPr>
          <w:rFonts w:cs="宋体"/>
          <w:color w:val="000000" w:themeColor="text1"/>
          <w:sz w:val="28"/>
          <w:szCs w:val="28"/>
          <w:lang w:eastAsia="zh-CN"/>
        </w:rPr>
      </w:pPr>
      <w:bookmarkStart w:id="92" w:name="_Toc22077"/>
      <w:r>
        <w:rPr>
          <w:rFonts w:hint="eastAsia" w:cs="宋体"/>
          <w:color w:val="000000" w:themeColor="text1"/>
          <w:sz w:val="28"/>
          <w:szCs w:val="28"/>
          <w:lang w:eastAsia="zh-CN"/>
        </w:rPr>
        <w:t>五、统筹建筑垃圾处置设施</w:t>
      </w:r>
      <w:bookmarkEnd w:id="92"/>
    </w:p>
    <w:p w14:paraId="7FD0CEA0">
      <w:pPr>
        <w:widowControl/>
        <w:ind w:firstLine="560" w:firstLineChars="200"/>
        <w:rPr>
          <w:color w:val="000000" w:themeColor="text1"/>
        </w:rPr>
      </w:pPr>
      <w:r>
        <w:rPr>
          <w:rFonts w:hint="eastAsia" w:ascii="宋体" w:hAnsi="宋体" w:cs="宋体"/>
          <w:color w:val="000000" w:themeColor="text1"/>
          <w:kern w:val="0"/>
          <w:sz w:val="28"/>
          <w:szCs w:val="28"/>
        </w:rPr>
        <w:t>湘潭市区新建河西、河东2座建筑垃圾资源化利用厂，服务对象为工程垃圾、拆迁废料和装修垃圾，总处理规模为130万吨</w:t>
      </w:r>
      <w:r>
        <w:rPr>
          <w:rFonts w:ascii="宋体" w:hAnsi="宋体" w:cs="宋体"/>
          <w:color w:val="000000" w:themeColor="text1"/>
          <w:kern w:val="0"/>
          <w:sz w:val="28"/>
          <w:szCs w:val="28"/>
        </w:rPr>
        <w:t>/</w:t>
      </w:r>
      <w:r>
        <w:rPr>
          <w:rFonts w:hint="eastAsia" w:ascii="宋体" w:hAnsi="宋体" w:cs="宋体"/>
          <w:color w:val="000000" w:themeColor="text1"/>
          <w:kern w:val="0"/>
          <w:sz w:val="28"/>
          <w:szCs w:val="28"/>
        </w:rPr>
        <w:t xml:space="preserve">年。河西建筑垃圾资源化利用厂拟选址位于湘潭经开区响水路与沪昆高铁交叉口的西南侧，河东建筑垃圾资源化利用厂拟选址位于湘潭高新区，现状双马垃圾填埋场旁。市区在河东和河西设置 2 处建筑垃圾转运调配场，每座设计能力不小于 </w:t>
      </w:r>
      <w:r>
        <w:rPr>
          <w:rFonts w:ascii="宋体" w:hAnsi="宋体" w:cs="宋体"/>
          <w:color w:val="000000" w:themeColor="text1"/>
          <w:kern w:val="0"/>
          <w:sz w:val="28"/>
          <w:szCs w:val="28"/>
        </w:rPr>
        <w:t xml:space="preserve">500 </w:t>
      </w:r>
      <w:r>
        <w:rPr>
          <w:rFonts w:hint="eastAsia" w:ascii="宋体" w:hAnsi="宋体" w:cs="宋体"/>
          <w:color w:val="000000" w:themeColor="text1"/>
          <w:kern w:val="0"/>
          <w:sz w:val="28"/>
          <w:szCs w:val="28"/>
        </w:rPr>
        <w:t>吨</w:t>
      </w:r>
      <w:r>
        <w:rPr>
          <w:rFonts w:ascii="宋体" w:hAnsi="宋体" w:cs="宋体"/>
          <w:color w:val="000000" w:themeColor="text1"/>
          <w:kern w:val="0"/>
          <w:sz w:val="28"/>
          <w:szCs w:val="28"/>
        </w:rPr>
        <w:t>/</w:t>
      </w:r>
      <w:r>
        <w:rPr>
          <w:rFonts w:hint="eastAsia" w:ascii="宋体" w:hAnsi="宋体" w:cs="宋体"/>
          <w:color w:val="000000" w:themeColor="text1"/>
          <w:kern w:val="0"/>
          <w:sz w:val="28"/>
          <w:szCs w:val="28"/>
        </w:rPr>
        <w:t xml:space="preserve">日，用地面积不小于 </w:t>
      </w:r>
      <w:r>
        <w:rPr>
          <w:rFonts w:ascii="宋体" w:hAnsi="宋体" w:cs="宋体"/>
          <w:color w:val="000000" w:themeColor="text1"/>
          <w:kern w:val="0"/>
          <w:sz w:val="28"/>
          <w:szCs w:val="28"/>
        </w:rPr>
        <w:t xml:space="preserve">6000 </w:t>
      </w:r>
      <w:r>
        <w:rPr>
          <w:rFonts w:hint="eastAsia" w:ascii="宋体" w:hAnsi="宋体" w:cs="宋体"/>
          <w:color w:val="000000" w:themeColor="text1"/>
          <w:kern w:val="0"/>
          <w:sz w:val="28"/>
          <w:szCs w:val="28"/>
        </w:rPr>
        <w:t>平方米（临时用地）。湘潭县、韶山市、湘乡市由于产生量较少，鼓励各区域结合大型集中的拆违和旧改工地，以移动式处置装置就地直接破碎形成建材骨料进行利用。</w:t>
      </w:r>
    </w:p>
    <w:p w14:paraId="2B294C95">
      <w:pPr>
        <w:pStyle w:val="4"/>
        <w:numPr>
          <w:ilvl w:val="0"/>
          <w:numId w:val="0"/>
        </w:numPr>
        <w:spacing w:before="120" w:after="156" w:line="560" w:lineRule="exact"/>
        <w:ind w:left="482"/>
        <w:rPr>
          <w:rFonts w:cs="宋体"/>
          <w:color w:val="000000" w:themeColor="text1"/>
          <w:sz w:val="28"/>
          <w:szCs w:val="28"/>
          <w:lang w:eastAsia="zh-CN"/>
        </w:rPr>
      </w:pPr>
      <w:bookmarkStart w:id="93" w:name="_Toc26344"/>
      <w:r>
        <w:rPr>
          <w:rFonts w:hint="eastAsia" w:cs="宋体"/>
          <w:color w:val="000000" w:themeColor="text1"/>
          <w:sz w:val="28"/>
          <w:szCs w:val="28"/>
          <w:lang w:eastAsia="zh-CN"/>
        </w:rPr>
        <w:t>六、</w:t>
      </w:r>
      <w:r>
        <w:rPr>
          <w:rFonts w:cs="宋体"/>
          <w:color w:val="000000" w:themeColor="text1"/>
          <w:sz w:val="28"/>
          <w:szCs w:val="28"/>
          <w:lang w:eastAsia="zh-CN"/>
        </w:rPr>
        <w:t>可回收物及大件处理设施</w:t>
      </w:r>
      <w:bookmarkEnd w:id="93"/>
    </w:p>
    <w:p w14:paraId="15219C5D">
      <w:pPr>
        <w:pStyle w:val="46"/>
        <w:spacing w:line="560" w:lineRule="exact"/>
        <w:ind w:firstLine="560" w:firstLineChars="200"/>
        <w:jc w:val="both"/>
        <w:rPr>
          <w:rFonts w:hAnsi="宋体"/>
          <w:color w:val="000000" w:themeColor="text1"/>
          <w:sz w:val="28"/>
          <w:szCs w:val="28"/>
        </w:rPr>
      </w:pPr>
      <w:r>
        <w:rPr>
          <w:sz w:val="28"/>
          <w:szCs w:val="28"/>
        </w:rPr>
        <w:t>规划湘潭市区结合新建河东、河西转运站分别设置 1 处可回收分拣中心即大件垃圾拆解中心，设计处理规模分别为 20 吨/日，湘潭经开区、九华高新区、 昭山示范区各自设置 1 处，设计处理规模均为 10 吨/日。韶山市、湘乡市、湘 潭县分别结转运设施新建或升级改造，至少设置 1 处大件垃圾拆解中心，湘乡市、湘潭县设计处理规模均为 20 吨/日，韶山市处理规模为 10 吨/日。</w:t>
      </w:r>
    </w:p>
    <w:p w14:paraId="3BFFE26D">
      <w:pPr>
        <w:pStyle w:val="4"/>
        <w:numPr>
          <w:ilvl w:val="0"/>
          <w:numId w:val="0"/>
        </w:numPr>
        <w:spacing w:before="120" w:after="156" w:line="560" w:lineRule="exact"/>
        <w:ind w:left="482"/>
        <w:rPr>
          <w:rFonts w:cs="宋体"/>
          <w:color w:val="000000" w:themeColor="text1"/>
          <w:sz w:val="28"/>
          <w:szCs w:val="28"/>
          <w:lang w:eastAsia="zh-CN"/>
        </w:rPr>
      </w:pPr>
      <w:bookmarkStart w:id="94" w:name="_Toc12879"/>
      <w:r>
        <w:rPr>
          <w:rFonts w:hint="eastAsia" w:cs="宋体"/>
          <w:color w:val="000000" w:themeColor="text1"/>
          <w:sz w:val="28"/>
          <w:szCs w:val="28"/>
          <w:lang w:eastAsia="zh-CN"/>
        </w:rPr>
        <w:t>七、统筹水上环境卫生工程设施</w:t>
      </w:r>
      <w:bookmarkEnd w:id="94"/>
    </w:p>
    <w:p w14:paraId="57C85471">
      <w:pPr>
        <w:pStyle w:val="46"/>
        <w:spacing w:line="560" w:lineRule="exact"/>
        <w:ind w:firstLine="560" w:firstLineChars="200"/>
        <w:jc w:val="both"/>
        <w:rPr>
          <w:rFonts w:hAnsi="宋体"/>
          <w:color w:val="000000" w:themeColor="text1"/>
          <w:sz w:val="28"/>
          <w:szCs w:val="28"/>
        </w:rPr>
      </w:pPr>
      <w:r>
        <w:rPr>
          <w:rFonts w:hint="eastAsia" w:hAnsi="宋体"/>
          <w:color w:val="000000" w:themeColor="text1"/>
          <w:sz w:val="28"/>
          <w:szCs w:val="28"/>
        </w:rPr>
        <w:t>规划新建或利用现有码头扩建2座水域码头，湘江靠近涟水、涓水段1座；湘江靠近九华港区段1座。规划水域码头占地5000平方米，功能包括管理用房、船只停靠、垃圾上岸、垃圾沥水等。</w:t>
      </w:r>
    </w:p>
    <w:p w14:paraId="379EE026">
      <w:pPr>
        <w:pStyle w:val="46"/>
        <w:spacing w:line="560" w:lineRule="exact"/>
        <w:ind w:firstLine="560" w:firstLineChars="200"/>
        <w:jc w:val="both"/>
        <w:rPr>
          <w:rFonts w:hAnsi="宋体"/>
          <w:color w:val="000000" w:themeColor="text1"/>
          <w:sz w:val="28"/>
          <w:szCs w:val="28"/>
        </w:rPr>
      </w:pPr>
    </w:p>
    <w:p w14:paraId="66CC4347">
      <w:pPr>
        <w:pStyle w:val="3"/>
        <w:numPr>
          <w:ilvl w:val="0"/>
          <w:numId w:val="0"/>
        </w:numPr>
        <w:spacing w:before="156" w:after="156" w:line="560" w:lineRule="exact"/>
        <w:jc w:val="center"/>
        <w:rPr>
          <w:rFonts w:ascii="宋体" w:hAnsi="宋体" w:cs="宋体"/>
          <w:color w:val="000000" w:themeColor="text1"/>
        </w:rPr>
      </w:pPr>
      <w:bookmarkStart w:id="95" w:name="_Toc11929"/>
      <w:r>
        <w:rPr>
          <w:rFonts w:hint="eastAsia" w:ascii="宋体" w:hAnsi="宋体" w:cs="宋体"/>
          <w:color w:val="000000" w:themeColor="text1"/>
          <w:sz w:val="30"/>
          <w:szCs w:val="30"/>
        </w:rPr>
        <w:t>第四节  统筹城乡环境卫生管理体系</w:t>
      </w:r>
      <w:bookmarkEnd w:id="95"/>
    </w:p>
    <w:p w14:paraId="07790535">
      <w:pPr>
        <w:pStyle w:val="4"/>
        <w:numPr>
          <w:ilvl w:val="0"/>
          <w:numId w:val="0"/>
        </w:numPr>
        <w:spacing w:before="120" w:after="156" w:line="560" w:lineRule="exact"/>
        <w:ind w:firstLine="562" w:firstLineChars="200"/>
        <w:rPr>
          <w:rFonts w:cs="宋体"/>
          <w:color w:val="000000" w:themeColor="text1"/>
          <w:sz w:val="28"/>
          <w:szCs w:val="28"/>
          <w:lang w:eastAsia="zh-CN"/>
        </w:rPr>
      </w:pPr>
      <w:bookmarkStart w:id="96" w:name="_Toc23088"/>
      <w:r>
        <w:rPr>
          <w:rFonts w:hint="eastAsia" w:cs="宋体"/>
          <w:color w:val="000000" w:themeColor="text1"/>
          <w:sz w:val="28"/>
          <w:szCs w:val="28"/>
          <w:lang w:eastAsia="zh-CN"/>
        </w:rPr>
        <w:t>一、规范管理体制</w:t>
      </w:r>
      <w:bookmarkEnd w:id="96"/>
    </w:p>
    <w:p w14:paraId="1EE0F500">
      <w:pPr>
        <w:spacing w:line="560" w:lineRule="exact"/>
        <w:ind w:firstLine="560" w:firstLineChars="200"/>
        <w:rPr>
          <w:rFonts w:ascii="宋体" w:hAnsi="宋体" w:cs="宋体"/>
          <w:color w:val="000000" w:themeColor="text1"/>
          <w:kern w:val="0"/>
          <w:sz w:val="28"/>
          <w:szCs w:val="28"/>
          <w:u w:val="single"/>
        </w:rPr>
      </w:pPr>
      <w:r>
        <w:rPr>
          <w:rFonts w:hint="eastAsia" w:ascii="宋体" w:hAnsi="宋体" w:cs="宋体"/>
          <w:color w:val="000000" w:themeColor="text1"/>
          <w:sz w:val="28"/>
          <w:szCs w:val="28"/>
        </w:rPr>
        <w:t>湘潭市区建立三级管理、四级网络管理体制，即市、区（县级市）、街道（镇）环卫管理体制。湘潭市一级环卫主管部门为湘潭市城市管理和综合执法局（综合性管理部门）下设的湘潭市环境卫生管理处；区县一级环卫主管部门为区城市管理和综合执法局（综合性管理部门），规划岳塘区、雨湖区可设置专门环卫管理机构（名称为区环卫服务中心）；街道（镇）一级环卫管理机构为环卫站。乡镇环境卫生管理体制，做到“镇有环卫所（城管监察队）、村有保洁员、户有责任制”。</w:t>
      </w:r>
      <w:r>
        <w:rPr>
          <w:rFonts w:hint="eastAsia" w:ascii="宋体" w:hAnsi="宋体" w:cs="宋体"/>
          <w:color w:val="000000" w:themeColor="text1"/>
          <w:kern w:val="0"/>
          <w:sz w:val="28"/>
          <w:szCs w:val="28"/>
        </w:rPr>
        <w:t>道路保洁逐步实现市场化作业，由统一招投标确定专业服务公司；餐厨垃圾的收运采用政府引导、统一管理、集中收运、定点处置、社会参与、市场化运作方式。</w:t>
      </w:r>
    </w:p>
    <w:p w14:paraId="7500FA1A">
      <w:pPr>
        <w:pStyle w:val="4"/>
        <w:numPr>
          <w:ilvl w:val="0"/>
          <w:numId w:val="0"/>
        </w:numPr>
        <w:spacing w:before="240" w:after="156" w:line="560" w:lineRule="exact"/>
        <w:ind w:firstLine="562" w:firstLineChars="200"/>
        <w:rPr>
          <w:rFonts w:cs="宋体"/>
          <w:color w:val="000000" w:themeColor="text1"/>
          <w:sz w:val="28"/>
          <w:szCs w:val="28"/>
          <w:lang w:eastAsia="zh-CN"/>
        </w:rPr>
      </w:pPr>
      <w:bookmarkStart w:id="97" w:name="_Toc571"/>
      <w:r>
        <w:rPr>
          <w:rFonts w:hint="eastAsia" w:cs="宋体"/>
          <w:color w:val="000000" w:themeColor="text1"/>
          <w:sz w:val="28"/>
          <w:szCs w:val="28"/>
          <w:lang w:eastAsia="zh-CN"/>
        </w:rPr>
        <w:t>二、健全法规建设</w:t>
      </w:r>
      <w:bookmarkEnd w:id="97"/>
    </w:p>
    <w:p w14:paraId="63A62074">
      <w:pPr>
        <w:autoSpaceDE w:val="0"/>
        <w:autoSpaceDN w:val="0"/>
        <w:adjustRightInd w:val="0"/>
        <w:spacing w:line="560" w:lineRule="exact"/>
        <w:ind w:firstLine="560" w:firstLineChars="200"/>
        <w:rPr>
          <w:rFonts w:ascii="宋体" w:hAnsi="宋体" w:cs="宋体"/>
          <w:color w:val="000000" w:themeColor="text1"/>
          <w:kern w:val="0"/>
          <w:sz w:val="28"/>
          <w:szCs w:val="28"/>
        </w:rPr>
      </w:pPr>
      <w:r>
        <w:rPr>
          <w:rFonts w:hint="eastAsia" w:ascii="宋体" w:hAnsi="宋体" w:cs="宋体"/>
          <w:color w:val="000000" w:themeColor="text1"/>
          <w:kern w:val="0"/>
          <w:sz w:val="28"/>
          <w:szCs w:val="28"/>
        </w:rPr>
        <w:t>合理制定生活垃圾减量化、生活垃圾无害化处理、生活垃圾分类处理、人才引进及环卫科技发展、环卫产业发展及环卫体制改革等相关政策，完善现有垃圾处理收费政策。加大环卫专项法规的制订、修订力度，</w:t>
      </w:r>
      <w:r>
        <w:rPr>
          <w:rFonts w:hint="eastAsia"/>
          <w:sz w:val="28"/>
          <w:szCs w:val="28"/>
        </w:rPr>
        <w:t>出台《湘潭市城区生活垃圾分类工作管理办法》</w:t>
      </w:r>
      <w:r>
        <w:rPr>
          <w:rFonts w:hint="eastAsia"/>
          <w:color w:val="000000" w:themeColor="text1"/>
          <w:sz w:val="28"/>
          <w:szCs w:val="28"/>
        </w:rPr>
        <w:t>《湘潭市餐厨垃圾管理办法》《湘潭市建筑垃圾管理办法》，</w:t>
      </w:r>
      <w:r>
        <w:rPr>
          <w:rFonts w:hint="eastAsia" w:ascii="宋体" w:hAnsi="宋体" w:cs="宋体"/>
          <w:color w:val="000000" w:themeColor="text1"/>
          <w:kern w:val="0"/>
          <w:sz w:val="28"/>
          <w:szCs w:val="28"/>
        </w:rPr>
        <w:t>开展《湘潭市生活垃圾管理条例》立法调研，启动《湘潭市城市市容和环境卫生管理条例》的修订。</w:t>
      </w:r>
    </w:p>
    <w:p w14:paraId="1BE4403C">
      <w:pPr>
        <w:pStyle w:val="4"/>
        <w:numPr>
          <w:ilvl w:val="0"/>
          <w:numId w:val="0"/>
        </w:numPr>
        <w:spacing w:before="120" w:after="156" w:line="560" w:lineRule="exact"/>
        <w:ind w:left="482"/>
        <w:rPr>
          <w:rFonts w:cs="宋体"/>
          <w:color w:val="000000" w:themeColor="text1"/>
          <w:sz w:val="28"/>
          <w:szCs w:val="28"/>
          <w:lang w:eastAsia="zh-CN"/>
        </w:rPr>
      </w:pPr>
      <w:bookmarkStart w:id="98" w:name="_Toc9496"/>
      <w:r>
        <w:rPr>
          <w:rFonts w:hint="eastAsia" w:cs="宋体"/>
          <w:color w:val="000000" w:themeColor="text1"/>
          <w:sz w:val="28"/>
          <w:szCs w:val="28"/>
          <w:lang w:eastAsia="zh-CN"/>
        </w:rPr>
        <w:t>三、强化技术支持</w:t>
      </w:r>
      <w:bookmarkEnd w:id="98"/>
    </w:p>
    <w:p w14:paraId="2B18F97A">
      <w:pPr>
        <w:autoSpaceDE w:val="0"/>
        <w:autoSpaceDN w:val="0"/>
        <w:adjustRightInd w:val="0"/>
        <w:spacing w:line="560" w:lineRule="exact"/>
        <w:ind w:firstLine="560" w:firstLineChars="200"/>
        <w:rPr>
          <w:rFonts w:ascii="宋体" w:hAnsi="宋体" w:cs="宋体"/>
          <w:color w:val="000000" w:themeColor="text1"/>
          <w:kern w:val="0"/>
          <w:sz w:val="28"/>
          <w:szCs w:val="28"/>
        </w:rPr>
      </w:pPr>
      <w:r>
        <w:rPr>
          <w:rFonts w:hint="eastAsia" w:ascii="宋体" w:hAnsi="宋体" w:cs="宋体"/>
          <w:color w:val="000000" w:themeColor="text1"/>
          <w:kern w:val="0"/>
          <w:sz w:val="28"/>
          <w:szCs w:val="28"/>
        </w:rPr>
        <w:t>制定环卫科技发展规划和发展目标。组织落实生活垃圾分类收集实施方案、生活垃圾分类收运系统改革方案研究。加强包括垃圾渗沥液或焚烧飞灰污染物处理技术、垃圾转运站污染防治技术、填埋沼气收集利用技术、餐厨/厨余垃圾资源化利用技术等的研究。加强垃圾焚烧厂、垃圾填埋场、其他固废处理厂的环境监测及监管。结合环卫网络建设建立包括环卫作业和设施设备信息、环卫监督管理、环卫组织机构及相关环卫法律法规信息等内容的环卫业务应用支撑平台。建立湘潭市环卫综合监控中心，对垃圾焚烧厂、垃圾填埋场、其他固废处理设施的日常运行进行监管；利用GPS系统对环卫车辆作业进行全程监控。建设环卫办公自动化系统、环卫收费管理信息系统等。</w:t>
      </w:r>
    </w:p>
    <w:p w14:paraId="1FF4905D">
      <w:pPr>
        <w:pStyle w:val="4"/>
        <w:numPr>
          <w:ilvl w:val="0"/>
          <w:numId w:val="0"/>
        </w:numPr>
        <w:spacing w:before="120" w:after="156" w:line="560" w:lineRule="exact"/>
        <w:ind w:left="482"/>
        <w:rPr>
          <w:rFonts w:cs="宋体"/>
          <w:color w:val="000000" w:themeColor="text1"/>
          <w:sz w:val="28"/>
          <w:szCs w:val="28"/>
          <w:lang w:eastAsia="zh-CN"/>
        </w:rPr>
      </w:pPr>
      <w:bookmarkStart w:id="99" w:name="_Toc22834"/>
      <w:r>
        <w:rPr>
          <w:rFonts w:hint="eastAsia" w:cs="宋体"/>
          <w:color w:val="000000" w:themeColor="text1"/>
          <w:sz w:val="28"/>
          <w:szCs w:val="28"/>
          <w:lang w:eastAsia="zh-CN"/>
        </w:rPr>
        <w:t>四、加强宣传发动</w:t>
      </w:r>
      <w:bookmarkEnd w:id="99"/>
    </w:p>
    <w:p w14:paraId="59500F87">
      <w:pPr>
        <w:spacing w:line="560" w:lineRule="exact"/>
        <w:ind w:firstLine="560" w:firstLineChars="200"/>
        <w:rPr>
          <w:rFonts w:ascii="宋体" w:hAnsi="宋体" w:cs="宋体"/>
          <w:color w:val="000000" w:themeColor="text1"/>
          <w:sz w:val="28"/>
          <w:szCs w:val="28"/>
        </w:rPr>
      </w:pPr>
      <w:r>
        <w:rPr>
          <w:rFonts w:hint="eastAsia" w:ascii="宋体" w:hAnsi="宋体" w:cs="宋体"/>
          <w:color w:val="000000" w:themeColor="text1"/>
          <w:kern w:val="0"/>
          <w:sz w:val="28"/>
          <w:szCs w:val="28"/>
        </w:rPr>
        <w:t>加强环境卫生宣传教育，成立湘潭市环境卫生协会，负责环境卫生宣传教育、环卫作业标准制定、环卫职业技能培训、环卫市场准入审核等工作。通过媒体、网络、集会、教课书、环卫教育基地参加等多种形式对环卫政策法规、生活垃圾分类收集、环卫机制改革、公众环境卫生参与意识、环卫市场化营运、固体废物环境污染防治等方面进行宣传教育。建立湘潭市环境卫生综合培训中心，对环卫职工进行环卫作业中各工种业务的上岗培训、基层宣传工作培训，提高业务素质与水平。</w:t>
      </w:r>
    </w:p>
    <w:p w14:paraId="421C00DA">
      <w:pPr>
        <w:pStyle w:val="3"/>
        <w:numPr>
          <w:ilvl w:val="0"/>
          <w:numId w:val="0"/>
        </w:numPr>
        <w:spacing w:before="156" w:after="156" w:line="560" w:lineRule="exact"/>
        <w:jc w:val="center"/>
        <w:rPr>
          <w:rFonts w:ascii="宋体" w:hAnsi="宋体" w:cs="宋体"/>
          <w:color w:val="000000" w:themeColor="text1"/>
          <w:sz w:val="30"/>
          <w:szCs w:val="30"/>
        </w:rPr>
      </w:pPr>
    </w:p>
    <w:p w14:paraId="1512DD8D">
      <w:pPr>
        <w:pStyle w:val="3"/>
        <w:numPr>
          <w:ilvl w:val="0"/>
          <w:numId w:val="0"/>
        </w:numPr>
        <w:spacing w:before="156" w:after="156" w:line="560" w:lineRule="exact"/>
        <w:jc w:val="center"/>
        <w:rPr>
          <w:rFonts w:ascii="宋体" w:hAnsi="宋体" w:cs="宋体"/>
          <w:color w:val="000000" w:themeColor="text1"/>
          <w:sz w:val="30"/>
          <w:szCs w:val="30"/>
        </w:rPr>
      </w:pPr>
      <w:bookmarkStart w:id="100" w:name="_Toc24002"/>
      <w:r>
        <w:rPr>
          <w:rFonts w:hint="eastAsia" w:ascii="宋体" w:hAnsi="宋体" w:cs="宋体"/>
          <w:color w:val="000000" w:themeColor="text1"/>
          <w:sz w:val="30"/>
          <w:szCs w:val="30"/>
        </w:rPr>
        <w:t>第五节  统筹城乡环卫一体化的保障措施</w:t>
      </w:r>
      <w:bookmarkEnd w:id="100"/>
    </w:p>
    <w:p w14:paraId="64042E6E">
      <w:pPr>
        <w:pStyle w:val="4"/>
        <w:numPr>
          <w:ilvl w:val="0"/>
          <w:numId w:val="0"/>
        </w:numPr>
        <w:spacing w:before="120" w:after="156" w:line="560" w:lineRule="exact"/>
        <w:ind w:left="482"/>
        <w:rPr>
          <w:rFonts w:cs="宋体"/>
          <w:color w:val="000000" w:themeColor="text1"/>
          <w:sz w:val="28"/>
          <w:szCs w:val="28"/>
          <w:lang w:eastAsia="zh-CN"/>
        </w:rPr>
      </w:pPr>
      <w:bookmarkStart w:id="101" w:name="_Toc18602"/>
      <w:r>
        <w:rPr>
          <w:rFonts w:hint="eastAsia" w:cs="宋体"/>
          <w:color w:val="000000" w:themeColor="text1"/>
          <w:sz w:val="28"/>
          <w:szCs w:val="28"/>
          <w:lang w:eastAsia="zh-CN"/>
        </w:rPr>
        <w:t>一、法律政策统筹保障</w:t>
      </w:r>
      <w:bookmarkEnd w:id="101"/>
    </w:p>
    <w:p w14:paraId="7BE845D5">
      <w:pPr>
        <w:pStyle w:val="46"/>
        <w:spacing w:line="560" w:lineRule="exact"/>
        <w:ind w:firstLine="480"/>
        <w:rPr>
          <w:rFonts w:hAnsi="宋体"/>
          <w:color w:val="000000" w:themeColor="text1"/>
          <w:sz w:val="28"/>
          <w:szCs w:val="28"/>
        </w:rPr>
      </w:pPr>
      <w:r>
        <w:rPr>
          <w:rFonts w:hint="eastAsia" w:hAnsi="宋体"/>
          <w:color w:val="000000" w:themeColor="text1"/>
          <w:sz w:val="28"/>
          <w:szCs w:val="28"/>
        </w:rPr>
        <w:t>强化行业规划的法律地位，发挥规划对城市建设的指导作用。环卫行业发展规划的主要环卫设施用地应纳入城市总体规划，并根据环卫设施的选址要求，对城市用地进行控制，确保有利于环卫设施的选址落点。应根据本规划确定的生活垃圾收运体系，出台相应的收运体系升级实施方案，并制定分年度实施计划，统一全市工作步调，引导各区按照统一标准建设、采购环卫设施，指导大中型转运站、垃圾分类房、垃圾收集站建设。</w:t>
      </w:r>
    </w:p>
    <w:p w14:paraId="7FC6A9AE">
      <w:pPr>
        <w:pStyle w:val="4"/>
        <w:numPr>
          <w:ilvl w:val="0"/>
          <w:numId w:val="0"/>
        </w:numPr>
        <w:spacing w:before="120" w:after="156" w:line="560" w:lineRule="exact"/>
        <w:ind w:left="482"/>
        <w:rPr>
          <w:rFonts w:cs="宋体"/>
          <w:b w:val="0"/>
          <w:bCs w:val="0"/>
          <w:color w:val="000000" w:themeColor="text1"/>
          <w:sz w:val="28"/>
          <w:szCs w:val="28"/>
          <w:lang w:eastAsia="zh-CN"/>
        </w:rPr>
      </w:pPr>
      <w:bookmarkStart w:id="102" w:name="_Toc19607"/>
      <w:r>
        <w:rPr>
          <w:rFonts w:hint="eastAsia" w:cs="宋体"/>
          <w:b w:val="0"/>
          <w:bCs w:val="0"/>
          <w:color w:val="000000" w:themeColor="text1"/>
          <w:sz w:val="28"/>
          <w:szCs w:val="28"/>
          <w:lang w:eastAsia="zh-CN"/>
        </w:rPr>
        <w:t>二、</w:t>
      </w:r>
      <w:r>
        <w:rPr>
          <w:rStyle w:val="39"/>
          <w:rFonts w:hint="eastAsia" w:cs="宋体"/>
          <w:b/>
          <w:bCs/>
          <w:color w:val="000000" w:themeColor="text1"/>
          <w:sz w:val="28"/>
          <w:szCs w:val="28"/>
          <w:lang w:eastAsia="zh-CN"/>
        </w:rPr>
        <w:t>环卫设施统筹保障</w:t>
      </w:r>
      <w:bookmarkEnd w:id="102"/>
    </w:p>
    <w:p w14:paraId="63B150E6">
      <w:pPr>
        <w:pStyle w:val="46"/>
        <w:spacing w:afterLines="50" w:line="560" w:lineRule="exact"/>
        <w:rPr>
          <w:rStyle w:val="39"/>
          <w:rFonts w:cs="宋体"/>
          <w:color w:val="000000" w:themeColor="text1"/>
          <w:sz w:val="28"/>
          <w:szCs w:val="28"/>
          <w:lang w:eastAsia="zh-CN"/>
        </w:rPr>
      </w:pPr>
      <w:r>
        <w:rPr>
          <w:rFonts w:hint="eastAsia" w:hAnsi="宋体"/>
          <w:color w:val="000000" w:themeColor="text1"/>
          <w:sz w:val="28"/>
          <w:szCs w:val="28"/>
        </w:rPr>
        <w:t>将生活垃圾处理设施、垃圾转运站、水域保洁码头、环境卫生车辆停放场等环境卫生设施用地纳入城市黄线管理，作为城市规划的强制性内容。在城市建设过程中，应严格对用地的定位、用地控制等方面进行审核，严禁擅自改变城市黄线内土地用途，切实强化环卫基础设施建设与其他设施建设实现“四同步”。</w:t>
      </w:r>
    </w:p>
    <w:p w14:paraId="55CAB6D4">
      <w:pPr>
        <w:pStyle w:val="4"/>
        <w:numPr>
          <w:ilvl w:val="0"/>
          <w:numId w:val="0"/>
        </w:numPr>
        <w:spacing w:before="120" w:after="156" w:line="560" w:lineRule="exact"/>
        <w:ind w:left="482"/>
        <w:rPr>
          <w:rStyle w:val="39"/>
          <w:rFonts w:cs="宋体"/>
          <w:b/>
          <w:bCs/>
          <w:color w:val="000000" w:themeColor="text1"/>
          <w:sz w:val="28"/>
          <w:szCs w:val="28"/>
          <w:lang w:eastAsia="zh-CN"/>
        </w:rPr>
      </w:pPr>
      <w:bookmarkStart w:id="103" w:name="_Toc10128"/>
      <w:r>
        <w:rPr>
          <w:rStyle w:val="39"/>
          <w:rFonts w:hint="eastAsia" w:cs="宋体"/>
          <w:b/>
          <w:bCs/>
          <w:color w:val="000000" w:themeColor="text1"/>
          <w:sz w:val="28"/>
          <w:szCs w:val="28"/>
          <w:lang w:eastAsia="zh-CN"/>
        </w:rPr>
        <w:t>三、多元资金统筹保障</w:t>
      </w:r>
      <w:bookmarkEnd w:id="103"/>
    </w:p>
    <w:p w14:paraId="54A52862">
      <w:pPr>
        <w:pStyle w:val="46"/>
        <w:spacing w:line="560" w:lineRule="exact"/>
        <w:ind w:firstLine="560" w:firstLineChars="200"/>
        <w:rPr>
          <w:rFonts w:hAnsi="宋体"/>
          <w:color w:val="000000" w:themeColor="text1"/>
          <w:sz w:val="28"/>
          <w:szCs w:val="28"/>
        </w:rPr>
      </w:pPr>
      <w:r>
        <w:rPr>
          <w:rFonts w:hint="eastAsia" w:hAnsi="宋体"/>
          <w:color w:val="000000" w:themeColor="text1"/>
          <w:sz w:val="28"/>
          <w:szCs w:val="28"/>
        </w:rPr>
        <w:t>积极探索国家债券融资、企业证券融资、银行贷款和国际贷款以及PPP、BOT等项目融资方式，进一步拓宽融资渠道。在规划中安排好各建设项目各期的投资进度，先建设急需的、关键的项目。合理提高环卫工人工资待遇，保障环卫作业的平稳有序。</w:t>
      </w:r>
    </w:p>
    <w:p w14:paraId="5BE3FB2E">
      <w:pPr>
        <w:pStyle w:val="4"/>
        <w:numPr>
          <w:ilvl w:val="0"/>
          <w:numId w:val="0"/>
        </w:numPr>
        <w:spacing w:before="120" w:after="156" w:line="560" w:lineRule="exact"/>
        <w:ind w:left="482"/>
        <w:rPr>
          <w:rFonts w:cs="宋体"/>
          <w:color w:val="000000" w:themeColor="text1"/>
          <w:sz w:val="28"/>
          <w:szCs w:val="28"/>
          <w:lang w:eastAsia="zh-CN"/>
        </w:rPr>
      </w:pPr>
      <w:bookmarkStart w:id="104" w:name="_Toc1109"/>
      <w:r>
        <w:rPr>
          <w:rFonts w:hint="eastAsia" w:cs="宋体"/>
          <w:color w:val="000000" w:themeColor="text1"/>
          <w:sz w:val="28"/>
          <w:szCs w:val="28"/>
          <w:lang w:eastAsia="zh-CN"/>
        </w:rPr>
        <w:t>四、风险防控统筹保障</w:t>
      </w:r>
      <w:bookmarkEnd w:id="104"/>
    </w:p>
    <w:p w14:paraId="574DA5CB">
      <w:pPr>
        <w:spacing w:line="560" w:lineRule="exact"/>
        <w:ind w:firstLine="560" w:firstLineChars="200"/>
        <w:rPr>
          <w:rFonts w:ascii="宋体" w:hAnsi="宋体" w:cs="宋体"/>
          <w:color w:val="000000" w:themeColor="text1"/>
          <w:sz w:val="28"/>
          <w:szCs w:val="28"/>
        </w:rPr>
      </w:pPr>
      <w:r>
        <w:rPr>
          <w:rFonts w:hint="eastAsia" w:ascii="宋体" w:hAnsi="宋体" w:cs="宋体"/>
          <w:color w:val="000000" w:themeColor="text1"/>
          <w:sz w:val="28"/>
          <w:szCs w:val="28"/>
        </w:rPr>
        <w:t>根据《湘潭市突发公共事件总体应急预案》的要求，结合已经制定的《湘潭市城市生活垃圾处理突发事件应急预案》，综合考虑城市保洁、垃圾收运、特殊固废处理等要求，制定《</w:t>
      </w:r>
      <w:r>
        <w:rPr>
          <w:rFonts w:ascii="微软雅黑" w:hAnsi="微软雅黑" w:eastAsia="微软雅黑" w:cs="微软雅黑"/>
          <w:i w:val="0"/>
          <w:iCs w:val="0"/>
          <w:caps w:val="0"/>
          <w:color w:val="333333"/>
          <w:spacing w:val="0"/>
          <w:sz w:val="24"/>
          <w:szCs w:val="24"/>
          <w:shd w:val="clear" w:fill="FFFFFF"/>
        </w:rPr>
        <w:t>湘潭市突发公共卫生事件应急预案</w:t>
      </w:r>
      <w:r>
        <w:rPr>
          <w:rFonts w:hint="eastAsia" w:ascii="宋体" w:hAnsi="宋体" w:cs="宋体"/>
          <w:color w:val="000000" w:themeColor="text1"/>
          <w:sz w:val="28"/>
          <w:szCs w:val="28"/>
        </w:rPr>
        <w:t>》，建立环卫应急体系。</w:t>
      </w:r>
    </w:p>
    <w:p w14:paraId="7465E789">
      <w:pPr>
        <w:spacing w:line="560" w:lineRule="exact"/>
        <w:ind w:firstLine="420"/>
        <w:rPr>
          <w:rFonts w:ascii="宋体" w:hAnsi="宋体" w:cs="宋体"/>
          <w:color w:val="000000" w:themeColor="text1"/>
          <w:sz w:val="28"/>
          <w:szCs w:val="28"/>
        </w:rPr>
      </w:pPr>
    </w:p>
    <w:p w14:paraId="2F80C0AF">
      <w:pPr>
        <w:spacing w:line="560" w:lineRule="exact"/>
        <w:ind w:firstLine="420"/>
        <w:rPr>
          <w:rFonts w:ascii="宋体" w:hAnsi="宋体" w:cs="宋体"/>
          <w:color w:val="000000" w:themeColor="text1"/>
          <w:sz w:val="28"/>
          <w:szCs w:val="28"/>
        </w:rPr>
      </w:pPr>
    </w:p>
    <w:p w14:paraId="5D101E7E">
      <w:pPr>
        <w:spacing w:line="560" w:lineRule="exact"/>
        <w:ind w:firstLine="420"/>
        <w:rPr>
          <w:rFonts w:ascii="宋体" w:hAnsi="宋体" w:cs="宋体"/>
          <w:color w:val="000000" w:themeColor="text1"/>
          <w:sz w:val="28"/>
          <w:szCs w:val="28"/>
        </w:rPr>
      </w:pPr>
    </w:p>
    <w:p w14:paraId="689A8ED4">
      <w:pPr>
        <w:spacing w:line="560" w:lineRule="exact"/>
        <w:ind w:firstLine="420"/>
        <w:rPr>
          <w:rFonts w:ascii="宋体" w:hAnsi="宋体" w:cs="宋体"/>
          <w:color w:val="000000" w:themeColor="text1"/>
          <w:sz w:val="28"/>
          <w:szCs w:val="28"/>
        </w:rPr>
      </w:pPr>
    </w:p>
    <w:p w14:paraId="174F18C4">
      <w:pPr>
        <w:spacing w:line="560" w:lineRule="exact"/>
        <w:ind w:firstLine="420"/>
        <w:rPr>
          <w:rFonts w:ascii="宋体" w:hAnsi="宋体" w:cs="宋体"/>
          <w:color w:val="000000" w:themeColor="text1"/>
          <w:sz w:val="28"/>
          <w:szCs w:val="28"/>
        </w:rPr>
      </w:pPr>
    </w:p>
    <w:p w14:paraId="67435DE3">
      <w:pPr>
        <w:spacing w:line="560" w:lineRule="exact"/>
        <w:ind w:firstLine="420"/>
        <w:rPr>
          <w:rFonts w:ascii="宋体" w:hAnsi="宋体" w:cs="宋体"/>
          <w:color w:val="000000" w:themeColor="text1"/>
          <w:sz w:val="28"/>
          <w:szCs w:val="28"/>
        </w:rPr>
      </w:pPr>
    </w:p>
    <w:p w14:paraId="6122E3BC">
      <w:pPr>
        <w:spacing w:line="560" w:lineRule="exact"/>
        <w:ind w:firstLine="420"/>
        <w:rPr>
          <w:rFonts w:ascii="宋体" w:hAnsi="宋体" w:cs="宋体"/>
          <w:color w:val="000000" w:themeColor="text1"/>
          <w:sz w:val="28"/>
          <w:szCs w:val="28"/>
        </w:rPr>
      </w:pPr>
    </w:p>
    <w:p w14:paraId="4C9B3B9E">
      <w:pPr>
        <w:pStyle w:val="2"/>
        <w:numPr>
          <w:ilvl w:val="0"/>
          <w:numId w:val="0"/>
        </w:numPr>
        <w:spacing w:line="560" w:lineRule="exact"/>
        <w:jc w:val="center"/>
        <w:rPr>
          <w:rFonts w:ascii="宋体" w:hAnsi="宋体" w:cs="宋体"/>
          <w:color w:val="000000" w:themeColor="text1"/>
          <w:szCs w:val="32"/>
          <w:lang w:eastAsia="zh-CN"/>
        </w:rPr>
      </w:pPr>
      <w:bookmarkStart w:id="105" w:name="_Toc32548"/>
      <w:r>
        <w:rPr>
          <w:rFonts w:hint="eastAsia" w:ascii="宋体" w:hAnsi="宋体" w:cs="宋体"/>
          <w:color w:val="000000" w:themeColor="text1"/>
          <w:szCs w:val="32"/>
          <w:lang w:eastAsia="zh-CN"/>
        </w:rPr>
        <w:t>第七章  全面实施垃圾分类收运处理，加速垃圾资源化利用</w:t>
      </w:r>
      <w:bookmarkEnd w:id="105"/>
    </w:p>
    <w:p w14:paraId="60A68A15">
      <w:pPr>
        <w:pStyle w:val="3"/>
        <w:numPr>
          <w:ilvl w:val="0"/>
          <w:numId w:val="0"/>
        </w:numPr>
        <w:spacing w:before="156" w:after="156" w:line="560" w:lineRule="exact"/>
        <w:jc w:val="center"/>
        <w:rPr>
          <w:rFonts w:ascii="宋体" w:hAnsi="宋体" w:cs="宋体"/>
          <w:color w:val="000000" w:themeColor="text1"/>
          <w:sz w:val="30"/>
          <w:szCs w:val="30"/>
        </w:rPr>
      </w:pPr>
    </w:p>
    <w:p w14:paraId="701CAA6E">
      <w:pPr>
        <w:pStyle w:val="3"/>
        <w:numPr>
          <w:ilvl w:val="0"/>
          <w:numId w:val="0"/>
        </w:numPr>
        <w:spacing w:before="156" w:after="156" w:line="560" w:lineRule="exact"/>
        <w:jc w:val="center"/>
        <w:rPr>
          <w:rFonts w:ascii="宋体" w:hAnsi="宋体" w:cs="宋体"/>
          <w:color w:val="000000" w:themeColor="text1"/>
          <w:sz w:val="30"/>
          <w:szCs w:val="30"/>
        </w:rPr>
      </w:pPr>
      <w:bookmarkStart w:id="106" w:name="_Toc3280"/>
      <w:r>
        <w:rPr>
          <w:rFonts w:hint="eastAsia" w:ascii="宋体" w:hAnsi="宋体" w:cs="宋体"/>
          <w:color w:val="000000" w:themeColor="text1"/>
          <w:sz w:val="30"/>
          <w:szCs w:val="30"/>
        </w:rPr>
        <w:t>第一节  生活垃圾分类收运处理</w:t>
      </w:r>
      <w:bookmarkEnd w:id="106"/>
    </w:p>
    <w:p w14:paraId="5A4DE778">
      <w:pPr>
        <w:pStyle w:val="4"/>
        <w:numPr>
          <w:ilvl w:val="0"/>
          <w:numId w:val="0"/>
        </w:numPr>
        <w:spacing w:before="240" w:after="156" w:line="560" w:lineRule="exact"/>
        <w:ind w:left="482"/>
        <w:rPr>
          <w:rFonts w:cs="宋体"/>
          <w:color w:val="000000" w:themeColor="text1"/>
          <w:sz w:val="28"/>
          <w:szCs w:val="28"/>
          <w:lang w:eastAsia="zh-CN"/>
        </w:rPr>
      </w:pPr>
      <w:bookmarkStart w:id="107" w:name="_Toc5430"/>
      <w:r>
        <w:rPr>
          <w:rFonts w:hint="eastAsia" w:cs="宋体"/>
          <w:color w:val="000000" w:themeColor="text1"/>
          <w:sz w:val="28"/>
          <w:szCs w:val="28"/>
          <w:lang w:eastAsia="zh-CN"/>
        </w:rPr>
        <w:t>一、管理机制与要求</w:t>
      </w:r>
      <w:bookmarkEnd w:id="107"/>
    </w:p>
    <w:p w14:paraId="50861F36">
      <w:pPr>
        <w:spacing w:line="560" w:lineRule="exact"/>
        <w:ind w:firstLine="420"/>
        <w:rPr>
          <w:rFonts w:ascii="宋体" w:hAnsi="宋体" w:cs="宋体"/>
          <w:color w:val="000000" w:themeColor="text1"/>
          <w:sz w:val="28"/>
          <w:szCs w:val="28"/>
        </w:rPr>
      </w:pPr>
      <w:r>
        <w:rPr>
          <w:rFonts w:hint="eastAsia" w:ascii="宋体" w:hAnsi="宋体" w:cs="宋体"/>
          <w:color w:val="000000" w:themeColor="text1"/>
          <w:sz w:val="28"/>
          <w:szCs w:val="28"/>
        </w:rPr>
        <w:t>“十四五”期间，以政府机关、事业单位、学校、各类社会团体等公共机构为示范引领，在居民小区等大力推进生活垃圾分类投放、收运和处置工作，同时在建筑面积达3000平方米的农贸市场积极开展垃圾分类工作。逐步完善“基层党建+垃圾分类”“基层党建+城市管理”等有效治理机制，让垃圾分类新时尚深入人心。完成大型分拣中转服务中心、生活垃圾焚烧发电项目、餐厨垃圾资源化利用项目、建筑垃圾资源化利用项目、大件垃圾和园林绿化垃圾处理场项目建设并投产运行，建立基本的垃圾分类投放、分类收集、分类运输、分类处理综合治理体系。实现湘潭城区447个公共机构（政府机关、事业单位和学校等）、809个社会团体、50个基层组织的垃圾分类覆盖率100%，居民垃圾分类覆盖率达到70%，农贸市场垃圾分类覆盖率达90%</w:t>
      </w:r>
      <w:bookmarkStart w:id="108" w:name="_Toc50555214"/>
      <w:r>
        <w:rPr>
          <w:rFonts w:hint="eastAsia" w:ascii="宋体" w:hAnsi="宋体" w:cs="宋体"/>
          <w:color w:val="000000" w:themeColor="text1"/>
          <w:sz w:val="28"/>
          <w:szCs w:val="28"/>
        </w:rPr>
        <w:t>；至2025年，</w:t>
      </w:r>
      <w:r>
        <w:rPr>
          <w:rFonts w:hint="eastAsia" w:ascii="宋体" w:hAnsi="宋体" w:cs="宋体"/>
          <w:color w:val="000000" w:themeColor="text1"/>
          <w:sz w:val="28"/>
          <w:szCs w:val="28"/>
          <w:shd w:val="clear" w:color="auto" w:fill="FFFFFF"/>
        </w:rPr>
        <w:t>市城区生活垃圾分类实现基本全覆盖，</w:t>
      </w:r>
      <w:r>
        <w:rPr>
          <w:rFonts w:hint="eastAsia" w:ascii="宋体" w:hAnsi="宋体" w:cs="宋体"/>
          <w:color w:val="000000" w:themeColor="text1"/>
          <w:sz w:val="28"/>
          <w:szCs w:val="28"/>
        </w:rPr>
        <w:t>生活垃圾无害化处理率达100%。</w:t>
      </w:r>
    </w:p>
    <w:p w14:paraId="3110CADC">
      <w:pPr>
        <w:pStyle w:val="4"/>
        <w:numPr>
          <w:ilvl w:val="0"/>
          <w:numId w:val="0"/>
        </w:numPr>
        <w:spacing w:before="240" w:after="156" w:line="560" w:lineRule="exact"/>
        <w:ind w:left="482"/>
        <w:rPr>
          <w:rFonts w:cs="宋体"/>
          <w:color w:val="000000" w:themeColor="text1"/>
          <w:sz w:val="28"/>
          <w:szCs w:val="28"/>
          <w:lang w:eastAsia="zh-CN"/>
        </w:rPr>
      </w:pPr>
      <w:bookmarkStart w:id="109" w:name="_Toc9395"/>
      <w:r>
        <w:rPr>
          <w:rFonts w:hint="eastAsia" w:cs="宋体"/>
          <w:color w:val="000000" w:themeColor="text1"/>
          <w:sz w:val="28"/>
          <w:szCs w:val="28"/>
          <w:lang w:eastAsia="zh-CN"/>
        </w:rPr>
        <w:t>二、生活垃圾分类收运</w:t>
      </w:r>
      <w:bookmarkEnd w:id="109"/>
    </w:p>
    <w:p w14:paraId="5C1088BE">
      <w:pPr>
        <w:spacing w:line="560" w:lineRule="exact"/>
        <w:ind w:firstLine="480"/>
        <w:rPr>
          <w:rFonts w:ascii="宋体" w:hAnsi="宋体" w:cs="宋体"/>
          <w:color w:val="000000" w:themeColor="text1"/>
          <w:sz w:val="28"/>
          <w:szCs w:val="28"/>
        </w:rPr>
      </w:pPr>
      <w:r>
        <w:rPr>
          <w:rFonts w:hint="eastAsia" w:ascii="宋体" w:hAnsi="宋体" w:cs="宋体"/>
          <w:b/>
          <w:bCs/>
          <w:color w:val="000000" w:themeColor="text1"/>
          <w:sz w:val="28"/>
          <w:szCs w:val="28"/>
        </w:rPr>
        <w:t>1．有害垃圾收运。</w:t>
      </w:r>
      <w:r>
        <w:rPr>
          <w:rFonts w:hint="eastAsia" w:ascii="宋体" w:hAnsi="宋体" w:cs="宋体"/>
          <w:color w:val="000000" w:themeColor="text1"/>
          <w:sz w:val="28"/>
          <w:szCs w:val="28"/>
        </w:rPr>
        <w:t>按照国家相关标准在居民小区设置固定的有害垃圾收集容器，社区、物业公司加强宣传，并负责日常管理。由环卫专业部门隔日或每周定时收集和暂存，并委托具有经营许可证的专业企业收运处理，最终进入市环保部门指定的危废处置设施处置。（1）在生产、教学等活动过程中产生的有害垃圾，属于《国家危险废物名录》规定的危险废弃物，必须按照环保的相关规定进行收运和处置。按照便利、快捷、安全原则，合理设置有害垃圾投放容器和临时储存场所，并在醒目位置设置有害垃圾标志。有资质的运输企业定期到产生单位收集有害垃圾，产生单位承担一定的收运和处置费用。（2）公共场所按照垃圾类别设置收集容器，有害垃圾由环卫专业部门隔日或每周定时收集，运至暂存点集中后由有资质的运输企业负责运输，纳入指定环保处理设施进行处理。</w:t>
      </w:r>
    </w:p>
    <w:p w14:paraId="27291A6F">
      <w:pPr>
        <w:spacing w:line="560" w:lineRule="exact"/>
        <w:ind w:firstLine="480"/>
        <w:rPr>
          <w:rFonts w:ascii="宋体" w:hAnsi="宋体" w:cs="宋体"/>
          <w:color w:val="000000" w:themeColor="text1"/>
          <w:sz w:val="28"/>
          <w:szCs w:val="28"/>
        </w:rPr>
      </w:pPr>
      <w:r>
        <w:rPr>
          <w:rFonts w:hint="eastAsia" w:ascii="宋体" w:hAnsi="宋体" w:cs="宋体"/>
          <w:b/>
          <w:bCs/>
          <w:color w:val="000000" w:themeColor="text1"/>
          <w:sz w:val="28"/>
          <w:szCs w:val="28"/>
        </w:rPr>
        <w:t>2．可回收物收运。</w:t>
      </w:r>
      <w:r>
        <w:rPr>
          <w:rFonts w:hint="eastAsia" w:ascii="宋体" w:hAnsi="宋体" w:cs="宋体"/>
          <w:color w:val="000000" w:themeColor="text1"/>
          <w:sz w:val="28"/>
          <w:szCs w:val="28"/>
        </w:rPr>
        <w:t>规范城市收旧行为，鼓励实施企业化运作，促进垃圾分类与再生资源回收利用“两网融合”。整合规范社区再生资源回收网点，采用专用收集车运输，使高值可回收物直接纳入废品回收系统，进行资源化利用；依托社区回收网络，对低值可回收物进行集中，建立可回收物分拣中心，对低值可回收物和大件垃圾进行分拣、拆解，提高资源化利用率。近期重点开展低值可回收物（玻璃、快递包装物等）的回收，在居民小区设置可回收物收集容器，并积极探索互联网+资源回收模式在居民小区的应用。其中，居民日常生活中产生的体积较大、整体性强，需要拆分再处理的大件垃圾，尽量采用预约方式进行收集，环卫部门发布大件垃圾收运电话，或者微信公众号。各单位应根据内部功能分区、建筑特点、投放习惯合理设置投放容器，并在投放容器外部规范设置提示标识、宣传内容。不能直接纳入废品回收系统的低值可回收物由环卫部门定期收运至可回收物分拣中心（含大件）进行分拣集中。各企事业单位的保洁人员或者大件垃圾管理人员发现本单位大件垃圾堆放点堆满时，应通知环卫部门上门收运。公共场所按照垃圾类别设置收集容器，可回收物直接由回收者或环卫保洁员收集，纳入回收系统。</w:t>
      </w:r>
    </w:p>
    <w:p w14:paraId="4D193476">
      <w:pPr>
        <w:spacing w:line="560" w:lineRule="exact"/>
        <w:ind w:firstLine="480"/>
        <w:rPr>
          <w:rFonts w:ascii="宋体" w:hAnsi="宋体" w:cs="宋体"/>
          <w:color w:val="000000" w:themeColor="text1"/>
          <w:sz w:val="28"/>
          <w:szCs w:val="28"/>
        </w:rPr>
      </w:pPr>
      <w:r>
        <w:rPr>
          <w:rFonts w:hint="eastAsia" w:ascii="宋体" w:hAnsi="宋体" w:cs="宋体"/>
          <w:b/>
          <w:bCs/>
          <w:color w:val="000000" w:themeColor="text1"/>
          <w:sz w:val="28"/>
          <w:szCs w:val="28"/>
        </w:rPr>
        <w:t>3．厨余垃圾收运。</w:t>
      </w:r>
      <w:r>
        <w:rPr>
          <w:rFonts w:hint="eastAsia" w:ascii="宋体" w:hAnsi="宋体" w:cs="宋体"/>
          <w:color w:val="000000" w:themeColor="text1"/>
          <w:sz w:val="28"/>
          <w:szCs w:val="28"/>
        </w:rPr>
        <w:t>垃圾分类示范小区分出的家庭厨余垃圾，由分类运营公司每天收集，至少每天收运1次，实现日产日清；经转运站厨余垃圾专用泊位集中后，由专用车辆运至厨余垃圾处理厂。农贸市场对自身产生的厨余垃圾收集后进行就地处理，没有条件设置就地处理机的，应由各街道统筹考虑收运方案。</w:t>
      </w:r>
    </w:p>
    <w:p w14:paraId="339D9E57">
      <w:pPr>
        <w:spacing w:line="560" w:lineRule="exact"/>
        <w:ind w:firstLine="480"/>
        <w:rPr>
          <w:rFonts w:ascii="宋体" w:hAnsi="宋体" w:cs="宋体"/>
          <w:color w:val="000000" w:themeColor="text1"/>
          <w:sz w:val="28"/>
          <w:szCs w:val="28"/>
        </w:rPr>
      </w:pPr>
      <w:r>
        <w:rPr>
          <w:rFonts w:hint="eastAsia" w:ascii="宋体" w:hAnsi="宋体" w:cs="宋体"/>
          <w:b/>
          <w:bCs/>
          <w:color w:val="000000" w:themeColor="text1"/>
          <w:sz w:val="28"/>
          <w:szCs w:val="28"/>
        </w:rPr>
        <w:t>4．其他垃圾收运。</w:t>
      </w:r>
      <w:r>
        <w:rPr>
          <w:rFonts w:hint="eastAsia" w:ascii="宋体" w:hAnsi="宋体" w:cs="宋体"/>
          <w:color w:val="000000" w:themeColor="text1"/>
          <w:sz w:val="28"/>
          <w:szCs w:val="28"/>
        </w:rPr>
        <w:t>由环卫作业公司每日定时清运，由物业负责将垃圾桶集中到垃圾收集站，由环卫作业部门配套收集车收至垃圾转运站，经转运站集中后由配套运输车运至垃圾处理厂。各单位应根据本单位建筑物、场地特点，设置其他垃圾收集点，单位在设置收集点时应与环卫部门进行沟通，确保生活垃圾收集车辆的通行，节约收运时长及减轻收集工作量。其他垃圾由环卫部门作业单位进行收运，运至所在区域生活垃圾转运站或直运到生活垃圾处置设施。收运、处理费用应由产生单位承担。公共场所按照垃圾类别设置收集容器，其他垃圾由环卫部门负责收运到垃圾转运站。</w:t>
      </w:r>
    </w:p>
    <w:p w14:paraId="34E610E9">
      <w:pPr>
        <w:pStyle w:val="4"/>
        <w:numPr>
          <w:ilvl w:val="0"/>
          <w:numId w:val="0"/>
        </w:numPr>
        <w:spacing w:before="240" w:after="156" w:line="560" w:lineRule="exact"/>
        <w:ind w:firstLine="562" w:firstLineChars="200"/>
        <w:rPr>
          <w:rFonts w:cs="宋体"/>
          <w:color w:val="000000" w:themeColor="text1"/>
          <w:sz w:val="28"/>
          <w:szCs w:val="28"/>
          <w:lang w:eastAsia="zh-CN"/>
        </w:rPr>
      </w:pPr>
      <w:bookmarkStart w:id="110" w:name="_Toc1370"/>
      <w:r>
        <w:rPr>
          <w:rFonts w:hint="eastAsia" w:cs="宋体"/>
          <w:color w:val="000000" w:themeColor="text1"/>
          <w:sz w:val="28"/>
          <w:szCs w:val="28"/>
          <w:lang w:eastAsia="zh-CN"/>
        </w:rPr>
        <w:t>三、生活垃圾分类处理</w:t>
      </w:r>
      <w:bookmarkEnd w:id="108"/>
      <w:bookmarkEnd w:id="110"/>
    </w:p>
    <w:p w14:paraId="5E4C79E6">
      <w:pPr>
        <w:spacing w:line="560" w:lineRule="exact"/>
        <w:ind w:firstLine="560" w:firstLineChars="200"/>
        <w:rPr>
          <w:rFonts w:ascii="宋体" w:hAnsi="宋体" w:cs="宋体"/>
          <w:color w:val="000000" w:themeColor="text1"/>
          <w:sz w:val="28"/>
          <w:szCs w:val="28"/>
        </w:rPr>
      </w:pPr>
      <w:r>
        <w:rPr>
          <w:rFonts w:hint="eastAsia" w:ascii="宋体" w:hAnsi="宋体" w:cs="宋体"/>
          <w:color w:val="000000" w:themeColor="text1"/>
          <w:sz w:val="28"/>
          <w:szCs w:val="28"/>
        </w:rPr>
        <w:t>湘潭城区生活垃圾的处理应按照分类要求，做到分类专项处理。处理设施的布局应服从城市总体规划要求；首先考虑减量化，其次实现资源化，最终达到无害化；处理设施要区域资源共享，同时考虑垃圾运输的经济性，使整个垃圾收运处理系统达到环境效益、社会效益和经济效益最佳。</w:t>
      </w:r>
    </w:p>
    <w:p w14:paraId="5BD483E6">
      <w:pPr>
        <w:spacing w:line="560" w:lineRule="exact"/>
        <w:ind w:firstLine="562" w:firstLineChars="200"/>
        <w:rPr>
          <w:rFonts w:ascii="宋体" w:hAnsi="宋体" w:cs="宋体"/>
          <w:color w:val="000000" w:themeColor="text1"/>
          <w:sz w:val="28"/>
          <w:szCs w:val="28"/>
        </w:rPr>
      </w:pPr>
      <w:r>
        <w:rPr>
          <w:rFonts w:hint="eastAsia" w:ascii="宋体" w:hAnsi="宋体" w:cs="宋体"/>
          <w:b/>
          <w:bCs/>
          <w:color w:val="000000" w:themeColor="text1"/>
          <w:sz w:val="28"/>
          <w:szCs w:val="28"/>
        </w:rPr>
        <w:t>1．有害垃圾处理。</w:t>
      </w:r>
      <w:r>
        <w:rPr>
          <w:rFonts w:hint="eastAsia" w:ascii="宋体" w:hAnsi="宋体" w:cs="宋体"/>
          <w:color w:val="000000" w:themeColor="text1"/>
          <w:sz w:val="28"/>
          <w:szCs w:val="28"/>
        </w:rPr>
        <w:t>有害垃圾应得到安全处置，并依据有害垃圾不同类别，设立专门场所或容器进行分类投放、收集、暂存，再由具有专业资质单位运至不同专业处理企业处理。湘潭城区有害垃圾（生活源）采用外运处置，由具有危废经营资质的企业进行处置。</w:t>
      </w:r>
    </w:p>
    <w:p w14:paraId="2F8FE10C">
      <w:pPr>
        <w:spacing w:line="560" w:lineRule="exact"/>
        <w:ind w:firstLine="562" w:firstLineChars="200"/>
        <w:rPr>
          <w:rFonts w:ascii="宋体" w:hAnsi="宋体" w:cs="宋体"/>
          <w:color w:val="000000" w:themeColor="text1"/>
          <w:sz w:val="28"/>
          <w:szCs w:val="28"/>
        </w:rPr>
      </w:pPr>
      <w:r>
        <w:rPr>
          <w:rFonts w:hint="eastAsia" w:ascii="宋体" w:hAnsi="宋体" w:cs="宋体"/>
          <w:b/>
          <w:color w:val="000000" w:themeColor="text1"/>
          <w:sz w:val="28"/>
          <w:szCs w:val="28"/>
        </w:rPr>
        <w:t>2．可回收物处理。</w:t>
      </w:r>
      <w:r>
        <w:rPr>
          <w:rFonts w:hint="eastAsia" w:ascii="宋体" w:hAnsi="宋体" w:cs="宋体"/>
          <w:color w:val="000000" w:themeColor="text1"/>
          <w:sz w:val="28"/>
          <w:szCs w:val="28"/>
        </w:rPr>
        <w:t>鼓励多种所有制企业参与再生资源回收工作。在充分利用、规范和整合现有再生资源回收渠道的基础上，结合城市建设发展规划，构建以可回收物前端分类收集为基础，基本形成三级回收体系：社区回收点、分拣中心（区级）、集散市场（市级）。形成以大型再生资源回收利用公司为龙头，吸纳社会零散队伍和小规模回收企业整合参与的产业格局。木质类大件垃圾运至分拣中心进行分拣和拆解后，对可修复的废旧家具进行修复整新后进入二手市场进行重复使用；对不能直接回收利用的木质大件垃圾进行破碎拆分。分拣后的金属、橡胶、塑料、木材等可利用的物质集中后进入市场化的回收利用企业，进行资源化利用；不可利用的可燃物质进入焚烧厂处理，不可燃物质纳入填埋处置。</w:t>
      </w:r>
    </w:p>
    <w:p w14:paraId="333A9749">
      <w:pPr>
        <w:spacing w:line="560" w:lineRule="exact"/>
        <w:ind w:firstLine="562" w:firstLineChars="200"/>
        <w:rPr>
          <w:rFonts w:ascii="宋体" w:hAnsi="宋体" w:cs="宋体"/>
          <w:color w:val="000000" w:themeColor="text1"/>
          <w:sz w:val="28"/>
          <w:szCs w:val="28"/>
        </w:rPr>
      </w:pPr>
      <w:r>
        <w:rPr>
          <w:rFonts w:hint="eastAsia" w:ascii="宋体" w:hAnsi="宋体" w:cs="宋体"/>
          <w:b/>
          <w:color w:val="000000" w:themeColor="text1"/>
          <w:sz w:val="28"/>
          <w:szCs w:val="28"/>
        </w:rPr>
        <w:t>3．厨余垃圾处理。</w:t>
      </w:r>
      <w:r>
        <w:rPr>
          <w:rFonts w:hint="eastAsia" w:ascii="宋体" w:hAnsi="宋体" w:cs="宋体"/>
          <w:color w:val="000000" w:themeColor="text1"/>
          <w:sz w:val="28"/>
          <w:szCs w:val="28"/>
        </w:rPr>
        <w:t>鉴于湘潭城区尚未建成农贸市场厨余垃圾集中处理设施，且平均每座农贸市场的厨余垃圾量较少，为集约土地，控制污染范围，鼓励各区有条件的农贸市场设置厨余垃圾生化处理设备就地处理。规划建筑面积大于3000平方米的农贸市场必须配置生化机，将农贸市场产生的厨余垃圾就地处理，平均规模约1～5t/d，占地不小于50平方米；建筑面积小于3000平方米的农贸市场，可由环卫管理部门进行调配，将家庭厨余垃圾就近运往配置了生化机的农贸市场进行处理。垃圾分类示范小区分出的厨余垃圾，统一运至厨余垃圾处理厂进行资源化处理。规划厨余垃圾处理厂与餐厨垃圾处理厂统一选址，合并建设。</w:t>
      </w:r>
    </w:p>
    <w:p w14:paraId="664715A6">
      <w:pPr>
        <w:spacing w:line="560" w:lineRule="exact"/>
        <w:ind w:firstLine="562" w:firstLineChars="200"/>
        <w:rPr>
          <w:rFonts w:ascii="宋体" w:hAnsi="宋体" w:cs="宋体"/>
          <w:color w:val="000000" w:themeColor="text1"/>
          <w:sz w:val="28"/>
          <w:szCs w:val="28"/>
        </w:rPr>
      </w:pPr>
      <w:r>
        <w:rPr>
          <w:rFonts w:hint="eastAsia" w:ascii="宋体" w:hAnsi="宋体" w:cs="宋体"/>
          <w:b/>
          <w:bCs/>
          <w:color w:val="000000" w:themeColor="text1"/>
          <w:sz w:val="28"/>
          <w:szCs w:val="28"/>
        </w:rPr>
        <w:t>4．其他垃圾处理。</w:t>
      </w:r>
      <w:r>
        <w:rPr>
          <w:rFonts w:hint="eastAsia" w:ascii="宋体" w:hAnsi="宋体" w:cs="宋体"/>
          <w:color w:val="000000" w:themeColor="text1"/>
          <w:sz w:val="28"/>
          <w:szCs w:val="28"/>
        </w:rPr>
        <w:t>根据《湖南省“十三五”城镇生活垃圾无害化处理设施建设规划》，设市城市实现原生生活垃圾“零填埋”，设市城市生活垃圾焚烧处理能力占无害化处理总能力的比例达到50%以上。按照湘潭市建设“伟人故里，大美湘潭”，以创建国家文明城市为目标，针对湘潭市地域条件、垃圾成分等因素，规划建议湘潭城区的生活垃圾将采用焚烧处理技术。规划湘潭城区分类后的其他垃圾全部进入规划生活垃圾焚烧厂处理。</w:t>
      </w:r>
    </w:p>
    <w:p w14:paraId="6E894CC0">
      <w:pPr>
        <w:pStyle w:val="4"/>
        <w:numPr>
          <w:ilvl w:val="0"/>
          <w:numId w:val="0"/>
        </w:numPr>
        <w:spacing w:before="240" w:after="156" w:line="560" w:lineRule="exact"/>
        <w:ind w:left="482"/>
        <w:rPr>
          <w:rFonts w:cs="宋体"/>
          <w:color w:val="000000" w:themeColor="text1"/>
          <w:sz w:val="28"/>
          <w:szCs w:val="28"/>
          <w:lang w:eastAsia="zh-CN"/>
        </w:rPr>
      </w:pPr>
      <w:bookmarkStart w:id="111" w:name="_Toc23162"/>
      <w:r>
        <w:rPr>
          <w:rFonts w:hint="eastAsia" w:cs="宋体"/>
          <w:color w:val="000000" w:themeColor="text1"/>
          <w:sz w:val="28"/>
          <w:szCs w:val="28"/>
          <w:lang w:eastAsia="zh-CN"/>
        </w:rPr>
        <w:t>四、生活垃圾分类收运处理设施</w:t>
      </w:r>
      <w:bookmarkEnd w:id="111"/>
    </w:p>
    <w:p w14:paraId="78F546A0">
      <w:pPr>
        <w:spacing w:line="560" w:lineRule="exact"/>
        <w:rPr>
          <w:rFonts w:ascii="宋体" w:hAnsi="宋体" w:cs="宋体"/>
          <w:color w:val="000000" w:themeColor="text1"/>
          <w:sz w:val="28"/>
          <w:szCs w:val="28"/>
        </w:rPr>
      </w:pPr>
      <w:r>
        <w:rPr>
          <w:rFonts w:hint="eastAsia" w:ascii="宋体" w:hAnsi="宋体" w:cs="宋体"/>
          <w:b/>
          <w:bCs/>
          <w:color w:val="000000" w:themeColor="text1"/>
          <w:sz w:val="28"/>
          <w:szCs w:val="28"/>
        </w:rPr>
        <w:t>　　1．分类收集桶。</w:t>
      </w:r>
      <w:r>
        <w:rPr>
          <w:rFonts w:hint="eastAsia" w:ascii="宋体" w:hAnsi="宋体" w:cs="宋体"/>
          <w:color w:val="000000" w:themeColor="text1"/>
          <w:sz w:val="28"/>
          <w:szCs w:val="28"/>
        </w:rPr>
        <w:t>居住区域、公共区域设置分类收集桶。</w:t>
      </w:r>
    </w:p>
    <w:p w14:paraId="3CAD71FA">
      <w:pPr>
        <w:spacing w:line="560" w:lineRule="exact"/>
        <w:rPr>
          <w:rFonts w:ascii="宋体" w:hAnsi="宋体" w:cs="宋体"/>
          <w:color w:val="000000" w:themeColor="text1"/>
          <w:sz w:val="28"/>
          <w:szCs w:val="28"/>
        </w:rPr>
      </w:pPr>
      <w:r>
        <w:rPr>
          <w:rFonts w:hint="eastAsia" w:ascii="宋体" w:hAnsi="宋体" w:cs="宋体"/>
          <w:b/>
          <w:bCs/>
          <w:color w:val="000000" w:themeColor="text1"/>
          <w:sz w:val="28"/>
          <w:szCs w:val="28"/>
        </w:rPr>
        <w:t>　　2．分类收集房（站、亭、点）。</w:t>
      </w:r>
      <w:r>
        <w:rPr>
          <w:rFonts w:hint="eastAsia" w:ascii="宋体" w:hAnsi="宋体" w:cs="宋体"/>
          <w:color w:val="000000" w:themeColor="text1"/>
          <w:sz w:val="28"/>
          <w:szCs w:val="28"/>
        </w:rPr>
        <w:t>作为居住小区、企事业单位、公共区域、景区必备的配套市政公用设施，用于对垃圾收集容器进行保洁、暂存可回收物、有害垃圾等，并实现“再生资源和垃圾回收”的两网协同，一般应在住宅建设之前提前建设和移交，无法提前建设的也应在现场或相关约定中予以标识和说明。</w:t>
      </w:r>
    </w:p>
    <w:p w14:paraId="78B58097">
      <w:pPr>
        <w:spacing w:line="560" w:lineRule="exact"/>
        <w:rPr>
          <w:rFonts w:ascii="宋体" w:hAnsi="宋体" w:cs="宋体"/>
          <w:color w:val="000000" w:themeColor="text1"/>
          <w:sz w:val="28"/>
          <w:szCs w:val="28"/>
        </w:rPr>
      </w:pPr>
      <w:r>
        <w:rPr>
          <w:rFonts w:hint="eastAsia" w:ascii="宋体" w:hAnsi="宋体" w:cs="宋体"/>
          <w:b/>
          <w:bCs/>
          <w:color w:val="000000" w:themeColor="text1"/>
          <w:sz w:val="28"/>
          <w:szCs w:val="28"/>
        </w:rPr>
        <w:t>　　3．生活垃圾转运站。</w:t>
      </w:r>
      <w:r>
        <w:rPr>
          <w:rFonts w:hint="eastAsia" w:ascii="宋体" w:hAnsi="宋体" w:cs="宋体"/>
          <w:color w:val="000000" w:themeColor="text1"/>
          <w:sz w:val="28"/>
          <w:szCs w:val="28"/>
        </w:rPr>
        <w:t>湘潭城区今后将实现规模化转运，规划共建设大中型垃圾转运站计2座。其中，河东生活垃圾转运站（综合功能），规模约1000t/d；河西生活垃圾转运站（综合功能），规模约500t/d。</w:t>
      </w:r>
    </w:p>
    <w:p w14:paraId="4681A9C9">
      <w:pPr>
        <w:spacing w:line="560" w:lineRule="exact"/>
        <w:rPr>
          <w:rFonts w:ascii="宋体" w:hAnsi="宋体" w:cs="宋体"/>
          <w:color w:val="000000" w:themeColor="text1"/>
          <w:sz w:val="28"/>
          <w:szCs w:val="28"/>
        </w:rPr>
      </w:pPr>
      <w:r>
        <w:rPr>
          <w:rFonts w:hint="eastAsia" w:ascii="宋体" w:hAnsi="宋体" w:cs="宋体"/>
          <w:b/>
          <w:bCs/>
          <w:color w:val="000000" w:themeColor="text1"/>
          <w:sz w:val="28"/>
          <w:szCs w:val="28"/>
        </w:rPr>
        <w:t>　　4．可回收物分拣中心。</w:t>
      </w:r>
      <w:r>
        <w:rPr>
          <w:rFonts w:hint="eastAsia" w:ascii="宋体" w:hAnsi="宋体" w:cs="宋体"/>
          <w:color w:val="000000" w:themeColor="text1"/>
          <w:sz w:val="28"/>
          <w:szCs w:val="28"/>
        </w:rPr>
        <w:t>规划建设5座可回收物分拣中心（含大件垃圾拆解），</w:t>
      </w:r>
      <w:r>
        <w:rPr>
          <w:rFonts w:hint="eastAsia" w:ascii="宋体" w:hAnsi="宋体" w:cs="宋体"/>
          <w:color w:val="000000" w:themeColor="text1"/>
          <w:sz w:val="28"/>
          <w:szCs w:val="28"/>
          <w:lang w:val="zh-CN"/>
        </w:rPr>
        <w:t>雨湖区、岳塘区、湘潭经开区、湘潭高新区、</w:t>
      </w:r>
      <w:r>
        <w:rPr>
          <w:rFonts w:hint="eastAsia" w:ascii="宋体" w:hAnsi="宋体" w:cs="宋体"/>
          <w:color w:val="000000" w:themeColor="text1"/>
          <w:sz w:val="28"/>
          <w:szCs w:val="28"/>
        </w:rPr>
        <w:t>昭山示范区每个区各1座，其中</w:t>
      </w:r>
      <w:r>
        <w:rPr>
          <w:rFonts w:hint="eastAsia" w:ascii="宋体" w:hAnsi="宋体" w:cs="宋体"/>
          <w:color w:val="000000" w:themeColor="text1"/>
          <w:sz w:val="28"/>
          <w:szCs w:val="28"/>
          <w:lang w:val="zh-CN"/>
        </w:rPr>
        <w:t>雨湖区、湘潭高新区</w:t>
      </w:r>
      <w:r>
        <w:rPr>
          <w:rFonts w:hint="eastAsia" w:ascii="宋体" w:hAnsi="宋体" w:cs="宋体"/>
          <w:color w:val="000000" w:themeColor="text1"/>
          <w:sz w:val="28"/>
          <w:szCs w:val="28"/>
        </w:rPr>
        <w:t>可结合新建的生活垃圾转运站一并考虑。</w:t>
      </w:r>
    </w:p>
    <w:p w14:paraId="42768954">
      <w:pPr>
        <w:spacing w:line="560" w:lineRule="exact"/>
        <w:rPr>
          <w:rFonts w:ascii="宋体" w:hAnsi="宋体" w:cs="宋体"/>
          <w:color w:val="000000" w:themeColor="text1"/>
          <w:sz w:val="28"/>
          <w:szCs w:val="28"/>
        </w:rPr>
      </w:pPr>
      <w:r>
        <w:rPr>
          <w:rFonts w:hint="eastAsia" w:ascii="宋体" w:hAnsi="宋体" w:cs="宋体"/>
          <w:b/>
          <w:bCs/>
          <w:color w:val="000000" w:themeColor="text1"/>
          <w:sz w:val="28"/>
          <w:szCs w:val="28"/>
        </w:rPr>
        <w:t>　　5．有害垃圾暂存点。</w:t>
      </w:r>
      <w:r>
        <w:rPr>
          <w:rFonts w:hint="eastAsia" w:ascii="宋体" w:hAnsi="宋体" w:cs="宋体"/>
          <w:color w:val="000000" w:themeColor="text1"/>
          <w:sz w:val="28"/>
          <w:szCs w:val="28"/>
        </w:rPr>
        <w:t>规划建设5座有害垃圾暂存点，</w:t>
      </w:r>
      <w:r>
        <w:rPr>
          <w:rFonts w:hint="eastAsia" w:ascii="宋体" w:hAnsi="宋体" w:cs="宋体"/>
          <w:color w:val="000000" w:themeColor="text1"/>
          <w:sz w:val="28"/>
          <w:szCs w:val="28"/>
          <w:lang w:val="zh-CN"/>
        </w:rPr>
        <w:t>雨湖区、岳塘区、湘潭经开区、湘潭高新区、</w:t>
      </w:r>
      <w:r>
        <w:rPr>
          <w:rFonts w:hint="eastAsia" w:ascii="宋体" w:hAnsi="宋体" w:cs="宋体"/>
          <w:color w:val="000000" w:themeColor="text1"/>
          <w:sz w:val="28"/>
          <w:szCs w:val="28"/>
        </w:rPr>
        <w:t>昭山示范区每个区各1座，与可回收物分拣中心一并设置。</w:t>
      </w:r>
    </w:p>
    <w:p w14:paraId="2DDC8099">
      <w:pPr>
        <w:spacing w:line="560" w:lineRule="exact"/>
        <w:rPr>
          <w:rFonts w:ascii="宋体" w:hAnsi="宋体" w:cs="宋体"/>
          <w:color w:val="000000" w:themeColor="text1"/>
          <w:sz w:val="28"/>
          <w:szCs w:val="28"/>
        </w:rPr>
      </w:pPr>
      <w:r>
        <w:rPr>
          <w:rFonts w:hint="eastAsia" w:ascii="宋体" w:hAnsi="宋体" w:cs="宋体"/>
          <w:b/>
          <w:bCs/>
          <w:color w:val="000000" w:themeColor="text1"/>
          <w:sz w:val="28"/>
          <w:szCs w:val="28"/>
        </w:rPr>
        <w:t>　　6．厨余垃圾处理厂</w:t>
      </w:r>
      <w:r>
        <w:rPr>
          <w:rFonts w:hint="eastAsia" w:ascii="宋体" w:hAnsi="宋体" w:cs="宋体"/>
          <w:color w:val="000000" w:themeColor="text1"/>
          <w:sz w:val="28"/>
          <w:szCs w:val="28"/>
        </w:rPr>
        <w:t>。厨余垃圾处理规模近期达120吨/日；根据垃圾分类发展趋势和湘潭市厨余垃圾量预测，远期处理设施需求约370吨/日。规划厨余垃圾和餐厨垃圾处理厂合建，拟选址位于高新区双马垃圾填埋场旁。</w:t>
      </w:r>
    </w:p>
    <w:p w14:paraId="4584985A">
      <w:pPr>
        <w:widowControl/>
        <w:spacing w:line="560" w:lineRule="exact"/>
        <w:ind w:firstLine="562" w:firstLineChars="200"/>
        <w:jc w:val="left"/>
        <w:rPr>
          <w:rFonts w:ascii="宋体" w:hAnsi="宋体" w:cs="宋体"/>
          <w:color w:val="000000" w:themeColor="text1"/>
          <w:sz w:val="28"/>
          <w:szCs w:val="28"/>
        </w:rPr>
      </w:pPr>
      <w:r>
        <w:rPr>
          <w:rFonts w:hint="eastAsia" w:ascii="宋体" w:hAnsi="宋体" w:cs="宋体"/>
          <w:b/>
          <w:bCs/>
          <w:color w:val="000000" w:themeColor="text1"/>
          <w:sz w:val="28"/>
          <w:szCs w:val="28"/>
        </w:rPr>
        <w:t>7．生活垃圾焚烧厂。</w:t>
      </w:r>
      <w:r>
        <w:rPr>
          <w:rFonts w:hint="eastAsia" w:ascii="宋体" w:hAnsi="宋体" w:cs="宋体"/>
          <w:color w:val="000000" w:themeColor="text1"/>
          <w:sz w:val="28"/>
          <w:szCs w:val="28"/>
        </w:rPr>
        <w:t>新建湘潭市生活垃圾焚烧发电厂，规划处理规模为1800t/d，其中近期处理规模1200吨/日。根据《湘潭生活垃圾焚烧发电项目选址论证报告》，选址于湘潭县杨河工业园的河口镇宏兴村，占地150亩。湘潭县的上马垃圾填埋场作为焚烧厂配套设施，用于焚烧厂飞灰和炉渣的填埋，同时承担焚烧厂遇突发事件不能正常运转等应急情况下的生活垃圾处理任务。</w:t>
      </w:r>
    </w:p>
    <w:p w14:paraId="651520DC">
      <w:pPr>
        <w:pStyle w:val="3"/>
        <w:numPr>
          <w:ilvl w:val="0"/>
          <w:numId w:val="0"/>
        </w:numPr>
        <w:spacing w:before="156" w:after="156" w:line="560" w:lineRule="exact"/>
        <w:jc w:val="center"/>
        <w:rPr>
          <w:rFonts w:ascii="宋体" w:hAnsi="宋体" w:cs="宋体"/>
          <w:color w:val="000000" w:themeColor="text1"/>
          <w:sz w:val="30"/>
          <w:szCs w:val="30"/>
        </w:rPr>
      </w:pPr>
      <w:bookmarkStart w:id="112" w:name="_Toc50555225"/>
    </w:p>
    <w:p w14:paraId="2B6E58C6">
      <w:pPr>
        <w:pStyle w:val="3"/>
        <w:numPr>
          <w:ilvl w:val="0"/>
          <w:numId w:val="0"/>
        </w:numPr>
        <w:spacing w:before="156" w:after="156" w:line="560" w:lineRule="exact"/>
        <w:jc w:val="center"/>
        <w:rPr>
          <w:rFonts w:ascii="宋体" w:hAnsi="宋体" w:cs="宋体"/>
          <w:color w:val="000000" w:themeColor="text1"/>
        </w:rPr>
      </w:pPr>
      <w:bookmarkStart w:id="113" w:name="_Toc18572"/>
      <w:r>
        <w:rPr>
          <w:rFonts w:hint="eastAsia" w:ascii="宋体" w:hAnsi="宋体" w:cs="宋体"/>
          <w:color w:val="000000" w:themeColor="text1"/>
          <w:sz w:val="30"/>
          <w:szCs w:val="30"/>
        </w:rPr>
        <w:t>第二节  餐厨垃圾</w:t>
      </w:r>
      <w:bookmarkEnd w:id="112"/>
      <w:bookmarkStart w:id="114" w:name="_Toc50555228"/>
      <w:r>
        <w:rPr>
          <w:rFonts w:hint="eastAsia" w:ascii="宋体" w:hAnsi="宋体" w:cs="宋体"/>
          <w:color w:val="000000" w:themeColor="text1"/>
          <w:sz w:val="30"/>
          <w:szCs w:val="30"/>
        </w:rPr>
        <w:t>分类收运处理</w:t>
      </w:r>
      <w:bookmarkEnd w:id="113"/>
    </w:p>
    <w:p w14:paraId="3CFC7BE5">
      <w:pPr>
        <w:pStyle w:val="4"/>
        <w:numPr>
          <w:ilvl w:val="0"/>
          <w:numId w:val="0"/>
        </w:numPr>
        <w:spacing w:before="240" w:after="156" w:line="560" w:lineRule="exact"/>
        <w:ind w:left="482"/>
        <w:rPr>
          <w:rFonts w:cs="宋体"/>
          <w:color w:val="000000" w:themeColor="text1"/>
          <w:sz w:val="28"/>
          <w:szCs w:val="28"/>
          <w:lang w:eastAsia="zh-CN"/>
        </w:rPr>
      </w:pPr>
      <w:bookmarkStart w:id="115" w:name="_Toc32243"/>
      <w:r>
        <w:rPr>
          <w:rFonts w:hint="eastAsia" w:cs="宋体"/>
          <w:color w:val="000000" w:themeColor="text1"/>
          <w:sz w:val="28"/>
          <w:szCs w:val="28"/>
          <w:lang w:eastAsia="zh-CN"/>
        </w:rPr>
        <w:t>一、</w:t>
      </w:r>
      <w:bookmarkEnd w:id="114"/>
      <w:r>
        <w:rPr>
          <w:rFonts w:hint="eastAsia" w:cs="宋体"/>
          <w:color w:val="000000" w:themeColor="text1"/>
          <w:sz w:val="28"/>
          <w:szCs w:val="28"/>
          <w:lang w:eastAsia="zh-CN"/>
        </w:rPr>
        <w:t>管理机制与要求</w:t>
      </w:r>
      <w:bookmarkEnd w:id="115"/>
    </w:p>
    <w:p w14:paraId="3FCCE178">
      <w:pPr>
        <w:spacing w:line="560" w:lineRule="exact"/>
        <w:ind w:firstLine="480"/>
        <w:rPr>
          <w:rFonts w:ascii="宋体" w:hAnsi="宋体" w:cs="宋体"/>
          <w:color w:val="000000" w:themeColor="text1"/>
          <w:sz w:val="28"/>
          <w:szCs w:val="28"/>
        </w:rPr>
      </w:pPr>
      <w:r>
        <w:rPr>
          <w:rFonts w:hint="eastAsia" w:ascii="宋体" w:hAnsi="宋体" w:cs="宋体"/>
          <w:color w:val="000000" w:themeColor="text1"/>
          <w:sz w:val="28"/>
          <w:szCs w:val="28"/>
        </w:rPr>
        <w:t>全面构建完善餐厨垃圾源头申报、过程监控、联合整治的管理体系，建立规范的餐厨垃圾收运体系，利用科学、合理、先进的工艺技术和平台推进餐厨垃圾、地沟油终端处理，实现餐厨垃圾和地沟油收集、转运、处理规范化。加快餐厨垃圾处理中心建设。至2025年，湘潭市区餐厨垃圾无害化处理率达到95%以上，其中集中处理率达70%。建立规范的就地就近和集中处理设施监管运行制度，实现岳塘区、雨湖区餐厨垃圾收集全覆盖。</w:t>
      </w:r>
      <w:bookmarkStart w:id="116" w:name="_Toc50555229"/>
    </w:p>
    <w:p w14:paraId="64800A50">
      <w:pPr>
        <w:pStyle w:val="4"/>
        <w:numPr>
          <w:ilvl w:val="0"/>
          <w:numId w:val="0"/>
        </w:numPr>
        <w:spacing w:before="240" w:after="156" w:line="560" w:lineRule="exact"/>
        <w:ind w:left="482"/>
        <w:rPr>
          <w:rFonts w:cs="宋体"/>
          <w:color w:val="000000" w:themeColor="text1"/>
          <w:sz w:val="28"/>
          <w:szCs w:val="28"/>
          <w:lang w:eastAsia="zh-CN"/>
        </w:rPr>
      </w:pPr>
      <w:bookmarkStart w:id="117" w:name="_Toc18201"/>
      <w:r>
        <w:rPr>
          <w:rFonts w:hint="eastAsia" w:cs="宋体"/>
          <w:color w:val="000000" w:themeColor="text1"/>
          <w:sz w:val="28"/>
          <w:szCs w:val="28"/>
          <w:lang w:eastAsia="zh-CN"/>
        </w:rPr>
        <w:t>二、餐厨垃圾收运</w:t>
      </w:r>
      <w:bookmarkEnd w:id="116"/>
      <w:bookmarkEnd w:id="117"/>
    </w:p>
    <w:p w14:paraId="34C035DB">
      <w:pPr>
        <w:spacing w:line="560" w:lineRule="exact"/>
        <w:ind w:firstLine="480"/>
        <w:rPr>
          <w:rFonts w:ascii="宋体" w:hAnsi="宋体" w:cs="宋体"/>
          <w:color w:val="000000" w:themeColor="text1"/>
          <w:sz w:val="28"/>
          <w:szCs w:val="28"/>
        </w:rPr>
      </w:pPr>
      <w:r>
        <w:rPr>
          <w:rFonts w:hint="eastAsia" w:ascii="宋体" w:hAnsi="宋体" w:cs="宋体"/>
          <w:color w:val="000000" w:themeColor="text1"/>
          <w:sz w:val="28"/>
          <w:szCs w:val="28"/>
        </w:rPr>
        <w:t>结合处理模式，采用集中处理方式的区域，基于提高餐厨垃圾收运处理效率、便于监管的角度考虑，规划建议湘潭市采用</w:t>
      </w:r>
      <w:r>
        <w:rPr>
          <w:rFonts w:hint="eastAsia" w:ascii="宋体" w:hAnsi="宋体" w:cs="宋体"/>
          <w:bCs/>
          <w:color w:val="000000" w:themeColor="text1"/>
          <w:sz w:val="28"/>
          <w:szCs w:val="28"/>
        </w:rPr>
        <w:t>收运处理一体化模式。</w:t>
      </w:r>
      <w:r>
        <w:rPr>
          <w:rFonts w:hint="eastAsia" w:ascii="宋体" w:hAnsi="宋体" w:cs="宋体"/>
          <w:color w:val="000000" w:themeColor="text1"/>
          <w:sz w:val="28"/>
          <w:szCs w:val="28"/>
        </w:rPr>
        <w:t>首先，各餐厨垃圾产生单位应对其产生的餐厨垃圾的种类、数量等进行申报，并与收运、处理企业签订合同。但食物残余和废弃食用油脂因其特性差异，收集设备、收集方式均有所差别。</w:t>
      </w:r>
    </w:p>
    <w:p w14:paraId="434D188A">
      <w:pPr>
        <w:spacing w:line="560" w:lineRule="exact"/>
        <w:ind w:firstLine="480"/>
        <w:rPr>
          <w:rFonts w:ascii="宋体" w:hAnsi="宋体" w:cs="宋体"/>
          <w:color w:val="000000" w:themeColor="text1"/>
          <w:sz w:val="28"/>
          <w:szCs w:val="28"/>
        </w:rPr>
      </w:pPr>
      <w:r>
        <w:rPr>
          <w:rFonts w:hint="eastAsia" w:ascii="宋体" w:hAnsi="宋体" w:cs="宋体"/>
          <w:b/>
          <w:bCs/>
          <w:color w:val="000000" w:themeColor="text1"/>
          <w:sz w:val="28"/>
          <w:szCs w:val="28"/>
        </w:rPr>
        <w:t>1．餐厨垃圾收运方式。</w:t>
      </w:r>
      <w:r>
        <w:rPr>
          <w:rFonts w:hint="eastAsia" w:ascii="宋体" w:hAnsi="宋体" w:cs="宋体"/>
          <w:color w:val="000000" w:themeColor="text1"/>
          <w:sz w:val="28"/>
          <w:szCs w:val="28"/>
        </w:rPr>
        <w:t>（1）食物残余收运。根据运行经验，餐厨垃圾运距在70km以下可采用直运方式。湘潭市城区范围不大，食物残余产生区域均符合直运条件。采用3～5t密闭收运车由餐饮企业、食堂等产生源直运至湘潭餐厨垃圾处理厂，其中3吨收运车适合道路狭窄沿街餐饮单位；5吨收运车适合道路宽敞、具有一定规模的沿街餐饮单位。鉴于食物残余收运时间段集中，收运时间紧迫，时间间隔要求严格，建议城区食物残余收运采用“桶等车”模式，即产生单位在收运车辆到达前，将收集桶</w:t>
      </w:r>
      <w:r>
        <w:rPr>
          <w:rFonts w:hint="eastAsia" w:ascii="宋体" w:hAnsi="宋体" w:cs="宋体"/>
          <w:color w:val="000000" w:themeColor="text1"/>
          <w:sz w:val="28"/>
          <w:szCs w:val="28"/>
          <w:lang w:eastAsia="zh-CN"/>
        </w:rPr>
        <w:t>摆</w:t>
      </w:r>
      <w:r>
        <w:rPr>
          <w:rFonts w:hint="eastAsia" w:ascii="宋体" w:hAnsi="宋体" w:cs="宋体"/>
          <w:color w:val="000000" w:themeColor="text1"/>
          <w:sz w:val="28"/>
          <w:szCs w:val="28"/>
        </w:rPr>
        <w:t>放至指定地点；产生单位协助收运人员将食物残余从收集桶转移至专用收运车，收运单位须注重对食物残余收集过程的控制，严格控制每家餐饮单位的收集时间，最终通过直运方式运至餐厨垃圾处理厂。（2）废弃食用油脂收运。废弃食用油脂收运方式应根据收运量和运输距离确定，根据运输距离，可采用1吨车直运至餐厨垃圾处理厂。废弃食用油脂产生单位均应设置油水分离设施，对“地沟油”进行有效收集，通过上门收集的方式，由收运单位采用专用收集桶进行收集，再经废弃食用油脂收运车直运至处理厂。另外，煎炸油配置专用的收集容器，单独收集后交给收运单位。</w:t>
      </w:r>
    </w:p>
    <w:p w14:paraId="79A8F213">
      <w:pPr>
        <w:spacing w:line="560" w:lineRule="exact"/>
        <w:ind w:firstLine="562" w:firstLineChars="200"/>
        <w:rPr>
          <w:rFonts w:ascii="宋体" w:hAnsi="宋体" w:cs="宋体"/>
          <w:color w:val="000000" w:themeColor="text1"/>
          <w:sz w:val="28"/>
          <w:szCs w:val="28"/>
        </w:rPr>
      </w:pPr>
      <w:r>
        <w:rPr>
          <w:rFonts w:hint="eastAsia" w:ascii="宋体" w:hAnsi="宋体" w:cs="宋体"/>
          <w:b/>
          <w:bCs/>
          <w:color w:val="000000" w:themeColor="text1"/>
          <w:sz w:val="28"/>
          <w:szCs w:val="28"/>
        </w:rPr>
        <w:t>2.收集容器及收运设施。</w:t>
      </w:r>
      <w:r>
        <w:rPr>
          <w:rFonts w:hint="eastAsia" w:ascii="宋体" w:hAnsi="宋体" w:cs="宋体"/>
          <w:color w:val="000000" w:themeColor="text1"/>
          <w:sz w:val="28"/>
          <w:szCs w:val="28"/>
        </w:rPr>
        <w:t>食物残余收集容器1530个，废弃食用油脂收集容器330个。食物残余收运车24辆，废弃食用油脂收运车13辆。</w:t>
      </w:r>
    </w:p>
    <w:p w14:paraId="1F83F387">
      <w:pPr>
        <w:pStyle w:val="4"/>
        <w:numPr>
          <w:ilvl w:val="0"/>
          <w:numId w:val="0"/>
        </w:numPr>
        <w:spacing w:before="240" w:after="156" w:line="560" w:lineRule="exact"/>
        <w:ind w:firstLine="562" w:firstLineChars="200"/>
        <w:rPr>
          <w:rFonts w:cs="宋体"/>
          <w:color w:val="000000" w:themeColor="text1"/>
          <w:sz w:val="28"/>
          <w:szCs w:val="28"/>
          <w:lang w:eastAsia="zh-CN"/>
        </w:rPr>
      </w:pPr>
      <w:bookmarkStart w:id="118" w:name="_Toc14086"/>
      <w:r>
        <w:rPr>
          <w:rFonts w:hint="eastAsia" w:cs="宋体"/>
          <w:color w:val="000000" w:themeColor="text1"/>
          <w:sz w:val="28"/>
          <w:szCs w:val="28"/>
          <w:lang w:eastAsia="zh-CN"/>
        </w:rPr>
        <w:t>三、餐厨垃圾处理</w:t>
      </w:r>
      <w:bookmarkEnd w:id="118"/>
    </w:p>
    <w:p w14:paraId="0F565E05">
      <w:pPr>
        <w:spacing w:line="560" w:lineRule="exact"/>
        <w:ind w:firstLine="560" w:firstLineChars="200"/>
        <w:rPr>
          <w:rFonts w:ascii="宋体" w:hAnsi="宋体" w:cs="宋体"/>
          <w:color w:val="000000" w:themeColor="text1"/>
          <w:sz w:val="28"/>
          <w:szCs w:val="28"/>
        </w:rPr>
      </w:pPr>
      <w:r>
        <w:rPr>
          <w:rFonts w:hint="eastAsia" w:ascii="宋体" w:hAnsi="宋体" w:cs="宋体"/>
          <w:color w:val="000000" w:themeColor="text1"/>
          <w:sz w:val="28"/>
          <w:szCs w:val="28"/>
        </w:rPr>
        <w:t>新建湘潭市餐厨垃圾处理中心，同家庭厨余垃圾、粪渣处理设施合建，总处理规模350吨/日，其中废弃油脂30吨/日、餐厨垃圾150吨/日、厨余垃圾120吨/日、粪渣50吨/日，服务范围为湘潭市区和湘潭县城区，规划选址在双马填埋场旁。远期随着处理量增加，适时增加处理能力，其中为市区预留100吨/日的餐厨垃圾扩建能力。</w:t>
      </w:r>
    </w:p>
    <w:p w14:paraId="544469F2">
      <w:pPr>
        <w:pStyle w:val="3"/>
        <w:numPr>
          <w:ilvl w:val="0"/>
          <w:numId w:val="0"/>
        </w:numPr>
        <w:spacing w:before="156" w:after="156" w:line="560" w:lineRule="exact"/>
        <w:jc w:val="center"/>
        <w:rPr>
          <w:rFonts w:ascii="宋体" w:hAnsi="宋体" w:cs="宋体"/>
          <w:color w:val="000000" w:themeColor="text1"/>
          <w:sz w:val="30"/>
          <w:szCs w:val="30"/>
        </w:rPr>
      </w:pPr>
      <w:bookmarkStart w:id="119" w:name="_Toc50555232"/>
    </w:p>
    <w:p w14:paraId="37FEBD63">
      <w:pPr>
        <w:pStyle w:val="3"/>
        <w:numPr>
          <w:ilvl w:val="0"/>
          <w:numId w:val="0"/>
        </w:numPr>
        <w:spacing w:before="156" w:after="156" w:line="560" w:lineRule="exact"/>
        <w:jc w:val="center"/>
        <w:rPr>
          <w:rFonts w:ascii="宋体" w:hAnsi="宋体" w:cs="宋体"/>
          <w:color w:val="000000" w:themeColor="text1"/>
          <w:sz w:val="30"/>
          <w:szCs w:val="30"/>
        </w:rPr>
      </w:pPr>
      <w:bookmarkStart w:id="120" w:name="_Toc11988"/>
      <w:r>
        <w:rPr>
          <w:rFonts w:hint="eastAsia" w:ascii="宋体" w:hAnsi="宋体" w:cs="宋体"/>
          <w:color w:val="000000" w:themeColor="text1"/>
          <w:sz w:val="30"/>
          <w:szCs w:val="30"/>
        </w:rPr>
        <w:t>第三节  建筑垃圾</w:t>
      </w:r>
      <w:bookmarkEnd w:id="119"/>
      <w:r>
        <w:rPr>
          <w:rFonts w:hint="eastAsia" w:ascii="宋体" w:hAnsi="宋体" w:cs="宋体"/>
          <w:color w:val="000000" w:themeColor="text1"/>
          <w:sz w:val="30"/>
          <w:szCs w:val="30"/>
        </w:rPr>
        <w:t>分类收运处理</w:t>
      </w:r>
      <w:bookmarkEnd w:id="120"/>
    </w:p>
    <w:p w14:paraId="40EFC2AB">
      <w:pPr>
        <w:pStyle w:val="4"/>
        <w:numPr>
          <w:ilvl w:val="0"/>
          <w:numId w:val="0"/>
        </w:numPr>
        <w:spacing w:before="240" w:after="156" w:line="560" w:lineRule="exact"/>
        <w:ind w:firstLine="562" w:firstLineChars="200"/>
        <w:rPr>
          <w:rFonts w:cs="宋体"/>
          <w:color w:val="000000" w:themeColor="text1"/>
          <w:sz w:val="28"/>
          <w:szCs w:val="28"/>
          <w:lang w:eastAsia="zh-CN"/>
        </w:rPr>
      </w:pPr>
      <w:bookmarkStart w:id="121" w:name="_Toc13213"/>
      <w:r>
        <w:rPr>
          <w:rFonts w:hint="eastAsia" w:cs="宋体"/>
          <w:color w:val="000000" w:themeColor="text1"/>
          <w:sz w:val="28"/>
          <w:szCs w:val="28"/>
          <w:lang w:eastAsia="zh-CN"/>
        </w:rPr>
        <w:t>一、管理机制与要求</w:t>
      </w:r>
      <w:bookmarkEnd w:id="121"/>
    </w:p>
    <w:p w14:paraId="10437A53">
      <w:pPr>
        <w:spacing w:line="560" w:lineRule="exact"/>
        <w:ind w:firstLine="560" w:firstLineChars="200"/>
        <w:rPr>
          <w:rFonts w:ascii="宋体" w:hAnsi="宋体" w:cs="宋体"/>
          <w:color w:val="000000" w:themeColor="text1"/>
          <w:sz w:val="28"/>
          <w:szCs w:val="28"/>
        </w:rPr>
      </w:pPr>
      <w:r>
        <w:rPr>
          <w:rFonts w:hint="eastAsia" w:ascii="宋体" w:hAnsi="宋体" w:cs="宋体"/>
          <w:color w:val="000000" w:themeColor="text1"/>
          <w:sz w:val="28"/>
          <w:szCs w:val="28"/>
        </w:rPr>
        <w:t>建立建筑垃圾源头到处置的全过程管理体系，加强源头分类和信息化管理，建设转运调配和资源化处理设施，完善体制和制度建设，形成全社会共同参与的建筑垃圾长效管理机制。加快编制建筑垃圾资源化利用专项规划，纳入本级国土空间总体规划实施监管。加快建筑垃圾立法，将源头减量纳入施工图审查、绿色施工等评价体系，推动再生产品列入绿色建材和政府采购目录。加快推进建筑垃圾管理和资源化利用示范工作，构建建筑领域废弃物物资循环利用体系。至2021年底城区建筑垃圾资源化利用率达到35%。至2025年，建筑垃圾资源化利用率达70%以上；至2035年，建筑垃圾资源化利用率达80%以上。</w:t>
      </w:r>
    </w:p>
    <w:p w14:paraId="4B03A009">
      <w:pPr>
        <w:pStyle w:val="4"/>
        <w:numPr>
          <w:ilvl w:val="0"/>
          <w:numId w:val="0"/>
        </w:numPr>
        <w:spacing w:before="240" w:after="156" w:line="560" w:lineRule="exact"/>
        <w:ind w:firstLine="562" w:firstLineChars="200"/>
        <w:rPr>
          <w:rFonts w:cs="宋体"/>
          <w:color w:val="000000" w:themeColor="text1"/>
          <w:sz w:val="28"/>
          <w:szCs w:val="28"/>
          <w:lang w:eastAsia="zh-CN"/>
        </w:rPr>
      </w:pPr>
      <w:bookmarkStart w:id="122" w:name="_Toc22487"/>
      <w:r>
        <w:rPr>
          <w:rFonts w:hint="eastAsia" w:cs="宋体"/>
          <w:color w:val="000000" w:themeColor="text1"/>
          <w:sz w:val="28"/>
          <w:szCs w:val="28"/>
          <w:lang w:eastAsia="zh-CN"/>
        </w:rPr>
        <w:t>二、建筑垃圾收运</w:t>
      </w:r>
      <w:bookmarkEnd w:id="122"/>
    </w:p>
    <w:p w14:paraId="69264F26">
      <w:pPr>
        <w:spacing w:line="560" w:lineRule="exact"/>
        <w:ind w:firstLine="562" w:firstLineChars="200"/>
        <w:rPr>
          <w:rFonts w:ascii="宋体" w:hAnsi="宋体" w:cs="宋体"/>
          <w:color w:val="000000" w:themeColor="text1"/>
          <w:sz w:val="28"/>
          <w:szCs w:val="28"/>
        </w:rPr>
      </w:pPr>
      <w:r>
        <w:rPr>
          <w:rFonts w:hint="eastAsia" w:ascii="宋体" w:hAnsi="宋体" w:cs="宋体"/>
          <w:b/>
          <w:bCs/>
          <w:color w:val="000000" w:themeColor="text1"/>
          <w:sz w:val="28"/>
          <w:szCs w:val="28"/>
        </w:rPr>
        <w:t>1. 工程渣土、工程垃圾和拆除垃圾收运。</w:t>
      </w:r>
      <w:r>
        <w:rPr>
          <w:rFonts w:hint="eastAsia" w:ascii="宋体" w:hAnsi="宋体" w:cs="宋体"/>
          <w:color w:val="000000" w:themeColor="text1"/>
          <w:sz w:val="28"/>
          <w:szCs w:val="28"/>
        </w:rPr>
        <w:t>行政许可阶段：产生单位和个人到建筑垃圾管理部门办理行政处置许可手续，提交工程相关信息，确定承运单位、运输时间，管理部门核算渣土产生量，给予行政许可。施工阶段：所有工程必须做到封闭施工和降尘施工，施工出入口应当硬化，设立车辆冲洗设备和沉淀池，严禁在车行道上堆放施工材料和建筑垃圾。工地开工后，工程渣土、工程垃圾、拆除垃圾按照管理要求分类堆放。工地按照视频监控，同时执法部门不定期的到工地进行巡查，若有建筑垃圾管理违法违规行为，将情况抄送住建部门，作为文明工地考评、企业诚信记录及现场安全文明施工措施费等考评的内容。运输阶段：工程渣土、工程垃圾、拆除垃圾产生后，由指定的承运单位进场进行清运。建筑垃圾运输车辆的行驶路线和时间，由公安交通管理部门确定，并告知运输单位。运输建筑垃圾的过程中，应当随车携带《建筑垃圾处置证》，并保持箱体完好，采取密闭措施。执法部门严厉查处无证运输车辆及运输车辆带泥行驶、抛洒滴漏等行为。实行运输企业、运输车辆年审制，严格审查企业车辆数量、车辆密闭性和管理情况。处置阶段：工程渣土、工程垃圾、拆迁废料必须清运至指定的处置场所进行资源化利用或最终处置。执法部门建立完善日常巡查机制，查处无证处置建筑垃圾行为。处置场所安装视频设备，通过建筑垃圾信息管理系统对进出车辆和处置场运行情况进行监管。</w:t>
      </w:r>
    </w:p>
    <w:p w14:paraId="50901166">
      <w:pPr>
        <w:spacing w:line="560" w:lineRule="exact"/>
        <w:ind w:firstLine="562" w:firstLineChars="200"/>
        <w:rPr>
          <w:rFonts w:ascii="宋体" w:hAnsi="宋体" w:cs="宋体"/>
          <w:color w:val="000000" w:themeColor="text1"/>
          <w:sz w:val="28"/>
          <w:szCs w:val="28"/>
        </w:rPr>
      </w:pPr>
      <w:r>
        <w:rPr>
          <w:rFonts w:hint="eastAsia" w:ascii="宋体" w:hAnsi="宋体" w:cs="宋体"/>
          <w:b/>
          <w:bCs/>
          <w:color w:val="000000" w:themeColor="text1"/>
          <w:sz w:val="28"/>
          <w:szCs w:val="28"/>
        </w:rPr>
        <w:t>２.装修垃圾收运。</w:t>
      </w:r>
      <w:r>
        <w:rPr>
          <w:rFonts w:hint="eastAsia" w:ascii="宋体" w:hAnsi="宋体" w:cs="宋体"/>
          <w:color w:val="000000" w:themeColor="text1"/>
          <w:sz w:val="28"/>
          <w:szCs w:val="28"/>
        </w:rPr>
        <w:t>施工阶段：居住区内设置装修垃圾集中收集点，商场、企业在内部划出区域作为临时堆放场地，产生的装修垃圾需进行分类、袋装，堆放于集中收集场地。运输阶段：产生单位或物业公司先进行申请或委托，再由环卫部门或者有资质的运输企业至装修垃圾收集点进行收集，运至建筑垃圾转运调配场。在转运调配场进行细分类后，由环卫部门或作业公司运至各类处置场所。主管部门同时对作业公司的运输车辆进行审查和对运输路线监管。处置阶段：装修垃圾分类清运至指定的处置场所进行资源化利用或最终处置。处置场所安装视频设备，通过建筑垃圾信息管理系统对进出车辆和处置场运行情况进行监管。</w:t>
      </w:r>
    </w:p>
    <w:p w14:paraId="2603419D">
      <w:pPr>
        <w:pStyle w:val="4"/>
        <w:numPr>
          <w:ilvl w:val="0"/>
          <w:numId w:val="0"/>
        </w:numPr>
        <w:spacing w:before="240" w:after="156" w:line="560" w:lineRule="exact"/>
        <w:ind w:firstLine="562" w:firstLineChars="200"/>
        <w:rPr>
          <w:rFonts w:cs="宋体"/>
          <w:color w:val="000000" w:themeColor="text1"/>
          <w:sz w:val="28"/>
          <w:szCs w:val="28"/>
          <w:lang w:eastAsia="zh-CN"/>
        </w:rPr>
      </w:pPr>
      <w:bookmarkStart w:id="123" w:name="_Toc11740"/>
      <w:r>
        <w:rPr>
          <w:rFonts w:hint="eastAsia" w:cs="宋体"/>
          <w:color w:val="000000" w:themeColor="text1"/>
          <w:sz w:val="28"/>
          <w:szCs w:val="28"/>
          <w:lang w:eastAsia="zh-CN"/>
        </w:rPr>
        <w:t>三、建筑垃圾处置</w:t>
      </w:r>
      <w:bookmarkEnd w:id="123"/>
    </w:p>
    <w:p w14:paraId="79F750AA">
      <w:pPr>
        <w:spacing w:line="560" w:lineRule="exact"/>
        <w:ind w:firstLine="640"/>
        <w:rPr>
          <w:rFonts w:ascii="宋体" w:hAnsi="宋体" w:cs="宋体"/>
          <w:color w:val="000000" w:themeColor="text1"/>
          <w:sz w:val="28"/>
          <w:szCs w:val="28"/>
        </w:rPr>
      </w:pPr>
      <w:r>
        <w:rPr>
          <w:rFonts w:hint="eastAsia" w:ascii="宋体" w:hAnsi="宋体" w:cs="宋体"/>
          <w:color w:val="000000" w:themeColor="text1"/>
          <w:sz w:val="28"/>
          <w:szCs w:val="28"/>
        </w:rPr>
        <w:t>湘潭市建筑垃圾规划采用“源头分类+综合利用+填埋处置”的方案，实现资源化利用。</w:t>
      </w:r>
    </w:p>
    <w:p w14:paraId="1916C218">
      <w:pPr>
        <w:numPr>
          <w:ilvl w:val="0"/>
          <w:numId w:val="3"/>
        </w:numPr>
        <w:spacing w:line="560" w:lineRule="exact"/>
        <w:ind w:firstLine="562" w:firstLineChars="200"/>
        <w:rPr>
          <w:rFonts w:ascii="宋体" w:hAnsi="宋体" w:cs="宋体"/>
          <w:color w:val="000000" w:themeColor="text1"/>
          <w:sz w:val="28"/>
          <w:szCs w:val="28"/>
        </w:rPr>
      </w:pPr>
      <w:r>
        <w:rPr>
          <w:rFonts w:hint="eastAsia" w:ascii="宋体" w:hAnsi="宋体" w:cs="宋体"/>
          <w:b/>
          <w:bCs/>
          <w:color w:val="000000" w:themeColor="text1"/>
          <w:sz w:val="28"/>
          <w:szCs w:val="28"/>
        </w:rPr>
        <w:t>源头分类。</w:t>
      </w:r>
      <w:r>
        <w:rPr>
          <w:rFonts w:hint="eastAsia" w:ascii="宋体" w:hAnsi="宋体" w:cs="宋体"/>
          <w:color w:val="000000" w:themeColor="text1"/>
          <w:sz w:val="28"/>
          <w:szCs w:val="28"/>
        </w:rPr>
        <w:t>建立规范的分类收集、分区堆放、分类处置系统，逐步在施工工地建立分类机制，建筑垃圾分为渣土、混凝土块、砖块碎石、木料、玻璃、金属、有毒有害物等，采用市场和行政调控相结合的方式对建筑垃圾进行综合利用，在源头减少建筑垃圾外运处置量，逐步建立高标准的建筑垃圾再利用体系。</w:t>
      </w:r>
    </w:p>
    <w:p w14:paraId="17933504">
      <w:pPr>
        <w:spacing w:line="560" w:lineRule="exact"/>
        <w:ind w:firstLine="562" w:firstLineChars="200"/>
        <w:rPr>
          <w:rFonts w:ascii="宋体" w:hAnsi="宋体" w:cs="宋体"/>
          <w:color w:val="000000" w:themeColor="text1"/>
          <w:sz w:val="28"/>
          <w:szCs w:val="28"/>
        </w:rPr>
      </w:pPr>
      <w:r>
        <w:rPr>
          <w:rFonts w:hint="eastAsia" w:ascii="宋体" w:hAnsi="宋体" w:cs="宋体"/>
          <w:b/>
          <w:bCs/>
          <w:color w:val="000000" w:themeColor="text1"/>
          <w:sz w:val="28"/>
          <w:szCs w:val="28"/>
        </w:rPr>
        <w:t>2．转运调配场。</w:t>
      </w:r>
      <w:r>
        <w:rPr>
          <w:rFonts w:hint="eastAsia" w:ascii="宋体" w:hAnsi="宋体" w:cs="宋体"/>
          <w:color w:val="000000" w:themeColor="text1"/>
          <w:sz w:val="28"/>
          <w:szCs w:val="28"/>
        </w:rPr>
        <w:t>规划城区共设置2处建筑垃圾转运调配场，分别选址湘潭经开区和岳塘区建设开发强度较高的附近区域，每座设计能力不小于500吨/日，用地面积不小于6000平方米。</w:t>
      </w:r>
    </w:p>
    <w:p w14:paraId="5B2E3567">
      <w:pPr>
        <w:spacing w:line="560" w:lineRule="exact"/>
        <w:ind w:firstLine="562" w:firstLineChars="200"/>
        <w:rPr>
          <w:rFonts w:ascii="宋体" w:hAnsi="宋体" w:cs="宋体"/>
          <w:color w:val="000000" w:themeColor="text1"/>
          <w:sz w:val="28"/>
          <w:szCs w:val="28"/>
        </w:rPr>
      </w:pPr>
      <w:r>
        <w:rPr>
          <w:rFonts w:hint="eastAsia" w:ascii="宋体" w:hAnsi="宋体" w:cs="宋体"/>
          <w:b/>
          <w:bCs/>
          <w:color w:val="000000" w:themeColor="text1"/>
          <w:sz w:val="28"/>
          <w:szCs w:val="28"/>
        </w:rPr>
        <w:t>3．建筑垃圾资源化利用厂。</w:t>
      </w:r>
      <w:r>
        <w:rPr>
          <w:rFonts w:hint="eastAsia" w:ascii="宋体" w:hAnsi="宋体" w:cs="宋体"/>
          <w:color w:val="000000" w:themeColor="text1"/>
          <w:sz w:val="28"/>
          <w:szCs w:val="28"/>
        </w:rPr>
        <w:t>考虑到目前建筑垃圾资源化利用设施服务对象仅针对拆房垃圾，对于工程垃圾、装修垃圾尚不能处理，因此规划新建2座建筑垃圾资源化利用厂，服务对象为工程垃圾、拆迁废料和装修垃圾，考虑到阶段性棚户区改造可能带来短期建筑垃圾量激增，建议在预测量基础上适当放大末端处理设施处理能力，规划全市建筑垃圾资源化利用厂总处理规模为250万吨/年。考虑到项目的自身特性，设施选址可结合工业用地进行布局。规划新建建筑垃圾资源化利用厂分别位于高新区双马垃圾场旁和经开区，其中高新区双马垃圾场旁的建筑垃圾资源化利用厂处理规模为100万吨/年。同时，鼓励各区域结合大型集中的拆违和旧改工地，以移动式处置装置就地直接破碎形成建材骨料进行利用。</w:t>
      </w:r>
    </w:p>
    <w:p w14:paraId="40F79D5C">
      <w:pPr>
        <w:spacing w:line="560" w:lineRule="exact"/>
        <w:ind w:firstLine="562" w:firstLineChars="200"/>
        <w:rPr>
          <w:rFonts w:ascii="宋体" w:hAnsi="宋体" w:cs="宋体"/>
          <w:color w:val="000000" w:themeColor="text1"/>
          <w:sz w:val="28"/>
          <w:szCs w:val="28"/>
        </w:rPr>
      </w:pPr>
      <w:r>
        <w:rPr>
          <w:rFonts w:hint="eastAsia" w:ascii="宋体" w:hAnsi="宋体" w:cs="宋体"/>
          <w:b/>
          <w:bCs/>
          <w:color w:val="000000" w:themeColor="text1"/>
          <w:sz w:val="28"/>
          <w:szCs w:val="28"/>
        </w:rPr>
        <w:t>4．建筑垃圾填埋场。</w:t>
      </w:r>
      <w:r>
        <w:rPr>
          <w:rFonts w:hint="eastAsia" w:ascii="宋体" w:hAnsi="宋体" w:cs="宋体"/>
          <w:color w:val="000000" w:themeColor="text1"/>
          <w:sz w:val="28"/>
          <w:szCs w:val="28"/>
        </w:rPr>
        <w:t>针对装修垃圾、工程垃圾和拆迁废料中无法利用的残渣部分，应建设建筑垃圾残渣填埋场，规划建议在新建的建筑垃圾资源化利用厂附近配套残渣填埋场。</w:t>
      </w:r>
    </w:p>
    <w:p w14:paraId="559A827C">
      <w:pPr>
        <w:pStyle w:val="3"/>
        <w:numPr>
          <w:ilvl w:val="0"/>
          <w:numId w:val="0"/>
        </w:numPr>
        <w:spacing w:before="156" w:after="156" w:line="560" w:lineRule="exact"/>
        <w:jc w:val="center"/>
        <w:rPr>
          <w:rFonts w:ascii="宋体" w:hAnsi="宋体" w:cs="宋体"/>
          <w:color w:val="000000" w:themeColor="text1"/>
          <w:sz w:val="30"/>
          <w:szCs w:val="30"/>
        </w:rPr>
      </w:pPr>
      <w:bookmarkStart w:id="124" w:name="_Toc50555238"/>
    </w:p>
    <w:p w14:paraId="585DB1A7">
      <w:pPr>
        <w:pStyle w:val="3"/>
        <w:numPr>
          <w:ilvl w:val="0"/>
          <w:numId w:val="0"/>
        </w:numPr>
        <w:spacing w:before="156" w:after="156" w:line="560" w:lineRule="exact"/>
        <w:jc w:val="center"/>
        <w:rPr>
          <w:rFonts w:ascii="宋体" w:hAnsi="宋体" w:cs="宋体"/>
          <w:color w:val="000000" w:themeColor="text1"/>
        </w:rPr>
      </w:pPr>
      <w:bookmarkStart w:id="125" w:name="_Toc5215"/>
      <w:r>
        <w:rPr>
          <w:rFonts w:hint="eastAsia" w:ascii="宋体" w:hAnsi="宋体" w:cs="宋体"/>
          <w:color w:val="000000" w:themeColor="text1"/>
          <w:sz w:val="30"/>
          <w:szCs w:val="30"/>
        </w:rPr>
        <w:t>第四节  园林绿化垃圾分类收运处理</w:t>
      </w:r>
      <w:bookmarkEnd w:id="124"/>
      <w:bookmarkEnd w:id="125"/>
      <w:bookmarkStart w:id="126" w:name="_Toc50555241"/>
    </w:p>
    <w:p w14:paraId="5668AF11">
      <w:pPr>
        <w:pStyle w:val="4"/>
        <w:numPr>
          <w:ilvl w:val="0"/>
          <w:numId w:val="0"/>
        </w:numPr>
        <w:spacing w:before="240" w:after="156" w:line="560" w:lineRule="exact"/>
        <w:ind w:left="482"/>
        <w:rPr>
          <w:rFonts w:cs="宋体"/>
          <w:color w:val="000000" w:themeColor="text1"/>
          <w:sz w:val="28"/>
          <w:szCs w:val="28"/>
          <w:lang w:eastAsia="zh-CN"/>
        </w:rPr>
      </w:pPr>
      <w:bookmarkStart w:id="127" w:name="_Toc21774"/>
      <w:r>
        <w:rPr>
          <w:rFonts w:hint="eastAsia" w:cs="宋体"/>
          <w:color w:val="000000" w:themeColor="text1"/>
          <w:sz w:val="28"/>
          <w:szCs w:val="28"/>
          <w:lang w:eastAsia="zh-CN"/>
        </w:rPr>
        <w:t>一、</w:t>
      </w:r>
      <w:bookmarkEnd w:id="126"/>
      <w:r>
        <w:rPr>
          <w:rFonts w:hint="eastAsia" w:cs="宋体"/>
          <w:color w:val="000000" w:themeColor="text1"/>
          <w:sz w:val="28"/>
          <w:szCs w:val="28"/>
          <w:lang w:eastAsia="zh-CN"/>
        </w:rPr>
        <w:t>处置要求</w:t>
      </w:r>
      <w:bookmarkEnd w:id="127"/>
    </w:p>
    <w:p w14:paraId="4AA80ED6">
      <w:pPr>
        <w:spacing w:line="560" w:lineRule="exact"/>
        <w:ind w:firstLine="480"/>
        <w:rPr>
          <w:rFonts w:ascii="宋体" w:hAnsi="宋体" w:cs="宋体"/>
          <w:color w:val="000000" w:themeColor="text1"/>
          <w:sz w:val="28"/>
          <w:szCs w:val="28"/>
        </w:rPr>
      </w:pPr>
      <w:r>
        <w:rPr>
          <w:rFonts w:hint="eastAsia" w:ascii="宋体" w:hAnsi="宋体" w:cs="宋体"/>
          <w:color w:val="000000" w:themeColor="text1"/>
          <w:sz w:val="28"/>
          <w:szCs w:val="28"/>
        </w:rPr>
        <w:t>至2025年，建立规范的园林绿化垃圾分类收运处理体系，逐步完善政策法规体系，城区园林绿化垃圾分类收运处理率达到85%以上。</w:t>
      </w:r>
      <w:bookmarkStart w:id="128" w:name="_Toc50555242"/>
    </w:p>
    <w:p w14:paraId="015F8D67">
      <w:pPr>
        <w:pStyle w:val="4"/>
        <w:numPr>
          <w:ilvl w:val="0"/>
          <w:numId w:val="0"/>
        </w:numPr>
        <w:spacing w:before="240" w:after="156" w:line="560" w:lineRule="exact"/>
        <w:ind w:left="482"/>
        <w:rPr>
          <w:rFonts w:cs="宋体"/>
          <w:color w:val="000000" w:themeColor="text1"/>
          <w:sz w:val="28"/>
          <w:szCs w:val="28"/>
          <w:lang w:eastAsia="zh-CN"/>
        </w:rPr>
      </w:pPr>
      <w:bookmarkStart w:id="129" w:name="_Toc27788"/>
      <w:r>
        <w:rPr>
          <w:rFonts w:hint="eastAsia" w:cs="宋体"/>
          <w:color w:val="000000" w:themeColor="text1"/>
          <w:sz w:val="28"/>
          <w:szCs w:val="28"/>
          <w:lang w:eastAsia="zh-CN"/>
        </w:rPr>
        <w:t>二、园林绿化垃圾收运</w:t>
      </w:r>
      <w:bookmarkEnd w:id="128"/>
      <w:bookmarkEnd w:id="129"/>
    </w:p>
    <w:p w14:paraId="5859B42E">
      <w:pPr>
        <w:spacing w:line="560" w:lineRule="exact"/>
        <w:ind w:firstLine="480"/>
        <w:rPr>
          <w:rFonts w:ascii="宋体" w:hAnsi="宋体" w:cs="宋体"/>
          <w:color w:val="000000" w:themeColor="text1"/>
          <w:sz w:val="28"/>
          <w:szCs w:val="28"/>
        </w:rPr>
      </w:pPr>
      <w:r>
        <w:rPr>
          <w:rFonts w:hint="eastAsia" w:ascii="宋体" w:hAnsi="宋体" w:cs="宋体"/>
          <w:color w:val="000000" w:themeColor="text1"/>
          <w:sz w:val="28"/>
          <w:szCs w:val="28"/>
        </w:rPr>
        <w:t>根据绿地类型，公园、防护、生产绿地可就地处置园林绿化垃圾，但是附属绿地产生的绿化垃圾，由于缺少相应的就地消纳场地，绿化垃圾的资源化利用需设置专门的资源化利用设施才能实现。一般在绿化垃圾的产生季节，绿化工人边修剪后续绿化垃圾收运车辆就会同步跟上装运绿化垃圾，运输至集中破碎厂进行粉碎处理后堆肥还林。</w:t>
      </w:r>
    </w:p>
    <w:p w14:paraId="20F044F2">
      <w:pPr>
        <w:pStyle w:val="4"/>
        <w:numPr>
          <w:ilvl w:val="0"/>
          <w:numId w:val="0"/>
        </w:numPr>
        <w:spacing w:before="240" w:after="156" w:line="560" w:lineRule="exact"/>
        <w:ind w:left="482"/>
        <w:rPr>
          <w:rFonts w:cs="宋体"/>
          <w:color w:val="000000" w:themeColor="text1"/>
          <w:sz w:val="28"/>
          <w:szCs w:val="28"/>
          <w:lang w:eastAsia="zh-CN"/>
        </w:rPr>
      </w:pPr>
      <w:bookmarkStart w:id="130" w:name="_Toc14056"/>
      <w:r>
        <w:rPr>
          <w:rFonts w:hint="eastAsia" w:cs="宋体"/>
          <w:color w:val="000000" w:themeColor="text1"/>
          <w:sz w:val="28"/>
          <w:szCs w:val="28"/>
          <w:lang w:eastAsia="zh-CN"/>
        </w:rPr>
        <w:t>三、园林绿化垃圾处理</w:t>
      </w:r>
      <w:bookmarkEnd w:id="130"/>
    </w:p>
    <w:p w14:paraId="636DD0D8">
      <w:pPr>
        <w:spacing w:line="560" w:lineRule="exact"/>
        <w:ind w:firstLine="480"/>
        <w:rPr>
          <w:rFonts w:ascii="宋体" w:hAnsi="宋体" w:cs="宋体"/>
          <w:color w:val="000000" w:themeColor="text1"/>
          <w:sz w:val="28"/>
          <w:szCs w:val="28"/>
        </w:rPr>
      </w:pPr>
      <w:r>
        <w:rPr>
          <w:rFonts w:hint="eastAsia" w:ascii="宋体" w:hAnsi="宋体" w:cs="宋体"/>
          <w:color w:val="000000" w:themeColor="text1"/>
          <w:sz w:val="28"/>
          <w:szCs w:val="28"/>
        </w:rPr>
        <w:t>各园林绿化管理职能部门指导绿化施工、养护管理单位将产生的绿化垃圾运至所在区域破碎厂，再由人员进行粗粉碎处理。鼓励各区结合景区、大型公园等配置园林垃圾处理设备，就地进行粉碎、堆沤、腐熟后再用于景区或大型公园绿地裸露土地覆盖和肥料等用途。</w:t>
      </w:r>
    </w:p>
    <w:p w14:paraId="3C5D6EA3">
      <w:pPr>
        <w:pStyle w:val="4"/>
        <w:numPr>
          <w:ilvl w:val="0"/>
          <w:numId w:val="0"/>
        </w:numPr>
        <w:spacing w:before="240" w:after="156" w:line="560" w:lineRule="exact"/>
        <w:ind w:left="482"/>
        <w:rPr>
          <w:rFonts w:cs="宋体"/>
          <w:color w:val="000000" w:themeColor="text1"/>
          <w:sz w:val="28"/>
          <w:szCs w:val="28"/>
          <w:lang w:eastAsia="zh-CN"/>
        </w:rPr>
      </w:pPr>
      <w:bookmarkStart w:id="131" w:name="_Toc3329"/>
      <w:r>
        <w:rPr>
          <w:rFonts w:hint="eastAsia" w:cs="宋体"/>
          <w:color w:val="000000" w:themeColor="text1"/>
          <w:sz w:val="28"/>
          <w:szCs w:val="28"/>
          <w:lang w:eastAsia="zh-CN"/>
        </w:rPr>
        <w:t>四、园林绿化垃圾收运处理设施</w:t>
      </w:r>
      <w:bookmarkEnd w:id="131"/>
    </w:p>
    <w:p w14:paraId="5B8F9DCE">
      <w:pPr>
        <w:autoSpaceDE w:val="0"/>
        <w:autoSpaceDN w:val="0"/>
        <w:adjustRightInd w:val="0"/>
        <w:spacing w:line="560" w:lineRule="exact"/>
        <w:ind w:firstLine="560" w:firstLineChars="200"/>
        <w:jc w:val="left"/>
        <w:rPr>
          <w:rFonts w:ascii="宋体" w:hAnsi="宋体" w:cs="宋体"/>
          <w:color w:val="000000" w:themeColor="text1"/>
          <w:sz w:val="28"/>
          <w:szCs w:val="28"/>
        </w:rPr>
      </w:pPr>
      <w:r>
        <w:rPr>
          <w:rFonts w:hint="eastAsia" w:ascii="宋体" w:hAnsi="宋体" w:cs="宋体"/>
          <w:color w:val="000000" w:themeColor="text1"/>
          <w:sz w:val="28"/>
          <w:szCs w:val="28"/>
        </w:rPr>
        <w:t>规划在</w:t>
      </w:r>
      <w:r>
        <w:rPr>
          <w:rFonts w:hint="eastAsia" w:ascii="宋体" w:hAnsi="宋体" w:cs="宋体"/>
          <w:color w:val="000000" w:themeColor="text1"/>
          <w:sz w:val="28"/>
          <w:szCs w:val="28"/>
          <w:lang w:val="zh-CN"/>
        </w:rPr>
        <w:t>河东、河西</w:t>
      </w:r>
      <w:r>
        <w:rPr>
          <w:rFonts w:hint="eastAsia" w:ascii="宋体" w:hAnsi="宋体" w:cs="宋体"/>
          <w:color w:val="000000" w:themeColor="text1"/>
          <w:sz w:val="28"/>
          <w:szCs w:val="28"/>
        </w:rPr>
        <w:t>各设置1处园林绿化垃圾收集破碎厂，面积在4000平方米左右，每个收集点处理量约为50t/d。园林绿化垃圾收集破碎厂主要包括基础设施及破碎设备等。基础设施包括混凝土堆场、粉碎处理用房等；每个收集破碎厂设有两用型粉碎机（树叶、草本，枝干分开粉碎）一台。</w:t>
      </w:r>
    </w:p>
    <w:p w14:paraId="632EE538">
      <w:pPr>
        <w:autoSpaceDE w:val="0"/>
        <w:autoSpaceDN w:val="0"/>
        <w:adjustRightInd w:val="0"/>
        <w:spacing w:line="560" w:lineRule="exact"/>
        <w:ind w:firstLine="420" w:firstLineChars="200"/>
        <w:jc w:val="left"/>
        <w:rPr>
          <w:color w:val="00B050"/>
          <w:szCs w:val="21"/>
        </w:rPr>
      </w:pPr>
    </w:p>
    <w:p w14:paraId="2674575D">
      <w:pPr>
        <w:pStyle w:val="3"/>
        <w:numPr>
          <w:ilvl w:val="0"/>
          <w:numId w:val="0"/>
        </w:numPr>
        <w:spacing w:before="156" w:after="156" w:line="560" w:lineRule="exact"/>
        <w:jc w:val="center"/>
        <w:rPr>
          <w:rFonts w:ascii="宋体" w:hAnsi="宋体" w:cs="宋体"/>
          <w:color w:val="000000" w:themeColor="text1"/>
        </w:rPr>
      </w:pPr>
      <w:bookmarkStart w:id="132" w:name="_Toc29725"/>
      <w:r>
        <w:rPr>
          <w:rFonts w:hint="eastAsia" w:ascii="宋体" w:hAnsi="宋体" w:cs="宋体"/>
          <w:color w:val="000000" w:themeColor="text1"/>
          <w:sz w:val="30"/>
          <w:szCs w:val="30"/>
        </w:rPr>
        <w:t>第五节  农村生活垃圾分类收集系统</w:t>
      </w:r>
      <w:bookmarkEnd w:id="132"/>
    </w:p>
    <w:p w14:paraId="477E74A6">
      <w:pPr>
        <w:pStyle w:val="4"/>
        <w:numPr>
          <w:ilvl w:val="0"/>
          <w:numId w:val="0"/>
        </w:numPr>
        <w:spacing w:before="240" w:after="156" w:line="560" w:lineRule="exact"/>
        <w:ind w:left="482"/>
        <w:rPr>
          <w:rFonts w:cs="宋体"/>
          <w:color w:val="000000" w:themeColor="text1"/>
          <w:sz w:val="28"/>
          <w:szCs w:val="28"/>
          <w:lang w:eastAsia="zh-CN"/>
        </w:rPr>
      </w:pPr>
      <w:bookmarkStart w:id="133" w:name="_Toc10179"/>
      <w:r>
        <w:rPr>
          <w:rFonts w:hint="eastAsia" w:cs="宋体"/>
          <w:color w:val="000000" w:themeColor="text1"/>
          <w:sz w:val="28"/>
          <w:szCs w:val="28"/>
          <w:lang w:eastAsia="zh-CN"/>
        </w:rPr>
        <w:t>一、管理机制与要求</w:t>
      </w:r>
      <w:bookmarkEnd w:id="133"/>
    </w:p>
    <w:p w14:paraId="7315FF54">
      <w:pPr>
        <w:spacing w:line="560" w:lineRule="exact"/>
        <w:ind w:firstLine="480"/>
        <w:jc w:val="left"/>
        <w:rPr>
          <w:rFonts w:ascii="宋体" w:hAnsi="宋体" w:cs="宋体"/>
          <w:color w:val="000000" w:themeColor="text1"/>
          <w:sz w:val="28"/>
          <w:szCs w:val="28"/>
        </w:rPr>
      </w:pPr>
      <w:r>
        <w:rPr>
          <w:rFonts w:hint="eastAsia" w:ascii="宋体" w:hAnsi="宋体" w:cs="宋体"/>
          <w:color w:val="000000" w:themeColor="text1"/>
          <w:sz w:val="28"/>
          <w:szCs w:val="28"/>
        </w:rPr>
        <w:t>“十四五”期间，结合村庄环境整治，以实现“户分类投放、镇回收清运、厨余垃圾就地堆肥处理”的农村生活垃圾分类收运处理体系为总目标，坚持“重点推进、示范先行”原则，积极推进农村垃圾分类。农村生活垃圾分类工作得到巩固和提高，具体任务有：（1）建设乡镇分类收集分拣站。在涉农街道和各乡镇建设垃圾分类收集分拣站。街镇配套建设垃圾分类收集分拣站，对可回收物、有害垃圾、大件垃圾等进一步简单分拣、拆解和暂存。每个涉农街镇至少设置1座垃圾分类收集分拣站，占地不小于300平方米。同时可一并设置再生资源回收站，另增加200平方米。（2）建立保洁员和宣传督导员队伍。建立环卫保洁（垃圾收集）员队伍。行政村按照不低于村人口3‰的比例要求配备环卫保洁员，环卫保洁员定时上门分类收集农户垃圾，在收集过程中，对农户分类垃圾进行检查、指导和再分类，并做好工作记录。建立督导宣传员队伍。区、街镇组建若干个工作小组，深入村庄开展垃圾分类政策宣传、工作指导，巡查监督分类运行状况，做好每月考核评比和信息报送。（3）完善再生资源回收体系。进一步完善农村再生资源回收体系，利用涉农街镇垃圾分类收集分拣站规范设置农村再生资源回收站点，拓宽回收渠道，不断提升再生资源回收体系建设水平，推动垃圾分类和再生资源回收“两网融合”，确保分类垃圾有可靠的分类去向。可结合行政村垃圾分类收集房设置再生资源回收点，或采用流动车收集。通过村回收点（或流动收集）——街镇回收站——区分类储存分拣中心实现可再生资源的系统管理。（4）完善农村垃圾分类收集运输系统。全面取消垃圾池和拖拉机、大板车等前端收运工具，村配置标准化垃圾分类收集桶和收集房，采用运桶专用车或全密闭机械装卸收运车辆进行运输，改造落后垃圾转运站，采取密闭箱体和压缩式中转设备，生活垃圾密闭运输率达到100%。</w:t>
      </w:r>
      <w:bookmarkStart w:id="134" w:name="_Toc50555223"/>
    </w:p>
    <w:p w14:paraId="68BA1A12">
      <w:pPr>
        <w:pStyle w:val="4"/>
        <w:numPr>
          <w:ilvl w:val="0"/>
          <w:numId w:val="0"/>
        </w:numPr>
        <w:spacing w:before="240" w:after="156" w:line="560" w:lineRule="exact"/>
        <w:ind w:left="482"/>
        <w:rPr>
          <w:rFonts w:cs="宋体"/>
          <w:color w:val="000000" w:themeColor="text1"/>
          <w:sz w:val="28"/>
          <w:szCs w:val="28"/>
          <w:lang w:eastAsia="zh-CN"/>
        </w:rPr>
      </w:pPr>
      <w:bookmarkStart w:id="135" w:name="_Toc8789"/>
      <w:r>
        <w:rPr>
          <w:rFonts w:hint="eastAsia" w:cs="宋体"/>
          <w:color w:val="000000" w:themeColor="text1"/>
          <w:sz w:val="28"/>
          <w:szCs w:val="28"/>
          <w:lang w:eastAsia="zh-CN"/>
        </w:rPr>
        <w:t>二、分类收集系</w:t>
      </w:r>
      <w:bookmarkEnd w:id="134"/>
      <w:r>
        <w:rPr>
          <w:rFonts w:hint="eastAsia" w:cs="宋体"/>
          <w:color w:val="000000" w:themeColor="text1"/>
          <w:sz w:val="28"/>
          <w:szCs w:val="28"/>
          <w:lang w:eastAsia="zh-CN"/>
        </w:rPr>
        <w:t>统</w:t>
      </w:r>
      <w:bookmarkEnd w:id="135"/>
    </w:p>
    <w:p w14:paraId="4D59ACF7">
      <w:pPr>
        <w:spacing w:line="560" w:lineRule="exact"/>
        <w:ind w:firstLine="480"/>
        <w:rPr>
          <w:rFonts w:ascii="宋体" w:hAnsi="宋体" w:cs="宋体"/>
          <w:color w:val="000000" w:themeColor="text1"/>
          <w:sz w:val="28"/>
          <w:szCs w:val="28"/>
        </w:rPr>
      </w:pPr>
      <w:r>
        <w:rPr>
          <w:rFonts w:hint="eastAsia" w:ascii="宋体" w:hAnsi="宋体" w:cs="宋体"/>
          <w:b/>
          <w:bCs/>
          <w:color w:val="000000" w:themeColor="text1"/>
          <w:sz w:val="28"/>
          <w:szCs w:val="28"/>
        </w:rPr>
        <w:t>1．生活垃圾收集。</w:t>
      </w:r>
      <w:r>
        <w:rPr>
          <w:rFonts w:hint="eastAsia" w:ascii="宋体" w:hAnsi="宋体" w:cs="宋体"/>
          <w:color w:val="000000" w:themeColor="text1"/>
          <w:sz w:val="28"/>
          <w:szCs w:val="28"/>
        </w:rPr>
        <w:t>建立生活垃圾“户分类、村收集、镇转运”、“厨余垃圾就近处理”的分类收运处理体系。在垃圾分类试点村庄配套建设资源回收站，每户家门口配置三个垃圾桶：有害垃圾桶、厨余垃圾密闭容器、其他垃圾桶，由村民源头对垃圾进行分类投放。农村厨余垃圾以街道、乡镇为单位就近运往附近的农贸市场厨余垃圾就地处理设施进行处理，可回收物由农户或保洁员自行交售给村级资源回收站，然后再交给街镇垃圾分类收集分拣站或再生资源回收利用企业，进行资源化处理；有害垃圾临时存放在街镇垃圾分类收集分拣站，集中到各区的有害垃圾暂存点，根据城管部门确定的时间统一送到环保部门许可的危险废物处理企业进行处理；无机垃圾积攒一定量后由村民自行调剂使用（铺做路基等）；其他垃圾由环卫专业单位按现状垃圾收运流程收运至垃圾焚烧厂或填埋场处理。</w:t>
      </w:r>
    </w:p>
    <w:p w14:paraId="2259BFA5">
      <w:pPr>
        <w:spacing w:line="560" w:lineRule="exact"/>
        <w:ind w:firstLine="480"/>
        <w:rPr>
          <w:rFonts w:ascii="宋体" w:hAnsi="宋体" w:cs="宋体"/>
          <w:color w:val="000000" w:themeColor="text1"/>
          <w:sz w:val="28"/>
          <w:szCs w:val="28"/>
        </w:rPr>
      </w:pPr>
      <w:r>
        <w:rPr>
          <w:rFonts w:hint="eastAsia" w:ascii="宋体" w:hAnsi="宋体" w:cs="宋体"/>
          <w:b/>
          <w:bCs/>
          <w:color w:val="000000" w:themeColor="text1"/>
          <w:sz w:val="28"/>
          <w:szCs w:val="28"/>
        </w:rPr>
        <w:t>2．大件垃圾收集。</w:t>
      </w:r>
      <w:r>
        <w:rPr>
          <w:rFonts w:hint="eastAsia" w:ascii="宋体" w:hAnsi="宋体" w:cs="宋体"/>
          <w:color w:val="000000" w:themeColor="text1"/>
          <w:sz w:val="28"/>
          <w:szCs w:val="28"/>
        </w:rPr>
        <w:t>对农村大件垃圾（大件家具等）实行分流，大件垃圾由村民自行堆放至村垃圾收集点，然后收运至街镇垃圾分类收集分拣站进行拆解、破碎、分拣和分类。</w:t>
      </w:r>
    </w:p>
    <w:p w14:paraId="1594FD55">
      <w:pPr>
        <w:spacing w:line="560" w:lineRule="exact"/>
        <w:ind w:firstLine="480"/>
        <w:rPr>
          <w:rFonts w:ascii="宋体" w:hAnsi="宋体" w:cs="宋体"/>
          <w:color w:val="000000" w:themeColor="text1"/>
          <w:sz w:val="28"/>
          <w:szCs w:val="28"/>
        </w:rPr>
      </w:pPr>
      <w:r>
        <w:rPr>
          <w:rFonts w:hint="eastAsia" w:ascii="宋体" w:hAnsi="宋体" w:cs="宋体"/>
          <w:b/>
          <w:bCs/>
          <w:color w:val="000000" w:themeColor="text1"/>
          <w:sz w:val="28"/>
          <w:szCs w:val="28"/>
        </w:rPr>
        <w:t>3．建筑垃圾收集。</w:t>
      </w:r>
      <w:r>
        <w:rPr>
          <w:rFonts w:hint="eastAsia" w:ascii="宋体" w:hAnsi="宋体" w:cs="宋体"/>
          <w:color w:val="000000" w:themeColor="text1"/>
          <w:sz w:val="28"/>
          <w:szCs w:val="28"/>
        </w:rPr>
        <w:t>建筑垃圾应单独存放，不得混入生活垃圾，尽可能就地利用，无法就地利用的以各村自行运输处置为主。建筑垃圾中油漆桶、有机溶剂等有害垃圾分拣出纳入有害垃圾收运处理体系；木材、塑料、金属、纤维等可回收物分出后进入可回收系统；混凝土、砖石、渣土等惰性物质应当选择远离水源和居住地的适宜地点用于填坑造地。</w:t>
      </w:r>
    </w:p>
    <w:p w14:paraId="5AF5D034">
      <w:pPr>
        <w:autoSpaceDE w:val="0"/>
        <w:autoSpaceDN w:val="0"/>
        <w:adjustRightInd w:val="0"/>
        <w:spacing w:line="560" w:lineRule="exact"/>
        <w:ind w:firstLine="420" w:firstLineChars="200"/>
        <w:jc w:val="left"/>
        <w:rPr>
          <w:color w:val="FF0000"/>
          <w:szCs w:val="21"/>
        </w:rPr>
      </w:pPr>
    </w:p>
    <w:p w14:paraId="7770D971">
      <w:pPr>
        <w:pStyle w:val="2"/>
        <w:numPr>
          <w:ilvl w:val="0"/>
          <w:numId w:val="0"/>
        </w:numPr>
        <w:spacing w:line="560" w:lineRule="exact"/>
        <w:jc w:val="center"/>
        <w:rPr>
          <w:rFonts w:ascii="宋体" w:hAnsi="宋体" w:cs="宋体"/>
          <w:color w:val="000000" w:themeColor="text1"/>
          <w:szCs w:val="32"/>
          <w:lang w:eastAsia="zh-CN"/>
        </w:rPr>
      </w:pPr>
      <w:bookmarkStart w:id="136" w:name="_Toc16578"/>
      <w:r>
        <w:rPr>
          <w:rFonts w:hint="eastAsia" w:ascii="宋体" w:hAnsi="宋体" w:cs="宋体"/>
          <w:color w:val="000000" w:themeColor="text1"/>
          <w:szCs w:val="32"/>
          <w:lang w:eastAsia="zh-CN"/>
        </w:rPr>
        <w:t>第八章  完善城市管理基础设施，提升管理系统承载力</w:t>
      </w:r>
      <w:bookmarkEnd w:id="136"/>
    </w:p>
    <w:p w14:paraId="4ABB3F1A">
      <w:pPr>
        <w:pStyle w:val="3"/>
        <w:numPr>
          <w:ilvl w:val="0"/>
          <w:numId w:val="0"/>
        </w:numPr>
        <w:spacing w:before="156" w:after="156" w:line="560" w:lineRule="exact"/>
        <w:jc w:val="center"/>
        <w:rPr>
          <w:rFonts w:ascii="宋体" w:hAnsi="宋体" w:cs="宋体"/>
          <w:color w:val="000000" w:themeColor="text1"/>
          <w:sz w:val="30"/>
          <w:szCs w:val="30"/>
        </w:rPr>
      </w:pPr>
    </w:p>
    <w:p w14:paraId="3E629F33">
      <w:pPr>
        <w:pStyle w:val="3"/>
        <w:numPr>
          <w:ilvl w:val="0"/>
          <w:numId w:val="0"/>
        </w:numPr>
        <w:spacing w:before="156" w:after="156" w:line="560" w:lineRule="exact"/>
        <w:jc w:val="center"/>
        <w:rPr>
          <w:rFonts w:ascii="宋体" w:hAnsi="宋体" w:cs="宋体"/>
          <w:color w:val="000000" w:themeColor="text1"/>
          <w:sz w:val="30"/>
          <w:szCs w:val="30"/>
        </w:rPr>
      </w:pPr>
      <w:bookmarkStart w:id="137" w:name="_Toc3838"/>
      <w:r>
        <w:rPr>
          <w:rFonts w:hint="eastAsia" w:ascii="宋体" w:hAnsi="宋体" w:cs="宋体"/>
          <w:color w:val="000000" w:themeColor="text1"/>
          <w:sz w:val="30"/>
          <w:szCs w:val="30"/>
        </w:rPr>
        <w:t>第一节 推进园林绿化高质量发展</w:t>
      </w:r>
      <w:bookmarkEnd w:id="137"/>
    </w:p>
    <w:p w14:paraId="21CB737F">
      <w:pPr>
        <w:spacing w:line="560" w:lineRule="exact"/>
        <w:ind w:firstLine="560" w:firstLineChars="200"/>
        <w:textAlignment w:val="baseline"/>
        <w:rPr>
          <w:rStyle w:val="63"/>
          <w:rFonts w:ascii="宋体" w:hAnsi="宋体" w:cs="宋体"/>
          <w:color w:val="000000" w:themeColor="text1"/>
          <w:sz w:val="28"/>
          <w:szCs w:val="28"/>
        </w:rPr>
      </w:pPr>
      <w:r>
        <w:rPr>
          <w:rStyle w:val="63"/>
          <w:rFonts w:hint="eastAsia" w:ascii="宋体" w:hAnsi="宋体" w:cs="宋体"/>
          <w:color w:val="000000" w:themeColor="text1"/>
          <w:sz w:val="28"/>
          <w:szCs w:val="28"/>
        </w:rPr>
        <w:t>以生态园林城市创建为抓手，到2025年，</w:t>
      </w:r>
      <w:r>
        <w:rPr>
          <w:rStyle w:val="63"/>
          <w:rFonts w:hint="eastAsia" w:ascii="宋体" w:hAnsi="宋体" w:cs="宋体"/>
          <w:color w:val="000000" w:themeColor="text1"/>
          <w:kern w:val="0"/>
          <w:sz w:val="28"/>
          <w:szCs w:val="28"/>
        </w:rPr>
        <w:t>湘潭市</w:t>
      </w:r>
      <w:r>
        <w:rPr>
          <w:rStyle w:val="63"/>
          <w:rFonts w:hint="eastAsia" w:ascii="宋体" w:hAnsi="宋体" w:cs="宋体"/>
          <w:color w:val="000000" w:themeColor="text1"/>
          <w:sz w:val="28"/>
          <w:szCs w:val="28"/>
        </w:rPr>
        <w:t>绿色空间格局秩序优化，城乡绿地网络生态体系完善，公园城市建设初显成效，绿线绿章得到有效管控，永久性绿地保护机制建立，园林绿地建设和管理水平逐步提升，实现园林绿化行业信用管理，园林绿化行业更精细化、高质量发展。</w:t>
      </w:r>
    </w:p>
    <w:p w14:paraId="61800D46">
      <w:pPr>
        <w:pStyle w:val="4"/>
        <w:numPr>
          <w:ilvl w:val="2"/>
          <w:numId w:val="0"/>
        </w:numPr>
        <w:spacing w:before="120" w:after="156"/>
        <w:ind w:left="420" w:leftChars="200" w:firstLine="281" w:firstLineChars="100"/>
        <w:rPr>
          <w:color w:val="000000" w:themeColor="text1"/>
          <w:sz w:val="28"/>
          <w:szCs w:val="28"/>
          <w:lang w:eastAsia="zh-CN"/>
        </w:rPr>
      </w:pPr>
      <w:bookmarkStart w:id="138" w:name="_Toc27632"/>
      <w:r>
        <w:rPr>
          <w:rFonts w:hint="eastAsia"/>
          <w:color w:val="000000" w:themeColor="text1"/>
          <w:sz w:val="28"/>
          <w:szCs w:val="28"/>
          <w:lang w:eastAsia="zh-CN"/>
        </w:rPr>
        <w:t>一、建立健全法律法规体系</w:t>
      </w:r>
      <w:bookmarkEnd w:id="138"/>
    </w:p>
    <w:p w14:paraId="773FA42D">
      <w:pPr>
        <w:pStyle w:val="65"/>
        <w:spacing w:line="560" w:lineRule="exact"/>
        <w:ind w:firstLine="560" w:firstLineChars="200"/>
        <w:rPr>
          <w:rStyle w:val="63"/>
          <w:rFonts w:ascii="宋体" w:hAnsi="宋体" w:cs="宋体"/>
          <w:b w:val="0"/>
          <w:bCs w:val="0"/>
          <w:color w:val="000000" w:themeColor="text1"/>
          <w:kern w:val="0"/>
          <w:sz w:val="28"/>
          <w:szCs w:val="28"/>
        </w:rPr>
      </w:pPr>
      <w:r>
        <w:rPr>
          <w:rStyle w:val="63"/>
          <w:rFonts w:hint="eastAsia" w:ascii="宋体" w:hAnsi="宋体" w:cs="宋体"/>
          <w:b w:val="0"/>
          <w:bCs w:val="0"/>
          <w:color w:val="000000" w:themeColor="text1"/>
          <w:kern w:val="0"/>
          <w:sz w:val="28"/>
          <w:szCs w:val="28"/>
        </w:rPr>
        <w:t>根据国家法律法规、制度标准修订《湘潭市城市绿化条例》《湘潭市城市绿线管理办法》和其他配套法规，建立健全绿线管理和永久性绿地保护机制。在《湘潭市国土空间总体规划（2019-2035）》编制同时完成《湘潭市城市绿地系统规划》的修订</w:t>
      </w:r>
      <w:r>
        <w:rPr>
          <w:rStyle w:val="63"/>
          <w:rFonts w:hint="eastAsia" w:cs="宋体"/>
          <w:b w:val="0"/>
          <w:bCs w:val="0"/>
          <w:color w:val="000000" w:themeColor="text1"/>
          <w:kern w:val="0"/>
          <w:sz w:val="28"/>
          <w:szCs w:val="28"/>
        </w:rPr>
        <w:t>，</w:t>
      </w:r>
      <w:r>
        <w:rPr>
          <w:rStyle w:val="63"/>
          <w:rFonts w:hint="eastAsia" w:ascii="宋体" w:hAnsi="宋体" w:cs="宋体"/>
          <w:b w:val="0"/>
          <w:bCs w:val="0"/>
          <w:color w:val="000000" w:themeColor="text1"/>
          <w:kern w:val="0"/>
          <w:sz w:val="28"/>
          <w:szCs w:val="28"/>
        </w:rPr>
        <w:t>构建</w:t>
      </w:r>
      <w:r>
        <w:rPr>
          <w:rStyle w:val="63"/>
          <w:rFonts w:hint="eastAsia" w:cs="宋体"/>
          <w:b w:val="0"/>
          <w:bCs w:val="0"/>
          <w:color w:val="000000" w:themeColor="text1"/>
          <w:kern w:val="0"/>
          <w:sz w:val="28"/>
          <w:szCs w:val="28"/>
        </w:rPr>
        <w:t>湘潭</w:t>
      </w:r>
      <w:r>
        <w:rPr>
          <w:rStyle w:val="63"/>
          <w:rFonts w:hint="eastAsia" w:ascii="宋体" w:hAnsi="宋体" w:cs="宋体"/>
          <w:b w:val="0"/>
          <w:bCs w:val="0"/>
          <w:color w:val="000000" w:themeColor="text1"/>
          <w:kern w:val="0"/>
          <w:sz w:val="28"/>
          <w:szCs w:val="28"/>
        </w:rPr>
        <w:t>特色绿色空间体系</w:t>
      </w:r>
      <w:r>
        <w:rPr>
          <w:rStyle w:val="63"/>
          <w:rFonts w:hint="eastAsia" w:cs="宋体"/>
          <w:b w:val="0"/>
          <w:bCs w:val="0"/>
          <w:color w:val="000000" w:themeColor="text1"/>
          <w:kern w:val="0"/>
          <w:sz w:val="28"/>
          <w:szCs w:val="28"/>
        </w:rPr>
        <w:t>。</w:t>
      </w:r>
      <w:r>
        <w:rPr>
          <w:rStyle w:val="63"/>
          <w:rFonts w:hint="eastAsia" w:ascii="宋体" w:hAnsi="宋体" w:cs="宋体"/>
          <w:b w:val="0"/>
          <w:bCs w:val="0"/>
          <w:color w:val="000000" w:themeColor="text1"/>
          <w:kern w:val="0"/>
          <w:sz w:val="28"/>
          <w:szCs w:val="28"/>
        </w:rPr>
        <w:t>制定出台《湘潭市园林绿化行业信用管理办法》《湘潭市园林绿化工程质量综合管理办法》等行业监管文件，制定园林绿化相关地方标准规范，维护市场秩序，确保绿化质量。</w:t>
      </w:r>
    </w:p>
    <w:p w14:paraId="3B278577">
      <w:pPr>
        <w:pStyle w:val="4"/>
        <w:numPr>
          <w:ilvl w:val="2"/>
          <w:numId w:val="0"/>
        </w:numPr>
        <w:spacing w:before="122" w:after="156"/>
        <w:ind w:left="420" w:leftChars="200" w:firstLine="281" w:firstLineChars="100"/>
        <w:rPr>
          <w:color w:val="000000" w:themeColor="text1"/>
          <w:sz w:val="28"/>
          <w:szCs w:val="28"/>
          <w:lang w:eastAsia="zh-CN"/>
        </w:rPr>
      </w:pPr>
      <w:bookmarkStart w:id="139" w:name="_Toc29080"/>
      <w:r>
        <w:rPr>
          <w:rFonts w:hint="eastAsia"/>
          <w:color w:val="000000" w:themeColor="text1"/>
          <w:sz w:val="28"/>
          <w:szCs w:val="28"/>
          <w:lang w:eastAsia="zh-CN"/>
        </w:rPr>
        <w:t>二、提高园林绿化管控水平</w:t>
      </w:r>
      <w:bookmarkEnd w:id="139"/>
    </w:p>
    <w:p w14:paraId="40CB8277">
      <w:pPr>
        <w:spacing w:line="560" w:lineRule="exact"/>
        <w:ind w:firstLine="562" w:firstLineChars="200"/>
        <w:textAlignment w:val="baseline"/>
        <w:rPr>
          <w:rStyle w:val="63"/>
          <w:rFonts w:ascii="宋体" w:hAnsi="宋体" w:cs="宋体"/>
          <w:color w:val="000000" w:themeColor="text1"/>
          <w:sz w:val="28"/>
          <w:szCs w:val="28"/>
        </w:rPr>
      </w:pPr>
      <w:r>
        <w:rPr>
          <w:rStyle w:val="63"/>
          <w:rFonts w:hint="eastAsia" w:ascii="宋体" w:hAnsi="宋体" w:cs="宋体"/>
          <w:b/>
          <w:bCs/>
          <w:color w:val="000000" w:themeColor="text1"/>
          <w:sz w:val="28"/>
          <w:szCs w:val="28"/>
        </w:rPr>
        <w:t>1. 完善并执行规划，加强绿线管控</w:t>
      </w:r>
    </w:p>
    <w:p w14:paraId="155D8B1B">
      <w:pPr>
        <w:pStyle w:val="65"/>
        <w:spacing w:line="560" w:lineRule="exact"/>
        <w:ind w:firstLine="560" w:firstLineChars="200"/>
        <w:rPr>
          <w:rStyle w:val="63"/>
          <w:rFonts w:ascii="宋体" w:hAnsi="宋体" w:cs="宋体"/>
          <w:b w:val="0"/>
          <w:bCs w:val="0"/>
          <w:color w:val="000000" w:themeColor="text1"/>
          <w:kern w:val="0"/>
          <w:sz w:val="28"/>
          <w:szCs w:val="28"/>
        </w:rPr>
      </w:pPr>
      <w:r>
        <w:rPr>
          <w:rStyle w:val="63"/>
          <w:rFonts w:hint="eastAsia" w:ascii="宋体" w:hAnsi="宋体" w:cs="宋体"/>
          <w:b w:val="0"/>
          <w:bCs w:val="0"/>
          <w:color w:val="000000" w:themeColor="text1"/>
          <w:kern w:val="0"/>
          <w:sz w:val="28"/>
          <w:szCs w:val="28"/>
        </w:rPr>
        <w:t>积极推进民生园林、生态园林、智慧园林，推进城市绿地系统规划与国土空间总体规划、详细规划的衔接，统筹城乡绿地，加强城市自然山水格局保护，融入公园城市、海绵城市、生态园林城市理念开展城市公园体系规划，完善绿地系统规划。编制湘潭市城市绿线规划，全面划定绿线，明确绿地类型、建设要求和保护要求。加强绿线绿章管控，对侵占绿地、擅自改变绿地性质等违法行为加大检查和执法力度。整治园林绿化行业乱象，加强湘潭市园林绿化规划设计管控、规范园林绿化招投标管理、强化园林绿化质量安全监督，将节约型、生态型、功能完善型园林绿化的具体要求落实到设计、建设中，提升绿地建设品质，将园林绿化建设纳入园林绿化动态监管系统进行监管。加强园林绿化建设市场事前事中事后监管，构建以信用监管为核心的市场监管机制，逐步建立行业信用监管体系，规范园林绿化行业市场行为。</w:t>
      </w:r>
    </w:p>
    <w:p w14:paraId="7CC16A0D">
      <w:pPr>
        <w:numPr>
          <w:ilvl w:val="0"/>
          <w:numId w:val="4"/>
        </w:numPr>
        <w:spacing w:line="560" w:lineRule="exact"/>
        <w:ind w:firstLine="562"/>
        <w:textAlignment w:val="baseline"/>
        <w:rPr>
          <w:rStyle w:val="63"/>
          <w:rFonts w:ascii="宋体" w:hAnsi="宋体" w:cs="宋体"/>
          <w:color w:val="000000" w:themeColor="text1"/>
          <w:sz w:val="28"/>
          <w:szCs w:val="28"/>
        </w:rPr>
      </w:pPr>
      <w:r>
        <w:rPr>
          <w:rStyle w:val="63"/>
          <w:rFonts w:hint="eastAsia" w:ascii="宋体" w:hAnsi="宋体" w:cs="宋体"/>
          <w:b/>
          <w:bCs/>
          <w:color w:val="000000" w:themeColor="text1"/>
          <w:sz w:val="28"/>
          <w:szCs w:val="28"/>
        </w:rPr>
        <w:t>提升园林绿化养护管理水平</w:t>
      </w:r>
    </w:p>
    <w:p w14:paraId="1C6BA1FD">
      <w:pPr>
        <w:spacing w:line="560" w:lineRule="exact"/>
        <w:ind w:firstLine="560" w:firstLineChars="200"/>
        <w:textAlignment w:val="baseline"/>
        <w:rPr>
          <w:rStyle w:val="63"/>
          <w:rFonts w:ascii="宋体" w:hAnsi="宋体" w:cs="宋体"/>
          <w:color w:val="000000" w:themeColor="text1"/>
          <w:sz w:val="28"/>
          <w:szCs w:val="28"/>
        </w:rPr>
      </w:pPr>
      <w:r>
        <w:rPr>
          <w:rStyle w:val="63"/>
          <w:rFonts w:hint="eastAsia" w:ascii="宋体" w:hAnsi="宋体" w:cs="宋体"/>
          <w:color w:val="000000" w:themeColor="text1"/>
          <w:sz w:val="28"/>
          <w:szCs w:val="28"/>
        </w:rPr>
        <w:t>修订完善适合湘潭市绿化管养的养护管理定额，进一步完善园林绿化信息管理系统建设，提升城市绿地系统的智慧化管理，推进城市绿化养护动态管理。落实城市绿地分类分级管理标准，加快培养养护专业技术人员，提升养护人员专业化作业水平，探索“市民园长”制度，发挥社会协同管理力量。加强各区、平台公司绿化行业监管，完善监督考核机制，提高绿地管养水平。落实责任，加强监管，纠正“重建轻养、只建不管”现象。加大园林绿化养护资金投入，实现精细管养和以养促建，营造高品质园林绿地空间。</w:t>
      </w:r>
    </w:p>
    <w:p w14:paraId="7265FF8D">
      <w:pPr>
        <w:numPr>
          <w:ilvl w:val="0"/>
          <w:numId w:val="5"/>
        </w:numPr>
        <w:spacing w:line="560" w:lineRule="exact"/>
        <w:ind w:firstLine="562" w:firstLineChars="200"/>
        <w:textAlignment w:val="baseline"/>
        <w:rPr>
          <w:rStyle w:val="63"/>
          <w:rFonts w:ascii="宋体" w:hAnsi="宋体" w:cs="宋体"/>
          <w:b/>
          <w:bCs/>
          <w:color w:val="000000" w:themeColor="text1"/>
          <w:sz w:val="28"/>
          <w:szCs w:val="28"/>
        </w:rPr>
      </w:pPr>
      <w:r>
        <w:rPr>
          <w:rStyle w:val="63"/>
          <w:rFonts w:hint="eastAsia" w:ascii="宋体" w:hAnsi="宋体" w:cs="宋体"/>
          <w:b/>
          <w:bCs/>
          <w:color w:val="000000" w:themeColor="text1"/>
          <w:sz w:val="28"/>
          <w:szCs w:val="28"/>
        </w:rPr>
        <w:t>严格保护园林树木</w:t>
      </w:r>
    </w:p>
    <w:p w14:paraId="61508B74">
      <w:pPr>
        <w:spacing w:line="560" w:lineRule="exact"/>
        <w:ind w:firstLine="560" w:firstLineChars="200"/>
        <w:textAlignment w:val="baseline"/>
        <w:rPr>
          <w:rStyle w:val="63"/>
          <w:rFonts w:ascii="宋体" w:hAnsi="宋体" w:cs="宋体"/>
          <w:color w:val="000000" w:themeColor="text1"/>
          <w:sz w:val="28"/>
          <w:szCs w:val="28"/>
        </w:rPr>
      </w:pPr>
      <w:r>
        <w:rPr>
          <w:rStyle w:val="63"/>
          <w:rFonts w:hint="eastAsia" w:ascii="宋体" w:hAnsi="宋体" w:cs="宋体"/>
          <w:color w:val="000000" w:themeColor="text1"/>
          <w:sz w:val="28"/>
          <w:szCs w:val="28"/>
        </w:rPr>
        <w:t>在建设中要加强原有绿化成果的保护，严禁擅自砍伐、移植园林树木。因工程需要必须依法依规按程序办理，并接受社会监督。建立健全古树名木保护信息档案，将古树名木保护纳入城市园林绿化信息化管理，加强日常管护及监督指导。逐步建立古树名木后备资源档案，保护好城市古树、大树资源。</w:t>
      </w:r>
    </w:p>
    <w:p w14:paraId="670EA597">
      <w:pPr>
        <w:pStyle w:val="4"/>
        <w:numPr>
          <w:ilvl w:val="2"/>
          <w:numId w:val="0"/>
        </w:numPr>
        <w:spacing w:after="156"/>
        <w:ind w:left="420" w:leftChars="200" w:firstLine="281" w:firstLineChars="100"/>
        <w:rPr>
          <w:color w:val="000000" w:themeColor="text1"/>
          <w:sz w:val="28"/>
          <w:szCs w:val="28"/>
          <w:lang w:eastAsia="zh-CN"/>
        </w:rPr>
      </w:pPr>
      <w:bookmarkStart w:id="140" w:name="_Toc28886"/>
      <w:r>
        <w:rPr>
          <w:rFonts w:hint="eastAsia"/>
          <w:color w:val="000000" w:themeColor="text1"/>
          <w:sz w:val="28"/>
          <w:szCs w:val="28"/>
          <w:lang w:eastAsia="zh-CN"/>
        </w:rPr>
        <w:t>三、建设生态园林城市</w:t>
      </w:r>
      <w:bookmarkEnd w:id="140"/>
    </w:p>
    <w:p w14:paraId="452A702D">
      <w:pPr>
        <w:pStyle w:val="64"/>
        <w:widowControl/>
        <w:spacing w:before="0" w:after="0" w:line="560" w:lineRule="exact"/>
        <w:ind w:firstLine="562" w:firstLineChars="200"/>
        <w:rPr>
          <w:rStyle w:val="63"/>
          <w:rFonts w:ascii="宋体" w:hAnsi="宋体" w:cs="宋体"/>
          <w:color w:val="000000" w:themeColor="text1"/>
          <w:sz w:val="28"/>
          <w:szCs w:val="28"/>
        </w:rPr>
      </w:pPr>
      <w:r>
        <w:rPr>
          <w:rStyle w:val="63"/>
          <w:rFonts w:hint="eastAsia" w:ascii="宋体" w:hAnsi="宋体" w:cs="宋体"/>
          <w:color w:val="000000" w:themeColor="text1"/>
          <w:sz w:val="28"/>
          <w:szCs w:val="28"/>
        </w:rPr>
        <w:t>1. 实施生态节约型园林绿化建设</w:t>
      </w:r>
    </w:p>
    <w:p w14:paraId="08D51D86">
      <w:pPr>
        <w:pStyle w:val="65"/>
        <w:spacing w:line="560" w:lineRule="exact"/>
        <w:ind w:firstLine="560" w:firstLineChars="200"/>
        <w:rPr>
          <w:rStyle w:val="63"/>
          <w:rFonts w:ascii="宋体" w:hAnsi="宋体" w:cs="宋体"/>
          <w:color w:val="000000" w:themeColor="text1"/>
          <w:sz w:val="28"/>
          <w:szCs w:val="28"/>
        </w:rPr>
      </w:pPr>
      <w:r>
        <w:rPr>
          <w:rStyle w:val="63"/>
          <w:rFonts w:hint="eastAsia" w:ascii="宋体" w:hAnsi="宋体" w:cs="宋体"/>
          <w:b w:val="0"/>
          <w:bCs w:val="0"/>
          <w:color w:val="000000" w:themeColor="text1"/>
          <w:kern w:val="0"/>
          <w:sz w:val="28"/>
          <w:szCs w:val="28"/>
        </w:rPr>
        <w:t>大力推广乡土适生植物应用</w:t>
      </w:r>
      <w:r>
        <w:rPr>
          <w:rStyle w:val="63"/>
          <w:rFonts w:hint="eastAsia" w:cs="宋体"/>
          <w:b w:val="0"/>
          <w:bCs w:val="0"/>
          <w:color w:val="000000" w:themeColor="text1"/>
          <w:kern w:val="0"/>
          <w:sz w:val="28"/>
          <w:szCs w:val="28"/>
        </w:rPr>
        <w:t>。</w:t>
      </w:r>
      <w:r>
        <w:rPr>
          <w:rStyle w:val="63"/>
          <w:rFonts w:hint="eastAsia" w:ascii="宋体" w:hAnsi="宋体" w:cs="宋体"/>
          <w:b w:val="0"/>
          <w:bCs w:val="0"/>
          <w:color w:val="000000" w:themeColor="text1"/>
          <w:kern w:val="0"/>
          <w:sz w:val="28"/>
          <w:szCs w:val="28"/>
        </w:rPr>
        <w:t>园林植物景观应以适生乡土植物品种以及适宜树龄和规格的乔木为主体，加强地带性植物群落营建，适当保留和点缀野花野草等乡土地被，使园林景观更具自然野趣。开展立体绿化植物研究并推广。并加强红火蚁疫情防控，控制绿化建设项目从疫情发生区调运带土苗木、草坪等植物。全面推广海绵型绿地建设</w:t>
      </w:r>
      <w:r>
        <w:rPr>
          <w:rStyle w:val="63"/>
          <w:rFonts w:hint="eastAsia" w:cs="宋体"/>
          <w:b w:val="0"/>
          <w:bCs w:val="0"/>
          <w:color w:val="000000" w:themeColor="text1"/>
          <w:kern w:val="0"/>
          <w:sz w:val="28"/>
          <w:szCs w:val="28"/>
        </w:rPr>
        <w:t>。</w:t>
      </w:r>
      <w:r>
        <w:rPr>
          <w:rStyle w:val="63"/>
          <w:rFonts w:hint="eastAsia" w:ascii="宋体" w:hAnsi="宋体" w:cs="宋体"/>
          <w:b w:val="0"/>
          <w:bCs w:val="0"/>
          <w:color w:val="000000" w:themeColor="text1"/>
          <w:kern w:val="0"/>
          <w:sz w:val="28"/>
          <w:szCs w:val="28"/>
        </w:rPr>
        <w:t>保护城市湿地资源，开展湿地科普宣传和教育活动，开展海绵型绿地系统构建及绿地海绵适宜技术研究和建设实践，强化“自然积存、自然渗透、自然净化”的海绵绿地建设理念，推广生态环保透水材料和绿色海绵设施应用。通过自然地形梳理和引导，因地制宜建设湿地公园、雨水花园、植草沟、透水铺装等，增强城市绿地系统调蓄净化、涵养水源的能力，制定海绵绿地设施养护规范，加强海绵绿地的管理。推进资源循环利用体系建设</w:t>
      </w:r>
      <w:r>
        <w:rPr>
          <w:rStyle w:val="63"/>
          <w:rFonts w:hint="eastAsia" w:cs="宋体"/>
          <w:b w:val="0"/>
          <w:bCs w:val="0"/>
          <w:color w:val="000000" w:themeColor="text1"/>
          <w:kern w:val="0"/>
          <w:sz w:val="28"/>
          <w:szCs w:val="28"/>
        </w:rPr>
        <w:t>。</w:t>
      </w:r>
      <w:r>
        <w:rPr>
          <w:rStyle w:val="63"/>
          <w:rFonts w:hint="eastAsia" w:ascii="宋体" w:hAnsi="宋体" w:cs="宋体"/>
          <w:b w:val="0"/>
          <w:bCs w:val="0"/>
          <w:color w:val="000000" w:themeColor="text1"/>
          <w:sz w:val="28"/>
          <w:szCs w:val="28"/>
        </w:rPr>
        <w:t>推广使用河水、雨水进行绿化浇灌及绿地地面</w:t>
      </w:r>
      <w:r>
        <w:rPr>
          <w:rStyle w:val="63"/>
          <w:rFonts w:hint="eastAsia" w:ascii="宋体" w:hAnsi="宋体" w:cs="宋体"/>
          <w:b w:val="0"/>
          <w:bCs w:val="0"/>
          <w:color w:val="000000" w:themeColor="text1"/>
          <w:kern w:val="0"/>
          <w:sz w:val="28"/>
          <w:szCs w:val="28"/>
        </w:rPr>
        <w:t>保洁。加强湘潭市园林废弃物利用技术和工艺的研究，培育植物废弃物集中收集、资源化利用和废弃建材收运、处理及利用的产业链，推广生态基质、再生石、生态石等材料，推动资源循环利用。</w:t>
      </w:r>
    </w:p>
    <w:p w14:paraId="657CE49C">
      <w:pPr>
        <w:pStyle w:val="64"/>
        <w:widowControl/>
        <w:numPr>
          <w:ilvl w:val="0"/>
          <w:numId w:val="4"/>
        </w:numPr>
        <w:spacing w:before="0" w:after="0" w:line="560" w:lineRule="exact"/>
        <w:ind w:firstLine="562"/>
        <w:rPr>
          <w:rStyle w:val="63"/>
          <w:rFonts w:ascii="宋体" w:hAnsi="宋体" w:cs="宋体"/>
          <w:color w:val="000000" w:themeColor="text1"/>
          <w:sz w:val="28"/>
          <w:szCs w:val="28"/>
        </w:rPr>
      </w:pPr>
      <w:r>
        <w:rPr>
          <w:rStyle w:val="63"/>
          <w:rFonts w:hint="eastAsia" w:ascii="宋体" w:hAnsi="宋体" w:cs="宋体"/>
          <w:bCs/>
          <w:color w:val="000000" w:themeColor="text1"/>
          <w:kern w:val="0"/>
          <w:sz w:val="28"/>
          <w:szCs w:val="28"/>
        </w:rPr>
        <w:t>构建凸显湘潭特色的</w:t>
      </w:r>
      <w:r>
        <w:rPr>
          <w:rStyle w:val="63"/>
          <w:rFonts w:hint="eastAsia" w:ascii="宋体" w:hAnsi="宋体" w:cs="宋体"/>
          <w:bCs/>
          <w:color w:val="000000" w:themeColor="text1"/>
          <w:sz w:val="28"/>
          <w:szCs w:val="28"/>
        </w:rPr>
        <w:t>公园体系</w:t>
      </w:r>
    </w:p>
    <w:p w14:paraId="75B16A36">
      <w:pPr>
        <w:pStyle w:val="65"/>
        <w:spacing w:line="560" w:lineRule="exact"/>
        <w:ind w:firstLine="560" w:firstLineChars="200"/>
        <w:rPr>
          <w:rStyle w:val="63"/>
          <w:rFonts w:ascii="宋体" w:hAnsi="宋体" w:cs="宋体"/>
          <w:b w:val="0"/>
          <w:bCs w:val="0"/>
          <w:color w:val="000000" w:themeColor="text1"/>
          <w:sz w:val="28"/>
          <w:szCs w:val="28"/>
        </w:rPr>
      </w:pPr>
      <w:r>
        <w:rPr>
          <w:rStyle w:val="63"/>
          <w:rFonts w:hint="eastAsia" w:ascii="宋体" w:hAnsi="宋体" w:cs="宋体"/>
          <w:b w:val="0"/>
          <w:bCs w:val="0"/>
          <w:color w:val="000000" w:themeColor="text1"/>
          <w:kern w:val="0"/>
          <w:sz w:val="28"/>
          <w:szCs w:val="28"/>
        </w:rPr>
        <w:t>构建凸显湘潭城市特点</w:t>
      </w:r>
      <w:r>
        <w:rPr>
          <w:rStyle w:val="63"/>
          <w:rFonts w:hint="eastAsia" w:cs="宋体"/>
          <w:b w:val="0"/>
          <w:bCs w:val="0"/>
          <w:color w:val="000000" w:themeColor="text1"/>
          <w:kern w:val="0"/>
          <w:sz w:val="28"/>
          <w:szCs w:val="28"/>
        </w:rPr>
        <w:t>的</w:t>
      </w:r>
      <w:r>
        <w:rPr>
          <w:rStyle w:val="63"/>
          <w:rFonts w:hint="eastAsia" w:ascii="宋体" w:hAnsi="宋体" w:cs="宋体"/>
          <w:b w:val="0"/>
          <w:bCs w:val="0"/>
          <w:color w:val="000000" w:themeColor="text1"/>
          <w:kern w:val="0"/>
          <w:sz w:val="28"/>
          <w:szCs w:val="28"/>
        </w:rPr>
        <w:t>多类型、多功能城市公园</w:t>
      </w:r>
      <w:r>
        <w:rPr>
          <w:rStyle w:val="63"/>
          <w:rFonts w:hint="eastAsia" w:cs="宋体"/>
          <w:b w:val="0"/>
          <w:bCs w:val="0"/>
          <w:color w:val="000000" w:themeColor="text1"/>
          <w:kern w:val="0"/>
          <w:sz w:val="28"/>
          <w:szCs w:val="28"/>
        </w:rPr>
        <w:t>体系</w:t>
      </w:r>
      <w:r>
        <w:rPr>
          <w:rStyle w:val="63"/>
          <w:rFonts w:hint="eastAsia" w:ascii="宋体" w:hAnsi="宋体" w:cs="宋体"/>
          <w:b w:val="0"/>
          <w:bCs w:val="0"/>
          <w:color w:val="000000" w:themeColor="text1"/>
          <w:kern w:val="0"/>
          <w:sz w:val="28"/>
          <w:szCs w:val="28"/>
        </w:rPr>
        <w:t>。通过综合型公园建设，带动开展“公园+”建设，完善公园绿地游憩休闲、健身运动、文化科普、公共服务、园事节庆、科研生产等复合功能。</w:t>
      </w:r>
      <w:r>
        <w:rPr>
          <w:rStyle w:val="63"/>
          <w:rFonts w:hint="eastAsia" w:ascii="宋体" w:hAnsi="宋体" w:cs="宋体"/>
          <w:b w:val="0"/>
          <w:bCs w:val="0"/>
          <w:color w:val="000000" w:themeColor="text1"/>
          <w:sz w:val="28"/>
          <w:szCs w:val="28"/>
        </w:rPr>
        <w:t>保护具有城乡生态环境防护、游憩健身、安全防护隔离、物种保护、园林苗木生产等功能的区域绿地，</w:t>
      </w:r>
      <w:r>
        <w:rPr>
          <w:rStyle w:val="63"/>
          <w:rFonts w:hint="eastAsia" w:ascii="宋体" w:hAnsi="宋体" w:cs="宋体"/>
          <w:b w:val="0"/>
          <w:bCs w:val="0"/>
          <w:color w:val="000000" w:themeColor="text1"/>
          <w:kern w:val="0"/>
          <w:sz w:val="28"/>
          <w:szCs w:val="28"/>
        </w:rPr>
        <w:t>通过对城乡绿地系统的扩容提质、布局优化和内涵提升，建设公园化的城乡生态格局和风貌。</w:t>
      </w:r>
      <w:r>
        <w:rPr>
          <w:rStyle w:val="63"/>
          <w:rFonts w:hint="eastAsia" w:ascii="宋体" w:hAnsi="宋体" w:cs="宋体"/>
          <w:b w:val="0"/>
          <w:bCs w:val="0"/>
          <w:color w:val="000000" w:themeColor="text1"/>
          <w:sz w:val="28"/>
          <w:szCs w:val="28"/>
        </w:rPr>
        <w:t>根据区域绿地的性质开展生态公园、湿地公园建设、管理。根据规范标准要求对已建设的湖湘公园、白石公园、百亩湖公园、菊花塘公园等应急避险公园绿地，逐渐完善防灾避险功能；待建的公园绿地，应将防灾避险功能纳入规划设计中，并确定防灾避险公园绿地的等级规模。</w:t>
      </w:r>
    </w:p>
    <w:p w14:paraId="4965AB32">
      <w:pPr>
        <w:pStyle w:val="4"/>
        <w:numPr>
          <w:ilvl w:val="2"/>
          <w:numId w:val="0"/>
        </w:numPr>
        <w:spacing w:before="122" w:after="156"/>
        <w:ind w:left="420" w:leftChars="200" w:firstLine="281" w:firstLineChars="100"/>
        <w:rPr>
          <w:color w:val="000000" w:themeColor="text1"/>
          <w:sz w:val="28"/>
          <w:szCs w:val="28"/>
          <w:lang w:eastAsia="zh-CN"/>
        </w:rPr>
      </w:pPr>
      <w:bookmarkStart w:id="141" w:name="_Toc20839"/>
      <w:r>
        <w:rPr>
          <w:rFonts w:hint="eastAsia"/>
          <w:color w:val="000000" w:themeColor="text1"/>
          <w:sz w:val="28"/>
          <w:szCs w:val="28"/>
          <w:lang w:eastAsia="zh-CN"/>
        </w:rPr>
        <w:t>四、推进园林绿化重点工程建设</w:t>
      </w:r>
      <w:bookmarkEnd w:id="141"/>
    </w:p>
    <w:p w14:paraId="46A6DE54">
      <w:pPr>
        <w:pStyle w:val="64"/>
        <w:widowControl/>
        <w:spacing w:before="0" w:after="0" w:line="560" w:lineRule="exact"/>
        <w:ind w:firstLine="562" w:firstLineChars="200"/>
        <w:rPr>
          <w:rStyle w:val="63"/>
          <w:rFonts w:ascii="宋体" w:hAnsi="宋体" w:cs="宋体"/>
          <w:b w:val="0"/>
          <w:bCs/>
          <w:color w:val="000000" w:themeColor="text1"/>
          <w:sz w:val="28"/>
          <w:szCs w:val="28"/>
        </w:rPr>
      </w:pPr>
      <w:r>
        <w:rPr>
          <w:rStyle w:val="63"/>
          <w:rFonts w:hint="eastAsia" w:ascii="宋体" w:hAnsi="宋体" w:cs="宋体"/>
          <w:color w:val="000000" w:themeColor="text1"/>
          <w:sz w:val="28"/>
          <w:szCs w:val="28"/>
        </w:rPr>
        <w:t>1.生态园林城市创建工程</w:t>
      </w:r>
    </w:p>
    <w:p w14:paraId="269F95E6">
      <w:pPr>
        <w:pStyle w:val="64"/>
        <w:widowControl/>
        <w:spacing w:before="0" w:after="0" w:line="560" w:lineRule="exact"/>
        <w:ind w:firstLine="560" w:firstLineChars="200"/>
        <w:rPr>
          <w:rFonts w:ascii="宋体" w:hAnsi="宋体" w:eastAsia="宋体" w:cs="宋体"/>
          <w:color w:val="000000" w:themeColor="text1"/>
          <w:sz w:val="28"/>
          <w:szCs w:val="28"/>
        </w:rPr>
      </w:pPr>
      <w:r>
        <w:rPr>
          <w:rStyle w:val="63"/>
          <w:rFonts w:hint="eastAsia" w:ascii="宋体" w:hAnsi="宋体" w:cs="宋体"/>
          <w:b w:val="0"/>
          <w:bCs/>
          <w:color w:val="000000" w:themeColor="text1"/>
          <w:sz w:val="28"/>
          <w:szCs w:val="28"/>
        </w:rPr>
        <w:t>实施“生态园林城市创建工程”，加快城市园林绿化建设步伐，进一步提升城市生态品质，争创生态园林城市。结合城市更新、老旧小区、海绵城市改造等工作，统筹推进“公园绿地5至15分钟服务圈”工程建设，把公园建在市民家门口，</w:t>
      </w:r>
      <w:r>
        <w:rPr>
          <w:rFonts w:hint="eastAsia" w:ascii="宋体" w:hAnsi="宋体" w:eastAsia="宋体" w:cs="宋体"/>
          <w:b w:val="0"/>
          <w:bCs/>
          <w:color w:val="000000" w:themeColor="text1"/>
          <w:sz w:val="28"/>
          <w:szCs w:val="28"/>
        </w:rPr>
        <w:t>提高公园绿地的可达性。到2025年新建南岭公园、灵港公园、板塘公园、竹埠港公园、</w:t>
      </w:r>
      <w:r>
        <w:rPr>
          <w:rFonts w:hint="eastAsia" w:ascii="宋体" w:hAnsi="宋体" w:eastAsia="宋体" w:cs="宋体"/>
          <w:b w:val="0"/>
          <w:color w:val="000000" w:themeColor="text1"/>
          <w:sz w:val="28"/>
          <w:szCs w:val="28"/>
        </w:rPr>
        <w:t>望江公园、芙蓉公园、青竹湖公园</w:t>
      </w:r>
      <w:r>
        <w:rPr>
          <w:rFonts w:hint="eastAsia" w:ascii="宋体" w:hAnsi="宋体" w:cs="宋体"/>
          <w:b w:val="0"/>
          <w:color w:val="000000" w:themeColor="text1"/>
          <w:sz w:val="28"/>
          <w:szCs w:val="28"/>
        </w:rPr>
        <w:t>和</w:t>
      </w:r>
      <w:r>
        <w:rPr>
          <w:rFonts w:hint="eastAsia" w:ascii="宋体" w:hAnsi="宋体" w:eastAsia="宋体" w:cs="宋体"/>
          <w:b w:val="0"/>
          <w:color w:val="000000" w:themeColor="text1"/>
          <w:sz w:val="28"/>
          <w:szCs w:val="28"/>
        </w:rPr>
        <w:t>兴隆湖公园</w:t>
      </w:r>
      <w:r>
        <w:rPr>
          <w:rFonts w:hint="eastAsia" w:ascii="宋体" w:hAnsi="宋体" w:cs="宋体"/>
          <w:b w:val="0"/>
          <w:color w:val="000000" w:themeColor="text1"/>
          <w:sz w:val="28"/>
          <w:szCs w:val="28"/>
        </w:rPr>
        <w:t>等</w:t>
      </w:r>
      <w:r>
        <w:rPr>
          <w:rFonts w:hint="eastAsia" w:ascii="宋体" w:hAnsi="宋体" w:eastAsia="宋体" w:cs="宋体"/>
          <w:b w:val="0"/>
          <w:color w:val="000000" w:themeColor="text1"/>
          <w:sz w:val="28"/>
          <w:szCs w:val="28"/>
        </w:rPr>
        <w:t>8个公园。同时改造或者续建一批融合海绵城市建设理念的公园，包括万楼文楼文化公园、杨梅洲水上公园、易家湖公园、小西湖公园、宝塔公园、三大桥桥头公园、二桥桥头公园、碧泉湖公园、和平公园二期9个公园。</w:t>
      </w:r>
    </w:p>
    <w:p w14:paraId="3393AC32">
      <w:pPr>
        <w:pStyle w:val="64"/>
        <w:widowControl/>
        <w:numPr>
          <w:ilvl w:val="0"/>
          <w:numId w:val="3"/>
        </w:numPr>
        <w:spacing w:before="0" w:after="0" w:line="560" w:lineRule="exact"/>
        <w:ind w:firstLine="562" w:firstLineChars="200"/>
        <w:rPr>
          <w:rStyle w:val="63"/>
          <w:rFonts w:ascii="宋体" w:hAnsi="宋体" w:cs="宋体"/>
          <w:color w:val="000000" w:themeColor="text1"/>
          <w:sz w:val="28"/>
          <w:szCs w:val="28"/>
        </w:rPr>
      </w:pPr>
      <w:r>
        <w:rPr>
          <w:rStyle w:val="63"/>
          <w:rFonts w:hint="eastAsia" w:ascii="宋体" w:hAnsi="宋体" w:cs="宋体"/>
          <w:color w:val="000000" w:themeColor="text1"/>
          <w:sz w:val="28"/>
          <w:szCs w:val="28"/>
        </w:rPr>
        <w:t>园林绿地质量提升工程</w:t>
      </w:r>
    </w:p>
    <w:p w14:paraId="606CF930">
      <w:pPr>
        <w:pStyle w:val="65"/>
        <w:spacing w:line="560" w:lineRule="exact"/>
        <w:ind w:firstLine="560" w:firstLineChars="200"/>
        <w:rPr>
          <w:rStyle w:val="63"/>
          <w:rFonts w:ascii="宋体" w:hAnsi="宋体" w:cs="宋体"/>
          <w:b w:val="0"/>
          <w:bCs w:val="0"/>
          <w:color w:val="000000" w:themeColor="text1"/>
          <w:sz w:val="28"/>
          <w:szCs w:val="28"/>
        </w:rPr>
      </w:pPr>
      <w:r>
        <w:rPr>
          <w:rStyle w:val="63"/>
          <w:rFonts w:hint="eastAsia" w:cs="宋体"/>
          <w:b w:val="0"/>
          <w:bCs w:val="0"/>
          <w:color w:val="000000" w:themeColor="text1"/>
          <w:sz w:val="28"/>
          <w:szCs w:val="28"/>
        </w:rPr>
        <w:t>突出</w:t>
      </w:r>
      <w:r>
        <w:rPr>
          <w:rStyle w:val="63"/>
          <w:rFonts w:hint="eastAsia" w:ascii="宋体" w:hAnsi="宋体" w:cs="宋体"/>
          <w:b w:val="0"/>
          <w:bCs w:val="0"/>
          <w:color w:val="000000" w:themeColor="text1"/>
          <w:sz w:val="28"/>
          <w:szCs w:val="28"/>
        </w:rPr>
        <w:t>城市园林绿化</w:t>
      </w:r>
      <w:r>
        <w:rPr>
          <w:rStyle w:val="63"/>
          <w:rFonts w:hint="eastAsia" w:cs="宋体"/>
          <w:b w:val="0"/>
          <w:bCs w:val="0"/>
          <w:color w:val="000000" w:themeColor="text1"/>
          <w:sz w:val="28"/>
          <w:szCs w:val="28"/>
        </w:rPr>
        <w:t>的</w:t>
      </w:r>
      <w:r>
        <w:rPr>
          <w:rStyle w:val="63"/>
          <w:rFonts w:hint="eastAsia" w:ascii="宋体" w:hAnsi="宋体" w:cs="宋体"/>
          <w:b w:val="0"/>
          <w:bCs w:val="0"/>
          <w:color w:val="000000" w:themeColor="text1"/>
          <w:sz w:val="28"/>
          <w:szCs w:val="28"/>
        </w:rPr>
        <w:t>功能完整性、民生服务性和文化艺术性，倡导生态建园、文化建园。加快品质低下的老旧公园绿地、社区公园、道路绿地、林下空间的改造提升、新移交绿地补栽补植，陈旧破损的公园设施实时更新，发挥好存量绿地的综合效益。</w:t>
      </w:r>
      <w:r>
        <w:rPr>
          <w:rStyle w:val="63"/>
          <w:rFonts w:hint="eastAsia" w:cs="宋体"/>
          <w:b w:val="0"/>
          <w:bCs w:val="0"/>
          <w:color w:val="000000" w:themeColor="text1"/>
          <w:sz w:val="28"/>
          <w:szCs w:val="28"/>
        </w:rPr>
        <w:t>“十四五”期间，</w:t>
      </w:r>
      <w:r>
        <w:rPr>
          <w:rStyle w:val="63"/>
          <w:rFonts w:hint="eastAsia" w:ascii="宋体" w:hAnsi="宋体" w:cs="宋体"/>
          <w:b w:val="0"/>
          <w:bCs w:val="0"/>
          <w:color w:val="000000" w:themeColor="text1"/>
          <w:sz w:val="28"/>
          <w:szCs w:val="28"/>
        </w:rPr>
        <w:t>主要对河东沿江风光带、和平公园、雨湖公园、白石公园、木鱼湖、滴水湖、菊花塘公园、岳塘公园、湖湘公园、杨梅洲公园、河东游园、河西游园等12个老旧公园从黑臭水、海绵城市、蓝天保卫</w:t>
      </w:r>
      <w:r>
        <w:rPr>
          <w:rStyle w:val="63"/>
          <w:rFonts w:hint="eastAsia" w:eastAsia="宋体" w:cs="宋体"/>
          <w:b w:val="0"/>
          <w:bCs w:val="0"/>
          <w:color w:val="000000" w:themeColor="text1"/>
          <w:sz w:val="28"/>
          <w:szCs w:val="28"/>
          <w:lang w:eastAsia="zh-CN"/>
        </w:rPr>
        <w:t>战</w:t>
      </w:r>
      <w:r>
        <w:rPr>
          <w:rStyle w:val="63"/>
          <w:rFonts w:hint="eastAsia" w:ascii="宋体" w:hAnsi="宋体" w:cs="宋体"/>
          <w:b w:val="0"/>
          <w:bCs w:val="0"/>
          <w:color w:val="000000" w:themeColor="text1"/>
          <w:sz w:val="28"/>
          <w:szCs w:val="28"/>
        </w:rPr>
        <w:t>、碧水保卫站、公园修缮等方面进行改造，主要是驳岸修复，排污系统的改造，公园绿化补植、设施设备的更换或修补，对闲置土地裸露黄土进行整治及绿化。</w:t>
      </w:r>
    </w:p>
    <w:p w14:paraId="60F21C86">
      <w:pPr>
        <w:pStyle w:val="64"/>
        <w:widowControl/>
        <w:numPr>
          <w:ilvl w:val="0"/>
          <w:numId w:val="3"/>
        </w:numPr>
        <w:spacing w:before="0" w:after="0" w:line="560" w:lineRule="exact"/>
        <w:ind w:firstLine="562" w:firstLineChars="200"/>
        <w:rPr>
          <w:rStyle w:val="63"/>
          <w:rFonts w:ascii="宋体" w:hAnsi="宋体" w:cs="宋体"/>
          <w:color w:val="000000" w:themeColor="text1"/>
          <w:sz w:val="28"/>
          <w:szCs w:val="28"/>
        </w:rPr>
      </w:pPr>
      <w:r>
        <w:rPr>
          <w:rStyle w:val="63"/>
          <w:rFonts w:hint="eastAsia" w:ascii="宋体" w:hAnsi="宋体" w:cs="宋体"/>
          <w:color w:val="000000" w:themeColor="text1"/>
          <w:sz w:val="28"/>
          <w:szCs w:val="28"/>
        </w:rPr>
        <w:t>城市生态修复工程</w:t>
      </w:r>
    </w:p>
    <w:p w14:paraId="193DF4D8">
      <w:pPr>
        <w:pStyle w:val="64"/>
        <w:widowControl/>
        <w:spacing w:before="0" w:after="0" w:line="560" w:lineRule="exact"/>
        <w:ind w:firstLine="560" w:firstLineChars="200"/>
        <w:rPr>
          <w:rStyle w:val="63"/>
          <w:rFonts w:ascii="宋体" w:hAnsi="宋体" w:cs="宋体"/>
          <w:b w:val="0"/>
          <w:color w:val="000000" w:themeColor="text1"/>
          <w:sz w:val="28"/>
          <w:szCs w:val="28"/>
        </w:rPr>
      </w:pPr>
      <w:r>
        <w:rPr>
          <w:rStyle w:val="63"/>
          <w:rFonts w:hint="eastAsia" w:ascii="宋体" w:hAnsi="宋体" w:cs="宋体"/>
          <w:b w:val="0"/>
          <w:bCs/>
          <w:color w:val="000000" w:themeColor="text1"/>
          <w:sz w:val="28"/>
          <w:szCs w:val="28"/>
        </w:rPr>
        <w:t>对城市受损山体、污染水体、受损弃置地、城市建设创伤面等组织开展调查评估，确定生态景观修复项目和实施计划。</w:t>
      </w:r>
      <w:r>
        <w:rPr>
          <w:rFonts w:hint="eastAsia" w:ascii="宋体" w:hAnsi="宋体" w:eastAsia="宋体" w:cs="宋体"/>
          <w:b w:val="0"/>
          <w:bCs/>
          <w:color w:val="000000" w:themeColor="text1"/>
          <w:sz w:val="28"/>
          <w:szCs w:val="28"/>
        </w:rPr>
        <w:t>实施河</w:t>
      </w:r>
      <w:r>
        <w:rPr>
          <w:rStyle w:val="63"/>
          <w:rFonts w:hint="eastAsia" w:ascii="宋体" w:hAnsi="宋体" w:cs="宋体"/>
          <w:b w:val="0"/>
          <w:bCs/>
          <w:color w:val="000000" w:themeColor="text1"/>
          <w:sz w:val="28"/>
          <w:szCs w:val="28"/>
        </w:rPr>
        <w:t>湖水系生态化改造，推进生态驳岸建设，修复受损、破碎化生境空间，建成一批可示范的城市山水空间生态景观修复项目。</w:t>
      </w:r>
      <w:r>
        <w:rPr>
          <w:rStyle w:val="63"/>
          <w:rFonts w:hint="eastAsia" w:ascii="宋体" w:hAnsi="宋体" w:cs="宋体"/>
          <w:b w:val="0"/>
          <w:bCs/>
          <w:color w:val="000000" w:themeColor="text1"/>
          <w:kern w:val="0"/>
          <w:sz w:val="28"/>
          <w:szCs w:val="28"/>
        </w:rPr>
        <w:t>对因自然灾害、采矿和因城市建设活动挖损、塌陷、侵占的城市各类不能利用的土地，全面实施生态修复，逐步推动弃置地的生态功能修复和景观重建，恢复植被群落。有条件的弃置地可设置休闲、健身等功能空间，服务人民群众。实施</w:t>
      </w:r>
      <w:r>
        <w:rPr>
          <w:rStyle w:val="63"/>
          <w:rFonts w:hint="eastAsia" w:ascii="宋体" w:hAnsi="宋体" w:cs="宋体"/>
          <w:b w:val="0"/>
          <w:bCs/>
          <w:color w:val="000000" w:themeColor="text1"/>
          <w:sz w:val="28"/>
          <w:szCs w:val="28"/>
        </w:rPr>
        <w:t>立体绿化建设工程，重点研究城市立交桥、高架桥、坡岸、墙面、屋顶、城市生态修复等的立体绿化，引导和推广老城区立体绿化，倡议在新建居住区、单位庭院中建设屋顶绿化，实现立体绿化。</w:t>
      </w:r>
      <w:r>
        <w:rPr>
          <w:rStyle w:val="63"/>
          <w:rFonts w:hint="eastAsia" w:ascii="宋体" w:hAnsi="宋体" w:cs="宋体"/>
          <w:b w:val="0"/>
          <w:color w:val="000000" w:themeColor="text1"/>
          <w:sz w:val="28"/>
          <w:szCs w:val="28"/>
        </w:rPr>
        <w:t>开展城市生物多样性普查。结合本地动植物资源现状，编制出台《湘潭市生物多样性保护规划》。</w:t>
      </w:r>
    </w:p>
    <w:p w14:paraId="32EF28B0">
      <w:pPr>
        <w:pStyle w:val="64"/>
        <w:widowControl/>
        <w:numPr>
          <w:ilvl w:val="0"/>
          <w:numId w:val="3"/>
        </w:numPr>
        <w:spacing w:before="0" w:after="0" w:line="560" w:lineRule="exact"/>
        <w:ind w:firstLine="562" w:firstLineChars="200"/>
        <w:rPr>
          <w:rStyle w:val="63"/>
          <w:rFonts w:ascii="宋体" w:hAnsi="宋体" w:cs="宋体"/>
          <w:color w:val="000000" w:themeColor="text1"/>
          <w:sz w:val="28"/>
          <w:szCs w:val="28"/>
        </w:rPr>
      </w:pPr>
      <w:r>
        <w:rPr>
          <w:rStyle w:val="63"/>
          <w:rFonts w:hint="eastAsia" w:ascii="宋体" w:hAnsi="宋体" w:cs="宋体"/>
          <w:color w:val="000000" w:themeColor="text1"/>
          <w:sz w:val="28"/>
          <w:szCs w:val="28"/>
        </w:rPr>
        <w:t>智慧</w:t>
      </w:r>
      <w:r>
        <w:rPr>
          <w:rFonts w:hint="eastAsia" w:ascii="宋体" w:hAnsi="宋体" w:eastAsia="宋体" w:cs="宋体"/>
          <w:color w:val="000000" w:themeColor="text1"/>
          <w:sz w:val="28"/>
          <w:szCs w:val="28"/>
        </w:rPr>
        <w:t>园林</w:t>
      </w:r>
      <w:r>
        <w:rPr>
          <w:rStyle w:val="63"/>
          <w:rFonts w:hint="eastAsia" w:ascii="宋体" w:hAnsi="宋体" w:cs="宋体"/>
          <w:color w:val="000000" w:themeColor="text1"/>
          <w:sz w:val="28"/>
          <w:szCs w:val="28"/>
        </w:rPr>
        <w:t>建设工程</w:t>
      </w:r>
    </w:p>
    <w:p w14:paraId="3BF018E6">
      <w:pPr>
        <w:spacing w:line="560" w:lineRule="exact"/>
        <w:ind w:firstLine="560" w:firstLineChars="200"/>
        <w:textAlignment w:val="baseline"/>
        <w:rPr>
          <w:rStyle w:val="63"/>
          <w:rFonts w:ascii="宋体" w:hAnsi="宋体" w:cs="宋体"/>
          <w:color w:val="000000" w:themeColor="text1"/>
          <w:sz w:val="28"/>
          <w:szCs w:val="28"/>
        </w:rPr>
      </w:pPr>
      <w:r>
        <w:rPr>
          <w:rStyle w:val="63"/>
          <w:rFonts w:hint="eastAsia" w:ascii="宋体" w:hAnsi="宋体" w:cs="宋体"/>
          <w:color w:val="000000" w:themeColor="text1"/>
          <w:sz w:val="28"/>
          <w:szCs w:val="28"/>
        </w:rPr>
        <w:t>依托“湖南省智慧住建云”平台，搭建湘潭市园林绿化信息管理平台，推动园林绿化工程纳入全省工程建设项目审批管理系统和市场监管公共服务平台，全方位统筹与保障园林绿化建设管理工作。</w:t>
      </w:r>
      <w:r>
        <w:rPr>
          <w:rFonts w:hint="eastAsia" w:ascii="宋体" w:hAnsi="宋体" w:cs="宋体"/>
          <w:color w:val="000000" w:themeColor="text1"/>
          <w:sz w:val="28"/>
          <w:szCs w:val="28"/>
        </w:rPr>
        <w:t>加强与“智慧城管系统”平台对接和信息共享，建立涵盖绿线管理、信用信息管理、绿地管护、古树名木管理在内的智慧园林系统，纳入智慧城管系统提高管理效能。</w:t>
      </w:r>
      <w:r>
        <w:rPr>
          <w:rStyle w:val="63"/>
          <w:rFonts w:hint="eastAsia" w:ascii="宋体" w:hAnsi="宋体" w:cs="宋体"/>
          <w:color w:val="000000" w:themeColor="text1"/>
          <w:sz w:val="28"/>
          <w:szCs w:val="28"/>
        </w:rPr>
        <w:t>建立湘潭市园林绿化行业信用信息和评价管理系统，联动共享，实行分类分级动态监管。</w:t>
      </w:r>
    </w:p>
    <w:p w14:paraId="3028D398">
      <w:pPr>
        <w:pStyle w:val="35"/>
      </w:pPr>
    </w:p>
    <w:p w14:paraId="430920BC">
      <w:pPr>
        <w:pStyle w:val="3"/>
        <w:numPr>
          <w:ilvl w:val="0"/>
          <w:numId w:val="0"/>
        </w:numPr>
        <w:spacing w:before="156" w:after="156" w:line="560" w:lineRule="exact"/>
        <w:jc w:val="center"/>
        <w:rPr>
          <w:rFonts w:ascii="宋体" w:hAnsi="宋体" w:cs="宋体"/>
          <w:color w:val="000000" w:themeColor="text1"/>
          <w:sz w:val="30"/>
          <w:szCs w:val="30"/>
        </w:rPr>
      </w:pPr>
      <w:bookmarkStart w:id="142" w:name="_Toc10244"/>
      <w:r>
        <w:rPr>
          <w:rFonts w:hint="eastAsia" w:ascii="宋体" w:hAnsi="宋体" w:cs="宋体"/>
          <w:color w:val="000000" w:themeColor="text1"/>
          <w:sz w:val="30"/>
          <w:szCs w:val="30"/>
        </w:rPr>
        <w:t>第二节  实施照明设施提质工程</w:t>
      </w:r>
      <w:bookmarkEnd w:id="142"/>
    </w:p>
    <w:p w14:paraId="40A49F7C">
      <w:pPr>
        <w:pStyle w:val="4"/>
        <w:numPr>
          <w:ilvl w:val="0"/>
          <w:numId w:val="0"/>
        </w:numPr>
        <w:spacing w:before="120" w:after="156" w:line="560" w:lineRule="exact"/>
        <w:ind w:left="482"/>
        <w:rPr>
          <w:rFonts w:cs="宋体"/>
          <w:color w:val="000000" w:themeColor="text1"/>
          <w:sz w:val="28"/>
          <w:szCs w:val="28"/>
          <w:lang w:eastAsia="zh-CN"/>
        </w:rPr>
      </w:pPr>
      <w:bookmarkStart w:id="143" w:name="_Toc16817"/>
      <w:r>
        <w:rPr>
          <w:rFonts w:hint="eastAsia" w:cs="宋体"/>
          <w:color w:val="000000" w:themeColor="text1"/>
          <w:sz w:val="28"/>
          <w:szCs w:val="28"/>
          <w:lang w:eastAsia="zh-CN"/>
        </w:rPr>
        <w:t>一、继续推进绿色照明节能改造工作</w:t>
      </w:r>
      <w:bookmarkEnd w:id="143"/>
    </w:p>
    <w:p w14:paraId="0E418425">
      <w:pPr>
        <w:spacing w:line="560" w:lineRule="exact"/>
        <w:ind w:firstLine="482"/>
        <w:rPr>
          <w:rFonts w:ascii="宋体" w:hAnsi="宋体" w:cs="宋体"/>
          <w:color w:val="000000" w:themeColor="text1"/>
          <w:sz w:val="28"/>
          <w:szCs w:val="28"/>
        </w:rPr>
      </w:pPr>
      <w:r>
        <w:rPr>
          <w:rFonts w:hint="eastAsia" w:ascii="宋体" w:hAnsi="宋体" w:cs="宋体"/>
          <w:color w:val="000000" w:themeColor="text1"/>
          <w:sz w:val="28"/>
          <w:szCs w:val="28"/>
          <w:shd w:val="clear" w:color="auto" w:fill="FFFFFF"/>
        </w:rPr>
        <w:t>“十四五”期间，以推进城市照明节能和提升城市照明质量为工作目标，全面推进城市绿色照明工程，推进城市道路“多杆合一”智慧灯杆建设，并鼓励在新建照明工程中使用绿色节能环保照明产品，进一步拓宽了绿色照明产品应用范围。吸取“十三五”期间绿色照明节</w:t>
      </w:r>
      <w:r>
        <w:rPr>
          <w:rFonts w:hint="eastAsia" w:ascii="宋体" w:hAnsi="宋体" w:cs="宋体"/>
          <w:color w:val="000000" w:themeColor="text1"/>
          <w:sz w:val="28"/>
          <w:szCs w:val="28"/>
        </w:rPr>
        <w:t>能改造工程的运行经验，继续推进绿色照明节能改造工作，拟对城区重要路段进行节能试点改造，进一步加强节电降耗效果</w:t>
      </w:r>
      <w:r>
        <w:rPr>
          <w:rFonts w:hint="eastAsia" w:ascii="宋体" w:hAnsi="宋体" w:cs="宋体"/>
          <w:color w:val="000000" w:themeColor="text1"/>
          <w:sz w:val="28"/>
          <w:szCs w:val="28"/>
          <w:shd w:val="clear" w:color="auto" w:fill="FFFFFF"/>
        </w:rPr>
        <w:t>，推进绿色城市建设。</w:t>
      </w:r>
    </w:p>
    <w:p w14:paraId="52BFC262">
      <w:pPr>
        <w:pStyle w:val="4"/>
        <w:numPr>
          <w:ilvl w:val="0"/>
          <w:numId w:val="0"/>
        </w:numPr>
        <w:spacing w:before="120" w:after="156" w:line="560" w:lineRule="exact"/>
        <w:ind w:left="482"/>
        <w:rPr>
          <w:rFonts w:cs="宋体"/>
          <w:color w:val="000000" w:themeColor="text1"/>
          <w:sz w:val="28"/>
          <w:szCs w:val="28"/>
          <w:lang w:eastAsia="zh-CN"/>
        </w:rPr>
      </w:pPr>
      <w:bookmarkStart w:id="144" w:name="_Toc18640"/>
      <w:r>
        <w:rPr>
          <w:rFonts w:hint="eastAsia" w:cs="宋体"/>
          <w:color w:val="000000" w:themeColor="text1"/>
          <w:sz w:val="28"/>
          <w:szCs w:val="28"/>
          <w:lang w:eastAsia="zh-CN"/>
        </w:rPr>
        <w:t>二、完成路灯集中控制系统三期建设</w:t>
      </w:r>
      <w:bookmarkEnd w:id="144"/>
    </w:p>
    <w:p w14:paraId="610CDAC9">
      <w:pPr>
        <w:spacing w:line="560" w:lineRule="exact"/>
        <w:ind w:firstLine="560" w:firstLineChars="200"/>
        <w:rPr>
          <w:rFonts w:ascii="宋体" w:hAnsi="宋体" w:cs="宋体"/>
          <w:color w:val="000000" w:themeColor="text1"/>
          <w:sz w:val="28"/>
          <w:szCs w:val="28"/>
        </w:rPr>
      </w:pPr>
      <w:r>
        <w:rPr>
          <w:rFonts w:hint="eastAsia" w:ascii="宋体" w:hAnsi="宋体" w:cs="宋体"/>
          <w:color w:val="000000" w:themeColor="text1"/>
          <w:sz w:val="28"/>
          <w:szCs w:val="28"/>
        </w:rPr>
        <w:t>“十四五”期间，进一步实现我市城市照明体系的科学统筹管理。基于我市城市照明体系的发展方向，路灯管理将从“智能化”模式转变为“智慧化”模式，分批更换老旧设施、线路，优化图像监控、多媒体会议、路灯监控终端、4G通信模组升级、漏电检测设备</w:t>
      </w:r>
      <w:r>
        <w:rPr>
          <w:rFonts w:hint="eastAsia" w:ascii="宋体" w:hAnsi="宋体" w:cs="宋体"/>
          <w:sz w:val="28"/>
          <w:szCs w:val="28"/>
        </w:rPr>
        <w:t>、</w:t>
      </w:r>
      <w:r>
        <w:rPr>
          <w:rFonts w:hint="eastAsia" w:ascii="宋体" w:hAnsi="宋体" w:cs="宋体"/>
          <w:color w:val="000000" w:themeColor="text1"/>
          <w:sz w:val="28"/>
          <w:szCs w:val="28"/>
        </w:rPr>
        <w:t>安全管理、风险预警等设施以及逐步完善湘潭灯饰大资产数据管理平台功能。根据灯饰行业的发展趋势结合湘潭城市建设规划要求，预计建设夜景亮化系统控制平台，</w:t>
      </w:r>
      <w:r>
        <w:rPr>
          <w:rStyle w:val="63"/>
          <w:rFonts w:hint="eastAsia" w:ascii="宋体" w:hAnsi="宋体" w:cs="宋体"/>
          <w:color w:val="000000" w:themeColor="text1"/>
          <w:sz w:val="28"/>
          <w:szCs w:val="28"/>
        </w:rPr>
        <w:t>以及重要节点路段的远程单灯控制系统在重要节点道路试点并逐步在城区全面推行使用，从而做到“一把闸刀”控制管理</w:t>
      </w:r>
      <w:r>
        <w:rPr>
          <w:rFonts w:hint="eastAsia" w:ascii="宋体" w:hAnsi="宋体" w:cs="宋体"/>
          <w:color w:val="000000" w:themeColor="text1"/>
          <w:sz w:val="28"/>
          <w:szCs w:val="28"/>
        </w:rPr>
        <w:t>，真正实现我市城市照明精细化、智能化办公管理需求。</w:t>
      </w:r>
    </w:p>
    <w:p w14:paraId="1FDBABFD">
      <w:pPr>
        <w:pStyle w:val="4"/>
        <w:numPr>
          <w:ilvl w:val="0"/>
          <w:numId w:val="0"/>
        </w:numPr>
        <w:spacing w:before="120" w:after="156" w:line="560" w:lineRule="exact"/>
        <w:ind w:firstLine="562" w:firstLineChars="200"/>
        <w:rPr>
          <w:rFonts w:cs="宋体"/>
          <w:color w:val="000000" w:themeColor="text1"/>
          <w:sz w:val="28"/>
          <w:szCs w:val="28"/>
          <w:lang w:eastAsia="zh-CN"/>
        </w:rPr>
      </w:pPr>
      <w:bookmarkStart w:id="145" w:name="_Toc28914"/>
      <w:r>
        <w:rPr>
          <w:rFonts w:hint="eastAsia" w:cs="宋体"/>
          <w:color w:val="000000" w:themeColor="text1"/>
          <w:sz w:val="28"/>
          <w:szCs w:val="28"/>
          <w:lang w:eastAsia="zh-CN"/>
        </w:rPr>
        <w:t>三、整改城市照明安全隐患项目</w:t>
      </w:r>
      <w:bookmarkEnd w:id="145"/>
    </w:p>
    <w:p w14:paraId="039F76E0">
      <w:pPr>
        <w:spacing w:line="560" w:lineRule="exact"/>
        <w:ind w:firstLine="560" w:firstLineChars="200"/>
        <w:rPr>
          <w:rFonts w:ascii="宋体" w:hAnsi="宋体" w:cs="宋体"/>
          <w:color w:val="000000" w:themeColor="text1"/>
          <w:sz w:val="28"/>
          <w:szCs w:val="28"/>
        </w:rPr>
      </w:pPr>
      <w:r>
        <w:rPr>
          <w:rFonts w:hint="eastAsia" w:ascii="宋体" w:hAnsi="宋体" w:cs="宋体"/>
          <w:color w:val="000000" w:themeColor="text1"/>
          <w:sz w:val="28"/>
          <w:szCs w:val="28"/>
        </w:rPr>
        <w:t>推进一批重点照明建设项目。</w:t>
      </w:r>
      <w:r>
        <w:rPr>
          <w:rStyle w:val="63"/>
          <w:rFonts w:hint="eastAsia" w:ascii="宋体" w:hAnsi="宋体" w:cs="宋体"/>
          <w:color w:val="000000" w:themeColor="text1"/>
          <w:sz w:val="28"/>
          <w:szCs w:val="28"/>
        </w:rPr>
        <w:t>随着雨湖区、岳塘区管辖范围扩大，城镇建设速度加快，乡道、村道随之转变为城区道路，仍存在照明设施老化等安全隐患，</w:t>
      </w:r>
      <w:r>
        <w:rPr>
          <w:rFonts w:hint="eastAsia" w:ascii="宋体" w:hAnsi="宋体" w:cs="宋体"/>
          <w:color w:val="000000" w:themeColor="text1"/>
          <w:sz w:val="28"/>
          <w:szCs w:val="28"/>
        </w:rPr>
        <w:t>改造部分老旧线路及配电设施，确保城市照明设施的正常运行；清除城市道路有路无灯、着力解决有灯不亮现象，全面提升我市城市道路照明质量。同时，继续做好消除城市照明暗区盲点的民生工程，照亮市民夜间回家的路，增强市民安全感、幸福感、获得感。实施</w:t>
      </w:r>
      <w:r>
        <w:rPr>
          <w:rFonts w:hint="eastAsia" w:ascii="宋体" w:hAnsi="宋体" w:cs="宋体"/>
          <w:color w:val="000000"/>
          <w:sz w:val="28"/>
          <w:szCs w:val="28"/>
        </w:rPr>
        <w:t>湘潭二、三、四、五桥桥梁线路改造、</w:t>
      </w:r>
      <w:r>
        <w:rPr>
          <w:rFonts w:hint="eastAsia" w:ascii="宋体" w:hAnsi="宋体" w:cs="宋体"/>
          <w:color w:val="000000"/>
          <w:kern w:val="0"/>
          <w:sz w:val="28"/>
          <w:szCs w:val="28"/>
        </w:rPr>
        <w:t>湘潭大道（韶山海关-汽车东站）、芙蓉大道（原吉安路段）、北二环路（G320-新天地）</w:t>
      </w:r>
      <w:r>
        <w:rPr>
          <w:rFonts w:hint="eastAsia" w:ascii="宋体" w:hAnsi="宋体" w:cs="宋体"/>
          <w:color w:val="000000"/>
          <w:sz w:val="28"/>
          <w:szCs w:val="28"/>
        </w:rPr>
        <w:t>道路照明设施改造、45处配电设施改造、小街小巷暗区盲点路灯安装</w:t>
      </w:r>
      <w:r>
        <w:rPr>
          <w:rFonts w:hint="eastAsia" w:ascii="宋体" w:hAnsi="宋体" w:cs="宋体"/>
          <w:color w:val="000000" w:themeColor="text1"/>
          <w:sz w:val="28"/>
          <w:szCs w:val="28"/>
        </w:rPr>
        <w:t>。</w:t>
      </w:r>
    </w:p>
    <w:p w14:paraId="0C70FC09">
      <w:pPr>
        <w:pStyle w:val="4"/>
        <w:numPr>
          <w:ilvl w:val="2"/>
          <w:numId w:val="0"/>
        </w:numPr>
        <w:spacing w:before="120" w:after="156"/>
        <w:ind w:left="420" w:leftChars="200" w:firstLine="281" w:firstLineChars="100"/>
        <w:rPr>
          <w:rStyle w:val="63"/>
          <w:rFonts w:ascii="宋体" w:hAnsi="宋体" w:cs="宋体"/>
          <w:b w:val="0"/>
          <w:bCs w:val="0"/>
          <w:color w:val="000000" w:themeColor="text1"/>
          <w:szCs w:val="28"/>
        </w:rPr>
      </w:pPr>
      <w:bookmarkStart w:id="146" w:name="_Toc21055"/>
      <w:r>
        <w:rPr>
          <w:rFonts w:hint="eastAsia"/>
          <w:color w:val="000000" w:themeColor="text1"/>
          <w:sz w:val="28"/>
          <w:szCs w:val="28"/>
          <w:lang w:eastAsia="zh-CN"/>
        </w:rPr>
        <w:t>四、推进城市照明“微亮化</w:t>
      </w:r>
      <w:r>
        <w:rPr>
          <w:color w:val="000000" w:themeColor="text1"/>
          <w:sz w:val="28"/>
          <w:szCs w:val="28"/>
          <w:lang w:eastAsia="zh-CN"/>
        </w:rPr>
        <w:t>”</w:t>
      </w:r>
      <w:r>
        <w:rPr>
          <w:rFonts w:hint="eastAsia"/>
          <w:color w:val="000000" w:themeColor="text1"/>
          <w:sz w:val="28"/>
          <w:szCs w:val="28"/>
          <w:lang w:eastAsia="zh-CN"/>
        </w:rPr>
        <w:t>建设</w:t>
      </w:r>
      <w:bookmarkEnd w:id="146"/>
    </w:p>
    <w:p w14:paraId="6A2BD5D4">
      <w:pPr>
        <w:pStyle w:val="35"/>
        <w:spacing w:before="0" w:after="120" w:line="560" w:lineRule="exact"/>
        <w:ind w:firstLine="560" w:firstLineChars="200"/>
        <w:jc w:val="both"/>
        <w:rPr>
          <w:rStyle w:val="63"/>
          <w:rFonts w:ascii="宋体" w:hAnsi="宋体" w:cs="宋体"/>
          <w:b w:val="0"/>
          <w:bCs w:val="0"/>
          <w:color w:val="000000" w:themeColor="text1"/>
          <w:sz w:val="28"/>
          <w:szCs w:val="28"/>
        </w:rPr>
      </w:pPr>
      <w:r>
        <w:rPr>
          <w:rStyle w:val="63"/>
          <w:rFonts w:hint="eastAsia" w:ascii="宋体" w:hAnsi="宋体" w:cs="宋体"/>
          <w:b w:val="0"/>
          <w:bCs w:val="0"/>
          <w:color w:val="000000" w:themeColor="text1"/>
          <w:sz w:val="28"/>
          <w:szCs w:val="28"/>
        </w:rPr>
        <w:t>以社区、街头、小游园等为基本载体，结合地理环境，挖掘当地文化价值，运用简约、朴素的灯光手法，对居民照明环境进行“微手术”，打造贴近居民生活的“微夜景”，营造安全、舒适的夜游环境，提升居民的归属感、幸福感。结合我市照明现状，对雨湖公园、河西沿江风光带等公共场所实施“微亮化”试点建设，对市委、市政府、市人大、市政协大楼等湘潭城区标志性建（构）筑物的景观照明进行提质重建。</w:t>
      </w:r>
    </w:p>
    <w:p w14:paraId="05FEEC07">
      <w:pPr>
        <w:pStyle w:val="3"/>
        <w:numPr>
          <w:ilvl w:val="0"/>
          <w:numId w:val="0"/>
        </w:numPr>
        <w:spacing w:before="156" w:after="156" w:line="560" w:lineRule="exact"/>
        <w:jc w:val="center"/>
        <w:rPr>
          <w:rFonts w:ascii="宋体" w:hAnsi="宋体" w:cs="宋体"/>
          <w:color w:val="000000" w:themeColor="text1"/>
          <w:sz w:val="30"/>
          <w:szCs w:val="30"/>
        </w:rPr>
      </w:pPr>
    </w:p>
    <w:p w14:paraId="0897F387">
      <w:pPr>
        <w:pStyle w:val="3"/>
        <w:numPr>
          <w:ilvl w:val="0"/>
          <w:numId w:val="0"/>
        </w:numPr>
        <w:spacing w:before="156" w:after="156" w:line="560" w:lineRule="exact"/>
        <w:jc w:val="center"/>
        <w:rPr>
          <w:rFonts w:ascii="宋体" w:hAnsi="宋体" w:cs="宋体"/>
          <w:color w:val="000000" w:themeColor="text1"/>
        </w:rPr>
      </w:pPr>
      <w:bookmarkStart w:id="147" w:name="_Toc10925"/>
      <w:r>
        <w:rPr>
          <w:rFonts w:hint="eastAsia" w:ascii="宋体" w:hAnsi="宋体" w:cs="宋体"/>
          <w:color w:val="000000" w:themeColor="text1"/>
          <w:sz w:val="30"/>
          <w:szCs w:val="30"/>
        </w:rPr>
        <w:t>第三节  实施燃气可持续发展工程</w:t>
      </w:r>
      <w:bookmarkEnd w:id="147"/>
    </w:p>
    <w:p w14:paraId="688D2F3D">
      <w:pPr>
        <w:pStyle w:val="4"/>
        <w:numPr>
          <w:ilvl w:val="2"/>
          <w:numId w:val="0"/>
        </w:numPr>
        <w:spacing w:after="156" w:line="560" w:lineRule="exact"/>
        <w:ind w:firstLine="562" w:firstLineChars="200"/>
        <w:rPr>
          <w:rFonts w:cs="宋体"/>
          <w:color w:val="000000" w:themeColor="text1"/>
          <w:sz w:val="28"/>
          <w:szCs w:val="28"/>
          <w:lang w:eastAsia="zh-CN"/>
        </w:rPr>
      </w:pPr>
      <w:bookmarkStart w:id="148" w:name="_Toc20498"/>
      <w:r>
        <w:rPr>
          <w:rFonts w:hint="eastAsia" w:cs="宋体"/>
          <w:color w:val="000000" w:themeColor="text1"/>
          <w:sz w:val="28"/>
          <w:szCs w:val="28"/>
          <w:lang w:eastAsia="zh-CN"/>
        </w:rPr>
        <w:t>一、构建燃气稳定供给体系</w:t>
      </w:r>
      <w:bookmarkEnd w:id="148"/>
    </w:p>
    <w:p w14:paraId="30AC2D55">
      <w:pPr>
        <w:spacing w:line="560" w:lineRule="exact"/>
        <w:ind w:firstLine="560" w:firstLineChars="200"/>
        <w:rPr>
          <w:rFonts w:ascii="宋体" w:hAnsi="宋体" w:cs="宋体"/>
          <w:color w:val="000000" w:themeColor="text1"/>
          <w:sz w:val="28"/>
          <w:szCs w:val="28"/>
          <w:shd w:val="clear" w:color="auto" w:fill="FFFFFF"/>
        </w:rPr>
      </w:pPr>
      <w:r>
        <w:rPr>
          <w:rFonts w:hint="eastAsia" w:ascii="宋体" w:hAnsi="宋体" w:cs="宋体"/>
          <w:color w:val="000000" w:themeColor="text1"/>
          <w:sz w:val="28"/>
          <w:szCs w:val="28"/>
          <w:shd w:val="clear" w:color="auto" w:fill="FFFFFF"/>
        </w:rPr>
        <w:t>着力提高燃气供应系统的安全、节能、环保和管理水平，进一步扩大天然气的应用领域与应用规模，推进燃气设施智能化升级，增加管道天然气覆盖率，提高燃气普及率，突出以全市整体应急调峰能力，着力构建安全高效的管道天然气联网供应体系。建立健全市级应急调峰管网互通，形成整体性调峰，打破长期以来因燃气经营企业不一、区域各自为战的传统。对材质落后、存在漏损隐患和使用接近设计年限的管网与设施进行改造。至2025年，燃气普及率达99%。</w:t>
      </w:r>
    </w:p>
    <w:p w14:paraId="37FAF67E">
      <w:pPr>
        <w:pStyle w:val="4"/>
        <w:numPr>
          <w:ilvl w:val="2"/>
          <w:numId w:val="0"/>
        </w:numPr>
        <w:spacing w:before="120" w:after="156" w:line="560" w:lineRule="exact"/>
        <w:ind w:firstLine="562" w:firstLineChars="200"/>
        <w:rPr>
          <w:rFonts w:cs="宋体"/>
          <w:color w:val="000000" w:themeColor="text1"/>
          <w:kern w:val="2"/>
          <w:sz w:val="28"/>
          <w:szCs w:val="28"/>
          <w:shd w:val="clear" w:color="auto" w:fill="FFFFFF"/>
          <w:lang w:eastAsia="zh-CN"/>
        </w:rPr>
      </w:pPr>
      <w:bookmarkStart w:id="149" w:name="_Toc10435"/>
      <w:r>
        <w:rPr>
          <w:rFonts w:hint="eastAsia" w:cs="宋体"/>
          <w:color w:val="000000" w:themeColor="text1"/>
          <w:sz w:val="28"/>
          <w:szCs w:val="28"/>
          <w:lang w:eastAsia="zh-CN"/>
        </w:rPr>
        <w:t>二、构建地下燃气管线数据信息化平台</w:t>
      </w:r>
      <w:bookmarkEnd w:id="149"/>
    </w:p>
    <w:p w14:paraId="150BE066">
      <w:pPr>
        <w:spacing w:line="560" w:lineRule="exact"/>
        <w:ind w:firstLine="560" w:firstLineChars="200"/>
        <w:rPr>
          <w:rFonts w:ascii="宋体" w:hAnsi="宋体" w:cs="宋体"/>
          <w:color w:val="000000" w:themeColor="text1"/>
          <w:sz w:val="28"/>
          <w:szCs w:val="28"/>
          <w:shd w:val="clear" w:color="auto" w:fill="FFFFFF"/>
        </w:rPr>
      </w:pPr>
      <w:r>
        <w:rPr>
          <w:rFonts w:hint="eastAsia" w:ascii="宋体" w:hAnsi="宋体" w:cs="宋体"/>
          <w:color w:val="000000" w:themeColor="text1"/>
          <w:sz w:val="28"/>
          <w:szCs w:val="28"/>
          <w:shd w:val="clear" w:color="auto" w:fill="FFFFFF"/>
        </w:rPr>
        <w:t>加紧开展地下燃气管线普查工作，明晰管线台账，找准管线敷设位置，实现地下空间内三维立体数据化管理，加大与其他地下管线主管部门的数据共享，保证各类管线建设施工的有效安全间距，避免因第三方施工造成的管线损坏，以大数据平台实施管线监控，对于发生紧急地质灾害等其他意外情况的事故应急报警，提升相关紧急情况的应急反应处置能力。</w:t>
      </w:r>
    </w:p>
    <w:p w14:paraId="65149A5D">
      <w:pPr>
        <w:pStyle w:val="4"/>
        <w:numPr>
          <w:ilvl w:val="2"/>
          <w:numId w:val="0"/>
        </w:numPr>
        <w:spacing w:before="120" w:after="156" w:line="560" w:lineRule="exact"/>
        <w:ind w:firstLine="562" w:firstLineChars="200"/>
        <w:rPr>
          <w:rFonts w:cs="宋体"/>
          <w:color w:val="000000" w:themeColor="text1"/>
          <w:sz w:val="28"/>
          <w:szCs w:val="28"/>
          <w:lang w:eastAsia="zh-CN"/>
        </w:rPr>
      </w:pPr>
      <w:bookmarkStart w:id="150" w:name="_Toc1349"/>
      <w:r>
        <w:rPr>
          <w:rFonts w:hint="eastAsia" w:cs="宋体"/>
          <w:color w:val="000000" w:themeColor="text1"/>
          <w:sz w:val="28"/>
          <w:szCs w:val="28"/>
          <w:lang w:eastAsia="zh-CN"/>
        </w:rPr>
        <w:t>三、拓展天然气市场份额</w:t>
      </w:r>
      <w:bookmarkEnd w:id="150"/>
    </w:p>
    <w:p w14:paraId="49A386CA">
      <w:pPr>
        <w:spacing w:line="560" w:lineRule="exact"/>
        <w:ind w:firstLine="560" w:firstLineChars="200"/>
        <w:rPr>
          <w:rFonts w:ascii="宋体" w:hAnsi="宋体" w:cs="宋体"/>
          <w:color w:val="000000" w:themeColor="text1"/>
          <w:sz w:val="28"/>
          <w:szCs w:val="28"/>
          <w:shd w:val="clear" w:color="auto" w:fill="FFFFFF"/>
        </w:rPr>
      </w:pPr>
      <w:r>
        <w:rPr>
          <w:rFonts w:hint="eastAsia" w:ascii="宋体" w:hAnsi="宋体" w:cs="宋体"/>
          <w:color w:val="000000" w:themeColor="text1"/>
          <w:sz w:val="28"/>
          <w:szCs w:val="28"/>
          <w:shd w:val="clear" w:color="auto" w:fill="FFFFFF"/>
        </w:rPr>
        <w:t>推动天然气市场建设，探索建立合理价格机制，合理布局天然气销售网络和服务设施，降低天然气使用成本，扩大天然气消费规模。鼓励城镇燃气企业加大扩充大型用户市场，提升工业用气比例。支持城镇燃气企业利用压缩天然气、液化天然气等非管道供气方式覆盖天然气空白区域，引导属地城镇燃气企业培育开拓乡镇用气市场，推进燃气下乡。</w:t>
      </w:r>
    </w:p>
    <w:p w14:paraId="3FDCBAB4">
      <w:pPr>
        <w:pStyle w:val="4"/>
        <w:numPr>
          <w:ilvl w:val="2"/>
          <w:numId w:val="0"/>
        </w:numPr>
        <w:spacing w:before="120" w:after="156" w:line="560" w:lineRule="exact"/>
        <w:ind w:firstLine="562" w:firstLineChars="200"/>
        <w:rPr>
          <w:rFonts w:cs="宋体"/>
          <w:color w:val="000000" w:themeColor="text1"/>
          <w:kern w:val="2"/>
          <w:sz w:val="28"/>
          <w:szCs w:val="28"/>
          <w:shd w:val="clear" w:color="auto" w:fill="FFFFFF"/>
          <w:lang w:eastAsia="zh-CN"/>
        </w:rPr>
      </w:pPr>
      <w:bookmarkStart w:id="151" w:name="_Toc14448"/>
      <w:r>
        <w:rPr>
          <w:rFonts w:hint="eastAsia" w:cs="宋体"/>
          <w:color w:val="000000" w:themeColor="text1"/>
          <w:sz w:val="28"/>
          <w:szCs w:val="28"/>
          <w:lang w:eastAsia="zh-CN"/>
        </w:rPr>
        <w:t>四、推进分布式能源项目建设</w:t>
      </w:r>
      <w:bookmarkEnd w:id="151"/>
    </w:p>
    <w:p w14:paraId="67A49704">
      <w:pPr>
        <w:spacing w:line="560" w:lineRule="exact"/>
        <w:ind w:firstLine="560" w:firstLineChars="200"/>
        <w:rPr>
          <w:rFonts w:ascii="宋体" w:hAnsi="宋体" w:cs="宋体"/>
          <w:color w:val="000000" w:themeColor="text1"/>
          <w:sz w:val="28"/>
          <w:szCs w:val="28"/>
          <w:shd w:val="clear" w:color="auto" w:fill="FFFFFF"/>
        </w:rPr>
      </w:pPr>
      <w:r>
        <w:rPr>
          <w:rFonts w:hint="eastAsia" w:ascii="宋体" w:hAnsi="宋体" w:cs="宋体"/>
          <w:color w:val="000000" w:themeColor="text1"/>
          <w:sz w:val="28"/>
          <w:szCs w:val="28"/>
          <w:shd w:val="clear" w:color="auto" w:fill="FFFFFF"/>
        </w:rPr>
        <w:t>以专业的规划定位，确定分布式能源项目辐射区域，加大区域性能源综合利用效能，充分发挥分布式能源项目优势，切实解决周边区域内供热、供电等能耗问题，做到节能减排。</w:t>
      </w:r>
    </w:p>
    <w:p w14:paraId="7851A225">
      <w:pPr>
        <w:pStyle w:val="4"/>
        <w:numPr>
          <w:ilvl w:val="2"/>
          <w:numId w:val="0"/>
        </w:numPr>
        <w:spacing w:before="120" w:after="156" w:line="560" w:lineRule="exact"/>
        <w:ind w:firstLine="562" w:firstLineChars="200"/>
        <w:rPr>
          <w:rFonts w:cs="宋体"/>
          <w:color w:val="000000" w:themeColor="text1"/>
          <w:sz w:val="28"/>
          <w:szCs w:val="28"/>
          <w:lang w:eastAsia="zh-CN"/>
        </w:rPr>
      </w:pPr>
      <w:bookmarkStart w:id="152" w:name="_Toc3976"/>
      <w:r>
        <w:rPr>
          <w:rFonts w:hint="eastAsia" w:cs="宋体"/>
          <w:color w:val="000000" w:themeColor="text1"/>
          <w:sz w:val="28"/>
          <w:szCs w:val="28"/>
          <w:lang w:eastAsia="zh-CN"/>
        </w:rPr>
        <w:t>五、完成燃气工程建设任务</w:t>
      </w:r>
      <w:bookmarkEnd w:id="152"/>
    </w:p>
    <w:p w14:paraId="3958F0B8">
      <w:pPr>
        <w:spacing w:line="560" w:lineRule="exact"/>
        <w:ind w:firstLine="560" w:firstLineChars="200"/>
        <w:rPr>
          <w:rFonts w:ascii="宋体" w:hAnsi="宋体" w:cs="宋体"/>
          <w:color w:val="000000" w:themeColor="text1"/>
          <w:sz w:val="28"/>
          <w:szCs w:val="28"/>
          <w:shd w:val="clear" w:color="auto" w:fill="FFFFFF"/>
        </w:rPr>
      </w:pPr>
      <w:r>
        <w:rPr>
          <w:rFonts w:hint="eastAsia" w:ascii="宋体" w:hAnsi="宋体" w:cs="宋体"/>
          <w:color w:val="000000" w:themeColor="text1"/>
          <w:sz w:val="28"/>
          <w:szCs w:val="28"/>
          <w:shd w:val="clear" w:color="auto" w:fill="FFFFFF"/>
        </w:rPr>
        <w:t>开工建设城市高压燃气环网（黄茅至五大桥段），具备调峰能力10万立方米。加快完成人口密集区燃气场站搬迁工作，更新改造老旧市政燃气管道35.26公里，包括23处城区主干路管道改造；稳步推动33个城郊村和27个棚户社区，总户数约17854户的居民用户天然气管道的建设安装；结合老旧小区改造，针对市城区503个老旧小区，约2468栋居民用户，共计57公里庭院管网进行改造建设。推进燃气设施智能化升级改造，对湘潭市1000台调压设施、700台流量计、500个阀门进行智能化改造。</w:t>
      </w:r>
    </w:p>
    <w:p w14:paraId="2749D1D9">
      <w:pPr>
        <w:pStyle w:val="4"/>
        <w:numPr>
          <w:ilvl w:val="2"/>
          <w:numId w:val="0"/>
        </w:numPr>
        <w:spacing w:before="120" w:after="156"/>
        <w:ind w:firstLine="562" w:firstLineChars="200"/>
        <w:rPr>
          <w:color w:val="000000" w:themeColor="text1"/>
          <w:sz w:val="28"/>
          <w:szCs w:val="28"/>
          <w:lang w:eastAsia="zh-CN"/>
        </w:rPr>
      </w:pPr>
      <w:bookmarkStart w:id="153" w:name="_Toc6250"/>
      <w:r>
        <w:rPr>
          <w:rFonts w:hint="eastAsia"/>
          <w:color w:val="000000" w:themeColor="text1"/>
          <w:sz w:val="28"/>
          <w:szCs w:val="28"/>
          <w:lang w:eastAsia="zh-CN"/>
        </w:rPr>
        <w:t>六、完成人口密集区燃气场站搬迁工作</w:t>
      </w:r>
      <w:bookmarkEnd w:id="153"/>
    </w:p>
    <w:p w14:paraId="64075279">
      <w:pPr>
        <w:pStyle w:val="27"/>
        <w:spacing w:after="0" w:line="560" w:lineRule="exact"/>
        <w:ind w:left="0" w:leftChars="0" w:firstLine="560" w:firstLineChars="200"/>
        <w:rPr>
          <w:rFonts w:ascii="宋体" w:hAnsi="宋体" w:cs="宋体"/>
          <w:color w:val="000000" w:themeColor="text1"/>
          <w:sz w:val="28"/>
          <w:szCs w:val="28"/>
        </w:rPr>
      </w:pPr>
      <w:r>
        <w:rPr>
          <w:rFonts w:hint="eastAsia" w:ascii="宋体" w:hAnsi="宋体" w:cs="宋体"/>
          <w:color w:val="000000" w:themeColor="text1"/>
          <w:sz w:val="28"/>
          <w:szCs w:val="28"/>
        </w:rPr>
        <w:t>完善湘潭市燃气发展规划，推进完成湘潭新奥燃气有限公司熙春路汽车加气站、湘潭市液化石油气有限公司、湘潭同丰化工有限公司、中燃湘潭百江能源有限公司场站搬迁工作，有效调整燃气场站布局，加一步整合燃气资源，切实排除人口密集区燃气安全隐患。</w:t>
      </w:r>
    </w:p>
    <w:p w14:paraId="184A504C">
      <w:pPr>
        <w:pStyle w:val="4"/>
        <w:numPr>
          <w:ilvl w:val="2"/>
          <w:numId w:val="0"/>
        </w:numPr>
        <w:spacing w:before="120" w:after="156" w:line="560" w:lineRule="exact"/>
        <w:ind w:left="420" w:leftChars="200"/>
        <w:rPr>
          <w:rFonts w:cs="宋体"/>
          <w:color w:val="000000" w:themeColor="text1"/>
          <w:sz w:val="28"/>
          <w:szCs w:val="28"/>
          <w:lang w:eastAsia="zh-CN"/>
        </w:rPr>
      </w:pPr>
      <w:bookmarkStart w:id="154" w:name="_Toc29557"/>
      <w:r>
        <w:rPr>
          <w:rFonts w:hint="eastAsia" w:cs="宋体"/>
          <w:color w:val="000000" w:themeColor="text1"/>
          <w:sz w:val="28"/>
          <w:szCs w:val="28"/>
          <w:lang w:eastAsia="zh-CN"/>
        </w:rPr>
        <w:t>七、推动《湘潭市城镇燃气管理条例》出台</w:t>
      </w:r>
      <w:bookmarkEnd w:id="154"/>
    </w:p>
    <w:p w14:paraId="6A1A122E">
      <w:pPr>
        <w:spacing w:line="560" w:lineRule="exact"/>
        <w:ind w:firstLine="560" w:firstLineChars="200"/>
        <w:rPr>
          <w:rFonts w:ascii="宋体" w:hAnsi="宋体" w:cs="宋体"/>
          <w:color w:val="000000" w:themeColor="text1"/>
          <w:sz w:val="28"/>
          <w:szCs w:val="28"/>
          <w:shd w:val="clear" w:color="auto" w:fill="FFFFFF"/>
        </w:rPr>
      </w:pPr>
      <w:r>
        <w:rPr>
          <w:rFonts w:hint="eastAsia" w:ascii="宋体" w:hAnsi="宋体" w:cs="宋体"/>
          <w:color w:val="000000" w:themeColor="text1"/>
          <w:sz w:val="28"/>
          <w:szCs w:val="28"/>
          <w:shd w:val="clear" w:color="auto" w:fill="FFFFFF"/>
        </w:rPr>
        <w:t>依据国家、省、市相关法律法规，出台实施符合我市燃气行业基本情况的地方性法规，细化企业安全主体责任、经营服务标准、部门监管职责等具体内容，进一步明确法律责任，完善安全体系建设，提升我市燃气行业安全监管水平。</w:t>
      </w:r>
    </w:p>
    <w:p w14:paraId="252F9EBB">
      <w:pPr>
        <w:spacing w:line="560" w:lineRule="exact"/>
        <w:ind w:firstLine="560" w:firstLineChars="200"/>
        <w:rPr>
          <w:rFonts w:ascii="宋体" w:hAnsi="宋体" w:cs="宋体"/>
          <w:bCs/>
          <w:color w:val="000000" w:themeColor="text1"/>
          <w:sz w:val="28"/>
          <w:szCs w:val="28"/>
        </w:rPr>
      </w:pPr>
    </w:p>
    <w:p w14:paraId="427976F5">
      <w:pPr>
        <w:pStyle w:val="3"/>
        <w:numPr>
          <w:ilvl w:val="0"/>
          <w:numId w:val="0"/>
        </w:numPr>
        <w:spacing w:before="156" w:after="156" w:line="560" w:lineRule="exact"/>
        <w:jc w:val="center"/>
        <w:rPr>
          <w:rFonts w:ascii="宋体" w:hAnsi="宋体" w:cs="宋体"/>
          <w:color w:val="000000" w:themeColor="text1"/>
          <w:sz w:val="30"/>
          <w:szCs w:val="30"/>
        </w:rPr>
      </w:pPr>
      <w:bookmarkStart w:id="155" w:name="_Toc24753"/>
      <w:r>
        <w:rPr>
          <w:rFonts w:hint="eastAsia" w:ascii="宋体" w:hAnsi="宋体" w:cs="宋体"/>
          <w:color w:val="000000" w:themeColor="text1"/>
          <w:sz w:val="30"/>
          <w:szCs w:val="30"/>
        </w:rPr>
        <w:t>第四节  发展步行与自行车交通</w:t>
      </w:r>
      <w:bookmarkEnd w:id="155"/>
    </w:p>
    <w:p w14:paraId="62247F14">
      <w:pPr>
        <w:pStyle w:val="4"/>
        <w:numPr>
          <w:ilvl w:val="0"/>
          <w:numId w:val="0"/>
        </w:numPr>
        <w:spacing w:before="120" w:after="156" w:line="560" w:lineRule="exact"/>
        <w:ind w:left="482"/>
        <w:rPr>
          <w:rFonts w:cs="宋体"/>
          <w:color w:val="000000" w:themeColor="text1"/>
          <w:sz w:val="28"/>
          <w:szCs w:val="28"/>
          <w:lang w:eastAsia="zh-CN"/>
        </w:rPr>
      </w:pPr>
      <w:bookmarkStart w:id="156" w:name="_Toc16278"/>
      <w:r>
        <w:rPr>
          <w:rFonts w:hint="eastAsia" w:cs="宋体"/>
          <w:color w:val="000000" w:themeColor="text1"/>
          <w:sz w:val="28"/>
          <w:szCs w:val="28"/>
          <w:lang w:eastAsia="zh-CN"/>
        </w:rPr>
        <w:t>一、优化步行交通系统</w:t>
      </w:r>
      <w:bookmarkEnd w:id="156"/>
    </w:p>
    <w:p w14:paraId="0B4C9369">
      <w:pPr>
        <w:spacing w:line="560" w:lineRule="exact"/>
        <w:ind w:firstLine="482"/>
        <w:rPr>
          <w:rFonts w:ascii="宋体" w:hAnsi="宋体" w:cs="宋体"/>
          <w:color w:val="000000" w:themeColor="text1"/>
          <w:sz w:val="28"/>
          <w:szCs w:val="28"/>
        </w:rPr>
      </w:pPr>
      <w:r>
        <w:rPr>
          <w:rFonts w:hint="eastAsia" w:ascii="宋体" w:hAnsi="宋体" w:cs="宋体"/>
          <w:color w:val="000000" w:themeColor="text1"/>
          <w:sz w:val="28"/>
          <w:szCs w:val="28"/>
        </w:rPr>
        <w:t>倡导比例适宜的步行出行，便捷无缝衔接公共交通设施，与公共开放空间连续贯通，具有适应湘潭气候的舒适宜人空间环境和设施，容纳多样公共活动的友好步行交通系统。在规划为核心步行区、重要步行区、一般步行区和生态休闲步行区建好规划划分为都市生活步行道、通勤出行步行道、旅游休闲步行道和休闲步行专用道。</w:t>
      </w:r>
    </w:p>
    <w:p w14:paraId="061AEF68">
      <w:pPr>
        <w:pStyle w:val="4"/>
        <w:numPr>
          <w:ilvl w:val="0"/>
          <w:numId w:val="0"/>
        </w:numPr>
        <w:spacing w:before="120" w:after="156" w:line="560" w:lineRule="exact"/>
        <w:ind w:firstLine="562" w:firstLineChars="200"/>
        <w:rPr>
          <w:rFonts w:cs="宋体"/>
          <w:color w:val="000000" w:themeColor="text1"/>
          <w:sz w:val="28"/>
          <w:szCs w:val="28"/>
          <w:lang w:eastAsia="zh-CN"/>
        </w:rPr>
      </w:pPr>
      <w:bookmarkStart w:id="157" w:name="_Toc2570"/>
      <w:r>
        <w:rPr>
          <w:rFonts w:hint="eastAsia" w:cs="宋体"/>
          <w:color w:val="000000" w:themeColor="text1"/>
          <w:sz w:val="28"/>
          <w:szCs w:val="28"/>
          <w:lang w:eastAsia="zh-CN"/>
        </w:rPr>
        <w:t>二、完善自行车交通系统</w:t>
      </w:r>
      <w:bookmarkEnd w:id="157"/>
    </w:p>
    <w:p w14:paraId="14DE9B37">
      <w:pPr>
        <w:spacing w:line="560" w:lineRule="exact"/>
        <w:ind w:firstLine="560" w:firstLineChars="200"/>
        <w:jc w:val="left"/>
        <w:rPr>
          <w:rFonts w:ascii="宋体" w:hAnsi="宋体" w:cs="宋体"/>
          <w:color w:val="000000" w:themeColor="text1"/>
          <w:sz w:val="28"/>
          <w:szCs w:val="28"/>
        </w:rPr>
      </w:pPr>
      <w:r>
        <w:rPr>
          <w:rFonts w:hint="eastAsia" w:ascii="宋体" w:hAnsi="宋体" w:cs="宋体"/>
          <w:color w:val="000000" w:themeColor="text1"/>
          <w:sz w:val="28"/>
          <w:szCs w:val="28"/>
        </w:rPr>
        <w:t>以优先、大力发展公共交通为基础，建立自行车与城市公共交通系统良好的换乘；以重点区域的选取为依据，优化、整合区内外自行车网络；提高自行车系统的安全性与连续性，改善骑行环境；完善自行车管理体制和公共政策，完善湘潭市公共自行车租赁系统。</w:t>
      </w:r>
    </w:p>
    <w:p w14:paraId="2529668B">
      <w:pPr>
        <w:spacing w:line="560" w:lineRule="exact"/>
        <w:ind w:firstLine="560" w:firstLineChars="200"/>
        <w:rPr>
          <w:rFonts w:ascii="宋体" w:hAnsi="宋体" w:cs="宋体"/>
          <w:color w:val="000000" w:themeColor="text1"/>
          <w:sz w:val="28"/>
          <w:szCs w:val="28"/>
        </w:rPr>
      </w:pPr>
      <w:r>
        <w:rPr>
          <w:rFonts w:hint="eastAsia" w:ascii="宋体" w:hAnsi="宋体" w:cs="宋体"/>
          <w:color w:val="000000" w:themeColor="text1"/>
          <w:sz w:val="28"/>
          <w:szCs w:val="28"/>
        </w:rPr>
        <w:t>自行车网络由自行车道和自行车专用道两类构成，自行车道交通网络系统主要依托城市道路网布置，局部结合地块性质及功能需求布置自行车专用道。规划形成“自行车停车场+自行车道+交通分区”的格局。交通分区划分Ⅰ、Ⅱ、Ⅲ三类区及郊野类区域，自行车道划分为休闲专用道、城市一、二、级自行车道、郊野型以及滨江型自行车道。自行车停车场按枢纽级、区级、组团级 划分类别。自行车专用道主要设置与滨江、城市公园、城市郊野等休闲区域。规划区范围内设置“两带两环”自行车专用道，河西、河东滨江风光带自行车专用道， 河西仙女山、河东法华-昭山郊野地区的自行车专用道 。</w:t>
      </w:r>
    </w:p>
    <w:p w14:paraId="2DE0E183">
      <w:pPr>
        <w:spacing w:line="560" w:lineRule="exact"/>
        <w:ind w:firstLine="560" w:firstLineChars="200"/>
        <w:rPr>
          <w:rFonts w:ascii="宋体" w:hAnsi="宋体" w:cs="宋体"/>
          <w:color w:val="000000" w:themeColor="text1"/>
          <w:sz w:val="28"/>
          <w:szCs w:val="28"/>
        </w:rPr>
      </w:pPr>
      <w:r>
        <w:rPr>
          <w:rFonts w:hint="eastAsia" w:ascii="宋体" w:hAnsi="宋体" w:cs="宋体"/>
          <w:color w:val="000000" w:themeColor="text1"/>
          <w:sz w:val="28"/>
          <w:szCs w:val="28"/>
        </w:rPr>
        <w:t>优化自行车与对外交通枢纽、轨道交通、中运量、码头、公交车站等公共交通系统的衔接，统筹自行车与机动车道、机动车停车等的协调，完善自行车稳静化措施。</w:t>
      </w:r>
    </w:p>
    <w:p w14:paraId="2BCB7A28">
      <w:pPr>
        <w:spacing w:line="560" w:lineRule="exact"/>
        <w:ind w:firstLine="560" w:firstLineChars="200"/>
        <w:rPr>
          <w:rFonts w:ascii="宋体" w:hAnsi="宋体" w:cs="宋体"/>
          <w:color w:val="000000" w:themeColor="text1"/>
          <w:sz w:val="28"/>
          <w:szCs w:val="28"/>
        </w:rPr>
      </w:pPr>
    </w:p>
    <w:p w14:paraId="4D508F53">
      <w:pPr>
        <w:pStyle w:val="3"/>
        <w:numPr>
          <w:ilvl w:val="0"/>
          <w:numId w:val="0"/>
        </w:numPr>
        <w:spacing w:before="156" w:after="156" w:line="560" w:lineRule="exact"/>
        <w:jc w:val="center"/>
        <w:rPr>
          <w:rFonts w:ascii="宋体" w:hAnsi="宋体" w:cs="宋体"/>
          <w:color w:val="000000" w:themeColor="text1"/>
        </w:rPr>
      </w:pPr>
      <w:bookmarkStart w:id="158" w:name="_Toc9334"/>
      <w:r>
        <w:rPr>
          <w:rFonts w:hint="eastAsia" w:ascii="宋体" w:hAnsi="宋体" w:cs="宋体"/>
          <w:color w:val="000000" w:themeColor="text1"/>
          <w:sz w:val="30"/>
          <w:szCs w:val="30"/>
        </w:rPr>
        <w:t>第五节  全面完善停车设施</w:t>
      </w:r>
      <w:bookmarkEnd w:id="158"/>
    </w:p>
    <w:p w14:paraId="4054FBDD">
      <w:pPr>
        <w:pStyle w:val="4"/>
        <w:numPr>
          <w:ilvl w:val="0"/>
          <w:numId w:val="0"/>
        </w:numPr>
        <w:spacing w:before="120" w:after="156" w:line="560" w:lineRule="exact"/>
        <w:ind w:left="482"/>
        <w:rPr>
          <w:rFonts w:cs="宋体"/>
          <w:color w:val="000000" w:themeColor="text1"/>
          <w:sz w:val="28"/>
          <w:szCs w:val="28"/>
          <w:lang w:eastAsia="zh-CN"/>
        </w:rPr>
      </w:pPr>
      <w:bookmarkStart w:id="159" w:name="_Toc6726"/>
      <w:r>
        <w:rPr>
          <w:rFonts w:hint="eastAsia" w:cs="宋体"/>
          <w:color w:val="000000" w:themeColor="text1"/>
          <w:sz w:val="28"/>
          <w:szCs w:val="28"/>
          <w:lang w:eastAsia="zh-CN"/>
        </w:rPr>
        <w:t>一、加快停车场（位）建设</w:t>
      </w:r>
      <w:bookmarkEnd w:id="159"/>
    </w:p>
    <w:p w14:paraId="00FB5C31">
      <w:pPr>
        <w:spacing w:line="560" w:lineRule="exact"/>
        <w:ind w:firstLine="482"/>
        <w:rPr>
          <w:rFonts w:ascii="宋体" w:hAnsi="宋体" w:cs="宋体"/>
          <w:color w:val="000000" w:themeColor="text1"/>
          <w:sz w:val="28"/>
          <w:szCs w:val="28"/>
        </w:rPr>
      </w:pPr>
      <w:r>
        <w:rPr>
          <w:rFonts w:hint="eastAsia" w:ascii="宋体" w:hAnsi="宋体" w:cs="宋体"/>
          <w:color w:val="000000" w:themeColor="text1"/>
          <w:sz w:val="28"/>
          <w:szCs w:val="28"/>
        </w:rPr>
        <w:t>规划新建城市公共停车场35处，增加停车位5657个；在现状的基础上新增路内停车道路51条，新增3387个路内停车位；改造城市公共停车场35处，增加停车位5664个；改善老旧小区29片，增加停车位2000个；启动一类控制区内75条道路，共计11779个停车泊位收费试点。具体建设方案：（1）改善一批老旧小区。结合《老旧小区改造三年行动计划》，通过对29个美好社区的更新改造，新增停车泊位2000个。（2）改造一批现状停车场。对老城区机关事业单位、医院、商场等35处现状停车场进行平改立，新增停车泊位5664个。（3）新建一批城市公共停车场。新建城市公共停车场35处，新增供车位5657个，停车面积14.32公顷。</w:t>
      </w:r>
    </w:p>
    <w:p w14:paraId="640BB6DD">
      <w:pPr>
        <w:pStyle w:val="4"/>
        <w:numPr>
          <w:ilvl w:val="0"/>
          <w:numId w:val="0"/>
        </w:numPr>
        <w:spacing w:before="120" w:after="156" w:line="560" w:lineRule="exact"/>
        <w:ind w:firstLine="562" w:firstLineChars="200"/>
        <w:rPr>
          <w:rFonts w:cs="宋体"/>
          <w:color w:val="000000" w:themeColor="text1"/>
          <w:sz w:val="28"/>
          <w:szCs w:val="28"/>
          <w:lang w:eastAsia="zh-CN"/>
        </w:rPr>
      </w:pPr>
      <w:bookmarkStart w:id="160" w:name="_Toc4686"/>
      <w:r>
        <w:rPr>
          <w:rFonts w:hint="eastAsia" w:cs="宋体"/>
          <w:color w:val="000000" w:themeColor="text1"/>
          <w:sz w:val="28"/>
          <w:szCs w:val="28"/>
          <w:lang w:eastAsia="zh-CN"/>
        </w:rPr>
        <w:t>二、建立停车设施有偿使用机制</w:t>
      </w:r>
      <w:bookmarkEnd w:id="160"/>
    </w:p>
    <w:p w14:paraId="20504341">
      <w:pPr>
        <w:autoSpaceDE w:val="0"/>
        <w:autoSpaceDN w:val="0"/>
        <w:adjustRightInd w:val="0"/>
        <w:spacing w:line="560" w:lineRule="exact"/>
        <w:ind w:firstLine="560" w:firstLineChars="200"/>
        <w:jc w:val="left"/>
        <w:rPr>
          <w:rFonts w:ascii="宋体" w:hAnsi="宋体" w:cs="宋体"/>
          <w:color w:val="000000" w:themeColor="text1"/>
          <w:kern w:val="0"/>
          <w:sz w:val="28"/>
          <w:szCs w:val="28"/>
        </w:rPr>
      </w:pPr>
      <w:r>
        <w:rPr>
          <w:rFonts w:hint="eastAsia" w:ascii="宋体" w:hAnsi="宋体" w:cs="宋体"/>
          <w:color w:val="000000" w:themeColor="text1"/>
          <w:kern w:val="0"/>
          <w:sz w:val="28"/>
          <w:szCs w:val="28"/>
        </w:rPr>
        <w:t>启动一类控制区范围内停车收费试点工作。包括路内停车泊位、城市公共停车场、机关、事业单位及商业配套停车场的停车收费。完善一类控制区内停车智能管理及诱导系统，启动75个路段，1.18万个泊位的停车收费试点。启动一类控制区内23处现状城市公共停车场停车收费，共计4411个停车泊位。启动一类控制区内机关、单位配建停车收费，共89处，6817个停车泊位。启动一类控制区内129处商业配套停车设施的停车收费，共15412个停车泊位。</w:t>
      </w:r>
    </w:p>
    <w:p w14:paraId="743C7E51">
      <w:pPr>
        <w:pStyle w:val="4"/>
        <w:numPr>
          <w:ilvl w:val="0"/>
          <w:numId w:val="0"/>
        </w:numPr>
        <w:spacing w:before="120" w:after="156" w:line="560" w:lineRule="exact"/>
        <w:ind w:firstLine="562" w:firstLineChars="200"/>
        <w:rPr>
          <w:rFonts w:cs="宋体"/>
          <w:color w:val="000000" w:themeColor="text1"/>
          <w:sz w:val="28"/>
          <w:szCs w:val="28"/>
          <w:lang w:eastAsia="zh-CN"/>
        </w:rPr>
      </w:pPr>
      <w:bookmarkStart w:id="161" w:name="_Toc25531"/>
      <w:r>
        <w:rPr>
          <w:rFonts w:hint="eastAsia" w:cs="宋体"/>
          <w:color w:val="000000" w:themeColor="text1"/>
          <w:sz w:val="28"/>
          <w:szCs w:val="28"/>
          <w:lang w:eastAsia="zh-CN"/>
        </w:rPr>
        <w:t>三、加强停车设施信息化建设</w:t>
      </w:r>
      <w:bookmarkEnd w:id="161"/>
    </w:p>
    <w:p w14:paraId="43D0CF0B">
      <w:pPr>
        <w:autoSpaceDE w:val="0"/>
        <w:autoSpaceDN w:val="0"/>
        <w:adjustRightInd w:val="0"/>
        <w:spacing w:line="560" w:lineRule="exact"/>
        <w:ind w:firstLine="560" w:firstLineChars="200"/>
        <w:jc w:val="left"/>
        <w:rPr>
          <w:rFonts w:ascii="宋体" w:hAnsi="宋体" w:cs="宋体"/>
          <w:color w:val="000000" w:themeColor="text1"/>
          <w:kern w:val="0"/>
          <w:sz w:val="28"/>
          <w:szCs w:val="28"/>
        </w:rPr>
      </w:pPr>
      <w:r>
        <w:rPr>
          <w:rFonts w:hint="eastAsia" w:ascii="宋体" w:hAnsi="宋体" w:cs="宋体"/>
          <w:color w:val="000000" w:themeColor="text1"/>
          <w:kern w:val="0"/>
          <w:sz w:val="28"/>
          <w:szCs w:val="28"/>
        </w:rPr>
        <w:t>建立停车管理信息系统，提高公共停车系统的运行效率。采用地理信息系统GIS技术，使停车信息管理图形化、可视化，并逐步实现动态实时更新，为公众提供各种动态与静态停车信息，实现信息查询和覆盖广泛的停车诱导服务，同时为相关部门查询、研究、管理等工作提供技术支持。</w:t>
      </w:r>
    </w:p>
    <w:p w14:paraId="30C5C8F5">
      <w:pPr>
        <w:pStyle w:val="4"/>
        <w:numPr>
          <w:ilvl w:val="0"/>
          <w:numId w:val="0"/>
        </w:numPr>
        <w:spacing w:before="120" w:after="156" w:line="560" w:lineRule="exact"/>
        <w:ind w:firstLine="562" w:firstLineChars="200"/>
        <w:rPr>
          <w:rFonts w:cs="宋体"/>
          <w:color w:val="000000" w:themeColor="text1"/>
          <w:sz w:val="28"/>
          <w:szCs w:val="28"/>
          <w:lang w:eastAsia="zh-CN"/>
        </w:rPr>
      </w:pPr>
      <w:bookmarkStart w:id="162" w:name="_Toc12562"/>
      <w:r>
        <w:rPr>
          <w:rFonts w:hint="eastAsia" w:cs="宋体"/>
          <w:color w:val="000000" w:themeColor="text1"/>
          <w:sz w:val="28"/>
          <w:szCs w:val="28"/>
          <w:lang w:eastAsia="zh-CN"/>
        </w:rPr>
        <w:t>四、推进停车设施管理立法工作</w:t>
      </w:r>
      <w:bookmarkEnd w:id="162"/>
    </w:p>
    <w:p w14:paraId="48930F38">
      <w:pPr>
        <w:pStyle w:val="8"/>
        <w:ind w:firstLine="560" w:firstLineChars="200"/>
        <w:rPr>
          <w:rFonts w:ascii="宋体" w:hAnsi="宋体" w:cs="宋体"/>
          <w:color w:val="000000" w:themeColor="text1"/>
          <w:kern w:val="0"/>
          <w:sz w:val="28"/>
          <w:szCs w:val="28"/>
        </w:rPr>
      </w:pPr>
      <w:r>
        <w:rPr>
          <w:rFonts w:hint="eastAsia" w:ascii="宋体" w:hAnsi="宋体" w:cs="宋体"/>
          <w:color w:val="000000" w:themeColor="text1"/>
          <w:kern w:val="0"/>
          <w:sz w:val="28"/>
          <w:szCs w:val="28"/>
        </w:rPr>
        <w:t>出台</w:t>
      </w:r>
      <w:r>
        <w:rPr>
          <w:rFonts w:hint="eastAsia"/>
          <w:sz w:val="28"/>
          <w:szCs w:val="28"/>
        </w:rPr>
        <w:t>《湘潭市城区机动车停车场管理暂行办法》</w:t>
      </w:r>
      <w:r>
        <w:rPr>
          <w:rFonts w:hint="eastAsia" w:ascii="宋体" w:hAnsi="宋体" w:cs="宋体"/>
          <w:color w:val="000000" w:themeColor="text1"/>
          <w:kern w:val="0"/>
          <w:sz w:val="28"/>
          <w:szCs w:val="28"/>
        </w:rPr>
        <w:t>及相关地方性停车法规，完善细化《湘潭市机动车停放服务收费管理细则》，做到停车设施的规划建设和管理运营有法可依、有章可循。</w:t>
      </w:r>
    </w:p>
    <w:p w14:paraId="62DE601E">
      <w:pPr>
        <w:pStyle w:val="3"/>
        <w:numPr>
          <w:ilvl w:val="0"/>
          <w:numId w:val="0"/>
        </w:numPr>
        <w:spacing w:before="156" w:after="156" w:line="560" w:lineRule="exact"/>
        <w:jc w:val="center"/>
        <w:rPr>
          <w:rFonts w:ascii="宋体" w:hAnsi="宋体" w:cs="宋体"/>
          <w:color w:val="000000" w:themeColor="text1"/>
          <w:sz w:val="30"/>
          <w:szCs w:val="30"/>
        </w:rPr>
      </w:pPr>
    </w:p>
    <w:p w14:paraId="3A6CF95C">
      <w:pPr>
        <w:spacing w:line="560" w:lineRule="exact"/>
        <w:ind w:firstLine="560" w:firstLineChars="200"/>
        <w:rPr>
          <w:rFonts w:ascii="宋体" w:hAnsi="宋体" w:cs="宋体"/>
          <w:color w:val="000000" w:themeColor="text1"/>
          <w:sz w:val="28"/>
          <w:szCs w:val="28"/>
        </w:rPr>
      </w:pPr>
    </w:p>
    <w:p w14:paraId="51D63900">
      <w:pPr>
        <w:spacing w:line="560" w:lineRule="exact"/>
        <w:ind w:firstLine="560" w:firstLineChars="200"/>
        <w:rPr>
          <w:rFonts w:ascii="宋体" w:hAnsi="宋体" w:cs="宋体"/>
          <w:color w:val="000000" w:themeColor="text1"/>
          <w:sz w:val="28"/>
          <w:szCs w:val="28"/>
        </w:rPr>
      </w:pPr>
    </w:p>
    <w:p w14:paraId="2D23521D">
      <w:pPr>
        <w:spacing w:line="560" w:lineRule="exact"/>
        <w:ind w:firstLine="560" w:firstLineChars="200"/>
        <w:rPr>
          <w:rFonts w:ascii="宋体" w:hAnsi="宋体" w:cs="宋体"/>
          <w:color w:val="000000" w:themeColor="text1"/>
          <w:sz w:val="28"/>
          <w:szCs w:val="28"/>
        </w:rPr>
      </w:pPr>
    </w:p>
    <w:p w14:paraId="72AC08D5">
      <w:pPr>
        <w:spacing w:line="560" w:lineRule="exact"/>
        <w:ind w:firstLine="560" w:firstLineChars="200"/>
        <w:rPr>
          <w:rFonts w:ascii="宋体" w:hAnsi="宋体" w:cs="宋体"/>
          <w:color w:val="000000" w:themeColor="text1"/>
          <w:sz w:val="28"/>
          <w:szCs w:val="28"/>
        </w:rPr>
      </w:pPr>
    </w:p>
    <w:p w14:paraId="1BD54703">
      <w:pPr>
        <w:pStyle w:val="2"/>
        <w:numPr>
          <w:ilvl w:val="0"/>
          <w:numId w:val="0"/>
        </w:numPr>
        <w:rPr>
          <w:sz w:val="30"/>
          <w:szCs w:val="30"/>
          <w:lang w:eastAsia="zh-CN"/>
        </w:rPr>
      </w:pPr>
      <w:bookmarkStart w:id="163" w:name="_Toc31138"/>
      <w:r>
        <w:rPr>
          <w:rFonts w:hint="eastAsia"/>
          <w:sz w:val="30"/>
          <w:szCs w:val="30"/>
          <w:lang w:eastAsia="zh-CN"/>
        </w:rPr>
        <w:t>第九章加速城市管理和执法体制改革，</w:t>
      </w:r>
      <w:r>
        <w:rPr>
          <w:rFonts w:hint="eastAsia" w:ascii="宋体" w:hAnsi="宋体" w:cs="宋体"/>
          <w:color w:val="000000" w:themeColor="text1"/>
          <w:sz w:val="30"/>
          <w:szCs w:val="30"/>
          <w:lang w:eastAsia="zh-CN"/>
        </w:rPr>
        <w:t>推进城市治理现代化</w:t>
      </w:r>
      <w:bookmarkEnd w:id="163"/>
    </w:p>
    <w:p w14:paraId="3D683400">
      <w:pPr>
        <w:snapToGrid w:val="0"/>
        <w:spacing w:line="600" w:lineRule="exact"/>
        <w:jc w:val="center"/>
        <w:textAlignment w:val="baseline"/>
        <w:rPr>
          <w:rFonts w:ascii="宋体" w:hAnsi="宋体"/>
          <w:b/>
          <w:color w:val="0000FF"/>
          <w:sz w:val="28"/>
          <w:szCs w:val="28"/>
        </w:rPr>
      </w:pPr>
    </w:p>
    <w:p w14:paraId="09753FF8">
      <w:pPr>
        <w:pStyle w:val="3"/>
        <w:numPr>
          <w:ilvl w:val="1"/>
          <w:numId w:val="0"/>
        </w:numPr>
        <w:spacing w:before="156" w:after="156" w:line="560" w:lineRule="exact"/>
        <w:ind w:left="1644"/>
        <w:rPr>
          <w:color w:val="000000" w:themeColor="text1"/>
        </w:rPr>
      </w:pPr>
      <w:bookmarkStart w:id="164" w:name="_Toc28135"/>
      <w:r>
        <w:rPr>
          <w:rFonts w:hint="eastAsia"/>
          <w:color w:val="000000" w:themeColor="text1"/>
          <w:sz w:val="30"/>
          <w:szCs w:val="30"/>
        </w:rPr>
        <w:t>第一节城市管理和执法体制改革依据</w:t>
      </w:r>
      <w:bookmarkEnd w:id="164"/>
    </w:p>
    <w:p w14:paraId="229F73E5">
      <w:pPr>
        <w:snapToGrid w:val="0"/>
        <w:spacing w:line="560" w:lineRule="exact"/>
        <w:ind w:firstLine="560" w:firstLineChars="200"/>
        <w:textAlignment w:val="baseline"/>
        <w:rPr>
          <w:rFonts w:ascii="宋体" w:hAnsi="宋体"/>
          <w:color w:val="000000" w:themeColor="text1"/>
          <w:sz w:val="28"/>
          <w:szCs w:val="28"/>
        </w:rPr>
      </w:pPr>
      <w:r>
        <w:rPr>
          <w:rFonts w:hint="eastAsia" w:ascii="宋体" w:hAnsi="宋体"/>
          <w:color w:val="000000" w:themeColor="text1"/>
          <w:sz w:val="28"/>
          <w:szCs w:val="28"/>
        </w:rPr>
        <w:t>根据《中共中央国务院关于深入推进城市执法体制改革改进城市管理工作的指导意见》（中发〔</w:t>
      </w:r>
      <w:r>
        <w:rPr>
          <w:rFonts w:ascii="宋体" w:hAnsi="宋体"/>
          <w:color w:val="000000" w:themeColor="text1"/>
          <w:sz w:val="28"/>
          <w:szCs w:val="28"/>
        </w:rPr>
        <w:t>2015</w:t>
      </w:r>
      <w:r>
        <w:rPr>
          <w:rFonts w:hint="eastAsia" w:ascii="宋体" w:hAnsi="宋体"/>
          <w:color w:val="000000" w:themeColor="text1"/>
          <w:sz w:val="28"/>
          <w:szCs w:val="28"/>
        </w:rPr>
        <w:t>〕</w:t>
      </w:r>
      <w:r>
        <w:rPr>
          <w:rFonts w:ascii="宋体" w:hAnsi="宋体"/>
          <w:color w:val="000000" w:themeColor="text1"/>
          <w:sz w:val="28"/>
          <w:szCs w:val="28"/>
        </w:rPr>
        <w:t>37</w:t>
      </w:r>
      <w:r>
        <w:rPr>
          <w:rFonts w:hint="eastAsia" w:ascii="宋体" w:hAnsi="宋体"/>
          <w:color w:val="000000" w:themeColor="text1"/>
          <w:sz w:val="28"/>
          <w:szCs w:val="28"/>
        </w:rPr>
        <w:t>号）《中共湖南省委湖南省人民政府关于深入推进城市执法体制改革改进城市管理工作的实施意见》（湘发〔</w:t>
      </w:r>
      <w:r>
        <w:rPr>
          <w:rFonts w:ascii="宋体" w:hAnsi="宋体"/>
          <w:color w:val="000000" w:themeColor="text1"/>
          <w:sz w:val="28"/>
          <w:szCs w:val="28"/>
        </w:rPr>
        <w:t>2016</w:t>
      </w:r>
      <w:r>
        <w:rPr>
          <w:rFonts w:hint="eastAsia" w:ascii="宋体" w:hAnsi="宋体"/>
          <w:color w:val="000000" w:themeColor="text1"/>
          <w:sz w:val="28"/>
          <w:szCs w:val="28"/>
        </w:rPr>
        <w:t>〕</w:t>
      </w:r>
      <w:r>
        <w:rPr>
          <w:rFonts w:ascii="宋体" w:hAnsi="宋体"/>
          <w:color w:val="000000" w:themeColor="text1"/>
          <w:sz w:val="28"/>
          <w:szCs w:val="28"/>
        </w:rPr>
        <w:t>30</w:t>
      </w:r>
      <w:r>
        <w:rPr>
          <w:rFonts w:hint="eastAsia" w:ascii="宋体" w:hAnsi="宋体"/>
          <w:color w:val="000000" w:themeColor="text1"/>
          <w:sz w:val="28"/>
          <w:szCs w:val="28"/>
        </w:rPr>
        <w:t>号）</w:t>
      </w:r>
      <w:r>
        <w:rPr>
          <w:color w:val="000000" w:themeColor="text1"/>
        </w:rPr>
        <w:pict>
          <v:rect id="Rectangle 2" o:spid="_x0000_s1029" o:spt="1" style="position:absolute;left:0pt;margin-left:357pt;margin-top:631.8pt;height:31.2pt;width:84pt;z-index:251659264;mso-width-relative:page;mso-height-relative:page;" stroked="t" coordsize="21600,21600" o:gfxdata="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C9wGhz2QAAAA0BAAAPAAAAAAAAAAEAIAAAACIAAABkcnMvZG93bnJldi54bWxQSwEC&#10;FAAUAAAACACHTuJAHfc6wywCAAB9BAAADgAAAAAAAAABACAAAAAoAQAAZHJzL2Uyb0RvYy54bWxQ&#10;SwUGAAAAAAYABgBZAQAAxgUAAAAA&#10;">
            <v:path/>
            <v:fill focussize="0,0"/>
            <v:stroke color="#FFFFFF"/>
            <v:imagedata o:title=""/>
            <o:lock v:ext="edit"/>
            <v:textbox>
              <w:txbxContent>
                <w:p w14:paraId="24225011"/>
              </w:txbxContent>
            </v:textbox>
          </v:rect>
        </w:pict>
      </w:r>
      <w:r>
        <w:rPr>
          <w:rFonts w:hint="eastAsia" w:ascii="宋体" w:hAnsi="宋体"/>
          <w:color w:val="000000" w:themeColor="text1"/>
          <w:sz w:val="28"/>
          <w:szCs w:val="28"/>
        </w:rPr>
        <w:t>以及《湖南省住房和城乡建设厅关于</w:t>
      </w:r>
      <w:r>
        <w:rPr>
          <w:rFonts w:ascii="宋体" w:hAnsi="宋体"/>
          <w:color w:val="000000" w:themeColor="text1"/>
          <w:sz w:val="28"/>
          <w:szCs w:val="28"/>
        </w:rPr>
        <w:t>&lt;</w:t>
      </w:r>
      <w:r>
        <w:rPr>
          <w:rFonts w:hint="eastAsia" w:ascii="宋体" w:hAnsi="宋体"/>
          <w:color w:val="000000" w:themeColor="text1"/>
          <w:sz w:val="28"/>
          <w:szCs w:val="28"/>
        </w:rPr>
        <w:t>湘潭市城市管理和综合执法体制改革实施方案</w:t>
      </w:r>
      <w:r>
        <w:rPr>
          <w:rFonts w:ascii="宋体" w:hAnsi="宋体"/>
          <w:color w:val="000000" w:themeColor="text1"/>
          <w:sz w:val="28"/>
          <w:szCs w:val="28"/>
        </w:rPr>
        <w:t>&gt;</w:t>
      </w:r>
      <w:r>
        <w:rPr>
          <w:rFonts w:hint="eastAsia" w:ascii="宋体" w:hAnsi="宋体"/>
          <w:color w:val="000000" w:themeColor="text1"/>
          <w:sz w:val="28"/>
          <w:szCs w:val="28"/>
        </w:rPr>
        <w:t>的复函》（湘建执函〔</w:t>
      </w:r>
      <w:r>
        <w:rPr>
          <w:rFonts w:ascii="宋体" w:hAnsi="宋体"/>
          <w:color w:val="000000" w:themeColor="text1"/>
          <w:sz w:val="28"/>
          <w:szCs w:val="28"/>
        </w:rPr>
        <w:t>2020</w:t>
      </w:r>
      <w:r>
        <w:rPr>
          <w:rFonts w:hint="eastAsia" w:ascii="宋体" w:hAnsi="宋体"/>
          <w:color w:val="000000" w:themeColor="text1"/>
          <w:sz w:val="28"/>
          <w:szCs w:val="28"/>
        </w:rPr>
        <w:t>〕</w:t>
      </w:r>
      <w:r>
        <w:rPr>
          <w:rFonts w:ascii="宋体" w:hAnsi="宋体"/>
          <w:color w:val="000000" w:themeColor="text1"/>
          <w:sz w:val="28"/>
          <w:szCs w:val="28"/>
        </w:rPr>
        <w:t>157</w:t>
      </w:r>
      <w:r>
        <w:rPr>
          <w:rFonts w:hint="eastAsia" w:ascii="宋体" w:hAnsi="宋体"/>
          <w:color w:val="000000" w:themeColor="text1"/>
          <w:sz w:val="28"/>
          <w:szCs w:val="28"/>
        </w:rPr>
        <w:t>号）等文件精神，结合湘潭实际，规划</w:t>
      </w:r>
      <w:r>
        <w:rPr>
          <w:rFonts w:hint="eastAsia" w:ascii="宋体" w:hAnsi="宋体" w:cs="宋体"/>
          <w:color w:val="000000" w:themeColor="text1"/>
          <w:sz w:val="30"/>
          <w:szCs w:val="30"/>
        </w:rPr>
        <w:t>推进城市管理和执法体制改革，提升行业管理水平</w:t>
      </w:r>
      <w:r>
        <w:rPr>
          <w:rFonts w:hint="eastAsia" w:ascii="宋体" w:hAnsi="宋体"/>
          <w:color w:val="000000" w:themeColor="text1"/>
          <w:sz w:val="28"/>
          <w:szCs w:val="28"/>
        </w:rPr>
        <w:t>。</w:t>
      </w:r>
    </w:p>
    <w:p w14:paraId="6EEC5EA9">
      <w:pPr>
        <w:snapToGrid w:val="0"/>
        <w:spacing w:line="560" w:lineRule="exact"/>
        <w:ind w:firstLine="560" w:firstLineChars="200"/>
        <w:textAlignment w:val="baseline"/>
        <w:rPr>
          <w:rFonts w:ascii="宋体" w:hAnsi="宋体"/>
          <w:color w:val="0000FF"/>
          <w:sz w:val="28"/>
          <w:szCs w:val="28"/>
        </w:rPr>
      </w:pPr>
    </w:p>
    <w:p w14:paraId="272C38A1">
      <w:pPr>
        <w:pStyle w:val="3"/>
        <w:numPr>
          <w:ilvl w:val="1"/>
          <w:numId w:val="0"/>
        </w:numPr>
        <w:spacing w:before="156" w:after="156" w:line="560" w:lineRule="exact"/>
        <w:ind w:left="1644"/>
        <w:rPr>
          <w:sz w:val="30"/>
          <w:szCs w:val="30"/>
        </w:rPr>
      </w:pPr>
      <w:bookmarkStart w:id="165" w:name="_Toc18478"/>
      <w:r>
        <w:rPr>
          <w:rFonts w:hint="eastAsia"/>
          <w:sz w:val="30"/>
          <w:szCs w:val="30"/>
        </w:rPr>
        <w:t>第二节城市管理和执法体制改革总体思路</w:t>
      </w:r>
      <w:bookmarkEnd w:id="165"/>
    </w:p>
    <w:p w14:paraId="7E792F90">
      <w:pPr>
        <w:pStyle w:val="4"/>
        <w:numPr>
          <w:ilvl w:val="2"/>
          <w:numId w:val="0"/>
        </w:numPr>
        <w:spacing w:after="156" w:line="560" w:lineRule="exact"/>
        <w:ind w:left="420" w:leftChars="200" w:firstLine="281" w:firstLineChars="100"/>
        <w:rPr>
          <w:color w:val="000000" w:themeColor="text1"/>
          <w:sz w:val="28"/>
          <w:szCs w:val="28"/>
          <w:lang w:eastAsia="zh-CN"/>
        </w:rPr>
      </w:pPr>
      <w:bookmarkStart w:id="166" w:name="_Toc30364"/>
      <w:r>
        <w:rPr>
          <w:rFonts w:hint="eastAsia"/>
          <w:color w:val="000000" w:themeColor="text1"/>
          <w:sz w:val="28"/>
          <w:szCs w:val="28"/>
          <w:lang w:eastAsia="zh-CN"/>
        </w:rPr>
        <w:t>一、指导思想</w:t>
      </w:r>
      <w:bookmarkEnd w:id="166"/>
    </w:p>
    <w:p w14:paraId="4BEF0DF4">
      <w:pPr>
        <w:spacing w:line="560" w:lineRule="exact"/>
        <w:ind w:firstLine="560" w:firstLineChars="200"/>
        <w:textAlignment w:val="baseline"/>
        <w:rPr>
          <w:rFonts w:ascii="宋体"/>
          <w:color w:val="000000" w:themeColor="text1"/>
          <w:sz w:val="28"/>
          <w:szCs w:val="28"/>
        </w:rPr>
      </w:pPr>
      <w:r>
        <w:rPr>
          <w:rFonts w:hint="eastAsia" w:ascii="宋体" w:hAnsi="宋体"/>
          <w:color w:val="000000" w:themeColor="text1"/>
          <w:sz w:val="28"/>
          <w:szCs w:val="28"/>
        </w:rPr>
        <w:t>坚持以习近平新时代中国特色社会主义思想为指导，深入贯彻落实党的十九大和十九届二中、三中、四中、五中全会精神以及中央城镇化工作会议、中央城市工作会议精神，牢固树立创新、协调、绿色、开放、共享的发展理念，以城市管理现代化为指向，进一步转变政府职能，构建权责明晰、服务为先、管理优化、执法规范、安全有序的城市管理体制，推动城市管理走向城市治理，促进城市运行高效有序，实现城市让生活更美好。</w:t>
      </w:r>
    </w:p>
    <w:p w14:paraId="5461AB02">
      <w:pPr>
        <w:pStyle w:val="4"/>
        <w:numPr>
          <w:ilvl w:val="2"/>
          <w:numId w:val="0"/>
        </w:numPr>
        <w:spacing w:after="156" w:line="560" w:lineRule="exact"/>
        <w:ind w:left="420" w:leftChars="200" w:firstLine="281" w:firstLineChars="100"/>
        <w:rPr>
          <w:color w:val="000000" w:themeColor="text1"/>
          <w:szCs w:val="28"/>
          <w:lang w:eastAsia="zh-CN"/>
        </w:rPr>
      </w:pPr>
      <w:bookmarkStart w:id="167" w:name="_Toc11114"/>
      <w:r>
        <w:rPr>
          <w:rFonts w:hint="eastAsia"/>
          <w:color w:val="000000" w:themeColor="text1"/>
          <w:sz w:val="28"/>
          <w:szCs w:val="28"/>
          <w:lang w:eastAsia="zh-CN"/>
        </w:rPr>
        <w:t>二、基本原则</w:t>
      </w:r>
      <w:bookmarkEnd w:id="167"/>
    </w:p>
    <w:p w14:paraId="7F17F22F">
      <w:pPr>
        <w:spacing w:line="560" w:lineRule="exact"/>
        <w:ind w:firstLine="562" w:firstLineChars="200"/>
        <w:textAlignment w:val="baseline"/>
        <w:rPr>
          <w:rFonts w:ascii="宋体"/>
          <w:color w:val="000000" w:themeColor="text1"/>
          <w:sz w:val="28"/>
          <w:szCs w:val="28"/>
        </w:rPr>
      </w:pPr>
      <w:r>
        <w:rPr>
          <w:rFonts w:ascii="宋体" w:hAnsi="宋体" w:cs="宋体"/>
          <w:b/>
          <w:color w:val="000000" w:themeColor="text1"/>
          <w:kern w:val="0"/>
          <w:sz w:val="28"/>
          <w:szCs w:val="28"/>
        </w:rPr>
        <w:t>1.</w:t>
      </w:r>
      <w:r>
        <w:rPr>
          <w:rFonts w:hint="eastAsia" w:ascii="宋体" w:hAnsi="宋体" w:cs="宋体"/>
          <w:b/>
          <w:color w:val="000000" w:themeColor="text1"/>
          <w:kern w:val="0"/>
          <w:sz w:val="28"/>
          <w:szCs w:val="28"/>
        </w:rPr>
        <w:t>坚持以人为本。</w:t>
      </w:r>
      <w:r>
        <w:rPr>
          <w:rFonts w:hint="eastAsia" w:ascii="宋体" w:hAnsi="宋体"/>
          <w:color w:val="000000" w:themeColor="text1"/>
          <w:sz w:val="28"/>
          <w:szCs w:val="28"/>
        </w:rPr>
        <w:t>牢固树立为人民管理城市的理念，强化宗旨意识和服务意识，落实惠民和便民措施，以群众满意为标准，切实解决社会各界最关心、最直接、最现实的问题，努力消除各种“城市病”。</w:t>
      </w:r>
    </w:p>
    <w:p w14:paraId="4912E927">
      <w:pPr>
        <w:spacing w:line="560" w:lineRule="exact"/>
        <w:ind w:firstLine="562" w:firstLineChars="200"/>
        <w:textAlignment w:val="baseline"/>
        <w:rPr>
          <w:rFonts w:ascii="宋体"/>
          <w:color w:val="000000" w:themeColor="text1"/>
          <w:sz w:val="28"/>
          <w:szCs w:val="28"/>
        </w:rPr>
      </w:pPr>
      <w:r>
        <w:rPr>
          <w:rFonts w:ascii="宋体" w:hAnsi="宋体" w:cs="宋体"/>
          <w:b/>
          <w:color w:val="000000" w:themeColor="text1"/>
          <w:kern w:val="0"/>
          <w:sz w:val="28"/>
          <w:szCs w:val="28"/>
        </w:rPr>
        <w:t>2.</w:t>
      </w:r>
      <w:r>
        <w:rPr>
          <w:rFonts w:hint="eastAsia" w:ascii="宋体" w:hAnsi="宋体" w:cs="宋体"/>
          <w:b/>
          <w:color w:val="000000" w:themeColor="text1"/>
          <w:kern w:val="0"/>
          <w:sz w:val="28"/>
          <w:szCs w:val="28"/>
        </w:rPr>
        <w:t>坚持依法治理。</w:t>
      </w:r>
      <w:r>
        <w:rPr>
          <w:rFonts w:hint="eastAsia" w:ascii="宋体" w:hAnsi="宋体"/>
          <w:color w:val="000000" w:themeColor="text1"/>
          <w:sz w:val="28"/>
          <w:szCs w:val="28"/>
        </w:rPr>
        <w:t>完善执法制度，改进执法方式，提高执法水平，把严格规范公正文明执法的要求落实到城市管理执法全过程。</w:t>
      </w:r>
    </w:p>
    <w:p w14:paraId="417B2848">
      <w:pPr>
        <w:widowControl/>
        <w:spacing w:line="560" w:lineRule="exact"/>
        <w:ind w:firstLine="562" w:firstLineChars="200"/>
        <w:textAlignment w:val="baseline"/>
        <w:rPr>
          <w:rFonts w:ascii="宋体"/>
          <w:color w:val="000000" w:themeColor="text1"/>
          <w:sz w:val="28"/>
          <w:szCs w:val="28"/>
        </w:rPr>
      </w:pPr>
      <w:r>
        <w:rPr>
          <w:rFonts w:ascii="宋体" w:hAnsi="宋体" w:cs="宋体"/>
          <w:b/>
          <w:color w:val="000000" w:themeColor="text1"/>
          <w:kern w:val="0"/>
          <w:sz w:val="28"/>
          <w:szCs w:val="28"/>
        </w:rPr>
        <w:t>3.</w:t>
      </w:r>
      <w:r>
        <w:rPr>
          <w:rFonts w:hint="eastAsia" w:ascii="宋体" w:hAnsi="宋体" w:cs="宋体"/>
          <w:b/>
          <w:color w:val="000000" w:themeColor="text1"/>
          <w:kern w:val="0"/>
          <w:sz w:val="28"/>
          <w:szCs w:val="28"/>
        </w:rPr>
        <w:t>坚持源头治理。</w:t>
      </w:r>
      <w:r>
        <w:rPr>
          <w:rFonts w:hint="eastAsia" w:ascii="宋体" w:hAnsi="宋体"/>
          <w:color w:val="000000" w:themeColor="text1"/>
          <w:sz w:val="28"/>
          <w:szCs w:val="28"/>
        </w:rPr>
        <w:t>增强城市规划、建设、管理的科学性、系统性和协调性，综合考虑公共秩序管理和群众生产生活需要，合理安排各类公共设施和空间布局，加强对城市规划、建设实施情况的评估和反馈。变被动管理为主动服务，变末端执法为源头治理，从源头上预防和减少违法违规行为。</w:t>
      </w:r>
    </w:p>
    <w:p w14:paraId="2839770A">
      <w:pPr>
        <w:widowControl/>
        <w:spacing w:line="560" w:lineRule="exact"/>
        <w:ind w:firstLine="562" w:firstLineChars="200"/>
        <w:textAlignment w:val="baseline"/>
        <w:rPr>
          <w:rFonts w:ascii="宋体"/>
          <w:color w:val="000000" w:themeColor="text1"/>
          <w:sz w:val="28"/>
          <w:szCs w:val="28"/>
        </w:rPr>
      </w:pPr>
      <w:r>
        <w:rPr>
          <w:rFonts w:ascii="宋体" w:hAnsi="宋体" w:cs="宋体"/>
          <w:b/>
          <w:color w:val="000000" w:themeColor="text1"/>
          <w:kern w:val="0"/>
          <w:sz w:val="28"/>
          <w:szCs w:val="28"/>
        </w:rPr>
        <w:t>4.</w:t>
      </w:r>
      <w:r>
        <w:rPr>
          <w:rFonts w:hint="eastAsia" w:ascii="宋体" w:hAnsi="宋体" w:cs="宋体"/>
          <w:b/>
          <w:color w:val="000000" w:themeColor="text1"/>
          <w:kern w:val="0"/>
          <w:sz w:val="28"/>
          <w:szCs w:val="28"/>
        </w:rPr>
        <w:t>坚持权责一致。</w:t>
      </w:r>
      <w:r>
        <w:rPr>
          <w:rFonts w:hint="eastAsia" w:ascii="宋体" w:hAnsi="宋体"/>
          <w:color w:val="000000" w:themeColor="text1"/>
          <w:sz w:val="28"/>
          <w:szCs w:val="28"/>
        </w:rPr>
        <w:t>明确城市管理和执法职责边界，制定权力清单，落实执法责任，权随事走、人随事调、费随事转，实现事权和支出相适应、权力和责任相统一。合理划分城市管理事权，实行属地、分级管理，明确市、县（市）、区人民政府在城市管理和执法中负主体责任，并保持市、县（市）、区城市管理体制的协调一致。</w:t>
      </w:r>
    </w:p>
    <w:p w14:paraId="52627D15">
      <w:pPr>
        <w:widowControl/>
        <w:spacing w:line="560" w:lineRule="exact"/>
        <w:ind w:firstLine="562" w:firstLineChars="200"/>
        <w:textAlignment w:val="baseline"/>
        <w:rPr>
          <w:rFonts w:ascii="宋体" w:hAnsi="宋体"/>
          <w:color w:val="000000" w:themeColor="text1"/>
          <w:sz w:val="28"/>
          <w:szCs w:val="28"/>
        </w:rPr>
      </w:pPr>
      <w:r>
        <w:rPr>
          <w:rFonts w:ascii="宋体" w:hAnsi="宋体" w:cs="宋体"/>
          <w:b/>
          <w:color w:val="000000" w:themeColor="text1"/>
          <w:kern w:val="0"/>
          <w:sz w:val="28"/>
          <w:szCs w:val="28"/>
        </w:rPr>
        <w:t>5.</w:t>
      </w:r>
      <w:r>
        <w:rPr>
          <w:rFonts w:hint="eastAsia" w:ascii="宋体" w:hAnsi="宋体" w:cs="宋体"/>
          <w:b/>
          <w:color w:val="000000" w:themeColor="text1"/>
          <w:kern w:val="0"/>
          <w:sz w:val="28"/>
          <w:szCs w:val="28"/>
        </w:rPr>
        <w:t>坚持协调创新。</w:t>
      </w:r>
      <w:r>
        <w:rPr>
          <w:rFonts w:hint="eastAsia" w:ascii="宋体" w:hAnsi="宋体"/>
          <w:color w:val="000000" w:themeColor="text1"/>
          <w:sz w:val="28"/>
          <w:szCs w:val="28"/>
        </w:rPr>
        <w:t>加强政策措施的配套衔接，强化部门联动配合，有序推进相关工作。以网格化管理、社会化服务为方向，以智慧城市建设为契机，充分发挥现代信息技术的优势，加快形成与经济社会发展相匹配的城市管理能力。</w:t>
      </w:r>
    </w:p>
    <w:p w14:paraId="1B97651E">
      <w:pPr>
        <w:widowControl/>
        <w:spacing w:line="560" w:lineRule="exact"/>
        <w:ind w:firstLine="562" w:firstLineChars="200"/>
        <w:textAlignment w:val="baseline"/>
        <w:rPr>
          <w:rFonts w:ascii="宋体" w:hAnsi="宋体"/>
          <w:color w:val="000000" w:themeColor="text1"/>
          <w:sz w:val="28"/>
          <w:szCs w:val="28"/>
        </w:rPr>
      </w:pPr>
      <w:r>
        <w:rPr>
          <w:rFonts w:ascii="宋体" w:hAnsi="宋体" w:cs="宋体"/>
          <w:b/>
          <w:color w:val="000000" w:themeColor="text1"/>
          <w:kern w:val="0"/>
          <w:sz w:val="28"/>
          <w:szCs w:val="28"/>
        </w:rPr>
        <w:t>6.</w:t>
      </w:r>
      <w:r>
        <w:rPr>
          <w:rFonts w:hint="eastAsia" w:ascii="宋体" w:hAnsi="宋体" w:cs="宋体"/>
          <w:b/>
          <w:color w:val="000000" w:themeColor="text1"/>
          <w:kern w:val="0"/>
          <w:sz w:val="28"/>
          <w:szCs w:val="28"/>
        </w:rPr>
        <w:t>坚持稳步推进。</w:t>
      </w:r>
      <w:r>
        <w:rPr>
          <w:rFonts w:hint="eastAsia" w:ascii="宋体" w:hAnsi="宋体"/>
          <w:color w:val="000000" w:themeColor="text1"/>
          <w:sz w:val="28"/>
          <w:szCs w:val="28"/>
        </w:rPr>
        <w:t>以全面落实中央及省委、省政府的改革精神为目标，强化总体设计，实施重点突破，分步实施，有序落实，全面理顺城市管理执法体制。</w:t>
      </w:r>
    </w:p>
    <w:p w14:paraId="1EA791C9">
      <w:pPr>
        <w:widowControl/>
        <w:spacing w:line="560" w:lineRule="exact"/>
        <w:ind w:firstLine="560" w:firstLineChars="200"/>
        <w:textAlignment w:val="baseline"/>
        <w:rPr>
          <w:rFonts w:ascii="宋体" w:hAnsi="宋体"/>
          <w:color w:val="000000" w:themeColor="text1"/>
          <w:sz w:val="28"/>
          <w:szCs w:val="28"/>
        </w:rPr>
      </w:pPr>
    </w:p>
    <w:p w14:paraId="6F2760C1">
      <w:pPr>
        <w:pStyle w:val="3"/>
        <w:numPr>
          <w:ilvl w:val="1"/>
          <w:numId w:val="0"/>
        </w:numPr>
        <w:spacing w:before="156" w:after="156" w:line="560" w:lineRule="exact"/>
        <w:ind w:left="1644"/>
        <w:rPr>
          <w:rFonts w:ascii="宋体"/>
          <w:color w:val="000000" w:themeColor="text1"/>
          <w:sz w:val="30"/>
          <w:szCs w:val="30"/>
        </w:rPr>
      </w:pPr>
      <w:bookmarkStart w:id="168" w:name="_Toc10896"/>
      <w:r>
        <w:rPr>
          <w:rFonts w:hint="eastAsia"/>
          <w:color w:val="000000" w:themeColor="text1"/>
          <w:sz w:val="30"/>
          <w:szCs w:val="30"/>
        </w:rPr>
        <w:t>第三节城市管理和执法体制改革主要内容</w:t>
      </w:r>
      <w:bookmarkEnd w:id="168"/>
    </w:p>
    <w:p w14:paraId="63925602">
      <w:pPr>
        <w:pStyle w:val="4"/>
        <w:numPr>
          <w:ilvl w:val="2"/>
          <w:numId w:val="0"/>
        </w:numPr>
        <w:spacing w:after="156" w:line="560" w:lineRule="exact"/>
        <w:ind w:left="420" w:leftChars="200" w:firstLine="281" w:firstLineChars="100"/>
        <w:rPr>
          <w:color w:val="000000" w:themeColor="text1"/>
          <w:sz w:val="28"/>
          <w:szCs w:val="28"/>
          <w:lang w:eastAsia="zh-CN"/>
        </w:rPr>
      </w:pPr>
      <w:bookmarkStart w:id="169" w:name="_Toc20636"/>
      <w:r>
        <w:rPr>
          <w:rFonts w:hint="eastAsia"/>
          <w:color w:val="000000" w:themeColor="text1"/>
          <w:sz w:val="28"/>
          <w:szCs w:val="28"/>
          <w:lang w:eastAsia="zh-CN"/>
        </w:rPr>
        <w:t>一、理顺城市管理和综合执法职责</w:t>
      </w:r>
      <w:bookmarkEnd w:id="169"/>
    </w:p>
    <w:p w14:paraId="3B6A1A33">
      <w:pPr>
        <w:spacing w:line="560" w:lineRule="exact"/>
        <w:ind w:firstLine="562" w:firstLineChars="200"/>
        <w:textAlignment w:val="baseline"/>
        <w:rPr>
          <w:rFonts w:ascii="宋体" w:hAnsi="宋体" w:cs="仿宋"/>
          <w:b/>
          <w:color w:val="000000" w:themeColor="text1"/>
          <w:sz w:val="28"/>
          <w:szCs w:val="28"/>
        </w:rPr>
      </w:pPr>
      <w:r>
        <w:rPr>
          <w:rFonts w:ascii="宋体" w:hAnsi="宋体" w:cs="仿宋"/>
          <w:b/>
          <w:color w:val="000000" w:themeColor="text1"/>
          <w:sz w:val="28"/>
          <w:szCs w:val="28"/>
        </w:rPr>
        <w:t>1.</w:t>
      </w:r>
      <w:r>
        <w:rPr>
          <w:rFonts w:hint="eastAsia" w:ascii="宋体" w:hAnsi="宋体" w:cs="仿宋"/>
          <w:b/>
          <w:color w:val="000000" w:themeColor="text1"/>
          <w:sz w:val="28"/>
          <w:szCs w:val="28"/>
        </w:rPr>
        <w:t>管理职责范围</w:t>
      </w:r>
    </w:p>
    <w:p w14:paraId="09410140">
      <w:pPr>
        <w:spacing w:line="560" w:lineRule="exact"/>
        <w:ind w:firstLine="560" w:firstLineChars="200"/>
        <w:textAlignment w:val="baseline"/>
        <w:rPr>
          <w:rFonts w:ascii="宋体" w:hAnsi="宋体"/>
          <w:color w:val="000000" w:themeColor="text1"/>
          <w:sz w:val="28"/>
          <w:szCs w:val="28"/>
        </w:rPr>
      </w:pPr>
      <w:r>
        <w:rPr>
          <w:rFonts w:hint="eastAsia" w:ascii="宋体" w:hAnsi="宋体"/>
          <w:color w:val="000000" w:themeColor="text1"/>
          <w:sz w:val="28"/>
          <w:szCs w:val="28"/>
        </w:rPr>
        <w:t>城市管理具体职责范围是:市政公用设施运行管理、市容环境卫生管理、园林绿化建设维护管理等方面的全部工作。上述范围以外，经省市批准的与城市管理密切相关、需要纳入统一管理的公共空间秩序管理、违法建设治理、环境保护管理、交通管理、应急管理等方面的部分工作。</w:t>
      </w:r>
    </w:p>
    <w:p w14:paraId="5F3A16B8">
      <w:pPr>
        <w:numPr>
          <w:ilvl w:val="0"/>
          <w:numId w:val="6"/>
        </w:numPr>
        <w:spacing w:line="560" w:lineRule="exact"/>
        <w:ind w:firstLine="562"/>
        <w:textAlignment w:val="baseline"/>
        <w:rPr>
          <w:rFonts w:ascii="宋体" w:hAnsi="宋体" w:cs="仿宋"/>
          <w:b/>
          <w:color w:val="000000" w:themeColor="text1"/>
          <w:sz w:val="28"/>
          <w:szCs w:val="28"/>
        </w:rPr>
      </w:pPr>
      <w:r>
        <w:rPr>
          <w:rFonts w:hint="eastAsia" w:ascii="宋体" w:hAnsi="宋体" w:cs="仿宋"/>
          <w:b/>
          <w:color w:val="000000" w:themeColor="text1"/>
          <w:sz w:val="28"/>
          <w:szCs w:val="28"/>
        </w:rPr>
        <w:t>综合执法具体范围</w:t>
      </w:r>
    </w:p>
    <w:p w14:paraId="51449CFE">
      <w:pPr>
        <w:spacing w:line="560" w:lineRule="exact"/>
        <w:ind w:firstLine="560" w:firstLineChars="200"/>
        <w:textAlignment w:val="baseline"/>
        <w:rPr>
          <w:rFonts w:ascii="宋体" w:hAnsi="宋体"/>
          <w:color w:val="000000" w:themeColor="text1"/>
          <w:sz w:val="28"/>
          <w:szCs w:val="28"/>
        </w:rPr>
      </w:pPr>
      <w:r>
        <w:rPr>
          <w:rFonts w:hint="eastAsia" w:ascii="宋体" w:hAnsi="宋体"/>
          <w:color w:val="000000" w:themeColor="text1"/>
          <w:sz w:val="28"/>
          <w:szCs w:val="28"/>
        </w:rPr>
        <w:t>城市综合执法具体范围是：住房城乡建设领域法律法规规章规定的全部行政处罚权；环境保护管理方面社会生活噪声污染、建筑施工噪声污染、建筑施工扬尘污染、餐饮服务业油烟污染、露天烧烤污、城市焚烧沥青塑料垃圾等烟尘和恶臭污染、露天焚烧秸落叶等烟尘污染、燃放烟花爆竹污染等的行政处罚权；工商管理方面户外公共场所无照经营、违规设置户外广告的行停放车辆等的政处罚权；交通管理方面侵占城市道路行政处罚权；水务管理方面向城市河道和水城倾倒废弃物和垃圾及违规取土、城市河道和水域违法建筑物拆除等的行政处罚权；食品药品监管方面户外公共场所食品销售和餐饮摊点无证经营,以及户外违法回收贩卖药品等的行政处罚权。城市管理部门可以实施与上述范围内法律法规规定的行政处罚权有关的行政强制措施。上述范围以外需要集中行使的具体行政处罚权及相应的行政强制权,由市、县政府按程序报省政府审批。</w:t>
      </w:r>
    </w:p>
    <w:p w14:paraId="0F1434E5">
      <w:pPr>
        <w:numPr>
          <w:ilvl w:val="0"/>
          <w:numId w:val="6"/>
        </w:numPr>
        <w:spacing w:line="560" w:lineRule="exact"/>
        <w:ind w:firstLine="562"/>
        <w:textAlignment w:val="baseline"/>
        <w:rPr>
          <w:rFonts w:ascii="宋体" w:cs="仿宋"/>
          <w:color w:val="000000" w:themeColor="text1"/>
          <w:sz w:val="28"/>
          <w:szCs w:val="28"/>
        </w:rPr>
      </w:pPr>
      <w:r>
        <w:rPr>
          <w:rFonts w:hint="eastAsia" w:ascii="宋体" w:hAnsi="宋体"/>
          <w:b/>
          <w:color w:val="000000" w:themeColor="text1"/>
          <w:sz w:val="28"/>
          <w:szCs w:val="28"/>
        </w:rPr>
        <w:t>做好行政处罚与行政管理的衔接。</w:t>
      </w:r>
      <w:r>
        <w:rPr>
          <w:rFonts w:hint="eastAsia" w:ascii="宋体" w:hAnsi="宋体"/>
          <w:color w:val="000000" w:themeColor="text1"/>
          <w:sz w:val="28"/>
          <w:szCs w:val="28"/>
        </w:rPr>
        <w:t>按照权责统一的原则，实行行政管理与行政处罚职能相对分开、行政处罚与技术检验职能相对分离。根据《湖南省住房和城乡建设厅关于建立城市管理领域事中事后监管与行政处罚衔接机制的指导意见》（湘建执〔</w:t>
      </w:r>
      <w:r>
        <w:rPr>
          <w:rFonts w:ascii="宋体" w:hAnsi="宋体"/>
          <w:color w:val="000000" w:themeColor="text1"/>
          <w:sz w:val="28"/>
          <w:szCs w:val="28"/>
        </w:rPr>
        <w:t>2020</w:t>
      </w:r>
      <w:r>
        <w:rPr>
          <w:rFonts w:hint="eastAsia" w:ascii="宋体" w:hAnsi="宋体"/>
          <w:color w:val="000000" w:themeColor="text1"/>
          <w:sz w:val="28"/>
          <w:szCs w:val="28"/>
        </w:rPr>
        <w:t>〕</w:t>
      </w:r>
      <w:r>
        <w:rPr>
          <w:rFonts w:ascii="宋体" w:hAnsi="宋体"/>
          <w:color w:val="000000" w:themeColor="text1"/>
          <w:sz w:val="28"/>
          <w:szCs w:val="28"/>
        </w:rPr>
        <w:t>77</w:t>
      </w:r>
      <w:r>
        <w:rPr>
          <w:rFonts w:hint="eastAsia" w:ascii="宋体" w:hAnsi="宋体"/>
          <w:color w:val="000000" w:themeColor="text1"/>
          <w:sz w:val="28"/>
          <w:szCs w:val="28"/>
        </w:rPr>
        <w:t>号）文件规定，住房和城乡建设、生态环境、交通管理、市场监督管理等职能部门履行事中事后监管职责，城市管理部门理顺职能职责、规范城市管理综合执法程序、建立联动协作机制、建立重大疑难案件会审机制、加强司法衔接，对政府相关职能部门行使行政许可、行政监督管理与行使行政处罚职责的相互衔接与边界的界定，由司法部门指导城管部门会同相关部门提出具体方案，市、区人民政府作出具体规定。其中，</w:t>
      </w:r>
      <w:r>
        <w:rPr>
          <w:rFonts w:hint="eastAsia" w:ascii="宋体" w:hAnsi="宋体" w:cs="仿宋"/>
          <w:color w:val="000000" w:themeColor="text1"/>
          <w:sz w:val="28"/>
          <w:szCs w:val="28"/>
        </w:rPr>
        <w:t>城市管理和综合执法部门作出涉及各类吊销资质、资格、证照、降低资质等级的行政处罚决定后，由许可部门实施。</w:t>
      </w:r>
    </w:p>
    <w:p w14:paraId="0840884A">
      <w:pPr>
        <w:pStyle w:val="4"/>
        <w:numPr>
          <w:ilvl w:val="2"/>
          <w:numId w:val="0"/>
        </w:numPr>
        <w:spacing w:after="156" w:line="560" w:lineRule="exact"/>
        <w:ind w:left="420" w:leftChars="200" w:firstLine="281" w:firstLineChars="100"/>
        <w:rPr>
          <w:color w:val="000000" w:themeColor="text1"/>
          <w:sz w:val="28"/>
          <w:szCs w:val="28"/>
          <w:lang w:eastAsia="zh-CN"/>
        </w:rPr>
      </w:pPr>
      <w:bookmarkStart w:id="170" w:name="_Toc16242"/>
      <w:bookmarkStart w:id="171" w:name="_Toc31909"/>
      <w:r>
        <w:rPr>
          <w:rFonts w:hint="eastAsia"/>
          <w:color w:val="000000" w:themeColor="text1"/>
          <w:sz w:val="28"/>
          <w:szCs w:val="28"/>
          <w:lang w:eastAsia="zh-CN"/>
        </w:rPr>
        <w:t>二、综合设置城市管理和综合执法部门机构</w:t>
      </w:r>
      <w:bookmarkEnd w:id="170"/>
      <w:bookmarkEnd w:id="171"/>
    </w:p>
    <w:p w14:paraId="4F2B5D70">
      <w:pPr>
        <w:spacing w:line="560" w:lineRule="exact"/>
        <w:ind w:firstLine="560" w:firstLineChars="200"/>
        <w:textAlignment w:val="baseline"/>
        <w:rPr>
          <w:rFonts w:ascii="宋体" w:hAnsi="宋体" w:cs="仿宋"/>
          <w:color w:val="FF0000"/>
          <w:sz w:val="28"/>
          <w:szCs w:val="28"/>
        </w:rPr>
      </w:pPr>
      <w:r>
        <w:rPr>
          <w:rFonts w:hint="eastAsia" w:ascii="宋体" w:hAnsi="宋体" w:cs="仿宋"/>
          <w:color w:val="000000" w:themeColor="text1"/>
          <w:sz w:val="28"/>
          <w:szCs w:val="28"/>
        </w:rPr>
        <w:t>市级城市管理部门主要负责城市管理和综合执法工作的指导、监督、考核,以及跨区域及重大复杂违法违规案件的查处,设区城市及市辖区城市管理部门的具体管理、执法事项和区域由设区城市政府按照权贵一致、属地管理、下移执法重心的原则确定。</w:t>
      </w:r>
    </w:p>
    <w:p w14:paraId="314FD8C7">
      <w:pPr>
        <w:spacing w:line="560" w:lineRule="exact"/>
        <w:ind w:firstLine="560" w:firstLineChars="200"/>
        <w:textAlignment w:val="baseline"/>
        <w:rPr>
          <w:rFonts w:ascii="宋体" w:hAnsi="宋体" w:cs="仿宋"/>
          <w:color w:val="000000" w:themeColor="text1"/>
          <w:sz w:val="28"/>
          <w:szCs w:val="28"/>
        </w:rPr>
      </w:pPr>
    </w:p>
    <w:p w14:paraId="22246C7A">
      <w:pPr>
        <w:pStyle w:val="3"/>
        <w:numPr>
          <w:ilvl w:val="1"/>
          <w:numId w:val="0"/>
        </w:numPr>
        <w:spacing w:before="156" w:after="156" w:line="560" w:lineRule="exact"/>
        <w:ind w:left="1644"/>
        <w:rPr>
          <w:color w:val="000000" w:themeColor="text1"/>
        </w:rPr>
      </w:pPr>
      <w:bookmarkStart w:id="172" w:name="_Toc11695"/>
      <w:r>
        <w:rPr>
          <w:rFonts w:hint="eastAsia"/>
          <w:color w:val="000000" w:themeColor="text1"/>
        </w:rPr>
        <w:t>第四节城市管理和执法体制改革配套保障措施</w:t>
      </w:r>
      <w:bookmarkEnd w:id="172"/>
    </w:p>
    <w:p w14:paraId="758EA6A8">
      <w:pPr>
        <w:pStyle w:val="4"/>
        <w:numPr>
          <w:ilvl w:val="2"/>
          <w:numId w:val="0"/>
        </w:numPr>
        <w:spacing w:after="156" w:line="560" w:lineRule="exact"/>
        <w:ind w:left="420" w:leftChars="200" w:firstLine="281" w:firstLineChars="100"/>
        <w:rPr>
          <w:rFonts w:cs="仿宋"/>
          <w:color w:val="000000" w:themeColor="text1"/>
          <w:sz w:val="28"/>
          <w:szCs w:val="28"/>
          <w:lang w:eastAsia="zh-CN"/>
        </w:rPr>
      </w:pPr>
      <w:bookmarkStart w:id="173" w:name="_Toc22960"/>
      <w:r>
        <w:rPr>
          <w:rFonts w:hint="eastAsia"/>
          <w:color w:val="000000" w:themeColor="text1"/>
          <w:sz w:val="28"/>
          <w:szCs w:val="28"/>
          <w:lang w:eastAsia="zh-CN"/>
        </w:rPr>
        <w:t>一、强化执法保障</w:t>
      </w:r>
      <w:bookmarkEnd w:id="173"/>
    </w:p>
    <w:p w14:paraId="5CDCF1AE">
      <w:pPr>
        <w:spacing w:line="560" w:lineRule="exact"/>
        <w:ind w:firstLine="560" w:firstLineChars="200"/>
        <w:textAlignment w:val="baseline"/>
        <w:rPr>
          <w:rFonts w:ascii="宋体" w:cs="仿宋"/>
          <w:color w:val="000000" w:themeColor="text1"/>
          <w:sz w:val="28"/>
          <w:szCs w:val="28"/>
        </w:rPr>
      </w:pPr>
      <w:r>
        <w:rPr>
          <w:rFonts w:hint="eastAsia" w:ascii="宋体" w:hAnsi="宋体"/>
          <w:color w:val="000000" w:themeColor="text1"/>
          <w:sz w:val="28"/>
          <w:szCs w:val="28"/>
        </w:rPr>
        <w:t>市城区执法人员按照市城区常住人口的万分之五至万分之八的比例配置</w:t>
      </w:r>
      <w:r>
        <w:rPr>
          <w:rFonts w:hint="eastAsia" w:ascii="宋体" w:hAnsi="宋体" w:cs="仿宋"/>
          <w:color w:val="000000" w:themeColor="text1"/>
          <w:sz w:val="28"/>
          <w:szCs w:val="28"/>
        </w:rPr>
        <w:t>。统筹解决执法人员身份编制问题，执法力量向基层倾斜。涉及到部分执法职权调整划入城市管理和综合执法部门的，根据</w:t>
      </w:r>
      <w:r>
        <w:rPr>
          <w:rFonts w:hint="eastAsia" w:ascii="宋体" w:hAnsi="宋体" w:cs="仿宋"/>
          <w:color w:val="000000" w:themeColor="text1"/>
          <w:spacing w:val="8"/>
          <w:sz w:val="28"/>
          <w:szCs w:val="28"/>
          <w:shd w:val="clear" w:color="auto" w:fill="FFFFFF"/>
        </w:rPr>
        <w:t>“</w:t>
      </w:r>
      <w:r>
        <w:rPr>
          <w:rFonts w:hint="eastAsia" w:ascii="宋体" w:hAnsi="宋体" w:cs="仿宋"/>
          <w:color w:val="000000" w:themeColor="text1"/>
          <w:sz w:val="28"/>
          <w:szCs w:val="28"/>
        </w:rPr>
        <w:t>编随事走、人随编走</w:t>
      </w:r>
      <w:r>
        <w:rPr>
          <w:rFonts w:hint="eastAsia" w:ascii="宋体" w:hAnsi="宋体" w:cs="仿宋"/>
          <w:color w:val="000000" w:themeColor="text1"/>
          <w:spacing w:val="8"/>
          <w:sz w:val="28"/>
          <w:szCs w:val="28"/>
          <w:shd w:val="clear" w:color="auto" w:fill="FFFFFF"/>
        </w:rPr>
        <w:t>”的原则，</w:t>
      </w:r>
      <w:r>
        <w:rPr>
          <w:rFonts w:hint="eastAsia" w:ascii="宋体" w:hAnsi="宋体" w:cs="仿宋"/>
          <w:color w:val="000000" w:themeColor="text1"/>
          <w:sz w:val="28"/>
          <w:szCs w:val="28"/>
        </w:rPr>
        <w:t>相应的部分执法编制人员一并调整划转至城市管理和综合执法部门。</w:t>
      </w:r>
      <w:r>
        <w:rPr>
          <w:rFonts w:hint="eastAsia" w:ascii="宋体" w:hAnsi="宋体"/>
          <w:color w:val="000000" w:themeColor="text1"/>
          <w:sz w:val="28"/>
          <w:szCs w:val="28"/>
        </w:rPr>
        <w:t>涉及到人员转隶有关事项，按照“老人老办法、新人新办法”原则，对相关人员的工作和福利待遇作出妥善安排。</w:t>
      </w:r>
    </w:p>
    <w:p w14:paraId="4D7F4A65">
      <w:pPr>
        <w:pStyle w:val="4"/>
        <w:numPr>
          <w:ilvl w:val="2"/>
          <w:numId w:val="0"/>
        </w:numPr>
        <w:spacing w:after="156" w:line="560" w:lineRule="exact"/>
        <w:ind w:firstLine="562" w:firstLineChars="200"/>
        <w:rPr>
          <w:color w:val="000000" w:themeColor="text1"/>
          <w:szCs w:val="28"/>
          <w:lang w:eastAsia="zh-CN"/>
        </w:rPr>
      </w:pPr>
      <w:bookmarkStart w:id="174" w:name="_Toc15538"/>
      <w:r>
        <w:rPr>
          <w:rFonts w:hint="eastAsia"/>
          <w:color w:val="000000" w:themeColor="text1"/>
          <w:sz w:val="28"/>
          <w:szCs w:val="28"/>
          <w:lang w:eastAsia="zh-CN"/>
        </w:rPr>
        <w:t>二、加强队伍建设</w:t>
      </w:r>
      <w:bookmarkEnd w:id="174"/>
    </w:p>
    <w:p w14:paraId="296A799C">
      <w:pPr>
        <w:spacing w:line="560" w:lineRule="exact"/>
        <w:ind w:firstLine="560" w:firstLineChars="200"/>
        <w:textAlignment w:val="baseline"/>
        <w:rPr>
          <w:rFonts w:ascii="宋体"/>
          <w:color w:val="000000" w:themeColor="text1"/>
          <w:sz w:val="28"/>
          <w:szCs w:val="28"/>
        </w:rPr>
      </w:pPr>
      <w:r>
        <w:rPr>
          <w:rFonts w:hint="eastAsia" w:ascii="宋体" w:hAnsi="宋体"/>
          <w:color w:val="000000" w:themeColor="text1"/>
          <w:sz w:val="28"/>
          <w:szCs w:val="28"/>
        </w:rPr>
        <w:t>加强党建工作，坚持和加强党对城市管理执法工作的领导，坚持党管干部原则，强化城市管理综合行政执法队伍党组织建设。加强执法人员业务培训，严格实行执法人员持证上岗和资格管理制度。规范协管队伍建设，建立健全协管人员招聘、管理、奖惩、退出等机制；坚持依法治理，及时修订完善城市管理和综合执法部门的权力清单和责任清单，并进行动态更新和调整。积极推行执法公示制度、执法全过程记录制度、重大执法决定法制审核制度，健全执法制度，改进执法方式，提高执法水平，全面规范执法行为，把严格规范公正文明执法的要求落实到城市管理执法全过程。</w:t>
      </w:r>
    </w:p>
    <w:p w14:paraId="7914A98C">
      <w:pPr>
        <w:pStyle w:val="4"/>
        <w:numPr>
          <w:ilvl w:val="2"/>
          <w:numId w:val="0"/>
        </w:numPr>
        <w:spacing w:after="156" w:line="560" w:lineRule="exact"/>
        <w:ind w:left="420" w:leftChars="200" w:firstLine="281" w:firstLineChars="100"/>
        <w:rPr>
          <w:color w:val="000000" w:themeColor="text1"/>
          <w:sz w:val="28"/>
          <w:szCs w:val="28"/>
          <w:lang w:eastAsia="zh-CN"/>
        </w:rPr>
      </w:pPr>
      <w:bookmarkStart w:id="175" w:name="_Toc15629"/>
      <w:r>
        <w:rPr>
          <w:rFonts w:hint="eastAsia"/>
          <w:color w:val="000000" w:themeColor="text1"/>
          <w:sz w:val="28"/>
          <w:szCs w:val="28"/>
          <w:lang w:eastAsia="zh-CN"/>
        </w:rPr>
        <w:t>三、完善工作机制</w:t>
      </w:r>
      <w:bookmarkEnd w:id="175"/>
    </w:p>
    <w:p w14:paraId="4FB437A4">
      <w:pPr>
        <w:spacing w:line="560" w:lineRule="exact"/>
        <w:ind w:firstLine="560" w:firstLineChars="200"/>
        <w:textAlignment w:val="baseline"/>
        <w:rPr>
          <w:rFonts w:ascii="宋体"/>
          <w:color w:val="000000" w:themeColor="text1"/>
          <w:sz w:val="28"/>
          <w:szCs w:val="28"/>
        </w:rPr>
      </w:pPr>
      <w:r>
        <w:rPr>
          <w:rFonts w:hint="eastAsia" w:ascii="宋体" w:hAnsi="宋体"/>
          <w:color w:val="000000" w:themeColor="text1"/>
          <w:sz w:val="28"/>
          <w:szCs w:val="28"/>
        </w:rPr>
        <w:t>建立规划建设管理参与机制，城市新（改、扩）建公用设施，城管执法等相关部门应参与前期规划、方案审查、联合验收与交接工作。建立城市管理联席会议制度</w:t>
      </w:r>
      <w:r>
        <w:rPr>
          <w:rFonts w:ascii="宋体" w:hAnsi="宋体"/>
          <w:color w:val="000000" w:themeColor="text1"/>
          <w:sz w:val="28"/>
          <w:szCs w:val="28"/>
        </w:rPr>
        <w:t xml:space="preserve">, </w:t>
      </w:r>
      <w:r>
        <w:rPr>
          <w:rFonts w:hint="eastAsia" w:ascii="宋体" w:hAnsi="宋体"/>
          <w:color w:val="000000" w:themeColor="text1"/>
          <w:sz w:val="28"/>
          <w:szCs w:val="28"/>
        </w:rPr>
        <w:t>实现部门之间的信息互通、资源共享和协调联动。建立城市管理司法衔接机制，实现行政处罚与刑事处罚无缝对接。建立公安与城管执法联动机制，落实将侵占城市道路、违法停放车辆的行政处罚纳入公安机关交通管理部门行政处罚信息系统，保障城管执法顺利进行。加快城市管理诚信体系建设，将城市管理违法行为、不执行城市管理行政处罚决定、不履行城市管理相关义务等方面的情况逐步纳入湘潭市公共信用信息平台。</w:t>
      </w:r>
    </w:p>
    <w:p w14:paraId="0390ACE0">
      <w:pPr>
        <w:pStyle w:val="4"/>
        <w:numPr>
          <w:ilvl w:val="2"/>
          <w:numId w:val="0"/>
        </w:numPr>
        <w:spacing w:after="156" w:line="560" w:lineRule="exact"/>
        <w:ind w:left="420" w:leftChars="200" w:firstLine="281" w:firstLineChars="100"/>
        <w:rPr>
          <w:color w:val="000000" w:themeColor="text1"/>
          <w:sz w:val="28"/>
          <w:szCs w:val="28"/>
          <w:lang w:eastAsia="zh-CN"/>
        </w:rPr>
      </w:pPr>
      <w:bookmarkStart w:id="176" w:name="_Toc25736"/>
      <w:r>
        <w:rPr>
          <w:rFonts w:hint="eastAsia"/>
          <w:color w:val="000000" w:themeColor="text1"/>
          <w:sz w:val="28"/>
          <w:szCs w:val="28"/>
          <w:lang w:eastAsia="zh-CN"/>
        </w:rPr>
        <w:t>四、创新城市治理</w:t>
      </w:r>
      <w:bookmarkEnd w:id="176"/>
    </w:p>
    <w:p w14:paraId="41E9A2AC">
      <w:pPr>
        <w:spacing w:line="560" w:lineRule="exact"/>
        <w:ind w:firstLine="560" w:firstLineChars="200"/>
        <w:textAlignment w:val="baseline"/>
        <w:rPr>
          <w:rFonts w:ascii="宋体"/>
          <w:color w:val="000000" w:themeColor="text1"/>
          <w:sz w:val="28"/>
          <w:szCs w:val="28"/>
        </w:rPr>
      </w:pPr>
      <w:r>
        <w:rPr>
          <w:rFonts w:hint="eastAsia" w:ascii="宋体" w:hAnsi="宋体"/>
          <w:color w:val="000000" w:themeColor="text1"/>
          <w:sz w:val="28"/>
          <w:szCs w:val="28"/>
        </w:rPr>
        <w:t>保障城市管理和综合执法部门在规划和建设环节的参与权、移交使用环节的决定权、维护管理环节的处置权，提升城市管理一体化水平。制定或修订一批城市管理和综合执法方面的标准、规范，提升城市管理法治化水平。畅通公众有序参与城市治理的渠道，采取公众开放日、主题体验活动等方式，积极引导全民参与城市治理，形成多元共治、良性互动的城市治理模式。</w:t>
      </w:r>
    </w:p>
    <w:p w14:paraId="36C49AAA">
      <w:pPr>
        <w:spacing w:line="560" w:lineRule="exact"/>
        <w:ind w:firstLine="560" w:firstLineChars="200"/>
        <w:rPr>
          <w:rFonts w:ascii="宋体" w:hAnsi="宋体" w:cs="宋体"/>
          <w:color w:val="000000" w:themeColor="text1"/>
          <w:sz w:val="28"/>
          <w:szCs w:val="28"/>
        </w:rPr>
      </w:pPr>
    </w:p>
    <w:p w14:paraId="668DF9EE">
      <w:pPr>
        <w:spacing w:line="560" w:lineRule="exact"/>
        <w:ind w:firstLine="560" w:firstLineChars="200"/>
        <w:rPr>
          <w:rFonts w:ascii="宋体" w:hAnsi="宋体" w:cs="宋体"/>
          <w:color w:val="000000" w:themeColor="text1"/>
          <w:sz w:val="28"/>
          <w:szCs w:val="28"/>
        </w:rPr>
      </w:pPr>
    </w:p>
    <w:p w14:paraId="42D05B90">
      <w:pPr>
        <w:spacing w:line="560" w:lineRule="exact"/>
        <w:ind w:firstLine="560" w:firstLineChars="200"/>
        <w:rPr>
          <w:rFonts w:ascii="宋体" w:hAnsi="宋体" w:cs="宋体"/>
          <w:color w:val="000000" w:themeColor="text1"/>
          <w:sz w:val="28"/>
          <w:szCs w:val="28"/>
        </w:rPr>
      </w:pPr>
    </w:p>
    <w:p w14:paraId="1D7CFFD7">
      <w:pPr>
        <w:spacing w:line="560" w:lineRule="exact"/>
        <w:ind w:firstLine="560" w:firstLineChars="200"/>
        <w:rPr>
          <w:rFonts w:ascii="宋体" w:hAnsi="宋体" w:cs="宋体"/>
          <w:color w:val="000000" w:themeColor="text1"/>
          <w:sz w:val="28"/>
          <w:szCs w:val="28"/>
        </w:rPr>
      </w:pPr>
    </w:p>
    <w:p w14:paraId="3ADD55B7">
      <w:pPr>
        <w:spacing w:line="560" w:lineRule="exact"/>
        <w:ind w:firstLine="560" w:firstLineChars="200"/>
        <w:rPr>
          <w:rFonts w:ascii="宋体" w:hAnsi="宋体" w:cs="宋体"/>
          <w:color w:val="000000" w:themeColor="text1"/>
          <w:sz w:val="28"/>
          <w:szCs w:val="28"/>
        </w:rPr>
      </w:pPr>
    </w:p>
    <w:p w14:paraId="28146C1C">
      <w:pPr>
        <w:spacing w:line="560" w:lineRule="exact"/>
        <w:ind w:firstLine="560" w:firstLineChars="200"/>
        <w:rPr>
          <w:rFonts w:ascii="宋体" w:hAnsi="宋体" w:cs="宋体"/>
          <w:color w:val="000000" w:themeColor="text1"/>
          <w:sz w:val="28"/>
          <w:szCs w:val="28"/>
        </w:rPr>
      </w:pPr>
    </w:p>
    <w:p w14:paraId="0165FA57">
      <w:pPr>
        <w:spacing w:line="560" w:lineRule="exact"/>
        <w:ind w:firstLine="560" w:firstLineChars="200"/>
        <w:rPr>
          <w:rFonts w:ascii="宋体" w:hAnsi="宋体" w:cs="宋体"/>
          <w:color w:val="000000" w:themeColor="text1"/>
          <w:sz w:val="28"/>
          <w:szCs w:val="28"/>
        </w:rPr>
      </w:pPr>
    </w:p>
    <w:p w14:paraId="327B0ACD">
      <w:pPr>
        <w:spacing w:line="560" w:lineRule="exact"/>
        <w:ind w:firstLine="560" w:firstLineChars="200"/>
        <w:rPr>
          <w:rFonts w:ascii="宋体" w:hAnsi="宋体" w:cs="宋体"/>
          <w:color w:val="000000" w:themeColor="text1"/>
          <w:sz w:val="28"/>
          <w:szCs w:val="28"/>
        </w:rPr>
      </w:pPr>
    </w:p>
    <w:p w14:paraId="674F448D">
      <w:pPr>
        <w:spacing w:line="560" w:lineRule="exact"/>
        <w:ind w:firstLine="560" w:firstLineChars="200"/>
        <w:rPr>
          <w:rFonts w:ascii="宋体" w:hAnsi="宋体" w:cs="宋体"/>
          <w:color w:val="000000" w:themeColor="text1"/>
          <w:sz w:val="28"/>
          <w:szCs w:val="28"/>
        </w:rPr>
      </w:pPr>
    </w:p>
    <w:p w14:paraId="1203798E">
      <w:pPr>
        <w:spacing w:line="560" w:lineRule="exact"/>
        <w:ind w:firstLine="560" w:firstLineChars="200"/>
        <w:rPr>
          <w:rFonts w:ascii="宋体" w:hAnsi="宋体" w:cs="宋体"/>
          <w:color w:val="000000" w:themeColor="text1"/>
          <w:sz w:val="28"/>
          <w:szCs w:val="28"/>
        </w:rPr>
      </w:pPr>
    </w:p>
    <w:p w14:paraId="039EA9C5">
      <w:pPr>
        <w:spacing w:line="560" w:lineRule="exact"/>
        <w:ind w:firstLine="560" w:firstLineChars="200"/>
        <w:rPr>
          <w:rFonts w:ascii="宋体" w:hAnsi="宋体" w:cs="宋体"/>
          <w:color w:val="000000" w:themeColor="text1"/>
          <w:sz w:val="28"/>
          <w:szCs w:val="28"/>
        </w:rPr>
      </w:pPr>
    </w:p>
    <w:p w14:paraId="28A8A98C">
      <w:pPr>
        <w:pStyle w:val="2"/>
        <w:numPr>
          <w:ilvl w:val="0"/>
          <w:numId w:val="0"/>
        </w:numPr>
        <w:spacing w:line="560" w:lineRule="exact"/>
        <w:ind w:firstLine="643" w:firstLineChars="200"/>
        <w:rPr>
          <w:color w:val="000000" w:themeColor="text1"/>
          <w:lang w:eastAsia="zh-CN"/>
        </w:rPr>
      </w:pPr>
      <w:bookmarkStart w:id="177" w:name="_Toc18019"/>
      <w:r>
        <w:rPr>
          <w:rFonts w:hint="eastAsia"/>
          <w:color w:val="000000" w:themeColor="text1"/>
          <w:lang w:eastAsia="zh-CN"/>
        </w:rPr>
        <w:t>第十章开展安全生产专项整治，构建安全保障体系</w:t>
      </w:r>
      <w:bookmarkEnd w:id="177"/>
    </w:p>
    <w:p w14:paraId="4E9F0CC7">
      <w:pPr>
        <w:spacing w:line="560" w:lineRule="exact"/>
        <w:rPr>
          <w:rFonts w:ascii="宋体"/>
          <w:color w:val="000000" w:themeColor="text1"/>
          <w:sz w:val="28"/>
          <w:szCs w:val="28"/>
        </w:rPr>
      </w:pPr>
    </w:p>
    <w:p w14:paraId="1C6EC518">
      <w:pPr>
        <w:pStyle w:val="3"/>
        <w:numPr>
          <w:ilvl w:val="1"/>
          <w:numId w:val="0"/>
        </w:numPr>
        <w:spacing w:before="156" w:after="156" w:line="560" w:lineRule="exact"/>
        <w:ind w:left="1644" w:firstLine="602" w:firstLineChars="200"/>
        <w:rPr>
          <w:color w:val="000000" w:themeColor="text1"/>
          <w:sz w:val="30"/>
          <w:szCs w:val="30"/>
        </w:rPr>
      </w:pPr>
      <w:bookmarkStart w:id="178" w:name="_Toc25115"/>
      <w:r>
        <w:rPr>
          <w:rFonts w:hint="eastAsia"/>
          <w:color w:val="000000" w:themeColor="text1"/>
          <w:sz w:val="30"/>
          <w:szCs w:val="30"/>
        </w:rPr>
        <w:t>第一节总体要求</w:t>
      </w:r>
      <w:bookmarkEnd w:id="178"/>
    </w:p>
    <w:p w14:paraId="7C80FE72">
      <w:pPr>
        <w:spacing w:line="560" w:lineRule="exact"/>
        <w:ind w:firstLine="560" w:firstLineChars="200"/>
        <w:rPr>
          <w:rFonts w:ascii="宋体" w:hAnsi="宋体" w:cs="仿宋"/>
          <w:color w:val="000000" w:themeColor="text1"/>
          <w:kern w:val="0"/>
          <w:sz w:val="28"/>
          <w:szCs w:val="28"/>
        </w:rPr>
      </w:pPr>
      <w:r>
        <w:rPr>
          <w:rFonts w:hint="eastAsia" w:ascii="宋体" w:hAnsi="宋体" w:cs="仿宋"/>
          <w:color w:val="000000" w:themeColor="text1"/>
          <w:kern w:val="0"/>
          <w:sz w:val="28"/>
          <w:szCs w:val="28"/>
        </w:rPr>
        <w:t>深入贯彻习近平总书记关于安全生产重要论述和湖南省、湘潭市关于安全生产相关部署，树牢安全发展理念、强化红线意识、坚持问题导向、紧盯目标任务、深化源头治理，切实在转变理念、狠抓治本上下功夫，完善和落实重在</w:t>
      </w:r>
      <w:r>
        <w:rPr>
          <w:rFonts w:hint="eastAsia" w:ascii="宋体" w:cs="仿宋"/>
          <w:color w:val="000000" w:themeColor="text1"/>
          <w:kern w:val="0"/>
          <w:sz w:val="28"/>
          <w:szCs w:val="28"/>
        </w:rPr>
        <w:t>“</w:t>
      </w:r>
      <w:r>
        <w:rPr>
          <w:rFonts w:hint="eastAsia" w:ascii="宋体" w:hAnsi="宋体" w:cs="仿宋"/>
          <w:color w:val="000000" w:themeColor="text1"/>
          <w:kern w:val="0"/>
          <w:sz w:val="28"/>
          <w:szCs w:val="28"/>
        </w:rPr>
        <w:t>从根本上消除事故隐患</w:t>
      </w:r>
      <w:r>
        <w:rPr>
          <w:rFonts w:hint="eastAsia" w:ascii="宋体" w:cs="仿宋"/>
          <w:color w:val="000000" w:themeColor="text1"/>
          <w:kern w:val="0"/>
          <w:sz w:val="28"/>
          <w:szCs w:val="28"/>
        </w:rPr>
        <w:t>”</w:t>
      </w:r>
      <w:r>
        <w:rPr>
          <w:rFonts w:hint="eastAsia" w:ascii="宋体" w:hAnsi="宋体" w:cs="仿宋"/>
          <w:color w:val="000000" w:themeColor="text1"/>
          <w:kern w:val="0"/>
          <w:sz w:val="28"/>
          <w:szCs w:val="28"/>
        </w:rPr>
        <w:t>的责任链条、制度成果、管理办法、重点项目和工作机制，防范遏制生产安全事故的发生，维护人民群众生命财产安全，保障湘潭经济社会和谐稳定高质量发展。</w:t>
      </w:r>
    </w:p>
    <w:p w14:paraId="3A471500">
      <w:pPr>
        <w:spacing w:line="560" w:lineRule="exact"/>
        <w:ind w:firstLine="560" w:firstLineChars="200"/>
        <w:rPr>
          <w:rFonts w:ascii="宋体" w:hAnsi="宋体" w:cs="仿宋"/>
          <w:color w:val="000000" w:themeColor="text1"/>
          <w:kern w:val="0"/>
          <w:sz w:val="28"/>
          <w:szCs w:val="28"/>
        </w:rPr>
      </w:pPr>
    </w:p>
    <w:p w14:paraId="0A49F0F4">
      <w:pPr>
        <w:pStyle w:val="3"/>
        <w:numPr>
          <w:ilvl w:val="1"/>
          <w:numId w:val="0"/>
        </w:numPr>
        <w:spacing w:before="156" w:after="156" w:line="560" w:lineRule="exact"/>
        <w:ind w:firstLine="2409" w:firstLineChars="800"/>
        <w:rPr>
          <w:color w:val="000000" w:themeColor="text1"/>
        </w:rPr>
      </w:pPr>
      <w:bookmarkStart w:id="179" w:name="_Toc11398"/>
      <w:r>
        <w:rPr>
          <w:rFonts w:hint="eastAsia"/>
          <w:color w:val="000000" w:themeColor="text1"/>
          <w:sz w:val="30"/>
          <w:szCs w:val="30"/>
        </w:rPr>
        <w:t>第二节主要任务</w:t>
      </w:r>
      <w:bookmarkEnd w:id="179"/>
    </w:p>
    <w:p w14:paraId="6141BF8A">
      <w:pPr>
        <w:spacing w:line="560" w:lineRule="exact"/>
        <w:ind w:firstLine="560" w:firstLineChars="200"/>
        <w:rPr>
          <w:rFonts w:ascii="宋体"/>
          <w:color w:val="000000" w:themeColor="text1"/>
          <w:sz w:val="28"/>
          <w:szCs w:val="28"/>
        </w:rPr>
      </w:pPr>
      <w:r>
        <w:rPr>
          <w:rFonts w:hint="eastAsia" w:ascii="宋体" w:hAnsi="宋体" w:cs="仿宋"/>
          <w:color w:val="000000" w:themeColor="text1"/>
          <w:kern w:val="0"/>
          <w:sz w:val="28"/>
          <w:szCs w:val="28"/>
        </w:rPr>
        <w:t>坚持以习近平总书记关于安全生产重要论述武装头脑、指导实践，把安全生产摆到重要位置，切实解决思想认知不足、安全发展理念不牢和抓落实存在很大差距等突出问题；完善和落实安全生产责任和管理制度，健全落实党政同责、一岗双责、齐抓共管、失职追责的安全生产责任制，强化党委政府领导责任、部门</w:t>
      </w:r>
      <w:r>
        <w:rPr>
          <w:rFonts w:hint="eastAsia" w:ascii="宋体" w:hAnsi="宋体"/>
          <w:color w:val="000000" w:themeColor="text1"/>
          <w:sz w:val="28"/>
          <w:szCs w:val="28"/>
        </w:rPr>
        <w:t>监管责任和企业主体责任；建立公共安全隐患排查和安全预防控制体系，推进安全生产由企业被动接受监管向主动加强管理转变、安全风险管控由政府推动为主向企业自主开展转变、隐患排查治理由部门行政执法为主向企业日常自查自纠转变；完善安全生产体制机制，大力推动科技创新，持续加强基础建设，全面提升本质安全水平。</w:t>
      </w:r>
    </w:p>
    <w:p w14:paraId="45938209">
      <w:pPr>
        <w:pStyle w:val="3"/>
        <w:numPr>
          <w:ilvl w:val="1"/>
          <w:numId w:val="0"/>
        </w:numPr>
        <w:spacing w:before="156" w:after="156" w:line="560" w:lineRule="exact"/>
        <w:ind w:left="1644" w:firstLine="602" w:firstLineChars="200"/>
        <w:rPr>
          <w:color w:val="000000" w:themeColor="text1"/>
          <w:sz w:val="30"/>
          <w:szCs w:val="30"/>
        </w:rPr>
      </w:pPr>
      <w:bookmarkStart w:id="180" w:name="_Toc4156"/>
      <w:r>
        <w:rPr>
          <w:rFonts w:hint="eastAsia"/>
          <w:color w:val="000000" w:themeColor="text1"/>
          <w:sz w:val="30"/>
          <w:szCs w:val="30"/>
        </w:rPr>
        <w:t>第三节抓好安全教育</w:t>
      </w:r>
      <w:bookmarkEnd w:id="180"/>
    </w:p>
    <w:p w14:paraId="583FD0A9">
      <w:pPr>
        <w:spacing w:line="560" w:lineRule="exact"/>
        <w:ind w:firstLine="560" w:firstLineChars="200"/>
        <w:rPr>
          <w:rFonts w:ascii="宋体" w:cs="仿宋"/>
          <w:color w:val="000000" w:themeColor="text1"/>
          <w:sz w:val="28"/>
          <w:szCs w:val="28"/>
        </w:rPr>
      </w:pPr>
      <w:r>
        <w:rPr>
          <w:rFonts w:hint="eastAsia" w:ascii="宋体" w:hAnsi="宋体" w:cs="仿宋"/>
          <w:color w:val="000000" w:themeColor="text1"/>
          <w:sz w:val="28"/>
          <w:szCs w:val="28"/>
        </w:rPr>
        <w:t>1.组织学习观看习近平总书记关于安全生产重要论述系列电视专题片。</w:t>
      </w:r>
    </w:p>
    <w:p w14:paraId="39C2AF65">
      <w:pPr>
        <w:spacing w:line="560" w:lineRule="exact"/>
        <w:ind w:firstLine="560" w:firstLineChars="200"/>
        <w:rPr>
          <w:rFonts w:ascii="宋体" w:cs="仿宋"/>
          <w:color w:val="000000" w:themeColor="text1"/>
          <w:sz w:val="28"/>
          <w:szCs w:val="28"/>
        </w:rPr>
      </w:pPr>
      <w:r>
        <w:rPr>
          <w:rFonts w:hint="eastAsia" w:ascii="宋体" w:hAnsi="宋体" w:cs="仿宋"/>
          <w:color w:val="000000" w:themeColor="text1"/>
          <w:sz w:val="28"/>
          <w:szCs w:val="28"/>
        </w:rPr>
        <w:t>2.集中开展学习教育。局属各单位每年要安排专题学习和研讨，各有关部门和企事业单位要分批组织安全监管干部和企业负责人、安全管理人开展学习培训，推进学习教育全覆盖。</w:t>
      </w:r>
    </w:p>
    <w:p w14:paraId="0D2EEFB2">
      <w:pPr>
        <w:spacing w:line="560" w:lineRule="exact"/>
        <w:ind w:firstLine="560" w:firstLineChars="200"/>
        <w:rPr>
          <w:rFonts w:ascii="宋体" w:cs="仿宋"/>
          <w:color w:val="000000" w:themeColor="text1"/>
          <w:sz w:val="28"/>
          <w:szCs w:val="28"/>
        </w:rPr>
      </w:pPr>
      <w:r>
        <w:rPr>
          <w:rFonts w:hint="eastAsia" w:ascii="宋体" w:hAnsi="宋体" w:cs="仿宋"/>
          <w:color w:val="000000" w:themeColor="text1"/>
          <w:sz w:val="28"/>
          <w:szCs w:val="28"/>
        </w:rPr>
        <w:t>3.深入系统宣传贯彻。要紧密结合</w:t>
      </w:r>
      <w:r>
        <w:rPr>
          <w:rFonts w:hint="eastAsia" w:ascii="宋体" w:cs="仿宋"/>
          <w:color w:val="000000" w:themeColor="text1"/>
          <w:sz w:val="28"/>
          <w:szCs w:val="28"/>
        </w:rPr>
        <w:t>“</w:t>
      </w:r>
      <w:r>
        <w:rPr>
          <w:rFonts w:hint="eastAsia" w:ascii="宋体" w:hAnsi="宋体" w:cs="仿宋"/>
          <w:color w:val="000000" w:themeColor="text1"/>
          <w:sz w:val="28"/>
          <w:szCs w:val="28"/>
        </w:rPr>
        <w:t>安全生产月</w:t>
      </w:r>
      <w:r>
        <w:rPr>
          <w:rFonts w:hint="eastAsia" w:ascii="宋体" w:cs="仿宋"/>
          <w:color w:val="000000" w:themeColor="text1"/>
          <w:sz w:val="28"/>
          <w:szCs w:val="28"/>
        </w:rPr>
        <w:t>”</w:t>
      </w:r>
      <w:r>
        <w:rPr>
          <w:rFonts w:hint="eastAsia" w:ascii="宋体" w:hAnsi="宋体" w:cs="仿宋"/>
          <w:color w:val="000000" w:themeColor="text1"/>
          <w:sz w:val="28"/>
          <w:szCs w:val="28"/>
        </w:rPr>
        <w:t>活动，积极推进安全宣传</w:t>
      </w:r>
      <w:r>
        <w:rPr>
          <w:rFonts w:hint="eastAsia" w:ascii="宋体" w:cs="仿宋"/>
          <w:color w:val="000000" w:themeColor="text1"/>
          <w:sz w:val="28"/>
          <w:szCs w:val="28"/>
        </w:rPr>
        <w:t>“</w:t>
      </w:r>
      <w:r>
        <w:rPr>
          <w:rFonts w:hint="eastAsia" w:ascii="宋体" w:hAnsi="宋体" w:cs="仿宋"/>
          <w:color w:val="000000" w:themeColor="text1"/>
          <w:sz w:val="28"/>
          <w:szCs w:val="28"/>
        </w:rPr>
        <w:t>五进</w:t>
      </w:r>
      <w:r>
        <w:rPr>
          <w:rFonts w:hint="eastAsia" w:ascii="宋体" w:cs="仿宋"/>
          <w:color w:val="000000" w:themeColor="text1"/>
          <w:sz w:val="28"/>
          <w:szCs w:val="28"/>
        </w:rPr>
        <w:t>”</w:t>
      </w:r>
      <w:r>
        <w:rPr>
          <w:rFonts w:hint="eastAsia" w:ascii="宋体" w:hAnsi="宋体" w:cs="仿宋"/>
          <w:color w:val="000000" w:themeColor="text1"/>
          <w:sz w:val="28"/>
          <w:szCs w:val="28"/>
        </w:rPr>
        <w:t>，曝光安全生产典型问题，强化警示教育，形成集中宣传声势，增强公众安全意识。</w:t>
      </w:r>
    </w:p>
    <w:p w14:paraId="03473A04">
      <w:pPr>
        <w:spacing w:line="560" w:lineRule="exact"/>
        <w:ind w:firstLine="560" w:firstLineChars="200"/>
        <w:rPr>
          <w:rFonts w:ascii="宋体" w:cs="仿宋"/>
          <w:color w:val="000000" w:themeColor="text1"/>
          <w:sz w:val="28"/>
          <w:szCs w:val="28"/>
        </w:rPr>
      </w:pPr>
      <w:r>
        <w:rPr>
          <w:rFonts w:hint="eastAsia" w:ascii="宋体" w:hAnsi="宋体" w:cs="仿宋"/>
          <w:color w:val="000000" w:themeColor="text1"/>
          <w:sz w:val="28"/>
          <w:szCs w:val="28"/>
        </w:rPr>
        <w:t>4.健全落实安全生产责任制。认真落实《地方党政领导干部安全生产责任制规定》和我市实施细则，健全定期研究解决安全生产重大问题的会议制度，落实部门监管责任，建立健全企事业全过程安全生产管理制度，落实企事业主体责任。</w:t>
      </w:r>
    </w:p>
    <w:p w14:paraId="551DB764">
      <w:pPr>
        <w:spacing w:line="560" w:lineRule="exact"/>
        <w:ind w:firstLine="560" w:firstLineChars="200"/>
        <w:rPr>
          <w:rFonts w:ascii="宋体"/>
          <w:color w:val="000000" w:themeColor="text1"/>
          <w:sz w:val="28"/>
          <w:szCs w:val="28"/>
        </w:rPr>
      </w:pPr>
      <w:r>
        <w:rPr>
          <w:rFonts w:hint="eastAsia" w:ascii="宋体" w:hAnsi="宋体" w:cs="仿宋"/>
          <w:color w:val="000000" w:themeColor="text1"/>
          <w:sz w:val="28"/>
          <w:szCs w:val="28"/>
        </w:rPr>
        <w:t>5.有效防范安全风险。建立公共安全隐患排查和安全预防控制体系，建立安全风险评估制度，修订完善安全设防标准。突出重点行业领域开展专项整治，要特别重视加强重大工程和设施安全风险防控，强化规划设计、建设施工、运营管理等各个环节的安全责任措施落实，</w:t>
      </w:r>
      <w:r>
        <w:rPr>
          <w:rFonts w:hint="eastAsia" w:ascii="宋体" w:hAnsi="宋体"/>
          <w:color w:val="000000" w:themeColor="text1"/>
          <w:sz w:val="28"/>
          <w:szCs w:val="28"/>
        </w:rPr>
        <w:t>确保万无一失。</w:t>
      </w:r>
    </w:p>
    <w:p w14:paraId="4B0FDF68">
      <w:pPr>
        <w:spacing w:line="560" w:lineRule="exact"/>
        <w:ind w:firstLine="560" w:firstLineChars="200"/>
        <w:rPr>
          <w:rFonts w:ascii="宋体" w:hAnsi="宋体"/>
          <w:color w:val="000000" w:themeColor="text1"/>
          <w:sz w:val="28"/>
          <w:szCs w:val="28"/>
        </w:rPr>
      </w:pPr>
      <w:r>
        <w:rPr>
          <w:rFonts w:hint="eastAsia" w:ascii="宋体" w:hAnsi="宋体"/>
          <w:color w:val="000000" w:themeColor="text1"/>
          <w:sz w:val="28"/>
          <w:szCs w:val="28"/>
        </w:rPr>
        <w:t>6.加强安全监管干部队伍建设，打造一支具有安全生产相关专业学历和实践经验的专业执法队伍。</w:t>
      </w:r>
    </w:p>
    <w:p w14:paraId="30D51C95">
      <w:pPr>
        <w:spacing w:line="560" w:lineRule="exact"/>
        <w:ind w:firstLine="560" w:firstLineChars="200"/>
        <w:rPr>
          <w:rFonts w:ascii="宋体" w:hAnsi="宋体"/>
          <w:color w:val="000000" w:themeColor="text1"/>
          <w:sz w:val="28"/>
          <w:szCs w:val="28"/>
        </w:rPr>
      </w:pPr>
    </w:p>
    <w:p w14:paraId="569F5805">
      <w:pPr>
        <w:pStyle w:val="3"/>
        <w:numPr>
          <w:ilvl w:val="1"/>
          <w:numId w:val="0"/>
        </w:numPr>
        <w:spacing w:before="156" w:after="156" w:line="560" w:lineRule="exact"/>
        <w:ind w:left="1644"/>
        <w:rPr>
          <w:color w:val="000000" w:themeColor="text1"/>
          <w:sz w:val="30"/>
          <w:szCs w:val="30"/>
        </w:rPr>
      </w:pPr>
      <w:bookmarkStart w:id="181" w:name="_Toc2344"/>
      <w:r>
        <w:rPr>
          <w:rFonts w:hint="eastAsia"/>
          <w:color w:val="000000" w:themeColor="text1"/>
          <w:sz w:val="30"/>
          <w:szCs w:val="30"/>
        </w:rPr>
        <w:t>第四节落实企业安全生产主体责任</w:t>
      </w:r>
      <w:bookmarkEnd w:id="181"/>
    </w:p>
    <w:p w14:paraId="48FC41A9">
      <w:pPr>
        <w:spacing w:line="560" w:lineRule="exact"/>
        <w:ind w:firstLine="560" w:firstLineChars="200"/>
        <w:rPr>
          <w:rFonts w:ascii="宋体" w:cs="仿宋"/>
          <w:color w:val="000000" w:themeColor="text1"/>
          <w:sz w:val="28"/>
          <w:szCs w:val="28"/>
        </w:rPr>
      </w:pPr>
      <w:r>
        <w:rPr>
          <w:rFonts w:hint="eastAsia" w:ascii="宋体" w:hAnsi="宋体" w:cs="仿宋"/>
          <w:color w:val="000000" w:themeColor="text1"/>
          <w:sz w:val="28"/>
          <w:szCs w:val="28"/>
        </w:rPr>
        <w:t>1.全面落实企业安全生产责任体系。落实企业主要负责人安全生产</w:t>
      </w:r>
      <w:r>
        <w:rPr>
          <w:rFonts w:hint="eastAsia" w:ascii="宋体" w:cs="仿宋"/>
          <w:color w:val="000000" w:themeColor="text1"/>
          <w:sz w:val="28"/>
          <w:szCs w:val="28"/>
        </w:rPr>
        <w:t>“</w:t>
      </w:r>
      <w:r>
        <w:rPr>
          <w:rFonts w:hint="eastAsia" w:ascii="宋体" w:hAnsi="宋体" w:cs="仿宋"/>
          <w:color w:val="000000" w:themeColor="text1"/>
          <w:sz w:val="28"/>
          <w:szCs w:val="28"/>
        </w:rPr>
        <w:t>十个一次</w:t>
      </w:r>
      <w:r>
        <w:rPr>
          <w:rFonts w:hint="eastAsia" w:ascii="宋体" w:cs="仿宋"/>
          <w:color w:val="000000" w:themeColor="text1"/>
          <w:sz w:val="28"/>
          <w:szCs w:val="28"/>
        </w:rPr>
        <w:t>”</w:t>
      </w:r>
      <w:r>
        <w:rPr>
          <w:rFonts w:hint="eastAsia" w:ascii="宋体" w:hAnsi="宋体" w:cs="仿宋"/>
          <w:color w:val="000000" w:themeColor="text1"/>
          <w:sz w:val="28"/>
          <w:szCs w:val="28"/>
        </w:rPr>
        <w:t>和</w:t>
      </w:r>
      <w:r>
        <w:rPr>
          <w:rFonts w:hint="eastAsia" w:ascii="宋体" w:cs="仿宋"/>
          <w:color w:val="000000" w:themeColor="text1"/>
          <w:sz w:val="28"/>
          <w:szCs w:val="28"/>
        </w:rPr>
        <w:t>“</w:t>
      </w:r>
      <w:r>
        <w:rPr>
          <w:rFonts w:hint="eastAsia" w:ascii="宋体" w:hAnsi="宋体" w:cs="仿宋"/>
          <w:color w:val="000000" w:themeColor="text1"/>
          <w:sz w:val="28"/>
          <w:szCs w:val="28"/>
        </w:rPr>
        <w:t>一会三卡</w:t>
      </w:r>
      <w:r>
        <w:rPr>
          <w:rFonts w:hint="eastAsia" w:ascii="宋体" w:cs="仿宋"/>
          <w:color w:val="000000" w:themeColor="text1"/>
          <w:sz w:val="28"/>
          <w:szCs w:val="28"/>
        </w:rPr>
        <w:t>”</w:t>
      </w:r>
      <w:r>
        <w:rPr>
          <w:rFonts w:hint="eastAsia" w:ascii="宋体" w:hAnsi="宋体" w:cs="仿宋"/>
          <w:color w:val="000000" w:themeColor="text1"/>
          <w:sz w:val="28"/>
          <w:szCs w:val="28"/>
        </w:rPr>
        <w:t>制度。</w:t>
      </w:r>
    </w:p>
    <w:p w14:paraId="51A0240E">
      <w:pPr>
        <w:spacing w:line="560" w:lineRule="exact"/>
        <w:ind w:firstLine="560" w:firstLineChars="200"/>
        <w:rPr>
          <w:rFonts w:ascii="宋体" w:cs="仿宋"/>
          <w:color w:val="000000" w:themeColor="text1"/>
          <w:sz w:val="28"/>
          <w:szCs w:val="28"/>
        </w:rPr>
      </w:pPr>
      <w:r>
        <w:rPr>
          <w:rFonts w:hint="eastAsia" w:ascii="宋体" w:hAnsi="宋体" w:cs="仿宋"/>
          <w:color w:val="000000" w:themeColor="text1"/>
          <w:sz w:val="28"/>
          <w:szCs w:val="28"/>
        </w:rPr>
        <w:t>2.健全完善企业安全生产管理制度。完善和落实企业安全生产诚信、教育培训、举报奖励和危险作业审批等制度，建立企业风险管控和隐患排查治理</w:t>
      </w:r>
      <w:r>
        <w:rPr>
          <w:rFonts w:hint="eastAsia" w:ascii="宋体" w:cs="仿宋"/>
          <w:color w:val="000000" w:themeColor="text1"/>
          <w:sz w:val="28"/>
          <w:szCs w:val="28"/>
        </w:rPr>
        <w:t>“</w:t>
      </w:r>
      <w:r>
        <w:rPr>
          <w:rFonts w:hint="eastAsia" w:ascii="宋体" w:hAnsi="宋体" w:cs="仿宋"/>
          <w:color w:val="000000" w:themeColor="text1"/>
          <w:sz w:val="28"/>
          <w:szCs w:val="28"/>
        </w:rPr>
        <w:t>双报告制度</w:t>
      </w:r>
      <w:r>
        <w:rPr>
          <w:rFonts w:hint="eastAsia" w:ascii="宋体" w:cs="仿宋"/>
          <w:color w:val="000000" w:themeColor="text1"/>
          <w:sz w:val="28"/>
          <w:szCs w:val="28"/>
        </w:rPr>
        <w:t>”</w:t>
      </w:r>
      <w:r>
        <w:rPr>
          <w:rFonts w:hint="eastAsia" w:ascii="宋体" w:hAnsi="宋体" w:cs="仿宋"/>
          <w:color w:val="000000" w:themeColor="text1"/>
          <w:sz w:val="28"/>
          <w:szCs w:val="28"/>
        </w:rPr>
        <w:t>。</w:t>
      </w:r>
    </w:p>
    <w:p w14:paraId="1FB782EE">
      <w:pPr>
        <w:spacing w:line="560" w:lineRule="exact"/>
        <w:ind w:firstLine="560" w:firstLineChars="200"/>
        <w:rPr>
          <w:rFonts w:ascii="宋体" w:cs="仿宋"/>
          <w:color w:val="000000" w:themeColor="text1"/>
          <w:sz w:val="28"/>
          <w:szCs w:val="28"/>
        </w:rPr>
      </w:pPr>
      <w:r>
        <w:rPr>
          <w:rFonts w:hint="eastAsia" w:ascii="宋体" w:hAnsi="宋体" w:cs="仿宋"/>
          <w:color w:val="000000" w:themeColor="text1"/>
          <w:sz w:val="28"/>
          <w:szCs w:val="28"/>
        </w:rPr>
        <w:t>3.健全完善企业安全风险防控机制。建立企业安全风险辨识评估制度，实现</w:t>
      </w:r>
      <w:r>
        <w:rPr>
          <w:rFonts w:hint="eastAsia" w:ascii="宋体" w:cs="仿宋"/>
          <w:color w:val="000000" w:themeColor="text1"/>
          <w:sz w:val="28"/>
          <w:szCs w:val="28"/>
        </w:rPr>
        <w:t>“</w:t>
      </w:r>
      <w:r>
        <w:rPr>
          <w:rFonts w:hint="eastAsia" w:ascii="宋体" w:hAnsi="宋体" w:cs="仿宋"/>
          <w:color w:val="000000" w:themeColor="text1"/>
          <w:sz w:val="28"/>
          <w:szCs w:val="28"/>
        </w:rPr>
        <w:t>一企一清单</w:t>
      </w:r>
      <w:r>
        <w:rPr>
          <w:rFonts w:hint="eastAsia" w:ascii="宋体" w:cs="仿宋"/>
          <w:color w:val="000000" w:themeColor="text1"/>
          <w:sz w:val="28"/>
          <w:szCs w:val="28"/>
        </w:rPr>
        <w:t>”</w:t>
      </w:r>
      <w:r>
        <w:rPr>
          <w:rFonts w:hint="eastAsia" w:ascii="宋体" w:hAnsi="宋体" w:cs="仿宋"/>
          <w:color w:val="000000" w:themeColor="text1"/>
          <w:sz w:val="28"/>
          <w:szCs w:val="28"/>
        </w:rPr>
        <w:t>，落实安全风险分级管控和风险报告制度。</w:t>
      </w:r>
    </w:p>
    <w:p w14:paraId="141B16B6">
      <w:pPr>
        <w:spacing w:line="560" w:lineRule="exact"/>
        <w:ind w:firstLine="560" w:firstLineChars="200"/>
        <w:rPr>
          <w:rFonts w:ascii="宋体" w:cs="仿宋"/>
          <w:color w:val="000000" w:themeColor="text1"/>
          <w:sz w:val="28"/>
          <w:szCs w:val="28"/>
        </w:rPr>
      </w:pPr>
      <w:r>
        <w:rPr>
          <w:rFonts w:hint="eastAsia" w:ascii="宋体" w:hAnsi="宋体" w:cs="仿宋"/>
          <w:color w:val="000000" w:themeColor="text1"/>
          <w:sz w:val="28"/>
          <w:szCs w:val="28"/>
        </w:rPr>
        <w:t>4.健全完善企业安全隐患排查治理机制。加强安全隐患排查，重大事故隐患严格按照</w:t>
      </w:r>
      <w:r>
        <w:rPr>
          <w:rFonts w:hint="eastAsia" w:ascii="宋体" w:cs="仿宋"/>
          <w:color w:val="000000" w:themeColor="text1"/>
          <w:sz w:val="28"/>
          <w:szCs w:val="28"/>
        </w:rPr>
        <w:t>“</w:t>
      </w:r>
      <w:r>
        <w:rPr>
          <w:rFonts w:hint="eastAsia" w:ascii="宋体" w:hAnsi="宋体" w:cs="仿宋"/>
          <w:color w:val="000000" w:themeColor="text1"/>
          <w:sz w:val="28"/>
          <w:szCs w:val="28"/>
        </w:rPr>
        <w:t>一单五制</w:t>
      </w:r>
      <w:r>
        <w:rPr>
          <w:rFonts w:hint="eastAsia" w:ascii="宋体" w:cs="仿宋"/>
          <w:color w:val="000000" w:themeColor="text1"/>
          <w:sz w:val="28"/>
          <w:szCs w:val="28"/>
        </w:rPr>
        <w:t>”</w:t>
      </w:r>
      <w:r>
        <w:rPr>
          <w:rFonts w:hint="eastAsia" w:ascii="宋体" w:hAnsi="宋体" w:cs="仿宋"/>
          <w:color w:val="000000" w:themeColor="text1"/>
          <w:sz w:val="28"/>
          <w:szCs w:val="28"/>
        </w:rPr>
        <w:t>管理。</w:t>
      </w:r>
    </w:p>
    <w:p w14:paraId="4C1DAA81">
      <w:pPr>
        <w:spacing w:line="560" w:lineRule="exact"/>
        <w:ind w:firstLine="560" w:firstLineChars="200"/>
        <w:rPr>
          <w:rFonts w:ascii="宋体" w:hAnsi="宋体" w:cs="仿宋"/>
          <w:color w:val="000000" w:themeColor="text1"/>
          <w:sz w:val="28"/>
          <w:szCs w:val="28"/>
        </w:rPr>
      </w:pPr>
      <w:r>
        <w:rPr>
          <w:rFonts w:hint="eastAsia" w:ascii="宋体" w:hAnsi="宋体" w:cs="仿宋"/>
          <w:color w:val="000000" w:themeColor="text1"/>
          <w:sz w:val="28"/>
          <w:szCs w:val="28"/>
        </w:rPr>
        <w:t>5.推动企业安全生产标准化规范建设，分行业明确年度建设任务，实现企业安全生产工作标准化、规范化和常态化。</w:t>
      </w:r>
    </w:p>
    <w:p w14:paraId="3139C1EC">
      <w:pPr>
        <w:spacing w:line="560" w:lineRule="exact"/>
        <w:ind w:firstLine="560" w:firstLineChars="200"/>
        <w:rPr>
          <w:rFonts w:ascii="宋体" w:hAnsi="宋体" w:cs="仿宋"/>
          <w:color w:val="000000" w:themeColor="text1"/>
          <w:sz w:val="28"/>
          <w:szCs w:val="28"/>
        </w:rPr>
      </w:pPr>
    </w:p>
    <w:p w14:paraId="61307C5D">
      <w:pPr>
        <w:pStyle w:val="3"/>
        <w:numPr>
          <w:ilvl w:val="1"/>
          <w:numId w:val="0"/>
        </w:numPr>
        <w:spacing w:before="156" w:after="156" w:line="560" w:lineRule="exact"/>
        <w:ind w:left="1644" w:firstLine="301" w:firstLineChars="100"/>
        <w:rPr>
          <w:color w:val="000000" w:themeColor="text1"/>
          <w:sz w:val="30"/>
          <w:szCs w:val="30"/>
        </w:rPr>
      </w:pPr>
      <w:bookmarkStart w:id="182" w:name="_Toc11119"/>
      <w:r>
        <w:rPr>
          <w:rFonts w:hint="eastAsia"/>
          <w:color w:val="000000" w:themeColor="text1"/>
          <w:sz w:val="30"/>
          <w:szCs w:val="30"/>
        </w:rPr>
        <w:t>第五节持续开展行业安全整治</w:t>
      </w:r>
      <w:bookmarkEnd w:id="182"/>
    </w:p>
    <w:p w14:paraId="1F3DB66D">
      <w:pPr>
        <w:pStyle w:val="4"/>
        <w:numPr>
          <w:ilvl w:val="2"/>
          <w:numId w:val="0"/>
        </w:numPr>
        <w:spacing w:after="156"/>
        <w:ind w:left="420" w:leftChars="200" w:firstLine="281" w:firstLineChars="100"/>
        <w:rPr>
          <w:color w:val="000000" w:themeColor="text1"/>
          <w:sz w:val="28"/>
          <w:szCs w:val="28"/>
          <w:lang w:eastAsia="zh-CN"/>
        </w:rPr>
      </w:pPr>
      <w:bookmarkStart w:id="183" w:name="_Toc29162"/>
      <w:r>
        <w:rPr>
          <w:rFonts w:hint="eastAsia"/>
          <w:color w:val="000000" w:themeColor="text1"/>
          <w:sz w:val="28"/>
          <w:szCs w:val="28"/>
          <w:lang w:eastAsia="zh-CN"/>
        </w:rPr>
        <w:t>一、城镇燃气安全整治</w:t>
      </w:r>
      <w:bookmarkEnd w:id="183"/>
    </w:p>
    <w:p w14:paraId="11E29A29">
      <w:pPr>
        <w:pStyle w:val="27"/>
        <w:spacing w:line="560" w:lineRule="exact"/>
        <w:ind w:left="0" w:leftChars="0" w:firstLine="560" w:firstLineChars="200"/>
        <w:rPr>
          <w:rFonts w:ascii="宋体" w:cs="仿宋"/>
          <w:color w:val="000000" w:themeColor="text1"/>
          <w:kern w:val="0"/>
          <w:sz w:val="28"/>
          <w:szCs w:val="28"/>
        </w:rPr>
      </w:pPr>
      <w:r>
        <w:rPr>
          <w:rFonts w:hint="eastAsia" w:ascii="宋体" w:hAnsi="宋体" w:cs="宋体"/>
          <w:color w:val="000000" w:themeColor="text1"/>
          <w:sz w:val="28"/>
          <w:szCs w:val="28"/>
          <w:shd w:val="clear" w:color="auto" w:fill="FFFFFF"/>
        </w:rPr>
        <w:t>全面保障人民生命安全，坚持人民至上、生命至上，把保护人民生命安全摆在首位，全面提高燃气安全保障能力。完善和落实安全生产责任制，加强安全生产监管执法，有效遏制燃气安全事故发生。加大燃气安全隐患排查治理力度，</w:t>
      </w:r>
      <w:r>
        <w:rPr>
          <w:rFonts w:hint="eastAsia" w:ascii="宋体" w:hAnsi="宋体" w:cs="仿宋"/>
          <w:color w:val="000000" w:themeColor="text1"/>
          <w:kern w:val="0"/>
          <w:sz w:val="28"/>
          <w:szCs w:val="28"/>
        </w:rPr>
        <w:t>对燃气行业（有关燃气企业、加气站、瓶装液化气充装站、供应站）、城镇燃气管网安全隐患排查治理，严厉查处非法经营、储存和无证上岗人员，持续推进老旧住宅、出租房燃气安全隐患治理，查漏补缺，确保辖区内老旧住宅、出租房燃气安全隐患限期清零，</w:t>
      </w:r>
      <w:r>
        <w:rPr>
          <w:rFonts w:hint="eastAsia" w:ascii="宋体" w:hAnsi="宋体" w:cs="宋体"/>
          <w:color w:val="000000" w:themeColor="text1"/>
          <w:sz w:val="28"/>
          <w:szCs w:val="28"/>
          <w:shd w:val="clear" w:color="auto" w:fill="FFFFFF"/>
        </w:rPr>
        <w:t>落实安全生产主体责任。</w:t>
      </w:r>
      <w:r>
        <w:rPr>
          <w:rFonts w:hint="eastAsia" w:ascii="宋体" w:hAnsi="宋体" w:cs="仿宋"/>
          <w:color w:val="000000" w:themeColor="text1"/>
          <w:kern w:val="0"/>
          <w:sz w:val="28"/>
          <w:szCs w:val="28"/>
        </w:rPr>
        <w:t>推动燃气企业安全生产标准化建设，</w:t>
      </w:r>
      <w:r>
        <w:rPr>
          <w:rFonts w:hint="eastAsia" w:ascii="宋体" w:hAnsi="宋体" w:cs="宋体"/>
          <w:color w:val="000000" w:themeColor="text1"/>
          <w:sz w:val="28"/>
          <w:szCs w:val="28"/>
        </w:rPr>
        <w:t>推进完成湘潭新奥燃气有限公司熙春路汽车加气站、湘潭市液化石油气有限公司、湘潭同丰化工有限公司、中燃湘潭百江能源有限公司场站搬迁工作，有效调整燃气场站布局，进一步整合燃气资源，切实排除人口密集区燃气安全隐患。</w:t>
      </w:r>
      <w:r>
        <w:rPr>
          <w:rFonts w:hint="eastAsia" w:ascii="宋体" w:hAnsi="宋体" w:cs="宋体"/>
          <w:color w:val="000000" w:themeColor="text1"/>
          <w:sz w:val="28"/>
          <w:szCs w:val="28"/>
          <w:shd w:val="clear" w:color="auto" w:fill="FFFFFF"/>
        </w:rPr>
        <w:t>加大燃气安全宣传力度，普及燃气安全知识、培育燃气安全文化。运用科技手段，提升燃气安全生产管理水平，</w:t>
      </w:r>
      <w:r>
        <w:rPr>
          <w:rFonts w:hint="eastAsia" w:ascii="宋体" w:hAnsi="宋体" w:cs="仿宋"/>
          <w:color w:val="000000" w:themeColor="text1"/>
          <w:kern w:val="0"/>
          <w:sz w:val="28"/>
          <w:szCs w:val="28"/>
        </w:rPr>
        <w:t>配合相关部门做好城镇燃气行业全流程可视化监管工作。</w:t>
      </w:r>
    </w:p>
    <w:p w14:paraId="28646F8C">
      <w:pPr>
        <w:pStyle w:val="4"/>
        <w:numPr>
          <w:ilvl w:val="2"/>
          <w:numId w:val="0"/>
        </w:numPr>
        <w:spacing w:after="156"/>
        <w:ind w:firstLine="562" w:firstLineChars="200"/>
        <w:rPr>
          <w:color w:val="000000" w:themeColor="text1"/>
          <w:sz w:val="28"/>
          <w:szCs w:val="28"/>
          <w:lang w:eastAsia="zh-CN"/>
        </w:rPr>
      </w:pPr>
      <w:bookmarkStart w:id="184" w:name="_Toc22839"/>
      <w:r>
        <w:rPr>
          <w:rFonts w:hint="eastAsia"/>
          <w:color w:val="000000" w:themeColor="text1"/>
          <w:sz w:val="28"/>
          <w:szCs w:val="28"/>
          <w:lang w:eastAsia="zh-CN"/>
        </w:rPr>
        <w:t>二、园林行业安全整治</w:t>
      </w:r>
      <w:bookmarkEnd w:id="184"/>
    </w:p>
    <w:p w14:paraId="34FE681A">
      <w:pPr>
        <w:autoSpaceDE w:val="0"/>
        <w:autoSpaceDN w:val="0"/>
        <w:adjustRightInd w:val="0"/>
        <w:spacing w:line="560" w:lineRule="exact"/>
        <w:ind w:firstLine="560" w:firstLineChars="200"/>
        <w:jc w:val="left"/>
        <w:rPr>
          <w:rFonts w:ascii="宋体" w:cs="仿宋"/>
          <w:color w:val="000000" w:themeColor="text1"/>
          <w:sz w:val="28"/>
          <w:szCs w:val="28"/>
        </w:rPr>
      </w:pPr>
      <w:r>
        <w:rPr>
          <w:rFonts w:hint="eastAsia" w:ascii="宋体" w:hAnsi="宋体" w:cs="仿宋"/>
          <w:color w:val="000000" w:themeColor="text1"/>
          <w:sz w:val="28"/>
          <w:szCs w:val="28"/>
        </w:rPr>
        <w:t>重点对公园、广场、水域、树木、公园游乐设施等进行安全隐患排查，加强对公园、游园等人员密集场所的安全检查，健全完善应急预案，严防拥挤、踩踏等事故发生。</w:t>
      </w:r>
    </w:p>
    <w:p w14:paraId="579C1C36">
      <w:pPr>
        <w:pStyle w:val="4"/>
        <w:numPr>
          <w:ilvl w:val="2"/>
          <w:numId w:val="0"/>
        </w:numPr>
        <w:spacing w:after="156"/>
        <w:ind w:firstLine="562" w:firstLineChars="200"/>
        <w:rPr>
          <w:color w:val="000000" w:themeColor="text1"/>
          <w:sz w:val="28"/>
          <w:szCs w:val="28"/>
          <w:lang w:eastAsia="zh-CN"/>
        </w:rPr>
      </w:pPr>
      <w:bookmarkStart w:id="185" w:name="_Toc27400"/>
      <w:r>
        <w:rPr>
          <w:rFonts w:hint="eastAsia"/>
          <w:color w:val="000000" w:themeColor="text1"/>
          <w:sz w:val="28"/>
          <w:szCs w:val="28"/>
          <w:lang w:eastAsia="zh-CN"/>
        </w:rPr>
        <w:t>三、环卫行业安全整治</w:t>
      </w:r>
      <w:bookmarkEnd w:id="185"/>
    </w:p>
    <w:p w14:paraId="3CB375CB">
      <w:pPr>
        <w:autoSpaceDE w:val="0"/>
        <w:autoSpaceDN w:val="0"/>
        <w:adjustRightInd w:val="0"/>
        <w:spacing w:line="560" w:lineRule="exact"/>
        <w:ind w:firstLine="560" w:firstLineChars="200"/>
        <w:jc w:val="left"/>
        <w:rPr>
          <w:rFonts w:ascii="宋体" w:cs="仿宋"/>
          <w:color w:val="000000" w:themeColor="text1"/>
          <w:sz w:val="28"/>
          <w:szCs w:val="28"/>
        </w:rPr>
      </w:pPr>
      <w:r>
        <w:rPr>
          <w:rFonts w:hint="eastAsia" w:ascii="宋体" w:hAnsi="宋体" w:cs="仿宋"/>
          <w:color w:val="000000" w:themeColor="text1"/>
          <w:sz w:val="28"/>
          <w:szCs w:val="28"/>
        </w:rPr>
        <w:t>重点对垃圾填埋场、渗滤液公司设施设备和渣土行业进行安全隐患排查和风险治理，加强对环卫行业密闭空间作业、垃圾清扫、清运作业车辆、垃圾中转站、垃圾填埋场及相关设备检查检修和作业人员的安全教育，完善作业人员安全防护措施，确保各类设施正常运行，不发生安全生产事故。</w:t>
      </w:r>
    </w:p>
    <w:p w14:paraId="370845ED">
      <w:pPr>
        <w:pStyle w:val="4"/>
        <w:numPr>
          <w:ilvl w:val="2"/>
          <w:numId w:val="0"/>
        </w:numPr>
        <w:spacing w:after="156"/>
        <w:ind w:left="420" w:leftChars="200" w:firstLine="281" w:firstLineChars="100"/>
        <w:rPr>
          <w:color w:val="000000" w:themeColor="text1"/>
          <w:sz w:val="28"/>
          <w:szCs w:val="28"/>
          <w:lang w:eastAsia="zh-CN"/>
        </w:rPr>
      </w:pPr>
      <w:bookmarkStart w:id="186" w:name="_Toc13980"/>
      <w:r>
        <w:rPr>
          <w:rFonts w:hint="eastAsia"/>
          <w:color w:val="000000" w:themeColor="text1"/>
          <w:sz w:val="28"/>
          <w:szCs w:val="28"/>
          <w:lang w:eastAsia="zh-CN"/>
        </w:rPr>
        <w:t>四、城区户外广告安全整治</w:t>
      </w:r>
      <w:bookmarkEnd w:id="186"/>
    </w:p>
    <w:p w14:paraId="512D6DDC">
      <w:pPr>
        <w:autoSpaceDE w:val="0"/>
        <w:autoSpaceDN w:val="0"/>
        <w:adjustRightInd w:val="0"/>
        <w:spacing w:line="560" w:lineRule="exact"/>
        <w:ind w:firstLine="560" w:firstLineChars="200"/>
        <w:jc w:val="left"/>
        <w:rPr>
          <w:rFonts w:ascii="宋体" w:cs="仿宋"/>
          <w:color w:val="000000" w:themeColor="text1"/>
          <w:sz w:val="28"/>
          <w:szCs w:val="28"/>
        </w:rPr>
      </w:pPr>
      <w:r>
        <w:rPr>
          <w:rFonts w:hint="eastAsia" w:ascii="宋体" w:hAnsi="宋体" w:cs="仿宋"/>
          <w:color w:val="000000" w:themeColor="text1"/>
          <w:sz w:val="28"/>
          <w:szCs w:val="28"/>
        </w:rPr>
        <w:t>落实户外广告设施日常巡查和隐患排查整治制度，负责指导全市城区户外广告行业安装、运营、维修、拆除的安全监管，督促户外广告企业定期开展户外广告设施的结构、构件连接点</w:t>
      </w:r>
      <w:r>
        <w:rPr>
          <w:rFonts w:ascii="宋体" w:hAnsi="宋体" w:cs="仿宋"/>
          <w:color w:val="000000" w:themeColor="text1"/>
          <w:sz w:val="28"/>
          <w:szCs w:val="28"/>
        </w:rPr>
        <w:t>(</w:t>
      </w:r>
      <w:r>
        <w:rPr>
          <w:rFonts w:hint="eastAsia" w:ascii="宋体" w:hAnsi="宋体" w:cs="仿宋"/>
          <w:color w:val="000000" w:themeColor="text1"/>
          <w:sz w:val="28"/>
          <w:szCs w:val="28"/>
        </w:rPr>
        <w:t>焊缝螺栓</w:t>
      </w:r>
      <w:r>
        <w:rPr>
          <w:rFonts w:ascii="宋体" w:hAnsi="宋体" w:cs="仿宋"/>
          <w:color w:val="000000" w:themeColor="text1"/>
          <w:sz w:val="28"/>
          <w:szCs w:val="28"/>
        </w:rPr>
        <w:t>)</w:t>
      </w:r>
      <w:r>
        <w:rPr>
          <w:rFonts w:hint="eastAsia" w:ascii="宋体" w:hAnsi="宋体" w:cs="仿宋"/>
          <w:color w:val="000000" w:themeColor="text1"/>
          <w:sz w:val="28"/>
          <w:szCs w:val="28"/>
        </w:rPr>
        <w:t>和电路设备等重点部位检查维护，并做好检测检修记录，确保户外广告设施结构安全牢固、功能齐全、完好无损。</w:t>
      </w:r>
    </w:p>
    <w:p w14:paraId="744F06CC">
      <w:pPr>
        <w:pStyle w:val="4"/>
        <w:numPr>
          <w:ilvl w:val="2"/>
          <w:numId w:val="0"/>
        </w:numPr>
        <w:spacing w:after="156"/>
        <w:ind w:left="420" w:leftChars="200" w:firstLine="281" w:firstLineChars="100"/>
        <w:rPr>
          <w:color w:val="000000" w:themeColor="text1"/>
          <w:sz w:val="28"/>
          <w:szCs w:val="28"/>
          <w:lang w:eastAsia="zh-CN"/>
        </w:rPr>
      </w:pPr>
      <w:bookmarkStart w:id="187" w:name="_Toc2106"/>
      <w:r>
        <w:rPr>
          <w:rFonts w:hint="eastAsia"/>
          <w:color w:val="000000" w:themeColor="text1"/>
          <w:sz w:val="28"/>
          <w:szCs w:val="28"/>
          <w:lang w:eastAsia="zh-CN"/>
        </w:rPr>
        <w:t>五、城市照明设施安全整治</w:t>
      </w:r>
      <w:bookmarkEnd w:id="187"/>
    </w:p>
    <w:p w14:paraId="22E1CD4C">
      <w:pPr>
        <w:autoSpaceDE w:val="0"/>
        <w:autoSpaceDN w:val="0"/>
        <w:adjustRightInd w:val="0"/>
        <w:spacing w:line="560" w:lineRule="exact"/>
        <w:ind w:firstLine="560" w:firstLineChars="200"/>
        <w:jc w:val="left"/>
        <w:rPr>
          <w:rFonts w:ascii="宋体" w:cs="仿宋"/>
          <w:color w:val="000000" w:themeColor="text1"/>
          <w:sz w:val="28"/>
          <w:szCs w:val="28"/>
        </w:rPr>
      </w:pPr>
      <w:r>
        <w:rPr>
          <w:rFonts w:hint="eastAsia" w:ascii="宋体" w:hAnsi="宋体" w:cs="仿宋"/>
          <w:color w:val="000000" w:themeColor="text1"/>
          <w:sz w:val="28"/>
          <w:szCs w:val="28"/>
        </w:rPr>
        <w:t>做好城市照明设施安全巡查，重点检查高空危险作业、防范漏电触电等安全生产监管情况。重点巡查、监测与燃气管道、排水管网相邻、相近的地下照明管线，防止电线短路引发的燃烧或人员伤亡等安全事故。</w:t>
      </w:r>
    </w:p>
    <w:p w14:paraId="5E09CEDF">
      <w:pPr>
        <w:pStyle w:val="4"/>
        <w:numPr>
          <w:ilvl w:val="2"/>
          <w:numId w:val="0"/>
        </w:numPr>
        <w:spacing w:after="156"/>
        <w:ind w:left="420" w:leftChars="200" w:firstLine="281" w:firstLineChars="100"/>
        <w:rPr>
          <w:color w:val="000000" w:themeColor="text1"/>
          <w:sz w:val="28"/>
          <w:szCs w:val="28"/>
          <w:lang w:eastAsia="zh-CN"/>
        </w:rPr>
      </w:pPr>
      <w:bookmarkStart w:id="188" w:name="_Toc4095"/>
      <w:r>
        <w:rPr>
          <w:rFonts w:hint="eastAsia"/>
          <w:color w:val="000000" w:themeColor="text1"/>
          <w:sz w:val="28"/>
          <w:szCs w:val="28"/>
          <w:lang w:eastAsia="zh-CN"/>
        </w:rPr>
        <w:t>六、公共自行车设施安全整治</w:t>
      </w:r>
      <w:bookmarkEnd w:id="188"/>
    </w:p>
    <w:p w14:paraId="1B4C33C0">
      <w:pPr>
        <w:autoSpaceDE w:val="0"/>
        <w:autoSpaceDN w:val="0"/>
        <w:adjustRightInd w:val="0"/>
        <w:spacing w:line="560" w:lineRule="exact"/>
        <w:ind w:firstLine="560" w:firstLineChars="200"/>
        <w:jc w:val="left"/>
        <w:rPr>
          <w:rFonts w:ascii="宋体" w:cs="仿宋"/>
          <w:color w:val="000000" w:themeColor="text1"/>
          <w:sz w:val="28"/>
          <w:szCs w:val="28"/>
        </w:rPr>
      </w:pPr>
      <w:r>
        <w:rPr>
          <w:rFonts w:hint="eastAsia" w:ascii="宋体" w:hAnsi="宋体" w:cs="仿宋"/>
          <w:color w:val="000000" w:themeColor="text1"/>
          <w:sz w:val="28"/>
          <w:szCs w:val="28"/>
        </w:rPr>
        <w:t>突出自行车、设施设备、用电等安全隐患的排查整治。加强巡查检查力度，严格落实安全管理措施。</w:t>
      </w:r>
    </w:p>
    <w:p w14:paraId="2E2503F5">
      <w:pPr>
        <w:pStyle w:val="4"/>
        <w:numPr>
          <w:ilvl w:val="2"/>
          <w:numId w:val="0"/>
        </w:numPr>
        <w:spacing w:after="156"/>
        <w:ind w:firstLine="562" w:firstLineChars="200"/>
        <w:rPr>
          <w:color w:val="000000" w:themeColor="text1"/>
          <w:szCs w:val="28"/>
          <w:lang w:eastAsia="zh-CN"/>
        </w:rPr>
      </w:pPr>
      <w:bookmarkStart w:id="189" w:name="_Toc30144"/>
      <w:r>
        <w:rPr>
          <w:rFonts w:hint="eastAsia"/>
          <w:color w:val="000000" w:themeColor="text1"/>
          <w:sz w:val="28"/>
          <w:szCs w:val="28"/>
          <w:lang w:eastAsia="zh-CN"/>
        </w:rPr>
        <w:t>七、工程建设项目安全整治</w:t>
      </w:r>
      <w:bookmarkEnd w:id="189"/>
    </w:p>
    <w:p w14:paraId="6760F30C">
      <w:pPr>
        <w:autoSpaceDE w:val="0"/>
        <w:autoSpaceDN w:val="0"/>
        <w:adjustRightInd w:val="0"/>
        <w:spacing w:line="560" w:lineRule="exact"/>
        <w:ind w:firstLine="560" w:firstLineChars="200"/>
        <w:jc w:val="left"/>
        <w:rPr>
          <w:rFonts w:ascii="宋体" w:cs="仿宋"/>
          <w:color w:val="000000" w:themeColor="text1"/>
          <w:sz w:val="28"/>
          <w:szCs w:val="28"/>
        </w:rPr>
      </w:pPr>
      <w:r>
        <w:rPr>
          <w:rFonts w:hint="eastAsia" w:ascii="宋体" w:hAnsi="宋体" w:cs="仿宋"/>
          <w:color w:val="000000" w:themeColor="text1"/>
          <w:sz w:val="28"/>
          <w:szCs w:val="28"/>
        </w:rPr>
        <w:t>开展园林绿化、城市灯饰、市管公园、市容环卫、公共停车场（站、点）等市政公用行业及工程建设项目的安全整治，依职责落实建设项目业主单位对施工单位的监督责任。</w:t>
      </w:r>
    </w:p>
    <w:p w14:paraId="6F8310C7">
      <w:pPr>
        <w:pStyle w:val="4"/>
        <w:numPr>
          <w:ilvl w:val="2"/>
          <w:numId w:val="0"/>
        </w:numPr>
        <w:spacing w:after="156"/>
        <w:ind w:left="420" w:leftChars="200" w:firstLine="281" w:firstLineChars="100"/>
        <w:rPr>
          <w:color w:val="000000" w:themeColor="text1"/>
          <w:sz w:val="28"/>
          <w:szCs w:val="28"/>
          <w:lang w:eastAsia="zh-CN"/>
        </w:rPr>
      </w:pPr>
      <w:bookmarkStart w:id="190" w:name="_Toc13437"/>
      <w:r>
        <w:rPr>
          <w:rFonts w:hint="eastAsia"/>
          <w:color w:val="000000" w:themeColor="text1"/>
          <w:sz w:val="28"/>
          <w:szCs w:val="28"/>
          <w:lang w:eastAsia="zh-CN"/>
        </w:rPr>
        <w:t>八、“打非治违”专项整治</w:t>
      </w:r>
      <w:bookmarkEnd w:id="190"/>
    </w:p>
    <w:p w14:paraId="43BDE968">
      <w:pPr>
        <w:autoSpaceDE w:val="0"/>
        <w:autoSpaceDN w:val="0"/>
        <w:adjustRightInd w:val="0"/>
        <w:spacing w:line="560" w:lineRule="exact"/>
        <w:ind w:firstLine="560" w:firstLineChars="200"/>
        <w:jc w:val="left"/>
        <w:rPr>
          <w:rFonts w:ascii="宋体" w:cs="仿宋"/>
          <w:color w:val="000000" w:themeColor="text1"/>
          <w:sz w:val="28"/>
          <w:szCs w:val="28"/>
        </w:rPr>
      </w:pPr>
      <w:r>
        <w:rPr>
          <w:rFonts w:hint="eastAsia" w:ascii="宋体" w:hAnsi="宋体" w:cs="仿宋"/>
          <w:color w:val="000000" w:themeColor="text1"/>
          <w:sz w:val="28"/>
          <w:szCs w:val="28"/>
        </w:rPr>
        <w:t>联合相关部门，组织开展城市管理领域</w:t>
      </w:r>
      <w:r>
        <w:rPr>
          <w:rFonts w:hint="eastAsia" w:ascii="宋体" w:cs="仿宋"/>
          <w:color w:val="000000" w:themeColor="text1"/>
          <w:sz w:val="28"/>
          <w:szCs w:val="28"/>
        </w:rPr>
        <w:t>“</w:t>
      </w:r>
      <w:r>
        <w:rPr>
          <w:rFonts w:hint="eastAsia" w:ascii="宋体" w:hAnsi="宋体" w:cs="仿宋"/>
          <w:color w:val="000000" w:themeColor="text1"/>
          <w:sz w:val="28"/>
          <w:szCs w:val="28"/>
        </w:rPr>
        <w:t>打非治违</w:t>
      </w:r>
      <w:r>
        <w:rPr>
          <w:rFonts w:hint="eastAsia" w:ascii="宋体" w:cs="仿宋"/>
          <w:color w:val="000000" w:themeColor="text1"/>
          <w:sz w:val="28"/>
          <w:szCs w:val="28"/>
        </w:rPr>
        <w:t>”</w:t>
      </w:r>
      <w:r>
        <w:rPr>
          <w:rFonts w:hint="eastAsia" w:ascii="宋体" w:hAnsi="宋体" w:cs="仿宋"/>
          <w:color w:val="000000" w:themeColor="text1"/>
          <w:sz w:val="28"/>
          <w:szCs w:val="28"/>
        </w:rPr>
        <w:t>专项行动，重点开展城镇燃气、园林绿化、市管公园、户外广告等领域执法整治，采取更加严厉、更加有效的措施，集中打击整治一批突出的非法违法、违规违章行为。</w:t>
      </w:r>
    </w:p>
    <w:p w14:paraId="3070F89B">
      <w:pPr>
        <w:pStyle w:val="4"/>
        <w:numPr>
          <w:ilvl w:val="2"/>
          <w:numId w:val="0"/>
        </w:numPr>
        <w:spacing w:after="156"/>
        <w:ind w:left="420" w:leftChars="200" w:firstLine="281" w:firstLineChars="100"/>
        <w:rPr>
          <w:color w:val="000000" w:themeColor="text1"/>
          <w:sz w:val="28"/>
          <w:szCs w:val="28"/>
          <w:lang w:eastAsia="zh-CN"/>
        </w:rPr>
      </w:pPr>
      <w:bookmarkStart w:id="191" w:name="_Toc12982"/>
      <w:r>
        <w:rPr>
          <w:rFonts w:hint="eastAsia"/>
          <w:color w:val="000000" w:themeColor="text1"/>
          <w:sz w:val="28"/>
          <w:szCs w:val="28"/>
          <w:lang w:eastAsia="zh-CN"/>
        </w:rPr>
        <w:t>九、推行重大事项稳评机制</w:t>
      </w:r>
      <w:bookmarkEnd w:id="191"/>
    </w:p>
    <w:p w14:paraId="55BAC923">
      <w:pPr>
        <w:autoSpaceDE w:val="0"/>
        <w:autoSpaceDN w:val="0"/>
        <w:adjustRightInd w:val="0"/>
        <w:spacing w:line="560" w:lineRule="exact"/>
        <w:ind w:firstLine="560" w:firstLineChars="200"/>
        <w:jc w:val="left"/>
        <w:rPr>
          <w:rFonts w:ascii="宋体" w:hAnsi="宋体" w:cs="宋体"/>
          <w:color w:val="000000" w:themeColor="text1"/>
          <w:sz w:val="28"/>
          <w:szCs w:val="28"/>
        </w:rPr>
      </w:pPr>
      <w:r>
        <w:rPr>
          <w:rFonts w:hint="eastAsia" w:ascii="宋体" w:hAnsi="宋体" w:cs="宋体"/>
          <w:color w:val="000000" w:themeColor="text1"/>
          <w:sz w:val="28"/>
          <w:szCs w:val="28"/>
        </w:rPr>
        <w:t>推行重大城管执法整治事项实施社会稳定风险评估机制，制定处置突发性暴力抗法事件应急预案，实现整治执法事项平安推进，切实从源头预防社会安全风险。</w:t>
      </w:r>
    </w:p>
    <w:p w14:paraId="7A08C9A9">
      <w:pPr>
        <w:pStyle w:val="2"/>
        <w:numPr>
          <w:ilvl w:val="0"/>
          <w:numId w:val="0"/>
        </w:numPr>
        <w:spacing w:line="560" w:lineRule="exact"/>
        <w:jc w:val="center"/>
        <w:rPr>
          <w:rFonts w:ascii="宋体" w:hAnsi="宋体" w:cs="宋体"/>
          <w:color w:val="000000" w:themeColor="text1"/>
          <w:szCs w:val="32"/>
          <w:lang w:eastAsia="zh-CN"/>
        </w:rPr>
      </w:pPr>
      <w:bookmarkStart w:id="192" w:name="_Toc10602"/>
      <w:r>
        <w:rPr>
          <w:rFonts w:hint="eastAsia" w:ascii="宋体" w:hAnsi="宋体" w:cs="宋体"/>
          <w:color w:val="000000" w:themeColor="text1"/>
          <w:szCs w:val="32"/>
          <w:lang w:eastAsia="zh-CN"/>
        </w:rPr>
        <w:t>第十一章  构建规划保障体系，全面完成“十四五”目标</w:t>
      </w:r>
      <w:bookmarkEnd w:id="192"/>
    </w:p>
    <w:p w14:paraId="32F34402">
      <w:pPr>
        <w:pStyle w:val="3"/>
        <w:numPr>
          <w:ilvl w:val="0"/>
          <w:numId w:val="0"/>
        </w:numPr>
        <w:spacing w:before="156" w:after="156" w:line="560" w:lineRule="exact"/>
        <w:jc w:val="center"/>
        <w:rPr>
          <w:rFonts w:ascii="宋体" w:hAnsi="宋体" w:cs="宋体"/>
          <w:color w:val="000000" w:themeColor="text1"/>
          <w:sz w:val="30"/>
          <w:szCs w:val="30"/>
        </w:rPr>
      </w:pPr>
      <w:bookmarkStart w:id="193" w:name="_Toc50555251"/>
      <w:bookmarkStart w:id="194" w:name="_Toc499819351"/>
    </w:p>
    <w:p w14:paraId="2D9FC531">
      <w:pPr>
        <w:pStyle w:val="3"/>
        <w:numPr>
          <w:ilvl w:val="0"/>
          <w:numId w:val="0"/>
        </w:numPr>
        <w:spacing w:before="156" w:after="156" w:line="560" w:lineRule="exact"/>
        <w:jc w:val="center"/>
        <w:rPr>
          <w:rFonts w:ascii="宋体" w:hAnsi="宋体" w:cs="宋体"/>
          <w:color w:val="000000" w:themeColor="text1"/>
          <w:sz w:val="30"/>
          <w:szCs w:val="30"/>
        </w:rPr>
      </w:pPr>
      <w:bookmarkStart w:id="195" w:name="_Toc20258"/>
      <w:r>
        <w:rPr>
          <w:rFonts w:hint="eastAsia" w:ascii="宋体" w:hAnsi="宋体" w:cs="宋体"/>
          <w:color w:val="000000" w:themeColor="text1"/>
          <w:sz w:val="30"/>
          <w:szCs w:val="30"/>
        </w:rPr>
        <w:t>第一节  健全管理保障体系</w:t>
      </w:r>
      <w:bookmarkEnd w:id="193"/>
      <w:bookmarkEnd w:id="194"/>
      <w:bookmarkEnd w:id="195"/>
    </w:p>
    <w:p w14:paraId="35AA0AF4">
      <w:pPr>
        <w:pStyle w:val="4"/>
        <w:numPr>
          <w:ilvl w:val="0"/>
          <w:numId w:val="0"/>
        </w:numPr>
        <w:spacing w:before="240" w:after="156" w:line="560" w:lineRule="exact"/>
        <w:ind w:firstLine="482"/>
        <w:rPr>
          <w:rFonts w:cs="宋体"/>
          <w:color w:val="000000" w:themeColor="text1"/>
          <w:sz w:val="28"/>
          <w:szCs w:val="28"/>
          <w:lang w:eastAsia="zh-CN"/>
        </w:rPr>
      </w:pPr>
      <w:bookmarkStart w:id="196" w:name="_Toc26287"/>
      <w:r>
        <w:rPr>
          <w:rFonts w:hint="eastAsia" w:cs="宋体"/>
          <w:color w:val="000000" w:themeColor="text1"/>
          <w:sz w:val="28"/>
          <w:szCs w:val="28"/>
          <w:lang w:eastAsia="zh-CN"/>
        </w:rPr>
        <w:t>一、 加强党领导的规划管理</w:t>
      </w:r>
      <w:bookmarkEnd w:id="196"/>
    </w:p>
    <w:p w14:paraId="33B94988">
      <w:pPr>
        <w:adjustRightInd w:val="0"/>
        <w:snapToGrid w:val="0"/>
        <w:spacing w:line="560" w:lineRule="exact"/>
        <w:ind w:firstLine="482"/>
        <w:rPr>
          <w:rFonts w:ascii="宋体" w:hAnsi="宋体" w:cs="宋体"/>
          <w:color w:val="000000" w:themeColor="text1"/>
          <w:sz w:val="28"/>
          <w:szCs w:val="28"/>
        </w:rPr>
      </w:pPr>
      <w:r>
        <w:rPr>
          <w:rFonts w:hint="eastAsia" w:ascii="宋体" w:hAnsi="宋体" w:cs="宋体"/>
          <w:color w:val="000000" w:themeColor="text1"/>
          <w:sz w:val="28"/>
          <w:szCs w:val="28"/>
        </w:rPr>
        <w:t>在湘潭市城市管理和综合执法局党委的领导下，成立《湘潭“十四五”城市管理系统建设规划》实施工作领导小组，规划实施工作领导小组下设办公室，办公室设在市城管执法局工程管理科，具体负责本规划的实施。规划实施工作领导小组要根据规划分解各项重点任务和主要目标，制定年度计划，细化建设安排。对规划实施情况及时跟踪分析和监督检查。完善规划中期评估制度，定期检查规划落实情况，分析规划实施效果，及时发现解决问题。</w:t>
      </w:r>
      <w:bookmarkStart w:id="197" w:name="_Toc50555252"/>
    </w:p>
    <w:p w14:paraId="4E1378FA">
      <w:pPr>
        <w:pStyle w:val="4"/>
        <w:numPr>
          <w:ilvl w:val="0"/>
          <w:numId w:val="0"/>
        </w:numPr>
        <w:spacing w:before="240" w:after="156" w:line="560" w:lineRule="exact"/>
        <w:ind w:firstLine="562" w:firstLineChars="200"/>
        <w:rPr>
          <w:rFonts w:cs="宋体"/>
          <w:color w:val="000000" w:themeColor="text1"/>
          <w:sz w:val="28"/>
          <w:szCs w:val="28"/>
          <w:lang w:eastAsia="zh-CN"/>
        </w:rPr>
      </w:pPr>
      <w:bookmarkStart w:id="198" w:name="_Toc21339"/>
      <w:r>
        <w:rPr>
          <w:rFonts w:hint="eastAsia" w:cs="宋体"/>
          <w:color w:val="000000" w:themeColor="text1"/>
          <w:sz w:val="28"/>
          <w:szCs w:val="28"/>
          <w:lang w:eastAsia="zh-CN"/>
        </w:rPr>
        <w:t>二、 完善政策法规</w:t>
      </w:r>
      <w:bookmarkEnd w:id="197"/>
      <w:r>
        <w:rPr>
          <w:rFonts w:hint="eastAsia" w:cs="宋体"/>
          <w:color w:val="000000" w:themeColor="text1"/>
          <w:sz w:val="28"/>
          <w:szCs w:val="28"/>
          <w:lang w:eastAsia="zh-CN"/>
        </w:rPr>
        <w:t>体系</w:t>
      </w:r>
      <w:bookmarkEnd w:id="198"/>
    </w:p>
    <w:p w14:paraId="489611A5">
      <w:pPr>
        <w:adjustRightInd w:val="0"/>
        <w:snapToGrid w:val="0"/>
        <w:spacing w:line="560" w:lineRule="exact"/>
        <w:ind w:firstLine="560" w:firstLineChars="200"/>
        <w:rPr>
          <w:rFonts w:ascii="宋体" w:hAnsi="宋体" w:cs="宋体"/>
          <w:color w:val="000000" w:themeColor="text1"/>
          <w:sz w:val="28"/>
          <w:szCs w:val="28"/>
        </w:rPr>
      </w:pPr>
      <w:r>
        <w:rPr>
          <w:rFonts w:hint="eastAsia" w:ascii="宋体" w:hAnsi="宋体" w:cs="宋体"/>
          <w:color w:val="000000" w:themeColor="text1"/>
          <w:sz w:val="28"/>
          <w:szCs w:val="28"/>
        </w:rPr>
        <w:t>加快规划涉及的政策法规“立、改、废”步伐，及时组织修改和调整部分已不适应城市管理发展和综合执法要求的法规、规章和规范性文件，尽快形成覆盖城市管理和综合执法的各个方面、相互衔接的法规体系。根据行业发展的实际情况，研究解决城市管理立法中带有普遍性和规律性的问题，建立城市管理和综合治理执法的长效机制。同时针对行业发展过程中面临的不同社会、经济、法律和技术环境，要适时的对现有的法规进行动态的研究、界定，以增强法规的时效性、可操作性。</w:t>
      </w:r>
    </w:p>
    <w:p w14:paraId="0E471679">
      <w:pPr>
        <w:pStyle w:val="4"/>
        <w:numPr>
          <w:ilvl w:val="0"/>
          <w:numId w:val="0"/>
        </w:numPr>
        <w:spacing w:before="240" w:after="156" w:line="560" w:lineRule="exact"/>
        <w:ind w:firstLine="562" w:firstLineChars="200"/>
        <w:rPr>
          <w:rFonts w:cs="宋体"/>
          <w:color w:val="000000" w:themeColor="text1"/>
          <w:sz w:val="28"/>
          <w:szCs w:val="28"/>
          <w:lang w:eastAsia="zh-CN"/>
        </w:rPr>
      </w:pPr>
      <w:bookmarkStart w:id="199" w:name="_Toc19215"/>
      <w:r>
        <w:rPr>
          <w:rFonts w:hint="eastAsia" w:cs="宋体"/>
          <w:color w:val="000000" w:themeColor="text1"/>
          <w:sz w:val="28"/>
          <w:szCs w:val="28"/>
          <w:lang w:eastAsia="zh-CN"/>
        </w:rPr>
        <w:t>三、 严格规划实施评估</w:t>
      </w:r>
      <w:bookmarkEnd w:id="199"/>
    </w:p>
    <w:p w14:paraId="49A5DF98">
      <w:pPr>
        <w:adjustRightInd w:val="0"/>
        <w:snapToGrid w:val="0"/>
        <w:spacing w:line="560" w:lineRule="exact"/>
        <w:ind w:firstLine="560" w:firstLineChars="200"/>
        <w:rPr>
          <w:rFonts w:ascii="宋体" w:hAnsi="宋体" w:cs="宋体"/>
          <w:color w:val="000000" w:themeColor="text1"/>
          <w:sz w:val="28"/>
          <w:szCs w:val="28"/>
        </w:rPr>
      </w:pPr>
      <w:bookmarkStart w:id="200" w:name="_Toc50555257"/>
      <w:r>
        <w:rPr>
          <w:rFonts w:hint="eastAsia" w:ascii="宋体" w:hAnsi="宋体" w:cs="宋体"/>
          <w:color w:val="000000" w:themeColor="text1"/>
          <w:sz w:val="28"/>
          <w:szCs w:val="28"/>
        </w:rPr>
        <w:t>加强对规划实施情况跟踪分析，自觉接受上级部门及公众的监督检查，在规划实施的中期阶段，按照市政府部署开展全面评估，并根据形势变化和实际需要，对规划目标、任务适时进行必要的调整。完善统计制度，进一步加强统计信息工作，提高城市管理规划实施和运行效益的分析水平。</w:t>
      </w:r>
      <w:bookmarkEnd w:id="200"/>
    </w:p>
    <w:p w14:paraId="0FD81BEB">
      <w:pPr>
        <w:pStyle w:val="3"/>
        <w:numPr>
          <w:ilvl w:val="0"/>
          <w:numId w:val="0"/>
        </w:numPr>
        <w:spacing w:before="156" w:after="156" w:line="560" w:lineRule="exact"/>
        <w:jc w:val="center"/>
        <w:rPr>
          <w:rFonts w:ascii="宋体" w:hAnsi="宋体" w:cs="宋体"/>
          <w:color w:val="000000" w:themeColor="text1"/>
          <w:sz w:val="30"/>
          <w:szCs w:val="30"/>
        </w:rPr>
      </w:pPr>
      <w:bookmarkStart w:id="201" w:name="_Toc50555253"/>
    </w:p>
    <w:p w14:paraId="23AEB74E">
      <w:pPr>
        <w:pStyle w:val="3"/>
        <w:numPr>
          <w:ilvl w:val="0"/>
          <w:numId w:val="0"/>
        </w:numPr>
        <w:spacing w:before="156" w:after="156" w:line="560" w:lineRule="exact"/>
        <w:jc w:val="center"/>
        <w:rPr>
          <w:rFonts w:ascii="宋体" w:hAnsi="宋体" w:cs="宋体"/>
          <w:color w:val="000000" w:themeColor="text1"/>
        </w:rPr>
      </w:pPr>
      <w:bookmarkStart w:id="202" w:name="_Toc25529"/>
      <w:r>
        <w:rPr>
          <w:rFonts w:hint="eastAsia" w:ascii="宋体" w:hAnsi="宋体" w:cs="宋体"/>
          <w:color w:val="000000" w:themeColor="text1"/>
          <w:sz w:val="30"/>
          <w:szCs w:val="30"/>
        </w:rPr>
        <w:t>第二节  建立投入保障体系</w:t>
      </w:r>
      <w:bookmarkEnd w:id="202"/>
    </w:p>
    <w:p w14:paraId="47BF7B40">
      <w:pPr>
        <w:pStyle w:val="4"/>
        <w:numPr>
          <w:ilvl w:val="0"/>
          <w:numId w:val="0"/>
        </w:numPr>
        <w:spacing w:before="240" w:after="156" w:line="560" w:lineRule="exact"/>
        <w:ind w:firstLine="562" w:firstLineChars="200"/>
        <w:rPr>
          <w:rFonts w:cs="宋体"/>
          <w:color w:val="000000" w:themeColor="text1"/>
          <w:sz w:val="28"/>
          <w:szCs w:val="28"/>
          <w:lang w:eastAsia="zh-CN"/>
        </w:rPr>
      </w:pPr>
      <w:bookmarkStart w:id="203" w:name="_Toc12192"/>
      <w:r>
        <w:rPr>
          <w:rFonts w:hint="eastAsia" w:cs="宋体"/>
          <w:color w:val="000000" w:themeColor="text1"/>
          <w:sz w:val="28"/>
          <w:szCs w:val="28"/>
          <w:lang w:eastAsia="zh-CN"/>
        </w:rPr>
        <w:t>一、 创新经费投入机制</w:t>
      </w:r>
      <w:bookmarkEnd w:id="203"/>
    </w:p>
    <w:p w14:paraId="0C815A1E">
      <w:pPr>
        <w:adjustRightInd w:val="0"/>
        <w:snapToGrid w:val="0"/>
        <w:spacing w:line="560" w:lineRule="exact"/>
        <w:ind w:firstLine="560" w:firstLineChars="200"/>
        <w:rPr>
          <w:rFonts w:ascii="宋体" w:hAnsi="宋体" w:cs="宋体"/>
          <w:color w:val="000000" w:themeColor="text1"/>
          <w:sz w:val="28"/>
          <w:szCs w:val="28"/>
        </w:rPr>
      </w:pPr>
      <w:r>
        <w:rPr>
          <w:rFonts w:hint="eastAsia" w:ascii="宋体" w:hAnsi="宋体" w:cs="宋体"/>
          <w:color w:val="000000" w:themeColor="text1"/>
          <w:kern w:val="0"/>
          <w:sz w:val="28"/>
          <w:szCs w:val="28"/>
        </w:rPr>
        <w:t>落实财政保障政策，通过多种渠道筹措资金，加大财政资金投入是保证规划能够实施的关键。</w:t>
      </w:r>
      <w:bookmarkEnd w:id="201"/>
      <w:r>
        <w:rPr>
          <w:rFonts w:hint="eastAsia" w:ascii="宋体" w:hAnsi="宋体" w:cs="宋体"/>
          <w:color w:val="000000" w:themeColor="text1"/>
          <w:sz w:val="28"/>
          <w:szCs w:val="28"/>
        </w:rPr>
        <w:t>积极筹措社会资金，拓宽融资渠道，积极采取多渠道、多形式、多层次的融资，建立多元化的投融资机制，引进竞争机制，推进市场化。建立有效的收费机制，一方面采取多收多奖的激励措施，提高收缴人员的责任心和积极心；另一方面，由城管局牵头，与司法部门联动，对长期恶意欠费的单位、居民家庭和个人，采取司法手段追缴。真正实现城市管理“取之于民，用之于民”。</w:t>
      </w:r>
      <w:bookmarkStart w:id="204" w:name="_Toc50555254"/>
    </w:p>
    <w:p w14:paraId="2803AA94">
      <w:pPr>
        <w:pStyle w:val="4"/>
        <w:numPr>
          <w:ilvl w:val="0"/>
          <w:numId w:val="0"/>
        </w:numPr>
        <w:spacing w:before="240" w:after="156" w:line="560" w:lineRule="exact"/>
        <w:ind w:firstLine="562" w:firstLineChars="200"/>
        <w:rPr>
          <w:rFonts w:cs="宋体"/>
          <w:color w:val="000000" w:themeColor="text1"/>
          <w:sz w:val="28"/>
          <w:szCs w:val="28"/>
          <w:lang w:eastAsia="zh-CN"/>
        </w:rPr>
      </w:pPr>
      <w:bookmarkStart w:id="205" w:name="_Toc2731"/>
      <w:r>
        <w:rPr>
          <w:rFonts w:hint="eastAsia" w:cs="宋体"/>
          <w:color w:val="000000" w:themeColor="text1"/>
          <w:sz w:val="28"/>
          <w:szCs w:val="28"/>
          <w:lang w:eastAsia="zh-CN"/>
        </w:rPr>
        <w:t>二、加强管理人才队伍建设</w:t>
      </w:r>
      <w:bookmarkEnd w:id="205"/>
    </w:p>
    <w:p w14:paraId="47DE2E3C">
      <w:pPr>
        <w:spacing w:line="560" w:lineRule="exact"/>
        <w:ind w:firstLine="560" w:firstLineChars="200"/>
      </w:pPr>
      <w:r>
        <w:rPr>
          <w:rFonts w:hint="eastAsia" w:ascii="宋体" w:hAnsi="宋体" w:cs="宋体"/>
          <w:color w:val="000000" w:themeColor="text1"/>
          <w:sz w:val="28"/>
          <w:szCs w:val="28"/>
        </w:rPr>
        <w:t>认真落实拟制人才发展规划，制订切实可行的分步实施方案，大力培养、引进专门人才。特别是工民建、建筑结构学、计算机、燃气、灯饰、垃圾处理、法律等方面的紧缺人才，加大分配改革力度，推进引才、聚才和用才的系列制度建设，要立足长远、着眼发展，分清轻重缓急，不能急于求成，在年龄层次、专业结构等方面梯次配备，优化人才队伍结构，形成有序、良性的人才梯队衔接。进一步建立健全人才培养机制，加强继续教育工作，选送年轻专业人才赴高校进修，在系统评选专业拔尖人才，以此带动单位其他人员的发展、进步，提升现有人才综合素质。坚持人才的刚性流动和柔性流动相结合的方法，打破“用才必养”的传统观念，打通体制内外人才的互通渠道，引进人才与借用外智并重，坚持不求所有、但求所用。采取推荐考察等多种方式，及时将政治素质好、有发展潜力的年轻干部纳入后备干部人才库，进行重点培养、重点管理、择优选用，着力打造年轻干部生力军。职称改革要强化工作能力和工作业绩取向，重点向一线的各类专业技术人员倾斜，全面推行专业技术职务“评聘分开”。</w:t>
      </w:r>
    </w:p>
    <w:p w14:paraId="38811B8A">
      <w:pPr>
        <w:pStyle w:val="4"/>
        <w:numPr>
          <w:ilvl w:val="0"/>
          <w:numId w:val="0"/>
        </w:numPr>
        <w:spacing w:before="240" w:after="156" w:line="560" w:lineRule="exact"/>
        <w:ind w:firstLine="562" w:firstLineChars="200"/>
        <w:rPr>
          <w:rFonts w:cs="宋体"/>
          <w:color w:val="000000" w:themeColor="text1"/>
          <w:sz w:val="28"/>
          <w:szCs w:val="28"/>
          <w:lang w:eastAsia="zh-CN"/>
        </w:rPr>
      </w:pPr>
      <w:bookmarkStart w:id="206" w:name="_Toc31738"/>
      <w:r>
        <w:rPr>
          <w:rFonts w:hint="eastAsia" w:cs="宋体"/>
          <w:color w:val="000000" w:themeColor="text1"/>
          <w:sz w:val="28"/>
          <w:szCs w:val="28"/>
          <w:lang w:eastAsia="zh-CN"/>
        </w:rPr>
        <w:t>三、 落实城管设施用地</w:t>
      </w:r>
      <w:bookmarkEnd w:id="204"/>
      <w:bookmarkEnd w:id="206"/>
    </w:p>
    <w:p w14:paraId="5DFD18A5">
      <w:pPr>
        <w:adjustRightInd w:val="0"/>
        <w:snapToGrid w:val="0"/>
        <w:spacing w:line="560" w:lineRule="exact"/>
        <w:ind w:firstLine="560" w:firstLineChars="200"/>
        <w:rPr>
          <w:rFonts w:ascii="宋体" w:hAnsi="宋体" w:cs="宋体"/>
          <w:color w:val="000000" w:themeColor="text1"/>
          <w:sz w:val="28"/>
          <w:szCs w:val="28"/>
        </w:rPr>
      </w:pPr>
      <w:r>
        <w:rPr>
          <w:rFonts w:hint="eastAsia" w:ascii="宋体" w:hAnsi="宋体" w:cs="宋体"/>
          <w:color w:val="000000" w:themeColor="text1"/>
          <w:sz w:val="28"/>
          <w:szCs w:val="28"/>
        </w:rPr>
        <w:t>将城市管理设施规划纳入城市总体规划，注重与城市建设规划的对接，确保城管设施建设用地到位，纳入城市黄线保护范围，不得随意改变其用地性质。同时，在项目开工前办理相关环评审批手续，确保项目顺利推进。各区（园区）应根据本规划，进一步落实和细化本规划内容，切实保障本规划的实施。自然资源和规划局、生态环境局等部门配合，落实环卫设施、园林建设、停车场（位）和燃气设施等项目用地。</w:t>
      </w:r>
      <w:bookmarkStart w:id="207" w:name="_Toc50555255"/>
    </w:p>
    <w:p w14:paraId="245A46AF">
      <w:pPr>
        <w:pStyle w:val="4"/>
        <w:numPr>
          <w:ilvl w:val="0"/>
          <w:numId w:val="0"/>
        </w:numPr>
        <w:spacing w:before="240" w:after="156" w:line="560" w:lineRule="exact"/>
        <w:ind w:firstLine="562" w:firstLineChars="200"/>
        <w:rPr>
          <w:rFonts w:cs="宋体"/>
          <w:color w:val="000000" w:themeColor="text1"/>
          <w:sz w:val="28"/>
          <w:szCs w:val="28"/>
          <w:lang w:eastAsia="zh-CN"/>
        </w:rPr>
      </w:pPr>
      <w:bookmarkStart w:id="208" w:name="_Toc9388"/>
      <w:r>
        <w:rPr>
          <w:rFonts w:hint="eastAsia" w:cs="宋体"/>
          <w:color w:val="000000" w:themeColor="text1"/>
          <w:sz w:val="28"/>
          <w:szCs w:val="28"/>
          <w:lang w:eastAsia="zh-CN"/>
        </w:rPr>
        <w:t>四、 提升科技信息水平</w:t>
      </w:r>
      <w:bookmarkEnd w:id="207"/>
      <w:bookmarkEnd w:id="208"/>
    </w:p>
    <w:p w14:paraId="6E66A427">
      <w:pPr>
        <w:adjustRightInd w:val="0"/>
        <w:snapToGrid w:val="0"/>
        <w:spacing w:line="560" w:lineRule="exact"/>
        <w:ind w:firstLine="560" w:firstLineChars="200"/>
        <w:rPr>
          <w:rFonts w:ascii="宋体" w:hAnsi="宋体" w:cs="宋体"/>
          <w:color w:val="000000" w:themeColor="text1"/>
          <w:kern w:val="0"/>
          <w:sz w:val="28"/>
          <w:szCs w:val="28"/>
        </w:rPr>
      </w:pPr>
      <w:r>
        <w:rPr>
          <w:rFonts w:hint="eastAsia" w:ascii="宋体" w:hAnsi="宋体" w:cs="宋体"/>
          <w:color w:val="000000" w:themeColor="text1"/>
          <w:sz w:val="28"/>
          <w:szCs w:val="28"/>
        </w:rPr>
        <w:t>构建以企业为主体的技术研究开发利用体系、以院校和科研机构为主体的基础应用研究体系、以政府部门为主体的管理和协调体系、以社会机构为主体的中介服务体系提升湘潭城市管理系统的科技信息水平。积极推广新材料、新工艺、新技术，探索城市管理系统建设、运营、管养工作中新技术、新材料的应用，</w:t>
      </w:r>
      <w:r>
        <w:rPr>
          <w:rFonts w:hint="eastAsia" w:ascii="宋体" w:hAnsi="宋体" w:cs="宋体"/>
          <w:bCs/>
          <w:color w:val="000000" w:themeColor="text1"/>
          <w:sz w:val="28"/>
          <w:szCs w:val="28"/>
        </w:rPr>
        <w:t>运用移动互联网、物联网、云计算、大数据、人工智能、5G、区块链、遥感技术等现代化化信息技术，</w:t>
      </w:r>
      <w:r>
        <w:rPr>
          <w:rFonts w:hint="eastAsia" w:ascii="宋体" w:hAnsi="宋体" w:cs="宋体"/>
          <w:color w:val="000000" w:themeColor="text1"/>
          <w:sz w:val="28"/>
          <w:szCs w:val="28"/>
        </w:rPr>
        <w:t>整合信息资源，</w:t>
      </w:r>
      <w:r>
        <w:rPr>
          <w:rFonts w:hint="eastAsia" w:ascii="宋体" w:hAnsi="宋体" w:cs="宋体"/>
          <w:bCs/>
          <w:color w:val="000000" w:themeColor="text1"/>
          <w:sz w:val="28"/>
          <w:szCs w:val="28"/>
        </w:rPr>
        <w:t>针对城市管理主要领域，建立智能化管理平台，</w:t>
      </w:r>
      <w:r>
        <w:rPr>
          <w:rFonts w:hint="eastAsia" w:ascii="宋体" w:hAnsi="宋体" w:cs="宋体"/>
          <w:color w:val="000000" w:themeColor="text1"/>
          <w:kern w:val="0"/>
          <w:sz w:val="28"/>
          <w:szCs w:val="28"/>
        </w:rPr>
        <w:t>提升城市管理科学化、精细化、智能化水平。</w:t>
      </w:r>
      <w:bookmarkStart w:id="209" w:name="_Toc50555256"/>
    </w:p>
    <w:p w14:paraId="5289E107">
      <w:pPr>
        <w:pStyle w:val="4"/>
        <w:numPr>
          <w:ilvl w:val="0"/>
          <w:numId w:val="0"/>
        </w:numPr>
        <w:spacing w:before="240" w:after="156" w:line="560" w:lineRule="exact"/>
        <w:ind w:firstLine="562" w:firstLineChars="200"/>
        <w:rPr>
          <w:rFonts w:cs="宋体"/>
          <w:color w:val="000000" w:themeColor="text1"/>
          <w:sz w:val="28"/>
          <w:szCs w:val="28"/>
          <w:lang w:eastAsia="zh-CN"/>
        </w:rPr>
      </w:pPr>
      <w:bookmarkStart w:id="210" w:name="_Toc26856"/>
      <w:r>
        <w:rPr>
          <w:rFonts w:hint="eastAsia" w:cs="宋体"/>
          <w:color w:val="000000" w:themeColor="text1"/>
          <w:sz w:val="28"/>
          <w:szCs w:val="28"/>
          <w:lang w:eastAsia="zh-CN"/>
        </w:rPr>
        <w:t>五、 健全社会投入机制</w:t>
      </w:r>
      <w:bookmarkEnd w:id="210"/>
    </w:p>
    <w:p w14:paraId="3EEBC165">
      <w:pPr>
        <w:adjustRightInd w:val="0"/>
        <w:snapToGrid w:val="0"/>
        <w:spacing w:line="560" w:lineRule="exact"/>
        <w:ind w:firstLine="560" w:firstLineChars="200"/>
        <w:rPr>
          <w:rFonts w:ascii="宋体" w:hAnsi="宋体" w:cs="宋体"/>
          <w:color w:val="000000" w:themeColor="text1"/>
          <w:sz w:val="28"/>
          <w:szCs w:val="28"/>
        </w:rPr>
      </w:pPr>
      <w:r>
        <w:rPr>
          <w:rFonts w:hint="eastAsia" w:ascii="宋体" w:hAnsi="宋体" w:cs="宋体"/>
          <w:color w:val="000000" w:themeColor="text1"/>
          <w:sz w:val="28"/>
          <w:szCs w:val="28"/>
        </w:rPr>
        <w:t>围绕市民关心的园林绿化、市容环卫、市政设施以及城管执法等热点难点，健全社会参与机制。将市民服务热线、12319城管热线、微信平台等渠道信息等与城市综合管理服务平台有机结合，拓展服务方式，畅通服务渠道；整合涉及与民生服务相关的城市管理便民服务信息，提供市容环卫、园林绿化、市政公用、城市管理执法等相关的便民惠民服务，提高企事业单位、社会组织和市民参与城市管理的积极性，推动共建共治共享。以市民的评价作为城管发展水平的主要标志，将城管工作置于市民的日常监督之下，努力实现长效管理，营造良好城市管理和综合执法舆论氛围。</w:t>
      </w:r>
    </w:p>
    <w:bookmarkEnd w:id="209"/>
    <w:p w14:paraId="04973BAF">
      <w:pPr>
        <w:adjustRightInd w:val="0"/>
        <w:snapToGrid w:val="0"/>
        <w:spacing w:line="560" w:lineRule="exact"/>
        <w:ind w:firstLine="480"/>
        <w:rPr>
          <w:rFonts w:ascii="宋体" w:hAnsi="宋体" w:cs="宋体"/>
          <w:color w:val="000000" w:themeColor="text1"/>
          <w:sz w:val="28"/>
          <w:szCs w:val="28"/>
        </w:rPr>
      </w:pPr>
    </w:p>
    <w:p w14:paraId="65B4093D">
      <w:pPr>
        <w:adjustRightInd w:val="0"/>
        <w:snapToGrid w:val="0"/>
        <w:spacing w:line="500" w:lineRule="exact"/>
        <w:ind w:firstLine="480"/>
        <w:rPr>
          <w:rFonts w:ascii="宋体"/>
          <w:sz w:val="24"/>
          <w:szCs w:val="24"/>
        </w:rPr>
      </w:pPr>
    </w:p>
    <w:p w14:paraId="60575851">
      <w:pPr>
        <w:adjustRightInd w:val="0"/>
        <w:snapToGrid w:val="0"/>
        <w:spacing w:line="500" w:lineRule="exact"/>
        <w:ind w:firstLine="480"/>
        <w:rPr>
          <w:rFonts w:ascii="宋体"/>
          <w:sz w:val="24"/>
          <w:szCs w:val="24"/>
        </w:rPr>
        <w:sectPr>
          <w:footerReference r:id="rId12" w:type="default"/>
          <w:pgSz w:w="11906" w:h="16838"/>
          <w:pgMar w:top="1440" w:right="1800" w:bottom="1440" w:left="1800" w:header="851" w:footer="992" w:gutter="0"/>
          <w:pgNumType w:start="1"/>
          <w:cols w:space="425" w:num="1"/>
          <w:docGrid w:type="lines" w:linePitch="312" w:charSpace="0"/>
        </w:sectPr>
      </w:pPr>
    </w:p>
    <w:p w14:paraId="47A2CE39">
      <w:pPr>
        <w:pStyle w:val="25"/>
        <w:spacing w:before="0" w:after="0" w:line="240" w:lineRule="exact"/>
        <w:jc w:val="left"/>
        <w:rPr>
          <w:rFonts w:ascii="宋体"/>
          <w:sz w:val="24"/>
          <w:szCs w:val="24"/>
        </w:rPr>
      </w:pPr>
    </w:p>
    <w:p w14:paraId="053E6334">
      <w:pPr>
        <w:pStyle w:val="25"/>
        <w:spacing w:before="0" w:after="0" w:line="240" w:lineRule="exact"/>
        <w:jc w:val="left"/>
        <w:rPr>
          <w:rFonts w:ascii="宋体"/>
          <w:sz w:val="24"/>
          <w:szCs w:val="24"/>
        </w:rPr>
      </w:pPr>
    </w:p>
    <w:p w14:paraId="51859CA1">
      <w:pPr>
        <w:pStyle w:val="25"/>
        <w:spacing w:before="0" w:after="0" w:line="240" w:lineRule="exact"/>
        <w:jc w:val="left"/>
        <w:rPr>
          <w:rFonts w:ascii="宋体"/>
          <w:sz w:val="24"/>
          <w:szCs w:val="24"/>
        </w:rPr>
      </w:pPr>
      <w:bookmarkStart w:id="211" w:name="_Toc1196"/>
      <w:r>
        <w:rPr>
          <w:rFonts w:hint="eastAsia" w:ascii="宋体" w:hAnsi="宋体"/>
          <w:sz w:val="24"/>
          <w:szCs w:val="24"/>
        </w:rPr>
        <w:t>附件</w:t>
      </w:r>
      <w:r>
        <w:rPr>
          <w:rFonts w:ascii="宋体" w:hAnsi="宋体"/>
          <w:sz w:val="24"/>
          <w:szCs w:val="24"/>
        </w:rPr>
        <w:t>1</w:t>
      </w:r>
      <w:r>
        <w:rPr>
          <w:rFonts w:hint="eastAsia" w:ascii="宋体" w:hAnsi="宋体"/>
          <w:sz w:val="24"/>
          <w:szCs w:val="24"/>
        </w:rPr>
        <w:t>：</w:t>
      </w:r>
      <w:bookmarkEnd w:id="211"/>
    </w:p>
    <w:p w14:paraId="7443843E"/>
    <w:p w14:paraId="269E4278">
      <w:pPr>
        <w:jc w:val="center"/>
        <w:rPr>
          <w:b/>
          <w:sz w:val="28"/>
          <w:szCs w:val="28"/>
        </w:rPr>
      </w:pPr>
      <w:r>
        <w:rPr>
          <w:rFonts w:hint="eastAsia"/>
          <w:b/>
          <w:sz w:val="28"/>
          <w:szCs w:val="28"/>
        </w:rPr>
        <w:t>湘潭城市管理系统建设“十四五”规划重大改革汇总表</w:t>
      </w:r>
    </w:p>
    <w:tbl>
      <w:tblPr>
        <w:tblStyle w:val="28"/>
        <w:tblW w:w="15254" w:type="dxa"/>
        <w:tblInd w:w="250" w:type="dxa"/>
        <w:tblLayout w:type="autofit"/>
        <w:tblCellMar>
          <w:top w:w="0" w:type="dxa"/>
          <w:left w:w="108" w:type="dxa"/>
          <w:bottom w:w="0" w:type="dxa"/>
          <w:right w:w="108" w:type="dxa"/>
        </w:tblCellMar>
      </w:tblPr>
      <w:tblGrid>
        <w:gridCol w:w="851"/>
        <w:gridCol w:w="3556"/>
        <w:gridCol w:w="10847"/>
      </w:tblGrid>
      <w:tr w14:paraId="39D0969B">
        <w:tblPrEx>
          <w:tblCellMar>
            <w:top w:w="0" w:type="dxa"/>
            <w:left w:w="108" w:type="dxa"/>
            <w:bottom w:w="0" w:type="dxa"/>
            <w:right w:w="108" w:type="dxa"/>
          </w:tblCellMar>
        </w:tblPrEx>
        <w:trPr>
          <w:trHeight w:val="632" w:hRule="atLeast"/>
        </w:trPr>
        <w:tc>
          <w:tcPr>
            <w:tcW w:w="851" w:type="dxa"/>
            <w:tcBorders>
              <w:top w:val="single" w:color="auto" w:sz="4" w:space="0"/>
              <w:left w:val="single" w:color="auto" w:sz="4" w:space="0"/>
              <w:bottom w:val="single" w:color="auto" w:sz="4" w:space="0"/>
              <w:right w:val="single" w:color="auto" w:sz="4" w:space="0"/>
            </w:tcBorders>
            <w:noWrap/>
            <w:vAlign w:val="center"/>
          </w:tcPr>
          <w:p w14:paraId="161D53BC">
            <w:pPr>
              <w:widowControl/>
              <w:jc w:val="center"/>
              <w:rPr>
                <w:rFonts w:ascii="宋体" w:cs="宋体"/>
                <w:b/>
                <w:kern w:val="0"/>
                <w:sz w:val="28"/>
                <w:szCs w:val="28"/>
              </w:rPr>
            </w:pPr>
            <w:r>
              <w:rPr>
                <w:rFonts w:hint="eastAsia" w:ascii="宋体" w:hAnsi="宋体" w:cs="宋体"/>
                <w:b/>
                <w:kern w:val="0"/>
                <w:sz w:val="28"/>
                <w:szCs w:val="28"/>
              </w:rPr>
              <w:t>序号</w:t>
            </w:r>
          </w:p>
        </w:tc>
        <w:tc>
          <w:tcPr>
            <w:tcW w:w="3556" w:type="dxa"/>
            <w:tcBorders>
              <w:top w:val="single" w:color="auto" w:sz="4" w:space="0"/>
              <w:left w:val="nil"/>
              <w:bottom w:val="single" w:color="auto" w:sz="4" w:space="0"/>
              <w:right w:val="single" w:color="auto" w:sz="4" w:space="0"/>
            </w:tcBorders>
            <w:vAlign w:val="center"/>
          </w:tcPr>
          <w:p w14:paraId="46D4F443">
            <w:pPr>
              <w:widowControl/>
              <w:jc w:val="center"/>
              <w:rPr>
                <w:rFonts w:ascii="宋体" w:cs="宋体"/>
                <w:b/>
                <w:kern w:val="0"/>
                <w:sz w:val="28"/>
                <w:szCs w:val="28"/>
              </w:rPr>
            </w:pPr>
            <w:r>
              <w:rPr>
                <w:rFonts w:hint="eastAsia" w:ascii="宋体" w:hAnsi="宋体" w:cs="宋体"/>
                <w:b/>
                <w:kern w:val="0"/>
                <w:sz w:val="28"/>
                <w:szCs w:val="28"/>
              </w:rPr>
              <w:t>名称</w:t>
            </w:r>
          </w:p>
        </w:tc>
        <w:tc>
          <w:tcPr>
            <w:tcW w:w="10847" w:type="dxa"/>
            <w:tcBorders>
              <w:top w:val="single" w:color="auto" w:sz="4" w:space="0"/>
              <w:left w:val="nil"/>
              <w:bottom w:val="single" w:color="auto" w:sz="4" w:space="0"/>
              <w:right w:val="single" w:color="auto" w:sz="4" w:space="0"/>
            </w:tcBorders>
            <w:vAlign w:val="center"/>
          </w:tcPr>
          <w:p w14:paraId="5BBBDADA">
            <w:pPr>
              <w:widowControl/>
              <w:jc w:val="center"/>
              <w:rPr>
                <w:rFonts w:ascii="宋体" w:cs="宋体"/>
                <w:b/>
                <w:bCs/>
                <w:kern w:val="0"/>
                <w:sz w:val="28"/>
                <w:szCs w:val="28"/>
              </w:rPr>
            </w:pPr>
            <w:r>
              <w:rPr>
                <w:rFonts w:hint="eastAsia" w:ascii="宋体" w:hAnsi="宋体" w:cs="宋体"/>
                <w:b/>
                <w:bCs/>
                <w:kern w:val="0"/>
                <w:sz w:val="28"/>
                <w:szCs w:val="28"/>
              </w:rPr>
              <w:t>主要内容及要求</w:t>
            </w:r>
          </w:p>
        </w:tc>
      </w:tr>
      <w:tr w14:paraId="2E5DA39F">
        <w:tblPrEx>
          <w:tblCellMar>
            <w:top w:w="0" w:type="dxa"/>
            <w:left w:w="108" w:type="dxa"/>
            <w:bottom w:w="0" w:type="dxa"/>
            <w:right w:w="108" w:type="dxa"/>
          </w:tblCellMar>
        </w:tblPrEx>
        <w:trPr>
          <w:trHeight w:val="1620" w:hRule="atLeast"/>
        </w:trPr>
        <w:tc>
          <w:tcPr>
            <w:tcW w:w="851" w:type="dxa"/>
            <w:tcBorders>
              <w:top w:val="single" w:color="auto" w:sz="4" w:space="0"/>
              <w:left w:val="single" w:color="auto" w:sz="4" w:space="0"/>
              <w:bottom w:val="single" w:color="auto" w:sz="4" w:space="0"/>
              <w:right w:val="single" w:color="auto" w:sz="4" w:space="0"/>
            </w:tcBorders>
            <w:noWrap/>
            <w:vAlign w:val="center"/>
          </w:tcPr>
          <w:p w14:paraId="3E709244">
            <w:pPr>
              <w:widowControl/>
              <w:jc w:val="center"/>
              <w:rPr>
                <w:rFonts w:ascii="宋体" w:cs="宋体"/>
                <w:kern w:val="0"/>
                <w:sz w:val="22"/>
              </w:rPr>
            </w:pPr>
            <w:r>
              <w:rPr>
                <w:rFonts w:ascii="宋体" w:hAnsi="宋体" w:cs="宋体"/>
                <w:kern w:val="0"/>
                <w:sz w:val="22"/>
              </w:rPr>
              <w:t>1</w:t>
            </w:r>
          </w:p>
        </w:tc>
        <w:tc>
          <w:tcPr>
            <w:tcW w:w="3556" w:type="dxa"/>
            <w:tcBorders>
              <w:top w:val="single" w:color="auto" w:sz="4" w:space="0"/>
              <w:left w:val="nil"/>
              <w:bottom w:val="single" w:color="auto" w:sz="4" w:space="0"/>
              <w:right w:val="single" w:color="auto" w:sz="4" w:space="0"/>
            </w:tcBorders>
            <w:vAlign w:val="center"/>
          </w:tcPr>
          <w:p w14:paraId="22335A7A">
            <w:pPr>
              <w:widowControl/>
              <w:jc w:val="left"/>
              <w:rPr>
                <w:rFonts w:ascii="宋体" w:cs="宋体"/>
                <w:kern w:val="0"/>
                <w:sz w:val="22"/>
              </w:rPr>
            </w:pPr>
            <w:r>
              <w:rPr>
                <w:rFonts w:hint="eastAsia" w:ascii="宋体" w:hAnsi="宋体" w:cs="宋体"/>
                <w:kern w:val="0"/>
                <w:sz w:val="22"/>
              </w:rPr>
              <w:t>建立停车设施、城市综合管理服务平台、城乡环卫一体化（垃圾分类、收运处置）等公共基础设施建设和运营机制</w:t>
            </w:r>
          </w:p>
        </w:tc>
        <w:tc>
          <w:tcPr>
            <w:tcW w:w="10847" w:type="dxa"/>
            <w:tcBorders>
              <w:top w:val="single" w:color="auto" w:sz="4" w:space="0"/>
              <w:left w:val="nil"/>
              <w:bottom w:val="single" w:color="auto" w:sz="4" w:space="0"/>
              <w:right w:val="single" w:color="auto" w:sz="4" w:space="0"/>
            </w:tcBorders>
            <w:vAlign w:val="center"/>
          </w:tcPr>
          <w:p w14:paraId="4911C946">
            <w:pPr>
              <w:widowControl/>
              <w:jc w:val="left"/>
              <w:rPr>
                <w:rFonts w:ascii="宋体" w:cs="宋体"/>
                <w:kern w:val="0"/>
                <w:sz w:val="22"/>
              </w:rPr>
            </w:pPr>
            <w:r>
              <w:rPr>
                <w:rFonts w:hint="eastAsia" w:ascii="宋体" w:hAnsi="宋体" w:cs="宋体"/>
                <w:kern w:val="0"/>
                <w:sz w:val="22"/>
              </w:rPr>
              <w:t>⑴主要政策：出台城区公共停车场管理办法或条例，完善停车收费细则，实施公共停车场和停车位特许经营；出台餐厨垃圾、建筑垃圾、垃圾分类工作相关制度、办法，实现垃圾分类、城乡同治。</w:t>
            </w:r>
            <w:r>
              <w:rPr>
                <w:rFonts w:ascii="宋体" w:cs="宋体"/>
                <w:kern w:val="0"/>
                <w:sz w:val="22"/>
              </w:rPr>
              <w:br w:type="textWrapping"/>
            </w:r>
            <w:r>
              <w:rPr>
                <w:rFonts w:hint="eastAsia" w:ascii="宋体" w:hAnsi="宋体" w:cs="宋体"/>
                <w:kern w:val="0"/>
                <w:sz w:val="22"/>
              </w:rPr>
              <w:t>⑵改革事项：按住建部统一要求建设涵盖市、区、县、部门的城市综合管理服务平台，对相关设施进行智能化改造，实现“智慧城管”向城市综合管理服务平台升级，提高城市管理智能化水平。</w:t>
            </w:r>
            <w:r>
              <w:rPr>
                <w:rFonts w:ascii="宋体" w:cs="宋体"/>
                <w:kern w:val="0"/>
                <w:sz w:val="22"/>
              </w:rPr>
              <w:br w:type="textWrapping"/>
            </w:r>
            <w:r>
              <w:rPr>
                <w:rFonts w:hint="eastAsia" w:ascii="宋体" w:hAnsi="宋体" w:cs="宋体"/>
                <w:kern w:val="0"/>
                <w:sz w:val="22"/>
              </w:rPr>
              <w:t>⑶支持诉求：国家出台顶层设计方案，落实项目资金支持，协调各部门相关工作。</w:t>
            </w:r>
          </w:p>
        </w:tc>
      </w:tr>
    </w:tbl>
    <w:p w14:paraId="5116298F"/>
    <w:p w14:paraId="44D75C10"/>
    <w:p w14:paraId="447B146B"/>
    <w:p w14:paraId="30E6A05B"/>
    <w:p w14:paraId="58F02F38"/>
    <w:p w14:paraId="469D28AB"/>
    <w:p w14:paraId="09B6D818"/>
    <w:p w14:paraId="72934006"/>
    <w:p w14:paraId="30607BAE"/>
    <w:p w14:paraId="1776F262"/>
    <w:p w14:paraId="2B1BA57E"/>
    <w:p w14:paraId="535C0032"/>
    <w:p w14:paraId="106ADD56"/>
    <w:p w14:paraId="2924E100"/>
    <w:p w14:paraId="5229A2E5"/>
    <w:p w14:paraId="1E3C48DA"/>
    <w:p w14:paraId="60B1DFA6"/>
    <w:p w14:paraId="6F2B67A1"/>
    <w:p w14:paraId="2209CA4C"/>
    <w:p w14:paraId="78B1A375"/>
    <w:p w14:paraId="5F37CF58"/>
    <w:p w14:paraId="0D08DFDF">
      <w:pPr>
        <w:pStyle w:val="25"/>
        <w:spacing w:before="0" w:after="0" w:line="240" w:lineRule="exact"/>
        <w:jc w:val="left"/>
        <w:rPr>
          <w:rFonts w:ascii="宋体"/>
          <w:sz w:val="24"/>
          <w:szCs w:val="24"/>
        </w:rPr>
      </w:pPr>
      <w:bookmarkStart w:id="212" w:name="_Toc19876"/>
      <w:r>
        <w:rPr>
          <w:rFonts w:hint="eastAsia" w:ascii="宋体" w:hAnsi="宋体"/>
          <w:sz w:val="24"/>
          <w:szCs w:val="24"/>
        </w:rPr>
        <w:t>附件</w:t>
      </w:r>
      <w:r>
        <w:rPr>
          <w:rFonts w:ascii="宋体" w:hAnsi="宋体"/>
          <w:sz w:val="24"/>
          <w:szCs w:val="24"/>
        </w:rPr>
        <w:t>2</w:t>
      </w:r>
      <w:r>
        <w:rPr>
          <w:rFonts w:hint="eastAsia" w:ascii="宋体" w:hAnsi="宋体"/>
          <w:sz w:val="24"/>
          <w:szCs w:val="24"/>
        </w:rPr>
        <w:t>：</w:t>
      </w:r>
      <w:bookmarkEnd w:id="212"/>
    </w:p>
    <w:p w14:paraId="093F679C">
      <w:pPr>
        <w:jc w:val="center"/>
        <w:rPr>
          <w:b/>
          <w:sz w:val="28"/>
          <w:szCs w:val="28"/>
        </w:rPr>
      </w:pPr>
      <w:r>
        <w:rPr>
          <w:rFonts w:hint="eastAsia"/>
          <w:b/>
          <w:sz w:val="28"/>
          <w:szCs w:val="28"/>
        </w:rPr>
        <w:t>湘潭城市管理系统建设“十四五”规划重大政策汇总表</w:t>
      </w:r>
    </w:p>
    <w:p w14:paraId="296F3049"/>
    <w:tbl>
      <w:tblPr>
        <w:tblStyle w:val="28"/>
        <w:tblW w:w="15521" w:type="dxa"/>
        <w:tblInd w:w="93" w:type="dxa"/>
        <w:tblLayout w:type="autofit"/>
        <w:tblCellMar>
          <w:top w:w="0" w:type="dxa"/>
          <w:left w:w="108" w:type="dxa"/>
          <w:bottom w:w="0" w:type="dxa"/>
          <w:right w:w="108" w:type="dxa"/>
        </w:tblCellMar>
      </w:tblPr>
      <w:tblGrid>
        <w:gridCol w:w="866"/>
        <w:gridCol w:w="3260"/>
        <w:gridCol w:w="11395"/>
      </w:tblGrid>
      <w:tr w14:paraId="51F6639B">
        <w:tblPrEx>
          <w:tblCellMar>
            <w:top w:w="0" w:type="dxa"/>
            <w:left w:w="108" w:type="dxa"/>
            <w:bottom w:w="0" w:type="dxa"/>
            <w:right w:w="108" w:type="dxa"/>
          </w:tblCellMar>
        </w:tblPrEx>
        <w:trPr>
          <w:trHeight w:val="772" w:hRule="atLeast"/>
        </w:trPr>
        <w:tc>
          <w:tcPr>
            <w:tcW w:w="866" w:type="dxa"/>
            <w:tcBorders>
              <w:top w:val="single" w:color="auto" w:sz="4" w:space="0"/>
              <w:left w:val="single" w:color="auto" w:sz="4" w:space="0"/>
              <w:bottom w:val="single" w:color="auto" w:sz="4" w:space="0"/>
              <w:right w:val="single" w:color="auto" w:sz="4" w:space="0"/>
            </w:tcBorders>
            <w:vAlign w:val="center"/>
          </w:tcPr>
          <w:p w14:paraId="296DF518">
            <w:pPr>
              <w:widowControl/>
              <w:jc w:val="center"/>
              <w:rPr>
                <w:rFonts w:ascii="宋体" w:cs="宋体"/>
                <w:b/>
                <w:kern w:val="0"/>
                <w:sz w:val="28"/>
                <w:szCs w:val="28"/>
              </w:rPr>
            </w:pPr>
            <w:r>
              <w:rPr>
                <w:rFonts w:hint="eastAsia" w:ascii="宋体" w:hAnsi="宋体" w:cs="宋体"/>
                <w:b/>
                <w:kern w:val="0"/>
                <w:sz w:val="28"/>
                <w:szCs w:val="28"/>
              </w:rPr>
              <w:t>序号</w:t>
            </w:r>
          </w:p>
        </w:tc>
        <w:tc>
          <w:tcPr>
            <w:tcW w:w="3260" w:type="dxa"/>
            <w:tcBorders>
              <w:top w:val="single" w:color="auto" w:sz="4" w:space="0"/>
              <w:left w:val="single" w:color="auto" w:sz="4" w:space="0"/>
              <w:bottom w:val="single" w:color="auto" w:sz="4" w:space="0"/>
              <w:right w:val="single" w:color="auto" w:sz="4" w:space="0"/>
            </w:tcBorders>
            <w:noWrap/>
            <w:vAlign w:val="center"/>
          </w:tcPr>
          <w:p w14:paraId="63ACE7A5">
            <w:pPr>
              <w:widowControl/>
              <w:jc w:val="center"/>
              <w:rPr>
                <w:rFonts w:ascii="宋体" w:cs="宋体"/>
                <w:b/>
                <w:kern w:val="0"/>
                <w:sz w:val="28"/>
                <w:szCs w:val="28"/>
              </w:rPr>
            </w:pPr>
            <w:r>
              <w:rPr>
                <w:rFonts w:hint="eastAsia" w:ascii="宋体" w:hAnsi="宋体" w:cs="宋体"/>
                <w:b/>
                <w:kern w:val="0"/>
                <w:sz w:val="28"/>
                <w:szCs w:val="28"/>
              </w:rPr>
              <w:t>名称</w:t>
            </w:r>
          </w:p>
        </w:tc>
        <w:tc>
          <w:tcPr>
            <w:tcW w:w="11395" w:type="dxa"/>
            <w:tcBorders>
              <w:top w:val="single" w:color="auto" w:sz="4" w:space="0"/>
              <w:left w:val="nil"/>
              <w:bottom w:val="single" w:color="auto" w:sz="4" w:space="0"/>
              <w:right w:val="single" w:color="auto" w:sz="4" w:space="0"/>
            </w:tcBorders>
            <w:vAlign w:val="center"/>
          </w:tcPr>
          <w:p w14:paraId="764F29A7">
            <w:pPr>
              <w:widowControl/>
              <w:jc w:val="center"/>
              <w:rPr>
                <w:rFonts w:ascii="宋体" w:cs="宋体"/>
                <w:b/>
                <w:bCs/>
                <w:kern w:val="0"/>
                <w:sz w:val="28"/>
                <w:szCs w:val="28"/>
              </w:rPr>
            </w:pPr>
            <w:r>
              <w:rPr>
                <w:rFonts w:hint="eastAsia" w:ascii="宋体" w:hAnsi="宋体" w:cs="宋体"/>
                <w:b/>
                <w:bCs/>
                <w:kern w:val="0"/>
                <w:sz w:val="28"/>
                <w:szCs w:val="28"/>
              </w:rPr>
              <w:t>主要内容及要求</w:t>
            </w:r>
          </w:p>
        </w:tc>
      </w:tr>
      <w:tr w14:paraId="35FF14D1">
        <w:tblPrEx>
          <w:tblCellMar>
            <w:top w:w="0" w:type="dxa"/>
            <w:left w:w="108" w:type="dxa"/>
            <w:bottom w:w="0" w:type="dxa"/>
            <w:right w:w="108" w:type="dxa"/>
          </w:tblCellMar>
        </w:tblPrEx>
        <w:trPr>
          <w:trHeight w:val="1002" w:hRule="atLeast"/>
        </w:trPr>
        <w:tc>
          <w:tcPr>
            <w:tcW w:w="866" w:type="dxa"/>
            <w:tcBorders>
              <w:top w:val="single" w:color="auto" w:sz="4" w:space="0"/>
              <w:left w:val="single" w:color="auto" w:sz="4" w:space="0"/>
              <w:bottom w:val="single" w:color="auto" w:sz="4" w:space="0"/>
              <w:right w:val="single" w:color="auto" w:sz="4" w:space="0"/>
            </w:tcBorders>
            <w:vAlign w:val="center"/>
          </w:tcPr>
          <w:p w14:paraId="23423134">
            <w:pPr>
              <w:widowControl/>
              <w:jc w:val="center"/>
              <w:rPr>
                <w:rFonts w:ascii="宋体" w:cs="宋体"/>
                <w:color w:val="000000"/>
                <w:kern w:val="0"/>
                <w:sz w:val="20"/>
                <w:szCs w:val="20"/>
              </w:rPr>
            </w:pPr>
            <w:r>
              <w:rPr>
                <w:rFonts w:ascii="宋体" w:cs="宋体"/>
                <w:color w:val="000000"/>
                <w:kern w:val="0"/>
                <w:sz w:val="20"/>
                <w:szCs w:val="20"/>
              </w:rPr>
              <w:t>1</w:t>
            </w:r>
          </w:p>
        </w:tc>
        <w:tc>
          <w:tcPr>
            <w:tcW w:w="3260" w:type="dxa"/>
            <w:tcBorders>
              <w:top w:val="single" w:color="auto" w:sz="4" w:space="0"/>
              <w:left w:val="single" w:color="auto" w:sz="4" w:space="0"/>
              <w:bottom w:val="single" w:color="auto" w:sz="4" w:space="0"/>
              <w:right w:val="single" w:color="auto" w:sz="4" w:space="0"/>
            </w:tcBorders>
            <w:noWrap/>
            <w:vAlign w:val="center"/>
          </w:tcPr>
          <w:p w14:paraId="2CF95A1E">
            <w:pPr>
              <w:widowControl/>
              <w:jc w:val="left"/>
              <w:rPr>
                <w:rFonts w:ascii="宋体" w:cs="宋体"/>
                <w:color w:val="000000"/>
                <w:kern w:val="0"/>
                <w:sz w:val="22"/>
              </w:rPr>
            </w:pPr>
            <w:r>
              <w:rPr>
                <w:rFonts w:hint="eastAsia" w:ascii="宋体" w:hAnsi="宋体" w:cs="宋体"/>
                <w:color w:val="000000"/>
                <w:kern w:val="0"/>
                <w:sz w:val="22"/>
              </w:rPr>
              <w:t>实现城乡环卫一体化</w:t>
            </w:r>
          </w:p>
        </w:tc>
        <w:tc>
          <w:tcPr>
            <w:tcW w:w="11395" w:type="dxa"/>
            <w:tcBorders>
              <w:top w:val="single" w:color="auto" w:sz="4" w:space="0"/>
              <w:left w:val="nil"/>
              <w:bottom w:val="single" w:color="auto" w:sz="4" w:space="0"/>
              <w:right w:val="single" w:color="auto" w:sz="4" w:space="0"/>
            </w:tcBorders>
            <w:vAlign w:val="center"/>
          </w:tcPr>
          <w:p w14:paraId="1C835779">
            <w:pPr>
              <w:widowControl/>
              <w:jc w:val="left"/>
              <w:rPr>
                <w:rFonts w:ascii="宋体" w:cs="宋体"/>
                <w:b/>
                <w:bCs/>
                <w:color w:val="000000"/>
                <w:kern w:val="0"/>
                <w:sz w:val="22"/>
              </w:rPr>
            </w:pPr>
            <w:r>
              <w:rPr>
                <w:rFonts w:hint="eastAsia" w:ascii="宋体" w:hAnsi="宋体" w:cs="宋体"/>
                <w:b/>
                <w:bCs/>
                <w:color w:val="000000"/>
                <w:kern w:val="0"/>
                <w:sz w:val="22"/>
              </w:rPr>
              <w:t>主要内容：</w:t>
            </w:r>
            <w:r>
              <w:rPr>
                <w:rFonts w:hint="eastAsia" w:ascii="宋体" w:hAnsi="宋体" w:cs="宋体"/>
                <w:color w:val="000000"/>
                <w:kern w:val="0"/>
                <w:sz w:val="22"/>
              </w:rPr>
              <w:t>全面落实《湖南省农村垃圾专项治理实施方案（</w:t>
            </w:r>
            <w:r>
              <w:rPr>
                <w:rFonts w:ascii="宋体" w:hAnsi="宋体" w:cs="宋体"/>
                <w:color w:val="000000"/>
                <w:kern w:val="0"/>
                <w:sz w:val="22"/>
              </w:rPr>
              <w:t>2016</w:t>
            </w:r>
            <w:r>
              <w:rPr>
                <w:rFonts w:hint="eastAsia" w:ascii="宋体" w:hAnsi="宋体" w:cs="宋体"/>
                <w:color w:val="000000"/>
                <w:kern w:val="0"/>
                <w:sz w:val="22"/>
              </w:rPr>
              <w:t>－</w:t>
            </w:r>
            <w:r>
              <w:rPr>
                <w:rFonts w:ascii="宋体" w:hAnsi="宋体" w:cs="宋体"/>
                <w:color w:val="000000"/>
                <w:kern w:val="0"/>
                <w:sz w:val="22"/>
              </w:rPr>
              <w:t>2020</w:t>
            </w:r>
            <w:r>
              <w:rPr>
                <w:rFonts w:hint="eastAsia" w:ascii="宋体" w:hAnsi="宋体" w:cs="宋体"/>
                <w:color w:val="000000"/>
                <w:kern w:val="0"/>
                <w:sz w:val="22"/>
              </w:rPr>
              <w:t>年）》长效管理目标，理顺我市城乡生活垃圾收、运、处管理体系，提升垃圾分类实效，整合区域生活垃圾处置设施资源利用，减少重复建设，全面实现我市生活垃圾治理城乡统筹环卫一体化。</w:t>
            </w:r>
            <w:r>
              <w:rPr>
                <w:rFonts w:ascii="宋体" w:cs="宋体"/>
                <w:color w:val="000000"/>
                <w:kern w:val="0"/>
                <w:sz w:val="22"/>
              </w:rPr>
              <w:br w:type="textWrapping"/>
            </w:r>
            <w:r>
              <w:rPr>
                <w:rFonts w:hint="eastAsia" w:ascii="宋体" w:hAnsi="宋体" w:cs="宋体"/>
                <w:b/>
                <w:bCs/>
                <w:color w:val="000000"/>
                <w:kern w:val="0"/>
                <w:sz w:val="22"/>
              </w:rPr>
              <w:t>需求</w:t>
            </w:r>
            <w:r>
              <w:rPr>
                <w:rFonts w:hint="eastAsia" w:ascii="宋体" w:hAnsi="宋体" w:cs="宋体"/>
                <w:color w:val="000000"/>
                <w:kern w:val="0"/>
                <w:sz w:val="22"/>
              </w:rPr>
              <w:t>：政府支持高位协调</w:t>
            </w:r>
          </w:p>
        </w:tc>
      </w:tr>
      <w:tr w14:paraId="0D9A9981">
        <w:tblPrEx>
          <w:tblCellMar>
            <w:top w:w="0" w:type="dxa"/>
            <w:left w:w="108" w:type="dxa"/>
            <w:bottom w:w="0" w:type="dxa"/>
            <w:right w:w="108" w:type="dxa"/>
          </w:tblCellMar>
        </w:tblPrEx>
        <w:trPr>
          <w:trHeight w:val="1242" w:hRule="atLeast"/>
        </w:trPr>
        <w:tc>
          <w:tcPr>
            <w:tcW w:w="866" w:type="dxa"/>
            <w:tcBorders>
              <w:top w:val="nil"/>
              <w:left w:val="single" w:color="auto" w:sz="4" w:space="0"/>
              <w:bottom w:val="single" w:color="auto" w:sz="4" w:space="0"/>
              <w:right w:val="single" w:color="auto" w:sz="4" w:space="0"/>
            </w:tcBorders>
            <w:vAlign w:val="center"/>
          </w:tcPr>
          <w:p w14:paraId="1EADFD9E">
            <w:pPr>
              <w:widowControl/>
              <w:jc w:val="center"/>
              <w:rPr>
                <w:rFonts w:ascii="宋体" w:cs="宋体"/>
                <w:color w:val="000000"/>
                <w:kern w:val="0"/>
                <w:sz w:val="20"/>
                <w:szCs w:val="20"/>
              </w:rPr>
            </w:pPr>
            <w:r>
              <w:rPr>
                <w:rFonts w:ascii="宋体" w:cs="宋体"/>
                <w:color w:val="000000"/>
                <w:kern w:val="0"/>
                <w:sz w:val="20"/>
                <w:szCs w:val="20"/>
              </w:rPr>
              <w:t>2</w:t>
            </w:r>
          </w:p>
        </w:tc>
        <w:tc>
          <w:tcPr>
            <w:tcW w:w="3260" w:type="dxa"/>
            <w:tcBorders>
              <w:top w:val="nil"/>
              <w:left w:val="single" w:color="auto" w:sz="4" w:space="0"/>
              <w:bottom w:val="single" w:color="auto" w:sz="4" w:space="0"/>
              <w:right w:val="single" w:color="auto" w:sz="4" w:space="0"/>
            </w:tcBorders>
            <w:noWrap/>
            <w:vAlign w:val="center"/>
          </w:tcPr>
          <w:p w14:paraId="1F8AA884">
            <w:pPr>
              <w:widowControl/>
              <w:jc w:val="left"/>
              <w:rPr>
                <w:rFonts w:ascii="宋体" w:cs="宋体"/>
                <w:color w:val="000000"/>
                <w:kern w:val="0"/>
                <w:sz w:val="22"/>
              </w:rPr>
            </w:pPr>
            <w:r>
              <w:rPr>
                <w:rFonts w:hint="eastAsia" w:ascii="宋体" w:hAnsi="宋体" w:cs="宋体"/>
                <w:color w:val="000000"/>
                <w:kern w:val="0"/>
                <w:sz w:val="22"/>
              </w:rPr>
              <w:t>城市综合管理服务平台建设</w:t>
            </w:r>
          </w:p>
        </w:tc>
        <w:tc>
          <w:tcPr>
            <w:tcW w:w="11395" w:type="dxa"/>
            <w:tcBorders>
              <w:top w:val="nil"/>
              <w:left w:val="nil"/>
              <w:bottom w:val="single" w:color="auto" w:sz="4" w:space="0"/>
              <w:right w:val="single" w:color="auto" w:sz="4" w:space="0"/>
            </w:tcBorders>
            <w:vAlign w:val="center"/>
          </w:tcPr>
          <w:p w14:paraId="7A55AD11">
            <w:pPr>
              <w:widowControl/>
              <w:jc w:val="left"/>
              <w:rPr>
                <w:rFonts w:ascii="宋体" w:cs="宋体"/>
                <w:b/>
                <w:bCs/>
                <w:color w:val="000000"/>
                <w:kern w:val="0"/>
                <w:sz w:val="22"/>
              </w:rPr>
            </w:pPr>
            <w:r>
              <w:rPr>
                <w:rFonts w:hint="eastAsia" w:ascii="宋体" w:hAnsi="宋体" w:cs="宋体"/>
                <w:b/>
                <w:bCs/>
                <w:color w:val="000000"/>
                <w:kern w:val="0"/>
                <w:sz w:val="22"/>
              </w:rPr>
              <w:t>主要内容：</w:t>
            </w:r>
            <w:r>
              <w:rPr>
                <w:rFonts w:hint="eastAsia" w:ascii="宋体" w:hAnsi="宋体" w:cs="宋体"/>
                <w:color w:val="000000"/>
                <w:kern w:val="0"/>
                <w:sz w:val="22"/>
              </w:rPr>
              <w:t>在已有“智慧城管”基础上，建设住建部规定的“业务指导系统、指挥协调系统、行业应用系统、公众服务系统、数据汇聚系统、数据交换系统”等六大标准系统。</w:t>
            </w:r>
            <w:r>
              <w:rPr>
                <w:rFonts w:hint="eastAsia" w:ascii="宋体" w:hAnsi="宋体" w:cs="宋体"/>
                <w:color w:val="000000" w:themeColor="text1"/>
                <w:kern w:val="0"/>
                <w:sz w:val="22"/>
              </w:rPr>
              <w:t>深化智慧园林建设、智慧环卫系统建设、智慧停车系统建设、</w:t>
            </w:r>
            <w:r>
              <w:rPr>
                <w:rFonts w:hint="eastAsia" w:ascii="宋体" w:hAnsi="宋体" w:cs="宋体"/>
                <w:color w:val="000000" w:themeColor="text1"/>
                <w:sz w:val="20"/>
                <w:szCs w:val="20"/>
              </w:rPr>
              <w:t>户外广告管理系统</w:t>
            </w:r>
            <w:r>
              <w:rPr>
                <w:rFonts w:hint="eastAsia" w:ascii="仿宋" w:hAnsi="仿宋" w:eastAsia="仿宋"/>
                <w:color w:val="000000" w:themeColor="text1"/>
                <w:sz w:val="20"/>
                <w:szCs w:val="20"/>
              </w:rPr>
              <w:t>、</w:t>
            </w:r>
            <w:r>
              <w:rPr>
                <w:rFonts w:hint="eastAsia" w:ascii="宋体" w:hAnsi="宋体" w:cs="宋体"/>
                <w:color w:val="000000" w:themeColor="text1"/>
                <w:kern w:val="0"/>
                <w:sz w:val="22"/>
              </w:rPr>
              <w:t>桥梁在线监测系统建设，完成综合管理平台硬件升级</w:t>
            </w:r>
            <w:r>
              <w:rPr>
                <w:rFonts w:hint="eastAsia" w:ascii="宋体" w:hAnsi="宋体" w:cs="宋体"/>
                <w:color w:val="000000"/>
                <w:kern w:val="0"/>
                <w:sz w:val="22"/>
              </w:rPr>
              <w:t>、大数据分析平台建设，实现“智慧城管”向城市综合管理服务平台升级。</w:t>
            </w:r>
            <w:r>
              <w:rPr>
                <w:rFonts w:ascii="宋体" w:cs="宋体"/>
                <w:color w:val="000000"/>
                <w:kern w:val="0"/>
                <w:sz w:val="22"/>
              </w:rPr>
              <w:br w:type="textWrapping"/>
            </w:r>
            <w:r>
              <w:rPr>
                <w:rFonts w:hint="eastAsia" w:ascii="宋体" w:hAnsi="宋体" w:cs="宋体"/>
                <w:b/>
                <w:bCs/>
                <w:color w:val="000000"/>
                <w:kern w:val="0"/>
                <w:sz w:val="22"/>
              </w:rPr>
              <w:t>需求</w:t>
            </w:r>
            <w:r>
              <w:rPr>
                <w:rFonts w:hint="eastAsia" w:ascii="宋体" w:hAnsi="宋体" w:cs="宋体"/>
                <w:color w:val="000000"/>
                <w:kern w:val="0"/>
                <w:sz w:val="22"/>
              </w:rPr>
              <w:t>：资金支持</w:t>
            </w:r>
          </w:p>
        </w:tc>
      </w:tr>
      <w:tr w14:paraId="13D1B84D">
        <w:tblPrEx>
          <w:tblCellMar>
            <w:top w:w="0" w:type="dxa"/>
            <w:left w:w="108" w:type="dxa"/>
            <w:bottom w:w="0" w:type="dxa"/>
            <w:right w:w="108" w:type="dxa"/>
          </w:tblCellMar>
        </w:tblPrEx>
        <w:trPr>
          <w:trHeight w:val="900" w:hRule="atLeast"/>
        </w:trPr>
        <w:tc>
          <w:tcPr>
            <w:tcW w:w="866" w:type="dxa"/>
            <w:tcBorders>
              <w:top w:val="single" w:color="auto" w:sz="4" w:space="0"/>
              <w:left w:val="single" w:color="auto" w:sz="4" w:space="0"/>
              <w:bottom w:val="single" w:color="auto" w:sz="4" w:space="0"/>
              <w:right w:val="single" w:color="auto" w:sz="4" w:space="0"/>
            </w:tcBorders>
            <w:vAlign w:val="center"/>
          </w:tcPr>
          <w:p w14:paraId="7D4FE504">
            <w:pPr>
              <w:widowControl/>
              <w:jc w:val="center"/>
              <w:rPr>
                <w:rFonts w:ascii="宋体" w:cs="宋体"/>
                <w:color w:val="000000"/>
                <w:kern w:val="0"/>
                <w:sz w:val="20"/>
                <w:szCs w:val="20"/>
              </w:rPr>
            </w:pPr>
            <w:r>
              <w:rPr>
                <w:rFonts w:hint="eastAsia" w:ascii="宋体" w:cs="宋体"/>
                <w:color w:val="000000"/>
                <w:kern w:val="0"/>
                <w:sz w:val="20"/>
                <w:szCs w:val="20"/>
              </w:rPr>
              <w:t>3</w:t>
            </w:r>
          </w:p>
        </w:tc>
        <w:tc>
          <w:tcPr>
            <w:tcW w:w="3260" w:type="dxa"/>
            <w:tcBorders>
              <w:top w:val="single" w:color="auto" w:sz="4" w:space="0"/>
              <w:left w:val="single" w:color="auto" w:sz="4" w:space="0"/>
              <w:bottom w:val="single" w:color="auto" w:sz="4" w:space="0"/>
              <w:right w:val="single" w:color="auto" w:sz="4" w:space="0"/>
            </w:tcBorders>
            <w:vAlign w:val="center"/>
          </w:tcPr>
          <w:p w14:paraId="69FCA58C">
            <w:pPr>
              <w:widowControl/>
              <w:jc w:val="left"/>
              <w:rPr>
                <w:rFonts w:ascii="宋体" w:cs="宋体"/>
                <w:color w:val="000000"/>
                <w:kern w:val="0"/>
                <w:sz w:val="22"/>
              </w:rPr>
            </w:pPr>
            <w:r>
              <w:rPr>
                <w:rFonts w:hint="eastAsia"/>
                <w:color w:val="000000"/>
                <w:sz w:val="22"/>
              </w:rPr>
              <w:t>建立全市城管执法培训中心</w:t>
            </w:r>
          </w:p>
        </w:tc>
        <w:tc>
          <w:tcPr>
            <w:tcW w:w="11395" w:type="dxa"/>
            <w:tcBorders>
              <w:top w:val="single" w:color="auto" w:sz="4" w:space="0"/>
              <w:left w:val="nil"/>
              <w:bottom w:val="single" w:color="auto" w:sz="4" w:space="0"/>
              <w:right w:val="single" w:color="auto" w:sz="4" w:space="0"/>
            </w:tcBorders>
            <w:vAlign w:val="center"/>
          </w:tcPr>
          <w:p w14:paraId="11A04294">
            <w:pPr>
              <w:widowControl/>
              <w:jc w:val="left"/>
              <w:rPr>
                <w:rFonts w:ascii="宋体" w:cs="宋体"/>
                <w:b/>
                <w:bCs/>
                <w:color w:val="000000"/>
                <w:kern w:val="0"/>
                <w:sz w:val="22"/>
              </w:rPr>
            </w:pPr>
            <w:r>
              <w:rPr>
                <w:rFonts w:hint="eastAsia"/>
                <w:b/>
                <w:bCs/>
                <w:color w:val="000000"/>
                <w:sz w:val="22"/>
              </w:rPr>
              <w:t>主要内容</w:t>
            </w:r>
            <w:r>
              <w:rPr>
                <w:rFonts w:hint="eastAsia"/>
                <w:color w:val="000000"/>
                <w:sz w:val="22"/>
              </w:rPr>
              <w:t>：建立全市城管执法培训中心</w:t>
            </w:r>
            <w:r>
              <w:rPr>
                <w:color w:val="000000"/>
                <w:sz w:val="22"/>
              </w:rPr>
              <w:br w:type="textWrapping"/>
            </w:r>
            <w:r>
              <w:rPr>
                <w:rFonts w:hint="eastAsia"/>
                <w:b/>
                <w:bCs/>
                <w:color w:val="000000"/>
                <w:sz w:val="22"/>
              </w:rPr>
              <w:t>需求</w:t>
            </w:r>
            <w:r>
              <w:rPr>
                <w:rFonts w:hint="eastAsia"/>
                <w:color w:val="000000"/>
                <w:sz w:val="22"/>
              </w:rPr>
              <w:t>：资金支持</w:t>
            </w:r>
          </w:p>
        </w:tc>
      </w:tr>
      <w:tr w14:paraId="6694D8DF">
        <w:tblPrEx>
          <w:tblCellMar>
            <w:top w:w="0" w:type="dxa"/>
            <w:left w:w="108" w:type="dxa"/>
            <w:bottom w:w="0" w:type="dxa"/>
            <w:right w:w="108" w:type="dxa"/>
          </w:tblCellMar>
        </w:tblPrEx>
        <w:trPr>
          <w:trHeight w:val="900" w:hRule="atLeast"/>
        </w:trPr>
        <w:tc>
          <w:tcPr>
            <w:tcW w:w="866" w:type="dxa"/>
            <w:tcBorders>
              <w:top w:val="single" w:color="auto" w:sz="4" w:space="0"/>
              <w:left w:val="single" w:color="auto" w:sz="4" w:space="0"/>
              <w:bottom w:val="single" w:color="auto" w:sz="4" w:space="0"/>
              <w:right w:val="single" w:color="auto" w:sz="4" w:space="0"/>
            </w:tcBorders>
            <w:vAlign w:val="center"/>
          </w:tcPr>
          <w:p w14:paraId="5311A4D7">
            <w:pPr>
              <w:jc w:val="center"/>
              <w:rPr>
                <w:color w:val="000000"/>
                <w:sz w:val="20"/>
                <w:szCs w:val="20"/>
              </w:rPr>
            </w:pPr>
            <w:r>
              <w:rPr>
                <w:rFonts w:hint="eastAsia"/>
                <w:color w:val="000000"/>
                <w:sz w:val="20"/>
                <w:szCs w:val="20"/>
              </w:rPr>
              <w:t>4</w:t>
            </w:r>
          </w:p>
        </w:tc>
        <w:tc>
          <w:tcPr>
            <w:tcW w:w="3260" w:type="dxa"/>
            <w:tcBorders>
              <w:top w:val="single" w:color="auto" w:sz="4" w:space="0"/>
              <w:left w:val="single" w:color="auto" w:sz="4" w:space="0"/>
              <w:bottom w:val="single" w:color="auto" w:sz="4" w:space="0"/>
              <w:right w:val="single" w:color="auto" w:sz="4" w:space="0"/>
            </w:tcBorders>
            <w:vAlign w:val="center"/>
          </w:tcPr>
          <w:p w14:paraId="2340D1D4">
            <w:pPr>
              <w:jc w:val="left"/>
              <w:rPr>
                <w:rFonts w:ascii="宋体" w:cs="宋体"/>
                <w:color w:val="000000"/>
                <w:sz w:val="22"/>
              </w:rPr>
            </w:pPr>
            <w:r>
              <w:rPr>
                <w:rFonts w:hint="eastAsia"/>
                <w:color w:val="000000"/>
                <w:sz w:val="22"/>
              </w:rPr>
              <w:t>全面推行垃圾分类</w:t>
            </w:r>
          </w:p>
        </w:tc>
        <w:tc>
          <w:tcPr>
            <w:tcW w:w="11395" w:type="dxa"/>
            <w:tcBorders>
              <w:top w:val="single" w:color="auto" w:sz="4" w:space="0"/>
              <w:left w:val="nil"/>
              <w:bottom w:val="single" w:color="auto" w:sz="4" w:space="0"/>
              <w:right w:val="single" w:color="auto" w:sz="4" w:space="0"/>
            </w:tcBorders>
            <w:vAlign w:val="center"/>
          </w:tcPr>
          <w:p w14:paraId="3041AD57">
            <w:pPr>
              <w:jc w:val="left"/>
              <w:rPr>
                <w:rFonts w:ascii="宋体" w:cs="宋体"/>
                <w:b/>
                <w:bCs/>
                <w:color w:val="000000"/>
                <w:sz w:val="22"/>
              </w:rPr>
            </w:pPr>
            <w:r>
              <w:rPr>
                <w:rFonts w:hint="eastAsia"/>
                <w:b/>
                <w:bCs/>
                <w:color w:val="000000"/>
                <w:sz w:val="22"/>
              </w:rPr>
              <w:t>主要内容</w:t>
            </w:r>
            <w:r>
              <w:rPr>
                <w:rFonts w:hint="eastAsia"/>
                <w:color w:val="000000"/>
                <w:sz w:val="22"/>
              </w:rPr>
              <w:t>：在“十四五”规划期间，落实《湖南省地级城市生活垃圾分类工作实施方案》（湘政发﹝</w:t>
            </w:r>
            <w:r>
              <w:rPr>
                <w:color w:val="000000"/>
                <w:sz w:val="22"/>
              </w:rPr>
              <w:t>2020</w:t>
            </w:r>
            <w:r>
              <w:rPr>
                <w:rFonts w:hint="eastAsia"/>
                <w:color w:val="000000"/>
                <w:sz w:val="22"/>
              </w:rPr>
              <w:t>﹞</w:t>
            </w:r>
            <w:r>
              <w:rPr>
                <w:color w:val="000000"/>
                <w:sz w:val="22"/>
              </w:rPr>
              <w:t>25</w:t>
            </w:r>
            <w:r>
              <w:rPr>
                <w:rFonts w:hint="eastAsia"/>
                <w:color w:val="000000"/>
                <w:sz w:val="22"/>
              </w:rPr>
              <w:t>号）文件要求，我市将建立并完善城乡生活垃圾分类投放、分类收集、分类运输、分类处理的体系，统筹规划建设垃圾分拣和终端处理设施，提高生活垃圾资源化利用水平；配套垃圾减量源头控制体系，有效衔接资源回收利用网络，缓解生活垃圾清运和终端处理压力，实现生活垃圾的减量化、无害化和资源化。</w:t>
            </w:r>
            <w:r>
              <w:rPr>
                <w:color w:val="000000"/>
                <w:sz w:val="22"/>
              </w:rPr>
              <w:br w:type="textWrapping"/>
            </w:r>
            <w:r>
              <w:rPr>
                <w:rFonts w:hint="eastAsia"/>
                <w:b/>
                <w:bCs/>
                <w:color w:val="000000"/>
                <w:sz w:val="22"/>
              </w:rPr>
              <w:t>需求</w:t>
            </w:r>
            <w:r>
              <w:rPr>
                <w:rFonts w:hint="eastAsia"/>
                <w:color w:val="000000"/>
                <w:sz w:val="22"/>
              </w:rPr>
              <w:t>：政府支持高位协调</w:t>
            </w:r>
          </w:p>
        </w:tc>
      </w:tr>
    </w:tbl>
    <w:p w14:paraId="50C87BB2">
      <w:pPr>
        <w:pStyle w:val="25"/>
        <w:spacing w:before="0" w:after="0" w:line="240" w:lineRule="exact"/>
        <w:jc w:val="left"/>
        <w:rPr>
          <w:rFonts w:ascii="宋体"/>
          <w:sz w:val="24"/>
          <w:szCs w:val="24"/>
        </w:rPr>
      </w:pPr>
    </w:p>
    <w:p w14:paraId="02FE323C">
      <w:pPr>
        <w:pStyle w:val="25"/>
        <w:spacing w:before="0" w:after="0" w:line="240" w:lineRule="exact"/>
        <w:jc w:val="left"/>
        <w:rPr>
          <w:rFonts w:ascii="宋体"/>
          <w:sz w:val="24"/>
          <w:szCs w:val="24"/>
        </w:rPr>
      </w:pPr>
    </w:p>
    <w:p w14:paraId="3E0FA83D">
      <w:pPr>
        <w:pStyle w:val="25"/>
        <w:spacing w:before="0" w:after="0" w:line="240" w:lineRule="exact"/>
        <w:jc w:val="left"/>
        <w:rPr>
          <w:rFonts w:ascii="宋体" w:hAnsi="宋体"/>
          <w:sz w:val="24"/>
          <w:szCs w:val="24"/>
        </w:rPr>
      </w:pPr>
    </w:p>
    <w:p w14:paraId="615C05CF">
      <w:pPr>
        <w:pStyle w:val="25"/>
        <w:spacing w:before="0" w:after="0" w:line="240" w:lineRule="exact"/>
        <w:jc w:val="left"/>
        <w:rPr>
          <w:rFonts w:ascii="宋体" w:hAnsi="宋体"/>
          <w:sz w:val="24"/>
          <w:szCs w:val="24"/>
        </w:rPr>
      </w:pPr>
    </w:p>
    <w:p w14:paraId="5EA424C9">
      <w:pPr>
        <w:pStyle w:val="25"/>
        <w:spacing w:before="0" w:after="0" w:line="240" w:lineRule="exact"/>
        <w:jc w:val="left"/>
        <w:rPr>
          <w:rFonts w:ascii="宋体" w:hAnsi="宋体"/>
          <w:sz w:val="24"/>
          <w:szCs w:val="24"/>
        </w:rPr>
      </w:pPr>
    </w:p>
    <w:p w14:paraId="01BB84AA">
      <w:pPr>
        <w:pStyle w:val="25"/>
        <w:spacing w:before="0" w:after="0" w:line="240" w:lineRule="exact"/>
        <w:jc w:val="left"/>
        <w:rPr>
          <w:rFonts w:ascii="宋体" w:hAnsi="宋体"/>
          <w:sz w:val="24"/>
          <w:szCs w:val="24"/>
        </w:rPr>
      </w:pPr>
    </w:p>
    <w:p w14:paraId="3ED9AD9B">
      <w:pPr>
        <w:pStyle w:val="25"/>
        <w:spacing w:before="0" w:after="0" w:line="240" w:lineRule="exact"/>
        <w:jc w:val="left"/>
        <w:rPr>
          <w:rFonts w:ascii="宋体"/>
          <w:sz w:val="24"/>
          <w:szCs w:val="24"/>
        </w:rPr>
      </w:pPr>
      <w:bookmarkStart w:id="213" w:name="_Toc23780"/>
      <w:r>
        <w:rPr>
          <w:rFonts w:hint="eastAsia" w:ascii="宋体" w:hAnsi="宋体"/>
          <w:sz w:val="24"/>
          <w:szCs w:val="24"/>
        </w:rPr>
        <w:t>附件</w:t>
      </w:r>
      <w:r>
        <w:rPr>
          <w:rFonts w:ascii="宋体" w:hAnsi="宋体"/>
          <w:sz w:val="24"/>
          <w:szCs w:val="24"/>
        </w:rPr>
        <w:t>3</w:t>
      </w:r>
      <w:r>
        <w:rPr>
          <w:rFonts w:hint="eastAsia" w:ascii="宋体" w:hAnsi="宋体"/>
          <w:sz w:val="24"/>
          <w:szCs w:val="24"/>
        </w:rPr>
        <w:t>：</w:t>
      </w:r>
      <w:bookmarkEnd w:id="213"/>
    </w:p>
    <w:p w14:paraId="360E57A2">
      <w:pPr>
        <w:spacing w:line="360" w:lineRule="exact"/>
        <w:jc w:val="center"/>
        <w:rPr>
          <w:b/>
          <w:sz w:val="28"/>
        </w:rPr>
      </w:pPr>
      <w:r>
        <w:rPr>
          <w:rFonts w:hint="eastAsia" w:ascii="宋体" w:hAnsi="宋体"/>
          <w:b/>
          <w:color w:val="000000"/>
          <w:sz w:val="28"/>
          <w:szCs w:val="28"/>
        </w:rPr>
        <w:t>湘潭城市管理系统建设“十四五”期间重大项目汇总表</w:t>
      </w:r>
    </w:p>
    <w:tbl>
      <w:tblPr>
        <w:tblStyle w:val="28"/>
        <w:tblpPr w:leftFromText="180" w:rightFromText="180" w:vertAnchor="text" w:horzAnchor="margin" w:tblpY="438"/>
        <w:tblW w:w="15760" w:type="dxa"/>
        <w:tblInd w:w="0" w:type="dxa"/>
        <w:tblLayout w:type="autofit"/>
        <w:tblCellMar>
          <w:top w:w="0" w:type="dxa"/>
          <w:left w:w="108" w:type="dxa"/>
          <w:bottom w:w="0" w:type="dxa"/>
          <w:right w:w="108" w:type="dxa"/>
        </w:tblCellMar>
      </w:tblPr>
      <w:tblGrid>
        <w:gridCol w:w="600"/>
        <w:gridCol w:w="1580"/>
        <w:gridCol w:w="760"/>
        <w:gridCol w:w="1360"/>
        <w:gridCol w:w="1840"/>
        <w:gridCol w:w="4740"/>
        <w:gridCol w:w="800"/>
        <w:gridCol w:w="800"/>
        <w:gridCol w:w="1040"/>
        <w:gridCol w:w="2240"/>
      </w:tblGrid>
      <w:tr w14:paraId="79075FD7">
        <w:tblPrEx>
          <w:tblCellMar>
            <w:top w:w="0" w:type="dxa"/>
            <w:left w:w="108" w:type="dxa"/>
            <w:bottom w:w="0" w:type="dxa"/>
            <w:right w:w="108" w:type="dxa"/>
          </w:tblCellMar>
        </w:tblPrEx>
        <w:trPr>
          <w:trHeight w:val="780" w:hRule="atLeast"/>
        </w:trPr>
        <w:tc>
          <w:tcPr>
            <w:tcW w:w="600" w:type="dxa"/>
            <w:tcBorders>
              <w:top w:val="single" w:color="auto" w:sz="4" w:space="0"/>
              <w:left w:val="single" w:color="auto" w:sz="4" w:space="0"/>
              <w:bottom w:val="single" w:color="auto" w:sz="4" w:space="0"/>
              <w:right w:val="single" w:color="auto" w:sz="4" w:space="0"/>
            </w:tcBorders>
            <w:noWrap/>
            <w:vAlign w:val="center"/>
          </w:tcPr>
          <w:p w14:paraId="63EE59F7">
            <w:pPr>
              <w:jc w:val="center"/>
              <w:rPr>
                <w:rFonts w:ascii="宋体" w:cs="宋体"/>
                <w:b/>
                <w:bCs/>
                <w:kern w:val="0"/>
                <w:sz w:val="20"/>
                <w:szCs w:val="20"/>
              </w:rPr>
            </w:pPr>
            <w:r>
              <w:rPr>
                <w:rFonts w:hint="eastAsia" w:ascii="宋体" w:hAnsi="宋体" w:cs="宋体"/>
                <w:b/>
                <w:bCs/>
                <w:kern w:val="0"/>
                <w:sz w:val="20"/>
                <w:szCs w:val="20"/>
              </w:rPr>
              <w:t>序号</w:t>
            </w:r>
          </w:p>
        </w:tc>
        <w:tc>
          <w:tcPr>
            <w:tcW w:w="1580" w:type="dxa"/>
            <w:tcBorders>
              <w:top w:val="single" w:color="auto" w:sz="4" w:space="0"/>
              <w:left w:val="nil"/>
              <w:bottom w:val="single" w:color="auto" w:sz="4" w:space="0"/>
              <w:right w:val="single" w:color="auto" w:sz="4" w:space="0"/>
            </w:tcBorders>
            <w:vAlign w:val="center"/>
          </w:tcPr>
          <w:p w14:paraId="3D16EBE7">
            <w:pPr>
              <w:jc w:val="center"/>
              <w:rPr>
                <w:rFonts w:ascii="黑体" w:hAnsi="黑体" w:eastAsia="黑体" w:cs="宋体"/>
                <w:color w:val="000000"/>
                <w:kern w:val="0"/>
                <w:sz w:val="20"/>
                <w:szCs w:val="20"/>
              </w:rPr>
            </w:pPr>
            <w:r>
              <w:rPr>
                <w:rFonts w:hint="eastAsia" w:ascii="黑体" w:hAnsi="黑体" w:eastAsia="黑体" w:cs="宋体"/>
                <w:color w:val="000000"/>
                <w:kern w:val="0"/>
                <w:sz w:val="20"/>
                <w:szCs w:val="20"/>
              </w:rPr>
              <w:t>项目名称</w:t>
            </w:r>
          </w:p>
        </w:tc>
        <w:tc>
          <w:tcPr>
            <w:tcW w:w="760" w:type="dxa"/>
            <w:tcBorders>
              <w:top w:val="single" w:color="auto" w:sz="4" w:space="0"/>
              <w:left w:val="nil"/>
              <w:bottom w:val="single" w:color="auto" w:sz="4" w:space="0"/>
              <w:right w:val="single" w:color="auto" w:sz="4" w:space="0"/>
            </w:tcBorders>
            <w:vAlign w:val="center"/>
          </w:tcPr>
          <w:p w14:paraId="44E7FF54">
            <w:pPr>
              <w:jc w:val="center"/>
              <w:rPr>
                <w:rFonts w:ascii="黑体" w:hAnsi="黑体" w:eastAsia="黑体" w:cs="宋体"/>
                <w:color w:val="000000"/>
                <w:kern w:val="0"/>
                <w:sz w:val="20"/>
                <w:szCs w:val="20"/>
              </w:rPr>
            </w:pPr>
            <w:r>
              <w:rPr>
                <w:rFonts w:hint="eastAsia" w:ascii="黑体" w:hAnsi="黑体" w:eastAsia="黑体" w:cs="宋体"/>
                <w:color w:val="000000"/>
                <w:kern w:val="0"/>
                <w:sz w:val="20"/>
                <w:szCs w:val="20"/>
              </w:rPr>
              <w:t>建设</w:t>
            </w:r>
            <w:r>
              <w:rPr>
                <w:rFonts w:ascii="黑体" w:hAnsi="黑体" w:eastAsia="黑体" w:cs="宋体"/>
                <w:color w:val="000000"/>
                <w:kern w:val="0"/>
                <w:sz w:val="20"/>
                <w:szCs w:val="20"/>
              </w:rPr>
              <w:br w:type="textWrapping"/>
            </w:r>
            <w:r>
              <w:rPr>
                <w:rFonts w:hint="eastAsia" w:ascii="黑体" w:hAnsi="黑体" w:eastAsia="黑体" w:cs="宋体"/>
                <w:color w:val="000000"/>
                <w:kern w:val="0"/>
                <w:sz w:val="20"/>
                <w:szCs w:val="20"/>
              </w:rPr>
              <w:t>性质</w:t>
            </w:r>
          </w:p>
        </w:tc>
        <w:tc>
          <w:tcPr>
            <w:tcW w:w="1360" w:type="dxa"/>
            <w:tcBorders>
              <w:top w:val="single" w:color="auto" w:sz="4" w:space="0"/>
              <w:left w:val="nil"/>
              <w:bottom w:val="single" w:color="auto" w:sz="4" w:space="0"/>
              <w:right w:val="single" w:color="auto" w:sz="4" w:space="0"/>
            </w:tcBorders>
            <w:noWrap/>
            <w:vAlign w:val="center"/>
          </w:tcPr>
          <w:p w14:paraId="6C28BB4F">
            <w:pPr>
              <w:jc w:val="center"/>
              <w:rPr>
                <w:rFonts w:ascii="黑体" w:hAnsi="黑体" w:eastAsia="黑体" w:cs="宋体"/>
                <w:color w:val="000000"/>
                <w:kern w:val="0"/>
                <w:sz w:val="20"/>
                <w:szCs w:val="20"/>
              </w:rPr>
            </w:pPr>
            <w:r>
              <w:rPr>
                <w:rFonts w:hint="eastAsia" w:ascii="黑体" w:hAnsi="黑体" w:eastAsia="黑体" w:cs="宋体"/>
                <w:color w:val="000000"/>
                <w:kern w:val="0"/>
                <w:sz w:val="20"/>
                <w:szCs w:val="20"/>
              </w:rPr>
              <w:t>建设地点</w:t>
            </w:r>
          </w:p>
        </w:tc>
        <w:tc>
          <w:tcPr>
            <w:tcW w:w="1840" w:type="dxa"/>
            <w:tcBorders>
              <w:top w:val="single" w:color="auto" w:sz="4" w:space="0"/>
              <w:left w:val="nil"/>
              <w:bottom w:val="single" w:color="auto" w:sz="4" w:space="0"/>
              <w:right w:val="single" w:color="auto" w:sz="4" w:space="0"/>
            </w:tcBorders>
            <w:noWrap/>
            <w:vAlign w:val="center"/>
          </w:tcPr>
          <w:p w14:paraId="62118F25">
            <w:pPr>
              <w:jc w:val="center"/>
              <w:rPr>
                <w:rFonts w:ascii="黑体" w:hAnsi="黑体" w:eastAsia="黑体" w:cs="宋体"/>
                <w:color w:val="000000"/>
                <w:kern w:val="0"/>
                <w:sz w:val="20"/>
                <w:szCs w:val="20"/>
              </w:rPr>
            </w:pPr>
            <w:r>
              <w:rPr>
                <w:rFonts w:hint="eastAsia" w:ascii="黑体" w:hAnsi="黑体" w:eastAsia="黑体" w:cs="宋体"/>
                <w:color w:val="000000"/>
                <w:kern w:val="0"/>
                <w:sz w:val="20"/>
                <w:szCs w:val="20"/>
              </w:rPr>
              <w:t>项目建设主体</w:t>
            </w:r>
          </w:p>
        </w:tc>
        <w:tc>
          <w:tcPr>
            <w:tcW w:w="4740" w:type="dxa"/>
            <w:tcBorders>
              <w:top w:val="single" w:color="auto" w:sz="4" w:space="0"/>
              <w:left w:val="nil"/>
              <w:bottom w:val="single" w:color="auto" w:sz="4" w:space="0"/>
              <w:right w:val="single" w:color="auto" w:sz="4" w:space="0"/>
            </w:tcBorders>
            <w:noWrap/>
            <w:vAlign w:val="center"/>
          </w:tcPr>
          <w:p w14:paraId="170ADB0C">
            <w:pPr>
              <w:jc w:val="center"/>
              <w:rPr>
                <w:rFonts w:ascii="黑体" w:hAnsi="黑体" w:eastAsia="黑体" w:cs="宋体"/>
                <w:color w:val="000000"/>
                <w:kern w:val="0"/>
                <w:sz w:val="20"/>
                <w:szCs w:val="20"/>
              </w:rPr>
            </w:pPr>
            <w:r>
              <w:rPr>
                <w:rFonts w:hint="eastAsia" w:ascii="黑体" w:hAnsi="黑体" w:eastAsia="黑体" w:cs="宋体"/>
                <w:color w:val="000000"/>
                <w:kern w:val="0"/>
                <w:sz w:val="20"/>
                <w:szCs w:val="20"/>
              </w:rPr>
              <w:t>主要建设内容和规模</w:t>
            </w:r>
          </w:p>
        </w:tc>
        <w:tc>
          <w:tcPr>
            <w:tcW w:w="800" w:type="dxa"/>
            <w:tcBorders>
              <w:top w:val="single" w:color="auto" w:sz="4" w:space="0"/>
              <w:left w:val="nil"/>
              <w:bottom w:val="single" w:color="auto" w:sz="4" w:space="0"/>
              <w:right w:val="single" w:color="auto" w:sz="4" w:space="0"/>
            </w:tcBorders>
            <w:vAlign w:val="center"/>
          </w:tcPr>
          <w:p w14:paraId="3C811119">
            <w:pPr>
              <w:jc w:val="center"/>
              <w:rPr>
                <w:rFonts w:ascii="黑体" w:hAnsi="黑体" w:eastAsia="黑体" w:cs="宋体"/>
                <w:color w:val="000000"/>
                <w:kern w:val="0"/>
                <w:sz w:val="20"/>
                <w:szCs w:val="20"/>
              </w:rPr>
            </w:pPr>
            <w:r>
              <w:rPr>
                <w:rFonts w:hint="eastAsia" w:ascii="黑体" w:hAnsi="黑体" w:eastAsia="黑体" w:cs="宋体"/>
                <w:color w:val="000000"/>
                <w:kern w:val="0"/>
                <w:sz w:val="20"/>
                <w:szCs w:val="20"/>
              </w:rPr>
              <w:t>开工</w:t>
            </w:r>
            <w:r>
              <w:rPr>
                <w:rFonts w:ascii="黑体" w:hAnsi="黑体" w:eastAsia="黑体" w:cs="宋体"/>
                <w:color w:val="000000"/>
                <w:kern w:val="0"/>
                <w:sz w:val="20"/>
                <w:szCs w:val="20"/>
              </w:rPr>
              <w:br w:type="textWrapping"/>
            </w:r>
            <w:r>
              <w:rPr>
                <w:rFonts w:hint="eastAsia" w:ascii="黑体" w:hAnsi="黑体" w:eastAsia="黑体" w:cs="宋体"/>
                <w:color w:val="000000"/>
                <w:kern w:val="0"/>
                <w:sz w:val="20"/>
                <w:szCs w:val="20"/>
              </w:rPr>
              <w:t>年份</w:t>
            </w:r>
          </w:p>
        </w:tc>
        <w:tc>
          <w:tcPr>
            <w:tcW w:w="800" w:type="dxa"/>
            <w:tcBorders>
              <w:top w:val="single" w:color="auto" w:sz="4" w:space="0"/>
              <w:left w:val="nil"/>
              <w:bottom w:val="single" w:color="auto" w:sz="4" w:space="0"/>
              <w:right w:val="single" w:color="auto" w:sz="4" w:space="0"/>
            </w:tcBorders>
            <w:vAlign w:val="center"/>
          </w:tcPr>
          <w:p w14:paraId="4445119D">
            <w:pPr>
              <w:jc w:val="center"/>
              <w:rPr>
                <w:rFonts w:ascii="黑体" w:hAnsi="黑体" w:eastAsia="黑体" w:cs="宋体"/>
                <w:color w:val="000000"/>
                <w:kern w:val="0"/>
                <w:sz w:val="20"/>
                <w:szCs w:val="20"/>
              </w:rPr>
            </w:pPr>
            <w:r>
              <w:rPr>
                <w:rFonts w:hint="eastAsia" w:ascii="黑体" w:hAnsi="黑体" w:eastAsia="黑体" w:cs="宋体"/>
                <w:color w:val="000000"/>
                <w:kern w:val="0"/>
                <w:sz w:val="20"/>
                <w:szCs w:val="20"/>
              </w:rPr>
              <w:t>竣工</w:t>
            </w:r>
            <w:r>
              <w:rPr>
                <w:rFonts w:ascii="黑体" w:hAnsi="黑体" w:eastAsia="黑体" w:cs="宋体"/>
                <w:color w:val="000000"/>
                <w:kern w:val="0"/>
                <w:sz w:val="20"/>
                <w:szCs w:val="20"/>
              </w:rPr>
              <w:br w:type="textWrapping"/>
            </w:r>
            <w:r>
              <w:rPr>
                <w:rFonts w:hint="eastAsia" w:ascii="黑体" w:hAnsi="黑体" w:eastAsia="黑体" w:cs="宋体"/>
                <w:color w:val="000000"/>
                <w:kern w:val="0"/>
                <w:sz w:val="20"/>
                <w:szCs w:val="20"/>
              </w:rPr>
              <w:t>年份</w:t>
            </w:r>
          </w:p>
        </w:tc>
        <w:tc>
          <w:tcPr>
            <w:tcW w:w="1040" w:type="dxa"/>
            <w:tcBorders>
              <w:top w:val="single" w:color="auto" w:sz="4" w:space="0"/>
              <w:left w:val="nil"/>
              <w:bottom w:val="single" w:color="auto" w:sz="4" w:space="0"/>
              <w:right w:val="single" w:color="auto" w:sz="4" w:space="0"/>
            </w:tcBorders>
            <w:vAlign w:val="center"/>
          </w:tcPr>
          <w:p w14:paraId="015B8C1A">
            <w:pPr>
              <w:jc w:val="center"/>
              <w:rPr>
                <w:rFonts w:ascii="黑体" w:hAnsi="黑体" w:eastAsia="黑体" w:cs="宋体"/>
                <w:color w:val="000000"/>
                <w:kern w:val="0"/>
                <w:sz w:val="20"/>
                <w:szCs w:val="20"/>
              </w:rPr>
            </w:pPr>
            <w:r>
              <w:rPr>
                <w:rFonts w:hint="eastAsia" w:ascii="黑体" w:hAnsi="黑体" w:eastAsia="黑体" w:cs="宋体"/>
                <w:color w:val="000000"/>
                <w:kern w:val="0"/>
                <w:sz w:val="20"/>
                <w:szCs w:val="20"/>
              </w:rPr>
              <w:t>总投资</w:t>
            </w:r>
            <w:r>
              <w:rPr>
                <w:rFonts w:ascii="黑体" w:hAnsi="黑体" w:eastAsia="黑体" w:cs="宋体"/>
                <w:color w:val="000000"/>
                <w:kern w:val="0"/>
                <w:sz w:val="20"/>
                <w:szCs w:val="20"/>
              </w:rPr>
              <w:br w:type="textWrapping"/>
            </w:r>
            <w:r>
              <w:rPr>
                <w:rFonts w:hint="eastAsia" w:ascii="黑体" w:hAnsi="黑体" w:eastAsia="黑体" w:cs="宋体"/>
                <w:color w:val="000000"/>
                <w:kern w:val="0"/>
                <w:sz w:val="20"/>
                <w:szCs w:val="20"/>
              </w:rPr>
              <w:t>（万元）</w:t>
            </w:r>
          </w:p>
        </w:tc>
        <w:tc>
          <w:tcPr>
            <w:tcW w:w="2240" w:type="dxa"/>
            <w:tcBorders>
              <w:top w:val="single" w:color="auto" w:sz="4" w:space="0"/>
              <w:left w:val="nil"/>
              <w:bottom w:val="single" w:color="auto" w:sz="4" w:space="0"/>
              <w:right w:val="single" w:color="auto" w:sz="4" w:space="0"/>
            </w:tcBorders>
            <w:vAlign w:val="center"/>
          </w:tcPr>
          <w:p w14:paraId="32EAA71E">
            <w:pPr>
              <w:jc w:val="center"/>
              <w:rPr>
                <w:rFonts w:ascii="黑体" w:hAnsi="黑体" w:eastAsia="黑体" w:cs="宋体"/>
                <w:color w:val="000000"/>
                <w:kern w:val="0"/>
                <w:sz w:val="20"/>
                <w:szCs w:val="20"/>
              </w:rPr>
            </w:pPr>
            <w:r>
              <w:rPr>
                <w:rFonts w:hint="eastAsia" w:ascii="黑体" w:hAnsi="黑体" w:eastAsia="黑体" w:cs="宋体"/>
                <w:color w:val="000000"/>
                <w:kern w:val="0"/>
                <w:sz w:val="20"/>
                <w:szCs w:val="20"/>
              </w:rPr>
              <w:t>备注</w:t>
            </w:r>
          </w:p>
        </w:tc>
      </w:tr>
      <w:tr w14:paraId="034F16F3">
        <w:tblPrEx>
          <w:tblCellMar>
            <w:top w:w="0" w:type="dxa"/>
            <w:left w:w="108" w:type="dxa"/>
            <w:bottom w:w="0" w:type="dxa"/>
            <w:right w:w="108" w:type="dxa"/>
          </w:tblCellMar>
        </w:tblPrEx>
        <w:trPr>
          <w:trHeight w:val="810" w:hRule="atLeast"/>
        </w:trPr>
        <w:tc>
          <w:tcPr>
            <w:tcW w:w="600" w:type="dxa"/>
            <w:tcBorders>
              <w:top w:val="nil"/>
              <w:left w:val="single" w:color="auto" w:sz="4" w:space="0"/>
              <w:bottom w:val="single" w:color="auto" w:sz="4" w:space="0"/>
              <w:right w:val="single" w:color="auto" w:sz="4" w:space="0"/>
            </w:tcBorders>
            <w:noWrap/>
            <w:vAlign w:val="center"/>
          </w:tcPr>
          <w:p w14:paraId="22B58B82">
            <w:pPr>
              <w:jc w:val="center"/>
              <w:rPr>
                <w:rFonts w:ascii="宋体" w:cs="宋体"/>
                <w:kern w:val="0"/>
                <w:sz w:val="20"/>
                <w:szCs w:val="20"/>
              </w:rPr>
            </w:pPr>
            <w:r>
              <w:rPr>
                <w:rFonts w:ascii="宋体" w:hAnsi="宋体" w:cs="宋体"/>
                <w:kern w:val="0"/>
                <w:sz w:val="20"/>
                <w:szCs w:val="20"/>
              </w:rPr>
              <w:t>1</w:t>
            </w:r>
          </w:p>
        </w:tc>
        <w:tc>
          <w:tcPr>
            <w:tcW w:w="1580" w:type="dxa"/>
            <w:tcBorders>
              <w:top w:val="nil"/>
              <w:left w:val="nil"/>
              <w:bottom w:val="single" w:color="auto" w:sz="4" w:space="0"/>
              <w:right w:val="single" w:color="auto" w:sz="4" w:space="0"/>
            </w:tcBorders>
            <w:vAlign w:val="center"/>
          </w:tcPr>
          <w:p w14:paraId="3996B512">
            <w:pPr>
              <w:jc w:val="left"/>
              <w:rPr>
                <w:rFonts w:ascii="宋体" w:cs="宋体"/>
                <w:color w:val="000000"/>
                <w:kern w:val="0"/>
                <w:sz w:val="20"/>
                <w:szCs w:val="20"/>
              </w:rPr>
            </w:pPr>
            <w:r>
              <w:rPr>
                <w:rFonts w:hint="eastAsia" w:ascii="宋体" w:hAnsi="宋体" w:cs="宋体"/>
                <w:color w:val="000000"/>
                <w:kern w:val="0"/>
                <w:sz w:val="20"/>
                <w:szCs w:val="20"/>
              </w:rPr>
              <w:t>湘潭市餐厨垃圾资源化利用</w:t>
            </w:r>
          </w:p>
        </w:tc>
        <w:tc>
          <w:tcPr>
            <w:tcW w:w="760" w:type="dxa"/>
            <w:tcBorders>
              <w:top w:val="nil"/>
              <w:left w:val="nil"/>
              <w:bottom w:val="single" w:color="auto" w:sz="4" w:space="0"/>
              <w:right w:val="single" w:color="auto" w:sz="4" w:space="0"/>
            </w:tcBorders>
            <w:noWrap/>
            <w:vAlign w:val="center"/>
          </w:tcPr>
          <w:p w14:paraId="686FC7AB">
            <w:pPr>
              <w:jc w:val="center"/>
              <w:rPr>
                <w:rFonts w:ascii="宋体" w:cs="宋体"/>
                <w:color w:val="000000"/>
                <w:kern w:val="0"/>
                <w:sz w:val="20"/>
                <w:szCs w:val="20"/>
              </w:rPr>
            </w:pPr>
            <w:r>
              <w:rPr>
                <w:rFonts w:hint="eastAsia" w:ascii="宋体" w:hAnsi="宋体" w:cs="宋体"/>
                <w:color w:val="000000"/>
                <w:kern w:val="0"/>
                <w:sz w:val="20"/>
                <w:szCs w:val="20"/>
              </w:rPr>
              <w:t>新建</w:t>
            </w:r>
          </w:p>
        </w:tc>
        <w:tc>
          <w:tcPr>
            <w:tcW w:w="1360" w:type="dxa"/>
            <w:tcBorders>
              <w:top w:val="nil"/>
              <w:left w:val="nil"/>
              <w:bottom w:val="single" w:color="auto" w:sz="4" w:space="0"/>
              <w:right w:val="single" w:color="auto" w:sz="4" w:space="0"/>
            </w:tcBorders>
            <w:vAlign w:val="center"/>
          </w:tcPr>
          <w:p w14:paraId="552DE27C">
            <w:pPr>
              <w:jc w:val="center"/>
              <w:rPr>
                <w:rFonts w:ascii="宋体" w:cs="宋体"/>
                <w:color w:val="000000"/>
                <w:kern w:val="0"/>
                <w:sz w:val="20"/>
                <w:szCs w:val="20"/>
              </w:rPr>
            </w:pPr>
            <w:r>
              <w:rPr>
                <w:rFonts w:hint="eastAsia" w:ascii="宋体" w:hAnsi="宋体" w:cs="宋体"/>
                <w:color w:val="000000"/>
                <w:kern w:val="0"/>
                <w:sz w:val="20"/>
                <w:szCs w:val="20"/>
              </w:rPr>
              <w:t>湘潭市高新区</w:t>
            </w:r>
          </w:p>
        </w:tc>
        <w:tc>
          <w:tcPr>
            <w:tcW w:w="1840" w:type="dxa"/>
            <w:tcBorders>
              <w:top w:val="nil"/>
              <w:left w:val="nil"/>
              <w:bottom w:val="single" w:color="auto" w:sz="4" w:space="0"/>
              <w:right w:val="single" w:color="auto" w:sz="4" w:space="0"/>
            </w:tcBorders>
            <w:vAlign w:val="center"/>
          </w:tcPr>
          <w:p w14:paraId="25067BA7">
            <w:pPr>
              <w:jc w:val="left"/>
              <w:rPr>
                <w:rFonts w:ascii="宋体" w:cs="宋体"/>
                <w:color w:val="000000"/>
                <w:kern w:val="0"/>
                <w:sz w:val="20"/>
                <w:szCs w:val="20"/>
              </w:rPr>
            </w:pPr>
            <w:r>
              <w:rPr>
                <w:rFonts w:hint="eastAsia" w:ascii="宋体" w:hAnsi="宋体" w:cs="宋体"/>
                <w:color w:val="000000"/>
                <w:kern w:val="0"/>
                <w:sz w:val="20"/>
                <w:szCs w:val="20"/>
              </w:rPr>
              <w:t>湘潭投资经营集团</w:t>
            </w:r>
          </w:p>
        </w:tc>
        <w:tc>
          <w:tcPr>
            <w:tcW w:w="4740" w:type="dxa"/>
            <w:tcBorders>
              <w:top w:val="nil"/>
              <w:left w:val="nil"/>
              <w:bottom w:val="single" w:color="auto" w:sz="4" w:space="0"/>
              <w:right w:val="single" w:color="auto" w:sz="4" w:space="0"/>
            </w:tcBorders>
            <w:vAlign w:val="center"/>
          </w:tcPr>
          <w:p w14:paraId="08211117">
            <w:pPr>
              <w:jc w:val="left"/>
              <w:rPr>
                <w:rFonts w:ascii="宋体" w:cs="宋体"/>
                <w:color w:val="000000"/>
                <w:kern w:val="0"/>
                <w:sz w:val="20"/>
                <w:szCs w:val="20"/>
              </w:rPr>
            </w:pPr>
            <w:r>
              <w:rPr>
                <w:rFonts w:hint="eastAsia" w:ascii="宋体" w:hAnsi="宋体" w:cs="宋体"/>
                <w:color w:val="000000"/>
                <w:kern w:val="0"/>
                <w:sz w:val="20"/>
                <w:szCs w:val="20"/>
              </w:rPr>
              <w:t>项目建成后处理规模为</w:t>
            </w:r>
            <w:r>
              <w:rPr>
                <w:rFonts w:ascii="宋体" w:hAnsi="宋体" w:cs="宋体"/>
                <w:color w:val="000000"/>
                <w:kern w:val="0"/>
                <w:sz w:val="20"/>
                <w:szCs w:val="20"/>
              </w:rPr>
              <w:t>150</w:t>
            </w:r>
            <w:r>
              <w:rPr>
                <w:rFonts w:hint="eastAsia" w:ascii="宋体" w:hAnsi="宋体" w:cs="宋体"/>
                <w:color w:val="000000"/>
                <w:kern w:val="0"/>
                <w:sz w:val="20"/>
                <w:szCs w:val="20"/>
              </w:rPr>
              <w:t>吨</w:t>
            </w:r>
            <w:r>
              <w:rPr>
                <w:rFonts w:ascii="宋体" w:hAnsi="宋体" w:cs="宋体"/>
                <w:color w:val="000000"/>
                <w:kern w:val="0"/>
                <w:sz w:val="20"/>
                <w:szCs w:val="20"/>
              </w:rPr>
              <w:t>/</w:t>
            </w:r>
            <w:r>
              <w:rPr>
                <w:rFonts w:hint="eastAsia" w:ascii="宋体" w:hAnsi="宋体" w:cs="宋体"/>
                <w:color w:val="000000"/>
                <w:kern w:val="0"/>
                <w:sz w:val="20"/>
                <w:szCs w:val="20"/>
              </w:rPr>
              <w:t>日餐厨垃圾、</w:t>
            </w:r>
            <w:r>
              <w:rPr>
                <w:rFonts w:ascii="宋体" w:hAnsi="宋体" w:cs="宋体"/>
                <w:color w:val="000000"/>
                <w:kern w:val="0"/>
                <w:sz w:val="20"/>
                <w:szCs w:val="20"/>
              </w:rPr>
              <w:t>120</w:t>
            </w:r>
            <w:r>
              <w:rPr>
                <w:rFonts w:hint="eastAsia" w:ascii="宋体" w:hAnsi="宋体" w:cs="宋体"/>
                <w:color w:val="000000"/>
                <w:kern w:val="0"/>
                <w:sz w:val="20"/>
                <w:szCs w:val="20"/>
              </w:rPr>
              <w:t>吨</w:t>
            </w:r>
            <w:r>
              <w:rPr>
                <w:rFonts w:ascii="宋体" w:hAnsi="宋体" w:cs="宋体"/>
                <w:color w:val="000000"/>
                <w:kern w:val="0"/>
                <w:sz w:val="20"/>
                <w:szCs w:val="20"/>
              </w:rPr>
              <w:t>/</w:t>
            </w:r>
            <w:r>
              <w:rPr>
                <w:rFonts w:hint="eastAsia" w:ascii="宋体" w:hAnsi="宋体" w:cs="宋体"/>
                <w:color w:val="000000"/>
                <w:kern w:val="0"/>
                <w:sz w:val="20"/>
                <w:szCs w:val="20"/>
              </w:rPr>
              <w:t>日厨余垃圾、</w:t>
            </w:r>
            <w:r>
              <w:rPr>
                <w:rFonts w:ascii="宋体" w:hAnsi="宋体" w:cs="宋体"/>
                <w:color w:val="000000"/>
                <w:kern w:val="0"/>
                <w:sz w:val="20"/>
                <w:szCs w:val="20"/>
              </w:rPr>
              <w:t>30</w:t>
            </w:r>
            <w:r>
              <w:rPr>
                <w:rFonts w:hint="eastAsia" w:ascii="宋体" w:hAnsi="宋体" w:cs="宋体"/>
                <w:color w:val="000000"/>
                <w:kern w:val="0"/>
                <w:sz w:val="20"/>
                <w:szCs w:val="20"/>
              </w:rPr>
              <w:t>吨</w:t>
            </w:r>
            <w:r>
              <w:rPr>
                <w:rFonts w:ascii="宋体" w:hAnsi="宋体" w:cs="宋体"/>
                <w:color w:val="000000"/>
                <w:kern w:val="0"/>
                <w:sz w:val="20"/>
                <w:szCs w:val="20"/>
              </w:rPr>
              <w:t>/</w:t>
            </w:r>
            <w:r>
              <w:rPr>
                <w:rFonts w:hint="eastAsia" w:ascii="宋体" w:hAnsi="宋体" w:cs="宋体"/>
                <w:color w:val="000000"/>
                <w:kern w:val="0"/>
                <w:sz w:val="20"/>
                <w:szCs w:val="20"/>
              </w:rPr>
              <w:t>日废弃油脂、</w:t>
            </w:r>
            <w:r>
              <w:rPr>
                <w:rFonts w:ascii="宋体" w:hAnsi="宋体" w:cs="宋体"/>
                <w:color w:val="000000"/>
                <w:kern w:val="0"/>
                <w:sz w:val="20"/>
                <w:szCs w:val="20"/>
              </w:rPr>
              <w:t>50</w:t>
            </w:r>
            <w:r>
              <w:rPr>
                <w:rFonts w:hint="eastAsia" w:ascii="宋体" w:hAnsi="宋体" w:cs="宋体"/>
                <w:color w:val="000000"/>
                <w:kern w:val="0"/>
                <w:sz w:val="20"/>
                <w:szCs w:val="20"/>
              </w:rPr>
              <w:t>吨</w:t>
            </w:r>
            <w:r>
              <w:rPr>
                <w:rFonts w:ascii="宋体" w:hAnsi="宋体" w:cs="宋体"/>
                <w:color w:val="000000"/>
                <w:kern w:val="0"/>
                <w:sz w:val="20"/>
                <w:szCs w:val="20"/>
              </w:rPr>
              <w:t>/</w:t>
            </w:r>
            <w:r>
              <w:rPr>
                <w:rFonts w:hint="eastAsia" w:ascii="宋体" w:hAnsi="宋体" w:cs="宋体"/>
                <w:color w:val="000000"/>
                <w:kern w:val="0"/>
                <w:sz w:val="20"/>
                <w:szCs w:val="20"/>
              </w:rPr>
              <w:t>日粪渣。</w:t>
            </w:r>
          </w:p>
        </w:tc>
        <w:tc>
          <w:tcPr>
            <w:tcW w:w="800" w:type="dxa"/>
            <w:tcBorders>
              <w:top w:val="nil"/>
              <w:left w:val="nil"/>
              <w:bottom w:val="single" w:color="auto" w:sz="4" w:space="0"/>
              <w:right w:val="single" w:color="auto" w:sz="4" w:space="0"/>
            </w:tcBorders>
            <w:noWrap/>
            <w:vAlign w:val="center"/>
          </w:tcPr>
          <w:p w14:paraId="36B9FC97">
            <w:pPr>
              <w:jc w:val="center"/>
              <w:rPr>
                <w:rFonts w:ascii="宋体" w:cs="宋体"/>
                <w:color w:val="000000"/>
                <w:kern w:val="0"/>
                <w:sz w:val="20"/>
                <w:szCs w:val="20"/>
              </w:rPr>
            </w:pPr>
            <w:r>
              <w:rPr>
                <w:rFonts w:ascii="宋体" w:hAnsi="宋体" w:cs="宋体"/>
                <w:color w:val="000000"/>
                <w:kern w:val="0"/>
                <w:sz w:val="20"/>
                <w:szCs w:val="20"/>
              </w:rPr>
              <w:t>2020</w:t>
            </w:r>
          </w:p>
        </w:tc>
        <w:tc>
          <w:tcPr>
            <w:tcW w:w="800" w:type="dxa"/>
            <w:tcBorders>
              <w:top w:val="nil"/>
              <w:left w:val="nil"/>
              <w:bottom w:val="single" w:color="auto" w:sz="4" w:space="0"/>
              <w:right w:val="single" w:color="auto" w:sz="4" w:space="0"/>
            </w:tcBorders>
            <w:noWrap/>
            <w:vAlign w:val="center"/>
          </w:tcPr>
          <w:p w14:paraId="4BE18EDD">
            <w:pPr>
              <w:jc w:val="center"/>
              <w:rPr>
                <w:rFonts w:ascii="宋体" w:cs="宋体"/>
                <w:color w:val="000000"/>
                <w:kern w:val="0"/>
                <w:sz w:val="20"/>
                <w:szCs w:val="20"/>
              </w:rPr>
            </w:pPr>
            <w:r>
              <w:rPr>
                <w:rFonts w:ascii="宋体" w:hAnsi="宋体" w:cs="宋体"/>
                <w:color w:val="000000"/>
                <w:kern w:val="0"/>
                <w:sz w:val="20"/>
                <w:szCs w:val="20"/>
              </w:rPr>
              <w:t>2021</w:t>
            </w:r>
          </w:p>
        </w:tc>
        <w:tc>
          <w:tcPr>
            <w:tcW w:w="1040" w:type="dxa"/>
            <w:tcBorders>
              <w:top w:val="nil"/>
              <w:left w:val="nil"/>
              <w:bottom w:val="single" w:color="auto" w:sz="4" w:space="0"/>
              <w:right w:val="single" w:color="auto" w:sz="4" w:space="0"/>
            </w:tcBorders>
            <w:vAlign w:val="center"/>
          </w:tcPr>
          <w:p w14:paraId="512F7B49">
            <w:pPr>
              <w:jc w:val="center"/>
              <w:rPr>
                <w:rFonts w:ascii="宋体" w:cs="宋体"/>
                <w:color w:val="000000"/>
                <w:kern w:val="0"/>
                <w:sz w:val="20"/>
                <w:szCs w:val="20"/>
              </w:rPr>
            </w:pPr>
            <w:r>
              <w:rPr>
                <w:rFonts w:ascii="宋体" w:hAnsi="宋体" w:cs="宋体"/>
                <w:color w:val="000000"/>
                <w:kern w:val="0"/>
                <w:sz w:val="20"/>
                <w:szCs w:val="20"/>
              </w:rPr>
              <w:t xml:space="preserve">27,300 </w:t>
            </w:r>
          </w:p>
        </w:tc>
        <w:tc>
          <w:tcPr>
            <w:tcW w:w="2240" w:type="dxa"/>
            <w:tcBorders>
              <w:top w:val="nil"/>
              <w:left w:val="nil"/>
              <w:bottom w:val="single" w:color="auto" w:sz="4" w:space="0"/>
              <w:right w:val="single" w:color="auto" w:sz="4" w:space="0"/>
            </w:tcBorders>
            <w:vAlign w:val="center"/>
          </w:tcPr>
          <w:p w14:paraId="29790A78">
            <w:pPr>
              <w:jc w:val="left"/>
              <w:rPr>
                <w:rFonts w:ascii="宋体" w:cs="宋体"/>
                <w:color w:val="000000"/>
                <w:kern w:val="0"/>
                <w:sz w:val="20"/>
                <w:szCs w:val="20"/>
              </w:rPr>
            </w:pPr>
            <w:r>
              <w:rPr>
                <w:rFonts w:ascii="宋体" w:hAnsi="宋体" w:cs="宋体"/>
                <w:color w:val="000000"/>
                <w:kern w:val="0"/>
                <w:sz w:val="20"/>
                <w:szCs w:val="20"/>
              </w:rPr>
              <w:t>PPP</w:t>
            </w:r>
            <w:r>
              <w:rPr>
                <w:rFonts w:hint="eastAsia" w:ascii="宋体" w:hAnsi="宋体" w:cs="宋体"/>
                <w:color w:val="000000"/>
                <w:kern w:val="0"/>
                <w:sz w:val="20"/>
                <w:szCs w:val="20"/>
              </w:rPr>
              <w:t>项目</w:t>
            </w:r>
          </w:p>
        </w:tc>
      </w:tr>
      <w:tr w14:paraId="762A02F3">
        <w:tblPrEx>
          <w:tblCellMar>
            <w:top w:w="0" w:type="dxa"/>
            <w:left w:w="108" w:type="dxa"/>
            <w:bottom w:w="0" w:type="dxa"/>
            <w:right w:w="108" w:type="dxa"/>
          </w:tblCellMar>
        </w:tblPrEx>
        <w:trPr>
          <w:trHeight w:val="1230" w:hRule="atLeast"/>
        </w:trPr>
        <w:tc>
          <w:tcPr>
            <w:tcW w:w="600" w:type="dxa"/>
            <w:tcBorders>
              <w:top w:val="nil"/>
              <w:left w:val="single" w:color="auto" w:sz="4" w:space="0"/>
              <w:bottom w:val="single" w:color="auto" w:sz="4" w:space="0"/>
              <w:right w:val="single" w:color="auto" w:sz="4" w:space="0"/>
            </w:tcBorders>
            <w:noWrap/>
            <w:vAlign w:val="center"/>
          </w:tcPr>
          <w:p w14:paraId="3A230564">
            <w:pPr>
              <w:jc w:val="center"/>
              <w:rPr>
                <w:rFonts w:ascii="宋体" w:cs="宋体"/>
                <w:kern w:val="0"/>
                <w:sz w:val="20"/>
                <w:szCs w:val="20"/>
              </w:rPr>
            </w:pPr>
            <w:r>
              <w:rPr>
                <w:rFonts w:ascii="宋体" w:hAnsi="宋体" w:cs="宋体"/>
                <w:kern w:val="0"/>
                <w:sz w:val="20"/>
                <w:szCs w:val="20"/>
              </w:rPr>
              <w:t>2</w:t>
            </w:r>
          </w:p>
        </w:tc>
        <w:tc>
          <w:tcPr>
            <w:tcW w:w="1580" w:type="dxa"/>
            <w:tcBorders>
              <w:top w:val="nil"/>
              <w:left w:val="nil"/>
              <w:bottom w:val="single" w:color="auto" w:sz="4" w:space="0"/>
              <w:right w:val="single" w:color="auto" w:sz="4" w:space="0"/>
            </w:tcBorders>
            <w:vAlign w:val="center"/>
          </w:tcPr>
          <w:p w14:paraId="0A9040A0">
            <w:pPr>
              <w:jc w:val="left"/>
              <w:rPr>
                <w:rFonts w:ascii="宋体" w:cs="宋体"/>
                <w:color w:val="000000"/>
                <w:kern w:val="0"/>
                <w:sz w:val="20"/>
                <w:szCs w:val="20"/>
              </w:rPr>
            </w:pPr>
            <w:r>
              <w:rPr>
                <w:rFonts w:hint="eastAsia" w:ascii="宋体" w:hAnsi="宋体" w:cs="宋体"/>
                <w:color w:val="000000"/>
                <w:kern w:val="0"/>
                <w:sz w:val="20"/>
                <w:szCs w:val="20"/>
              </w:rPr>
              <w:t>湘潭市环卫一体化项目建设</w:t>
            </w:r>
          </w:p>
        </w:tc>
        <w:tc>
          <w:tcPr>
            <w:tcW w:w="760" w:type="dxa"/>
            <w:tcBorders>
              <w:top w:val="nil"/>
              <w:left w:val="nil"/>
              <w:bottom w:val="single" w:color="auto" w:sz="4" w:space="0"/>
              <w:right w:val="single" w:color="auto" w:sz="4" w:space="0"/>
            </w:tcBorders>
            <w:noWrap/>
            <w:vAlign w:val="center"/>
          </w:tcPr>
          <w:p w14:paraId="60D26DF3">
            <w:pPr>
              <w:jc w:val="center"/>
              <w:rPr>
                <w:rFonts w:ascii="宋体" w:cs="宋体"/>
                <w:color w:val="000000"/>
                <w:kern w:val="0"/>
                <w:sz w:val="20"/>
                <w:szCs w:val="20"/>
              </w:rPr>
            </w:pPr>
            <w:r>
              <w:rPr>
                <w:rFonts w:hint="eastAsia" w:ascii="宋体" w:hAnsi="宋体" w:cs="宋体"/>
                <w:color w:val="000000"/>
                <w:kern w:val="0"/>
                <w:sz w:val="20"/>
                <w:szCs w:val="20"/>
              </w:rPr>
              <w:t>新建</w:t>
            </w:r>
          </w:p>
        </w:tc>
        <w:tc>
          <w:tcPr>
            <w:tcW w:w="1360" w:type="dxa"/>
            <w:tcBorders>
              <w:top w:val="nil"/>
              <w:left w:val="nil"/>
              <w:bottom w:val="single" w:color="auto" w:sz="4" w:space="0"/>
              <w:right w:val="single" w:color="auto" w:sz="4" w:space="0"/>
            </w:tcBorders>
            <w:noWrap/>
            <w:vAlign w:val="center"/>
          </w:tcPr>
          <w:p w14:paraId="397A1C44">
            <w:pPr>
              <w:jc w:val="center"/>
              <w:rPr>
                <w:rFonts w:ascii="宋体" w:cs="宋体"/>
                <w:color w:val="000000"/>
                <w:kern w:val="0"/>
                <w:sz w:val="20"/>
                <w:szCs w:val="20"/>
              </w:rPr>
            </w:pPr>
            <w:r>
              <w:rPr>
                <w:rFonts w:hint="eastAsia" w:ascii="宋体" w:hAnsi="宋体" w:cs="宋体"/>
                <w:color w:val="000000"/>
                <w:kern w:val="0"/>
                <w:sz w:val="20"/>
                <w:szCs w:val="20"/>
              </w:rPr>
              <w:t>湘潭市城区</w:t>
            </w:r>
          </w:p>
        </w:tc>
        <w:tc>
          <w:tcPr>
            <w:tcW w:w="1840" w:type="dxa"/>
            <w:tcBorders>
              <w:top w:val="nil"/>
              <w:left w:val="nil"/>
              <w:bottom w:val="single" w:color="auto" w:sz="4" w:space="0"/>
              <w:right w:val="single" w:color="auto" w:sz="4" w:space="0"/>
            </w:tcBorders>
            <w:vAlign w:val="center"/>
          </w:tcPr>
          <w:p w14:paraId="5FEDC2C4">
            <w:pPr>
              <w:jc w:val="left"/>
              <w:rPr>
                <w:rFonts w:ascii="宋体" w:cs="宋体"/>
                <w:color w:val="000000"/>
                <w:kern w:val="0"/>
                <w:sz w:val="20"/>
                <w:szCs w:val="20"/>
              </w:rPr>
            </w:pPr>
            <w:r>
              <w:rPr>
                <w:rFonts w:hint="eastAsia" w:ascii="宋体" w:hAnsi="宋体" w:cs="宋体"/>
                <w:color w:val="000000"/>
                <w:kern w:val="0"/>
                <w:sz w:val="20"/>
                <w:szCs w:val="20"/>
              </w:rPr>
              <w:t>城发集团</w:t>
            </w:r>
          </w:p>
        </w:tc>
        <w:tc>
          <w:tcPr>
            <w:tcW w:w="4740" w:type="dxa"/>
            <w:tcBorders>
              <w:top w:val="nil"/>
              <w:left w:val="nil"/>
              <w:bottom w:val="single" w:color="auto" w:sz="4" w:space="0"/>
              <w:right w:val="single" w:color="auto" w:sz="4" w:space="0"/>
            </w:tcBorders>
            <w:vAlign w:val="center"/>
          </w:tcPr>
          <w:p w14:paraId="07C1DF61">
            <w:pPr>
              <w:jc w:val="left"/>
              <w:rPr>
                <w:rFonts w:ascii="宋体" w:cs="宋体"/>
                <w:color w:val="000000"/>
                <w:kern w:val="0"/>
                <w:sz w:val="20"/>
                <w:szCs w:val="20"/>
              </w:rPr>
            </w:pPr>
            <w:r>
              <w:rPr>
                <w:rFonts w:hint="eastAsia" w:ascii="宋体" w:hAnsi="宋体" w:cs="宋体"/>
                <w:color w:val="000000"/>
                <w:kern w:val="0"/>
                <w:sz w:val="20"/>
                <w:szCs w:val="20"/>
              </w:rPr>
              <w:t>雨湖区环卫服务中心、岳塘区环卫服务中心、分拣中心（环卫停车场）、小型生活垃圾收集站的新建和改造；垃圾收运车辆的配置；分类垃圾桶的添置；城区公共厕所的建设、环卫工人休息场所的建设。</w:t>
            </w:r>
          </w:p>
        </w:tc>
        <w:tc>
          <w:tcPr>
            <w:tcW w:w="800" w:type="dxa"/>
            <w:tcBorders>
              <w:top w:val="nil"/>
              <w:left w:val="nil"/>
              <w:bottom w:val="single" w:color="auto" w:sz="4" w:space="0"/>
              <w:right w:val="single" w:color="auto" w:sz="4" w:space="0"/>
            </w:tcBorders>
            <w:noWrap/>
            <w:vAlign w:val="center"/>
          </w:tcPr>
          <w:p w14:paraId="6E019D40">
            <w:pPr>
              <w:jc w:val="center"/>
              <w:rPr>
                <w:rFonts w:ascii="宋体" w:cs="宋体"/>
                <w:color w:val="000000"/>
                <w:kern w:val="0"/>
                <w:sz w:val="20"/>
                <w:szCs w:val="20"/>
              </w:rPr>
            </w:pPr>
            <w:r>
              <w:rPr>
                <w:rFonts w:ascii="宋体" w:hAnsi="宋体" w:cs="宋体"/>
                <w:color w:val="000000"/>
                <w:kern w:val="0"/>
                <w:sz w:val="20"/>
                <w:szCs w:val="20"/>
              </w:rPr>
              <w:t>2020</w:t>
            </w:r>
          </w:p>
        </w:tc>
        <w:tc>
          <w:tcPr>
            <w:tcW w:w="800" w:type="dxa"/>
            <w:tcBorders>
              <w:top w:val="nil"/>
              <w:left w:val="nil"/>
              <w:bottom w:val="single" w:color="auto" w:sz="4" w:space="0"/>
              <w:right w:val="single" w:color="auto" w:sz="4" w:space="0"/>
            </w:tcBorders>
            <w:noWrap/>
            <w:vAlign w:val="center"/>
          </w:tcPr>
          <w:p w14:paraId="4623687A">
            <w:pPr>
              <w:jc w:val="center"/>
              <w:rPr>
                <w:rFonts w:ascii="宋体" w:cs="宋体"/>
                <w:color w:val="000000"/>
                <w:kern w:val="0"/>
                <w:sz w:val="20"/>
                <w:szCs w:val="20"/>
              </w:rPr>
            </w:pPr>
            <w:r>
              <w:rPr>
                <w:rFonts w:ascii="宋体" w:hAnsi="宋体" w:cs="宋体"/>
                <w:color w:val="000000"/>
                <w:kern w:val="0"/>
                <w:sz w:val="20"/>
                <w:szCs w:val="20"/>
              </w:rPr>
              <w:t>2025</w:t>
            </w:r>
          </w:p>
        </w:tc>
        <w:tc>
          <w:tcPr>
            <w:tcW w:w="1040" w:type="dxa"/>
            <w:tcBorders>
              <w:top w:val="nil"/>
              <w:left w:val="nil"/>
              <w:bottom w:val="single" w:color="auto" w:sz="4" w:space="0"/>
              <w:right w:val="single" w:color="auto" w:sz="4" w:space="0"/>
            </w:tcBorders>
            <w:vAlign w:val="center"/>
          </w:tcPr>
          <w:p w14:paraId="458D216B">
            <w:pPr>
              <w:jc w:val="center"/>
              <w:rPr>
                <w:rFonts w:ascii="宋体" w:cs="宋体"/>
                <w:color w:val="000000"/>
                <w:kern w:val="0"/>
                <w:sz w:val="20"/>
                <w:szCs w:val="20"/>
              </w:rPr>
            </w:pPr>
            <w:r>
              <w:rPr>
                <w:rFonts w:ascii="宋体" w:hAnsi="宋体" w:cs="宋体"/>
                <w:color w:val="000000"/>
                <w:kern w:val="0"/>
                <w:sz w:val="20"/>
                <w:szCs w:val="20"/>
              </w:rPr>
              <w:t xml:space="preserve">66,893 </w:t>
            </w:r>
          </w:p>
        </w:tc>
        <w:tc>
          <w:tcPr>
            <w:tcW w:w="2240" w:type="dxa"/>
            <w:tcBorders>
              <w:top w:val="nil"/>
              <w:left w:val="nil"/>
              <w:bottom w:val="single" w:color="auto" w:sz="4" w:space="0"/>
              <w:right w:val="single" w:color="auto" w:sz="4" w:space="0"/>
            </w:tcBorders>
            <w:vAlign w:val="center"/>
          </w:tcPr>
          <w:p w14:paraId="059929EA">
            <w:pPr>
              <w:jc w:val="left"/>
              <w:rPr>
                <w:rFonts w:ascii="宋体" w:cs="宋体"/>
                <w:color w:val="000000"/>
                <w:kern w:val="0"/>
                <w:sz w:val="20"/>
                <w:szCs w:val="20"/>
              </w:rPr>
            </w:pPr>
            <w:r>
              <w:rPr>
                <w:rFonts w:hint="eastAsia" w:ascii="宋体" w:hAnsi="宋体" w:cs="宋体"/>
                <w:color w:val="000000"/>
                <w:kern w:val="0"/>
                <w:sz w:val="20"/>
                <w:szCs w:val="20"/>
              </w:rPr>
              <w:t>有偿者付费</w:t>
            </w:r>
            <w:r>
              <w:rPr>
                <w:rFonts w:ascii="宋体" w:hAnsi="宋体" w:cs="宋体"/>
                <w:color w:val="000000"/>
                <w:kern w:val="0"/>
                <w:sz w:val="20"/>
                <w:szCs w:val="20"/>
              </w:rPr>
              <w:t>+</w:t>
            </w:r>
            <w:r>
              <w:rPr>
                <w:rFonts w:hint="eastAsia" w:ascii="宋体" w:hAnsi="宋体" w:cs="宋体"/>
                <w:color w:val="000000"/>
                <w:kern w:val="0"/>
                <w:sz w:val="20"/>
                <w:szCs w:val="20"/>
              </w:rPr>
              <w:t>政府补助</w:t>
            </w:r>
            <w:r>
              <w:rPr>
                <w:rFonts w:ascii="宋体" w:cs="宋体"/>
                <w:color w:val="000000"/>
                <w:kern w:val="0"/>
                <w:sz w:val="20"/>
                <w:szCs w:val="20"/>
              </w:rPr>
              <w:br w:type="textWrapping"/>
            </w:r>
          </w:p>
        </w:tc>
      </w:tr>
      <w:tr w14:paraId="484B8EC6">
        <w:tblPrEx>
          <w:tblCellMar>
            <w:top w:w="0" w:type="dxa"/>
            <w:left w:w="108" w:type="dxa"/>
            <w:bottom w:w="0" w:type="dxa"/>
            <w:right w:w="108" w:type="dxa"/>
          </w:tblCellMar>
        </w:tblPrEx>
        <w:trPr>
          <w:trHeight w:val="1039" w:hRule="atLeast"/>
        </w:trPr>
        <w:tc>
          <w:tcPr>
            <w:tcW w:w="600" w:type="dxa"/>
            <w:tcBorders>
              <w:top w:val="nil"/>
              <w:left w:val="single" w:color="auto" w:sz="4" w:space="0"/>
              <w:bottom w:val="single" w:color="auto" w:sz="4" w:space="0"/>
              <w:right w:val="single" w:color="auto" w:sz="4" w:space="0"/>
            </w:tcBorders>
            <w:noWrap/>
            <w:vAlign w:val="center"/>
          </w:tcPr>
          <w:p w14:paraId="421D6B45">
            <w:pPr>
              <w:jc w:val="center"/>
              <w:rPr>
                <w:rFonts w:ascii="宋体" w:cs="宋体"/>
                <w:kern w:val="0"/>
                <w:sz w:val="20"/>
                <w:szCs w:val="20"/>
              </w:rPr>
            </w:pPr>
            <w:r>
              <w:rPr>
                <w:rFonts w:ascii="宋体" w:hAnsi="宋体" w:cs="宋体"/>
                <w:kern w:val="0"/>
                <w:sz w:val="20"/>
                <w:szCs w:val="20"/>
              </w:rPr>
              <w:t>3</w:t>
            </w:r>
          </w:p>
        </w:tc>
        <w:tc>
          <w:tcPr>
            <w:tcW w:w="1580" w:type="dxa"/>
            <w:tcBorders>
              <w:top w:val="nil"/>
              <w:left w:val="nil"/>
              <w:bottom w:val="single" w:color="auto" w:sz="4" w:space="0"/>
              <w:right w:val="single" w:color="auto" w:sz="4" w:space="0"/>
            </w:tcBorders>
            <w:vAlign w:val="center"/>
          </w:tcPr>
          <w:p w14:paraId="5F7BECD7">
            <w:pPr>
              <w:jc w:val="left"/>
              <w:rPr>
                <w:rFonts w:ascii="宋体" w:cs="宋体"/>
                <w:color w:val="000000"/>
                <w:kern w:val="0"/>
                <w:sz w:val="20"/>
                <w:szCs w:val="20"/>
              </w:rPr>
            </w:pPr>
            <w:r>
              <w:rPr>
                <w:rFonts w:hint="eastAsia" w:ascii="宋体" w:hAnsi="宋体" w:cs="宋体"/>
                <w:color w:val="000000"/>
                <w:kern w:val="0"/>
                <w:sz w:val="20"/>
                <w:szCs w:val="20"/>
              </w:rPr>
              <w:t>湘潭建筑垃圾资源化利用项目（河西）</w:t>
            </w:r>
          </w:p>
        </w:tc>
        <w:tc>
          <w:tcPr>
            <w:tcW w:w="760" w:type="dxa"/>
            <w:tcBorders>
              <w:top w:val="nil"/>
              <w:left w:val="nil"/>
              <w:bottom w:val="single" w:color="auto" w:sz="4" w:space="0"/>
              <w:right w:val="single" w:color="auto" w:sz="4" w:space="0"/>
            </w:tcBorders>
            <w:noWrap/>
            <w:vAlign w:val="center"/>
          </w:tcPr>
          <w:p w14:paraId="00D199EA">
            <w:pPr>
              <w:jc w:val="center"/>
              <w:rPr>
                <w:rFonts w:ascii="宋体" w:cs="宋体"/>
                <w:color w:val="000000"/>
                <w:kern w:val="0"/>
                <w:sz w:val="20"/>
                <w:szCs w:val="20"/>
              </w:rPr>
            </w:pPr>
            <w:r>
              <w:rPr>
                <w:rFonts w:hint="eastAsia" w:ascii="宋体" w:hAnsi="宋体" w:cs="宋体"/>
                <w:color w:val="000000"/>
                <w:kern w:val="0"/>
                <w:sz w:val="20"/>
                <w:szCs w:val="20"/>
              </w:rPr>
              <w:t>新建</w:t>
            </w:r>
          </w:p>
        </w:tc>
        <w:tc>
          <w:tcPr>
            <w:tcW w:w="1360" w:type="dxa"/>
            <w:tcBorders>
              <w:top w:val="nil"/>
              <w:left w:val="nil"/>
              <w:bottom w:val="single" w:color="auto" w:sz="4" w:space="0"/>
              <w:right w:val="single" w:color="auto" w:sz="4" w:space="0"/>
            </w:tcBorders>
            <w:vAlign w:val="center"/>
          </w:tcPr>
          <w:p w14:paraId="0374ABEA">
            <w:pPr>
              <w:jc w:val="center"/>
              <w:rPr>
                <w:rFonts w:ascii="宋体" w:cs="宋体"/>
                <w:color w:val="000000"/>
                <w:kern w:val="0"/>
                <w:sz w:val="20"/>
                <w:szCs w:val="20"/>
              </w:rPr>
            </w:pPr>
            <w:r>
              <w:rPr>
                <w:rFonts w:hint="eastAsia" w:ascii="宋体" w:hAnsi="宋体" w:cs="宋体"/>
                <w:color w:val="000000"/>
                <w:kern w:val="0"/>
                <w:sz w:val="20"/>
                <w:szCs w:val="20"/>
              </w:rPr>
              <w:t>湘潭市</w:t>
            </w:r>
          </w:p>
          <w:p w14:paraId="0D1CBB28">
            <w:pPr>
              <w:jc w:val="center"/>
              <w:rPr>
                <w:rFonts w:ascii="宋体" w:cs="宋体"/>
                <w:color w:val="000000"/>
                <w:kern w:val="0"/>
                <w:sz w:val="20"/>
                <w:szCs w:val="20"/>
              </w:rPr>
            </w:pPr>
            <w:r>
              <w:rPr>
                <w:rFonts w:hint="eastAsia" w:ascii="宋体" w:hAnsi="宋体" w:cs="宋体"/>
                <w:color w:val="000000"/>
                <w:kern w:val="0"/>
                <w:sz w:val="20"/>
                <w:szCs w:val="20"/>
              </w:rPr>
              <w:t>经开区</w:t>
            </w:r>
          </w:p>
        </w:tc>
        <w:tc>
          <w:tcPr>
            <w:tcW w:w="1840" w:type="dxa"/>
            <w:tcBorders>
              <w:top w:val="nil"/>
              <w:left w:val="nil"/>
              <w:bottom w:val="single" w:color="auto" w:sz="4" w:space="0"/>
              <w:right w:val="single" w:color="auto" w:sz="4" w:space="0"/>
            </w:tcBorders>
            <w:vAlign w:val="center"/>
          </w:tcPr>
          <w:p w14:paraId="1E9B7B49">
            <w:pPr>
              <w:jc w:val="left"/>
              <w:rPr>
                <w:rFonts w:ascii="宋体" w:cs="宋体"/>
                <w:color w:val="000000"/>
                <w:kern w:val="0"/>
                <w:sz w:val="20"/>
                <w:szCs w:val="20"/>
              </w:rPr>
            </w:pPr>
            <w:r>
              <w:rPr>
                <w:rFonts w:hint="eastAsia" w:ascii="宋体" w:hAnsi="宋体" w:cs="宋体"/>
                <w:color w:val="000000"/>
                <w:kern w:val="0"/>
                <w:sz w:val="20"/>
                <w:szCs w:val="20"/>
              </w:rPr>
              <w:t>九华南方新材料科技有限公司</w:t>
            </w:r>
          </w:p>
        </w:tc>
        <w:tc>
          <w:tcPr>
            <w:tcW w:w="4740" w:type="dxa"/>
            <w:tcBorders>
              <w:top w:val="nil"/>
              <w:left w:val="nil"/>
              <w:bottom w:val="single" w:color="auto" w:sz="4" w:space="0"/>
              <w:right w:val="single" w:color="auto" w:sz="4" w:space="0"/>
            </w:tcBorders>
            <w:vAlign w:val="center"/>
          </w:tcPr>
          <w:p w14:paraId="2E57672E">
            <w:pPr>
              <w:jc w:val="left"/>
              <w:rPr>
                <w:rFonts w:ascii="宋体" w:cs="宋体"/>
                <w:color w:val="000000"/>
                <w:kern w:val="0"/>
                <w:sz w:val="20"/>
                <w:szCs w:val="20"/>
              </w:rPr>
            </w:pPr>
            <w:r>
              <w:rPr>
                <w:rFonts w:hint="eastAsia" w:ascii="宋体" w:hAnsi="宋体" w:cs="宋体"/>
                <w:color w:val="000000"/>
                <w:kern w:val="0"/>
                <w:sz w:val="20"/>
                <w:szCs w:val="20"/>
              </w:rPr>
              <w:t>项目总用地</w:t>
            </w:r>
            <w:r>
              <w:rPr>
                <w:rFonts w:ascii="宋体" w:hAnsi="宋体" w:cs="宋体"/>
                <w:color w:val="000000"/>
                <w:kern w:val="0"/>
                <w:sz w:val="20"/>
                <w:szCs w:val="20"/>
              </w:rPr>
              <w:t>100</w:t>
            </w:r>
            <w:r>
              <w:rPr>
                <w:rFonts w:hint="eastAsia" w:ascii="宋体" w:hAnsi="宋体" w:cs="宋体"/>
                <w:color w:val="000000"/>
                <w:kern w:val="0"/>
                <w:sz w:val="20"/>
                <w:szCs w:val="20"/>
              </w:rPr>
              <w:t>亩，总建筑面积约</w:t>
            </w:r>
            <w:r>
              <w:rPr>
                <w:rFonts w:ascii="宋体" w:hAnsi="宋体" w:cs="宋体"/>
                <w:color w:val="000000"/>
                <w:kern w:val="0"/>
                <w:sz w:val="20"/>
                <w:szCs w:val="20"/>
              </w:rPr>
              <w:t>10000</w:t>
            </w:r>
            <w:r>
              <w:rPr>
                <w:rFonts w:hint="eastAsia" w:ascii="宋体" w:hAnsi="宋体" w:cs="宋体"/>
                <w:color w:val="000000"/>
                <w:kern w:val="0"/>
                <w:sz w:val="20"/>
                <w:szCs w:val="20"/>
              </w:rPr>
              <w:t>平方米，新建年处理</w:t>
            </w:r>
            <w:r>
              <w:rPr>
                <w:rFonts w:ascii="宋体" w:hAnsi="宋体" w:cs="宋体"/>
                <w:color w:val="000000"/>
                <w:kern w:val="0"/>
                <w:sz w:val="20"/>
                <w:szCs w:val="20"/>
              </w:rPr>
              <w:t>100</w:t>
            </w:r>
            <w:r>
              <w:rPr>
                <w:rFonts w:hint="eastAsia" w:ascii="宋体" w:hAnsi="宋体" w:cs="宋体"/>
                <w:color w:val="000000"/>
                <w:kern w:val="0"/>
                <w:sz w:val="20"/>
                <w:szCs w:val="20"/>
              </w:rPr>
              <w:t>万吨城市建筑垃圾生产线</w:t>
            </w:r>
            <w:r>
              <w:rPr>
                <w:rFonts w:ascii="宋体" w:cs="宋体"/>
                <w:color w:val="000000"/>
                <w:kern w:val="0"/>
                <w:sz w:val="20"/>
                <w:szCs w:val="20"/>
              </w:rPr>
              <w:t>,</w:t>
            </w:r>
            <w:r>
              <w:rPr>
                <w:rFonts w:hint="eastAsia" w:ascii="宋体" w:hAnsi="宋体" w:cs="宋体"/>
                <w:color w:val="000000"/>
                <w:kern w:val="0"/>
                <w:sz w:val="20"/>
                <w:szCs w:val="20"/>
              </w:rPr>
              <w:t>配套建设道路、给排水、供电等辅助设施。</w:t>
            </w:r>
          </w:p>
        </w:tc>
        <w:tc>
          <w:tcPr>
            <w:tcW w:w="800" w:type="dxa"/>
            <w:tcBorders>
              <w:top w:val="nil"/>
              <w:left w:val="nil"/>
              <w:bottom w:val="single" w:color="auto" w:sz="4" w:space="0"/>
              <w:right w:val="single" w:color="auto" w:sz="4" w:space="0"/>
            </w:tcBorders>
            <w:noWrap/>
            <w:vAlign w:val="center"/>
          </w:tcPr>
          <w:p w14:paraId="0AEBCA88">
            <w:pPr>
              <w:jc w:val="center"/>
              <w:rPr>
                <w:rFonts w:ascii="宋体" w:cs="宋体"/>
                <w:color w:val="000000"/>
                <w:kern w:val="0"/>
                <w:sz w:val="20"/>
                <w:szCs w:val="20"/>
              </w:rPr>
            </w:pPr>
            <w:r>
              <w:rPr>
                <w:rFonts w:ascii="宋体" w:hAnsi="宋体" w:cs="宋体"/>
                <w:color w:val="000000"/>
                <w:kern w:val="0"/>
                <w:sz w:val="20"/>
                <w:szCs w:val="20"/>
              </w:rPr>
              <w:t>2020</w:t>
            </w:r>
          </w:p>
        </w:tc>
        <w:tc>
          <w:tcPr>
            <w:tcW w:w="800" w:type="dxa"/>
            <w:tcBorders>
              <w:top w:val="nil"/>
              <w:left w:val="nil"/>
              <w:bottom w:val="single" w:color="auto" w:sz="4" w:space="0"/>
              <w:right w:val="single" w:color="auto" w:sz="4" w:space="0"/>
            </w:tcBorders>
            <w:noWrap/>
            <w:vAlign w:val="center"/>
          </w:tcPr>
          <w:p w14:paraId="3E8EA4B3">
            <w:pPr>
              <w:jc w:val="center"/>
              <w:rPr>
                <w:rFonts w:ascii="宋体" w:cs="宋体"/>
                <w:color w:val="000000"/>
                <w:kern w:val="0"/>
                <w:sz w:val="20"/>
                <w:szCs w:val="20"/>
              </w:rPr>
            </w:pPr>
            <w:r>
              <w:rPr>
                <w:rFonts w:ascii="宋体" w:hAnsi="宋体" w:cs="宋体"/>
                <w:color w:val="000000"/>
                <w:kern w:val="0"/>
                <w:sz w:val="20"/>
                <w:szCs w:val="20"/>
              </w:rPr>
              <w:t>2021</w:t>
            </w:r>
          </w:p>
        </w:tc>
        <w:tc>
          <w:tcPr>
            <w:tcW w:w="1040" w:type="dxa"/>
            <w:tcBorders>
              <w:top w:val="nil"/>
              <w:left w:val="nil"/>
              <w:bottom w:val="single" w:color="auto" w:sz="4" w:space="0"/>
              <w:right w:val="single" w:color="auto" w:sz="4" w:space="0"/>
            </w:tcBorders>
            <w:noWrap/>
            <w:vAlign w:val="center"/>
          </w:tcPr>
          <w:p w14:paraId="3FC99316">
            <w:pPr>
              <w:jc w:val="center"/>
              <w:rPr>
                <w:rFonts w:ascii="宋体" w:cs="宋体"/>
                <w:color w:val="000000"/>
                <w:kern w:val="0"/>
                <w:sz w:val="20"/>
                <w:szCs w:val="20"/>
              </w:rPr>
            </w:pPr>
            <w:r>
              <w:rPr>
                <w:rFonts w:ascii="宋体" w:hAnsi="宋体" w:cs="宋体"/>
                <w:color w:val="000000"/>
                <w:kern w:val="0"/>
                <w:sz w:val="20"/>
                <w:szCs w:val="20"/>
              </w:rPr>
              <w:t xml:space="preserve">13,100 </w:t>
            </w:r>
          </w:p>
        </w:tc>
        <w:tc>
          <w:tcPr>
            <w:tcW w:w="2240" w:type="dxa"/>
            <w:tcBorders>
              <w:top w:val="nil"/>
              <w:left w:val="nil"/>
              <w:bottom w:val="single" w:color="auto" w:sz="4" w:space="0"/>
              <w:right w:val="single" w:color="auto" w:sz="4" w:space="0"/>
            </w:tcBorders>
            <w:vAlign w:val="center"/>
          </w:tcPr>
          <w:p w14:paraId="0AB021B1">
            <w:pPr>
              <w:jc w:val="left"/>
              <w:rPr>
                <w:rFonts w:ascii="宋体" w:cs="宋体"/>
                <w:color w:val="000000"/>
                <w:kern w:val="0"/>
                <w:sz w:val="20"/>
                <w:szCs w:val="20"/>
              </w:rPr>
            </w:pPr>
            <w:r>
              <w:rPr>
                <w:rFonts w:hint="eastAsia" w:ascii="宋体" w:hAnsi="宋体" w:cs="宋体"/>
                <w:color w:val="000000"/>
                <w:kern w:val="0"/>
                <w:sz w:val="20"/>
                <w:szCs w:val="20"/>
              </w:rPr>
              <w:t>市场化运作</w:t>
            </w:r>
          </w:p>
        </w:tc>
      </w:tr>
      <w:tr w14:paraId="2CA6DC0B">
        <w:tblPrEx>
          <w:tblCellMar>
            <w:top w:w="0" w:type="dxa"/>
            <w:left w:w="108" w:type="dxa"/>
            <w:bottom w:w="0" w:type="dxa"/>
            <w:right w:w="108" w:type="dxa"/>
          </w:tblCellMar>
        </w:tblPrEx>
        <w:trPr>
          <w:trHeight w:val="900" w:hRule="atLeast"/>
        </w:trPr>
        <w:tc>
          <w:tcPr>
            <w:tcW w:w="600" w:type="dxa"/>
            <w:tcBorders>
              <w:top w:val="nil"/>
              <w:left w:val="single" w:color="auto" w:sz="4" w:space="0"/>
              <w:bottom w:val="single" w:color="auto" w:sz="4" w:space="0"/>
              <w:right w:val="single" w:color="auto" w:sz="4" w:space="0"/>
            </w:tcBorders>
            <w:noWrap/>
            <w:vAlign w:val="center"/>
          </w:tcPr>
          <w:p w14:paraId="6B2CDB22">
            <w:pPr>
              <w:jc w:val="center"/>
              <w:rPr>
                <w:rFonts w:ascii="宋体" w:cs="宋体"/>
                <w:kern w:val="0"/>
                <w:sz w:val="20"/>
                <w:szCs w:val="20"/>
              </w:rPr>
            </w:pPr>
            <w:r>
              <w:rPr>
                <w:rFonts w:ascii="宋体" w:hAnsi="宋体" w:cs="宋体"/>
                <w:kern w:val="0"/>
                <w:sz w:val="20"/>
                <w:szCs w:val="20"/>
              </w:rPr>
              <w:t>4</w:t>
            </w:r>
          </w:p>
        </w:tc>
        <w:tc>
          <w:tcPr>
            <w:tcW w:w="1580" w:type="dxa"/>
            <w:tcBorders>
              <w:top w:val="nil"/>
              <w:left w:val="nil"/>
              <w:bottom w:val="single" w:color="auto" w:sz="4" w:space="0"/>
              <w:right w:val="single" w:color="auto" w:sz="4" w:space="0"/>
            </w:tcBorders>
            <w:vAlign w:val="center"/>
          </w:tcPr>
          <w:p w14:paraId="62D1EEDB">
            <w:pPr>
              <w:jc w:val="left"/>
              <w:rPr>
                <w:rFonts w:ascii="宋体" w:cs="宋体"/>
                <w:color w:val="000000"/>
                <w:kern w:val="0"/>
                <w:sz w:val="20"/>
                <w:szCs w:val="20"/>
              </w:rPr>
            </w:pPr>
            <w:r>
              <w:rPr>
                <w:rFonts w:hint="eastAsia" w:ascii="宋体" w:hAnsi="宋体" w:cs="宋体"/>
                <w:color w:val="000000"/>
                <w:kern w:val="0"/>
                <w:sz w:val="20"/>
                <w:szCs w:val="20"/>
              </w:rPr>
              <w:t>湘潭市建筑垃圾资源化利用项目（河东）</w:t>
            </w:r>
          </w:p>
        </w:tc>
        <w:tc>
          <w:tcPr>
            <w:tcW w:w="760" w:type="dxa"/>
            <w:tcBorders>
              <w:top w:val="nil"/>
              <w:left w:val="nil"/>
              <w:bottom w:val="single" w:color="auto" w:sz="4" w:space="0"/>
              <w:right w:val="single" w:color="auto" w:sz="4" w:space="0"/>
            </w:tcBorders>
            <w:noWrap/>
            <w:vAlign w:val="center"/>
          </w:tcPr>
          <w:p w14:paraId="0D14270F">
            <w:pPr>
              <w:jc w:val="center"/>
              <w:rPr>
                <w:rFonts w:ascii="宋体" w:cs="宋体"/>
                <w:color w:val="000000"/>
                <w:kern w:val="0"/>
                <w:sz w:val="20"/>
                <w:szCs w:val="20"/>
              </w:rPr>
            </w:pPr>
            <w:r>
              <w:rPr>
                <w:rFonts w:hint="eastAsia" w:ascii="宋体" w:hAnsi="宋体" w:cs="宋体"/>
                <w:color w:val="000000"/>
                <w:kern w:val="0"/>
                <w:sz w:val="20"/>
                <w:szCs w:val="20"/>
              </w:rPr>
              <w:t>新建</w:t>
            </w:r>
          </w:p>
        </w:tc>
        <w:tc>
          <w:tcPr>
            <w:tcW w:w="1360" w:type="dxa"/>
            <w:tcBorders>
              <w:top w:val="nil"/>
              <w:left w:val="nil"/>
              <w:bottom w:val="single" w:color="auto" w:sz="4" w:space="0"/>
              <w:right w:val="single" w:color="auto" w:sz="4" w:space="0"/>
            </w:tcBorders>
            <w:vAlign w:val="center"/>
          </w:tcPr>
          <w:p w14:paraId="22900127">
            <w:pPr>
              <w:jc w:val="center"/>
              <w:rPr>
                <w:rFonts w:ascii="宋体" w:cs="宋体"/>
                <w:color w:val="000000"/>
                <w:kern w:val="0"/>
                <w:sz w:val="20"/>
                <w:szCs w:val="20"/>
              </w:rPr>
            </w:pPr>
            <w:r>
              <w:rPr>
                <w:rFonts w:hint="eastAsia" w:ascii="宋体" w:hAnsi="宋体" w:cs="宋体"/>
                <w:color w:val="000000"/>
                <w:kern w:val="0"/>
                <w:sz w:val="20"/>
                <w:szCs w:val="20"/>
              </w:rPr>
              <w:t>湘潭市</w:t>
            </w:r>
          </w:p>
          <w:p w14:paraId="53AB9AB2">
            <w:pPr>
              <w:jc w:val="center"/>
              <w:rPr>
                <w:rFonts w:ascii="宋体" w:cs="宋体"/>
                <w:color w:val="000000"/>
                <w:kern w:val="0"/>
                <w:sz w:val="20"/>
                <w:szCs w:val="20"/>
              </w:rPr>
            </w:pPr>
            <w:r>
              <w:rPr>
                <w:rFonts w:hint="eastAsia" w:ascii="宋体" w:hAnsi="宋体" w:cs="宋体"/>
                <w:color w:val="000000"/>
                <w:kern w:val="0"/>
                <w:sz w:val="20"/>
                <w:szCs w:val="20"/>
              </w:rPr>
              <w:t>高新区</w:t>
            </w:r>
          </w:p>
        </w:tc>
        <w:tc>
          <w:tcPr>
            <w:tcW w:w="1840" w:type="dxa"/>
            <w:tcBorders>
              <w:top w:val="nil"/>
              <w:left w:val="nil"/>
              <w:bottom w:val="single" w:color="auto" w:sz="4" w:space="0"/>
              <w:right w:val="single" w:color="auto" w:sz="4" w:space="0"/>
            </w:tcBorders>
            <w:vAlign w:val="center"/>
          </w:tcPr>
          <w:p w14:paraId="606656A0">
            <w:pPr>
              <w:jc w:val="left"/>
              <w:rPr>
                <w:rFonts w:ascii="宋体" w:cs="宋体"/>
                <w:color w:val="000000"/>
                <w:kern w:val="0"/>
                <w:sz w:val="20"/>
                <w:szCs w:val="20"/>
              </w:rPr>
            </w:pPr>
            <w:r>
              <w:rPr>
                <w:rFonts w:hint="eastAsia" w:ascii="宋体" w:hAnsi="宋体" w:cs="宋体"/>
                <w:color w:val="000000"/>
                <w:kern w:val="0"/>
                <w:sz w:val="20"/>
                <w:szCs w:val="20"/>
              </w:rPr>
              <w:t>湘潭投资经营集团</w:t>
            </w:r>
          </w:p>
        </w:tc>
        <w:tc>
          <w:tcPr>
            <w:tcW w:w="4740" w:type="dxa"/>
            <w:tcBorders>
              <w:top w:val="nil"/>
              <w:left w:val="nil"/>
              <w:bottom w:val="single" w:color="auto" w:sz="4" w:space="0"/>
              <w:right w:val="single" w:color="auto" w:sz="4" w:space="0"/>
            </w:tcBorders>
            <w:vAlign w:val="center"/>
          </w:tcPr>
          <w:p w14:paraId="7856508B">
            <w:pPr>
              <w:jc w:val="left"/>
              <w:rPr>
                <w:rFonts w:ascii="宋体" w:cs="宋体"/>
                <w:color w:val="000000"/>
                <w:kern w:val="0"/>
                <w:sz w:val="20"/>
                <w:szCs w:val="20"/>
              </w:rPr>
            </w:pPr>
            <w:r>
              <w:rPr>
                <w:rFonts w:hint="eastAsia" w:ascii="宋体" w:hAnsi="宋体" w:cs="宋体"/>
                <w:color w:val="000000"/>
                <w:kern w:val="0"/>
                <w:sz w:val="20"/>
                <w:szCs w:val="20"/>
              </w:rPr>
              <w:t>新建一座年处理能力</w:t>
            </w:r>
            <w:r>
              <w:rPr>
                <w:rFonts w:ascii="宋体" w:hAnsi="宋体" w:cs="宋体"/>
                <w:color w:val="000000"/>
                <w:kern w:val="0"/>
                <w:sz w:val="20"/>
                <w:szCs w:val="20"/>
              </w:rPr>
              <w:t>100</w:t>
            </w:r>
            <w:r>
              <w:rPr>
                <w:rFonts w:hint="eastAsia" w:ascii="宋体" w:hAnsi="宋体" w:cs="宋体"/>
                <w:color w:val="000000"/>
                <w:kern w:val="0"/>
                <w:sz w:val="20"/>
                <w:szCs w:val="20"/>
              </w:rPr>
              <w:t>万吨的建筑垃圾资源化利用厂，占地</w:t>
            </w:r>
            <w:r>
              <w:rPr>
                <w:rFonts w:ascii="宋体" w:hAnsi="宋体" w:cs="宋体"/>
                <w:color w:val="000000"/>
                <w:kern w:val="0"/>
                <w:sz w:val="20"/>
                <w:szCs w:val="20"/>
              </w:rPr>
              <w:t>260</w:t>
            </w:r>
            <w:r>
              <w:rPr>
                <w:rFonts w:hint="eastAsia" w:ascii="宋体" w:hAnsi="宋体" w:cs="宋体"/>
                <w:color w:val="000000"/>
                <w:kern w:val="0"/>
                <w:sz w:val="20"/>
                <w:szCs w:val="20"/>
              </w:rPr>
              <w:t>亩。</w:t>
            </w:r>
          </w:p>
        </w:tc>
        <w:tc>
          <w:tcPr>
            <w:tcW w:w="800" w:type="dxa"/>
            <w:tcBorders>
              <w:top w:val="nil"/>
              <w:left w:val="nil"/>
              <w:bottom w:val="single" w:color="auto" w:sz="4" w:space="0"/>
              <w:right w:val="single" w:color="auto" w:sz="4" w:space="0"/>
            </w:tcBorders>
            <w:noWrap/>
            <w:vAlign w:val="center"/>
          </w:tcPr>
          <w:p w14:paraId="6FC291FD">
            <w:pPr>
              <w:jc w:val="center"/>
              <w:rPr>
                <w:rFonts w:ascii="宋体" w:cs="宋体"/>
                <w:color w:val="000000"/>
                <w:kern w:val="0"/>
                <w:sz w:val="20"/>
                <w:szCs w:val="20"/>
              </w:rPr>
            </w:pPr>
            <w:r>
              <w:rPr>
                <w:rFonts w:ascii="宋体" w:hAnsi="宋体" w:cs="宋体"/>
                <w:color w:val="000000"/>
                <w:kern w:val="0"/>
                <w:sz w:val="20"/>
                <w:szCs w:val="20"/>
              </w:rPr>
              <w:t>2020</w:t>
            </w:r>
          </w:p>
        </w:tc>
        <w:tc>
          <w:tcPr>
            <w:tcW w:w="800" w:type="dxa"/>
            <w:tcBorders>
              <w:top w:val="nil"/>
              <w:left w:val="nil"/>
              <w:bottom w:val="single" w:color="auto" w:sz="4" w:space="0"/>
              <w:right w:val="single" w:color="auto" w:sz="4" w:space="0"/>
            </w:tcBorders>
            <w:noWrap/>
            <w:vAlign w:val="center"/>
          </w:tcPr>
          <w:p w14:paraId="3B67EB49">
            <w:pPr>
              <w:jc w:val="center"/>
              <w:rPr>
                <w:rFonts w:ascii="宋体" w:cs="宋体"/>
                <w:color w:val="000000"/>
                <w:kern w:val="0"/>
                <w:sz w:val="20"/>
                <w:szCs w:val="20"/>
              </w:rPr>
            </w:pPr>
            <w:r>
              <w:rPr>
                <w:rFonts w:ascii="宋体" w:hAnsi="宋体" w:cs="宋体"/>
                <w:color w:val="000000"/>
                <w:kern w:val="0"/>
                <w:sz w:val="20"/>
                <w:szCs w:val="20"/>
              </w:rPr>
              <w:t>2022</w:t>
            </w:r>
          </w:p>
        </w:tc>
        <w:tc>
          <w:tcPr>
            <w:tcW w:w="1040" w:type="dxa"/>
            <w:tcBorders>
              <w:top w:val="nil"/>
              <w:left w:val="nil"/>
              <w:bottom w:val="single" w:color="auto" w:sz="4" w:space="0"/>
              <w:right w:val="single" w:color="auto" w:sz="4" w:space="0"/>
            </w:tcBorders>
            <w:noWrap/>
            <w:vAlign w:val="center"/>
          </w:tcPr>
          <w:p w14:paraId="08DB2A4C">
            <w:pPr>
              <w:jc w:val="center"/>
              <w:rPr>
                <w:rFonts w:ascii="宋体" w:cs="宋体"/>
                <w:color w:val="000000"/>
                <w:kern w:val="0"/>
                <w:sz w:val="20"/>
                <w:szCs w:val="20"/>
              </w:rPr>
            </w:pPr>
            <w:r>
              <w:rPr>
                <w:rFonts w:ascii="宋体" w:hAnsi="宋体" w:cs="宋体"/>
                <w:color w:val="000000"/>
                <w:kern w:val="0"/>
                <w:sz w:val="20"/>
                <w:szCs w:val="20"/>
              </w:rPr>
              <w:t xml:space="preserve">27,800 </w:t>
            </w:r>
          </w:p>
        </w:tc>
        <w:tc>
          <w:tcPr>
            <w:tcW w:w="2240" w:type="dxa"/>
            <w:tcBorders>
              <w:top w:val="nil"/>
              <w:left w:val="nil"/>
              <w:bottom w:val="single" w:color="auto" w:sz="4" w:space="0"/>
              <w:right w:val="single" w:color="auto" w:sz="4" w:space="0"/>
            </w:tcBorders>
            <w:vAlign w:val="center"/>
          </w:tcPr>
          <w:p w14:paraId="05F95DDF">
            <w:pPr>
              <w:jc w:val="left"/>
              <w:rPr>
                <w:rFonts w:ascii="宋体" w:cs="宋体"/>
                <w:color w:val="000000"/>
                <w:kern w:val="0"/>
                <w:sz w:val="20"/>
                <w:szCs w:val="20"/>
              </w:rPr>
            </w:pPr>
            <w:r>
              <w:rPr>
                <w:rFonts w:hint="eastAsia" w:ascii="宋体" w:hAnsi="宋体" w:cs="宋体"/>
                <w:color w:val="000000"/>
                <w:kern w:val="0"/>
                <w:sz w:val="20"/>
                <w:szCs w:val="20"/>
              </w:rPr>
              <w:t>市场化运作</w:t>
            </w:r>
          </w:p>
        </w:tc>
      </w:tr>
      <w:tr w14:paraId="4A709293">
        <w:tblPrEx>
          <w:tblCellMar>
            <w:top w:w="0" w:type="dxa"/>
            <w:left w:w="108" w:type="dxa"/>
            <w:bottom w:w="0" w:type="dxa"/>
            <w:right w:w="108" w:type="dxa"/>
          </w:tblCellMar>
        </w:tblPrEx>
        <w:trPr>
          <w:trHeight w:val="1080" w:hRule="atLeast"/>
        </w:trPr>
        <w:tc>
          <w:tcPr>
            <w:tcW w:w="600" w:type="dxa"/>
            <w:tcBorders>
              <w:top w:val="nil"/>
              <w:left w:val="single" w:color="auto" w:sz="4" w:space="0"/>
              <w:bottom w:val="single" w:color="auto" w:sz="4" w:space="0"/>
              <w:right w:val="single" w:color="auto" w:sz="4" w:space="0"/>
            </w:tcBorders>
            <w:noWrap/>
            <w:vAlign w:val="center"/>
          </w:tcPr>
          <w:p w14:paraId="5F7B7371">
            <w:pPr>
              <w:jc w:val="center"/>
              <w:rPr>
                <w:rFonts w:ascii="宋体" w:cs="宋体"/>
                <w:kern w:val="0"/>
                <w:sz w:val="20"/>
                <w:szCs w:val="20"/>
              </w:rPr>
            </w:pPr>
            <w:r>
              <w:rPr>
                <w:rFonts w:ascii="宋体" w:hAnsi="宋体" w:cs="宋体"/>
                <w:kern w:val="0"/>
                <w:sz w:val="20"/>
                <w:szCs w:val="20"/>
              </w:rPr>
              <w:t>5</w:t>
            </w:r>
          </w:p>
        </w:tc>
        <w:tc>
          <w:tcPr>
            <w:tcW w:w="1580" w:type="dxa"/>
            <w:tcBorders>
              <w:top w:val="nil"/>
              <w:left w:val="nil"/>
              <w:bottom w:val="single" w:color="auto" w:sz="4" w:space="0"/>
              <w:right w:val="single" w:color="auto" w:sz="4" w:space="0"/>
            </w:tcBorders>
            <w:vAlign w:val="center"/>
          </w:tcPr>
          <w:p w14:paraId="6C855291">
            <w:pPr>
              <w:jc w:val="left"/>
              <w:rPr>
                <w:rFonts w:ascii="宋体" w:cs="宋体"/>
                <w:kern w:val="0"/>
                <w:sz w:val="20"/>
                <w:szCs w:val="20"/>
              </w:rPr>
            </w:pPr>
            <w:r>
              <w:rPr>
                <w:rFonts w:hint="eastAsia" w:ascii="宋体" w:hAnsi="宋体" w:cs="宋体"/>
                <w:kern w:val="0"/>
                <w:sz w:val="20"/>
                <w:szCs w:val="20"/>
              </w:rPr>
              <w:t>湘潭市双马垃圾场专项整改</w:t>
            </w:r>
          </w:p>
        </w:tc>
        <w:tc>
          <w:tcPr>
            <w:tcW w:w="760" w:type="dxa"/>
            <w:tcBorders>
              <w:top w:val="nil"/>
              <w:left w:val="nil"/>
              <w:bottom w:val="single" w:color="auto" w:sz="4" w:space="0"/>
              <w:right w:val="single" w:color="auto" w:sz="4" w:space="0"/>
            </w:tcBorders>
            <w:noWrap/>
            <w:vAlign w:val="center"/>
          </w:tcPr>
          <w:p w14:paraId="431BB99A">
            <w:pPr>
              <w:jc w:val="center"/>
              <w:rPr>
                <w:rFonts w:ascii="宋体" w:cs="宋体"/>
                <w:kern w:val="0"/>
                <w:sz w:val="20"/>
                <w:szCs w:val="20"/>
              </w:rPr>
            </w:pPr>
            <w:r>
              <w:rPr>
                <w:rFonts w:hint="eastAsia" w:ascii="宋体" w:hAnsi="宋体" w:cs="宋体"/>
                <w:kern w:val="0"/>
                <w:sz w:val="20"/>
                <w:szCs w:val="20"/>
              </w:rPr>
              <w:t>新建</w:t>
            </w:r>
          </w:p>
        </w:tc>
        <w:tc>
          <w:tcPr>
            <w:tcW w:w="1360" w:type="dxa"/>
            <w:tcBorders>
              <w:top w:val="nil"/>
              <w:left w:val="nil"/>
              <w:bottom w:val="single" w:color="auto" w:sz="4" w:space="0"/>
              <w:right w:val="single" w:color="auto" w:sz="4" w:space="0"/>
            </w:tcBorders>
            <w:vAlign w:val="center"/>
          </w:tcPr>
          <w:p w14:paraId="65BCA9C9">
            <w:pPr>
              <w:jc w:val="center"/>
              <w:rPr>
                <w:rFonts w:ascii="宋体" w:cs="宋体"/>
                <w:kern w:val="0"/>
                <w:sz w:val="20"/>
                <w:szCs w:val="20"/>
              </w:rPr>
            </w:pPr>
            <w:r>
              <w:rPr>
                <w:rFonts w:hint="eastAsia" w:ascii="宋体" w:hAnsi="宋体" w:cs="宋体"/>
                <w:kern w:val="0"/>
                <w:sz w:val="20"/>
                <w:szCs w:val="20"/>
              </w:rPr>
              <w:t>湘潭市</w:t>
            </w:r>
          </w:p>
          <w:p w14:paraId="65017D48">
            <w:pPr>
              <w:jc w:val="center"/>
              <w:rPr>
                <w:rFonts w:ascii="宋体" w:cs="宋体"/>
                <w:kern w:val="0"/>
                <w:sz w:val="20"/>
                <w:szCs w:val="20"/>
              </w:rPr>
            </w:pPr>
            <w:r>
              <w:rPr>
                <w:rFonts w:hint="eastAsia" w:ascii="宋体" w:hAnsi="宋体" w:cs="宋体"/>
                <w:kern w:val="0"/>
                <w:sz w:val="20"/>
                <w:szCs w:val="20"/>
              </w:rPr>
              <w:t>高新区</w:t>
            </w:r>
          </w:p>
        </w:tc>
        <w:tc>
          <w:tcPr>
            <w:tcW w:w="1840" w:type="dxa"/>
            <w:tcBorders>
              <w:top w:val="nil"/>
              <w:left w:val="nil"/>
              <w:bottom w:val="single" w:color="auto" w:sz="4" w:space="0"/>
              <w:right w:val="single" w:color="auto" w:sz="4" w:space="0"/>
            </w:tcBorders>
            <w:vAlign w:val="center"/>
          </w:tcPr>
          <w:p w14:paraId="5F88A4EA">
            <w:pPr>
              <w:jc w:val="center"/>
              <w:rPr>
                <w:rFonts w:ascii="宋体" w:cs="宋体"/>
                <w:kern w:val="0"/>
                <w:sz w:val="20"/>
                <w:szCs w:val="20"/>
              </w:rPr>
            </w:pPr>
            <w:r>
              <w:rPr>
                <w:rFonts w:hint="eastAsia" w:ascii="宋体" w:hAnsi="宋体" w:cs="宋体"/>
                <w:kern w:val="0"/>
                <w:sz w:val="20"/>
                <w:szCs w:val="20"/>
              </w:rPr>
              <w:t>湘潭投资经营集团</w:t>
            </w:r>
          </w:p>
        </w:tc>
        <w:tc>
          <w:tcPr>
            <w:tcW w:w="4740" w:type="dxa"/>
            <w:tcBorders>
              <w:top w:val="nil"/>
              <w:left w:val="nil"/>
              <w:bottom w:val="single" w:color="auto" w:sz="4" w:space="0"/>
              <w:right w:val="single" w:color="auto" w:sz="4" w:space="0"/>
            </w:tcBorders>
            <w:vAlign w:val="center"/>
          </w:tcPr>
          <w:p w14:paraId="1348A820">
            <w:pPr>
              <w:jc w:val="left"/>
              <w:rPr>
                <w:rFonts w:ascii="宋体" w:cs="宋体"/>
                <w:kern w:val="0"/>
                <w:sz w:val="20"/>
                <w:szCs w:val="20"/>
              </w:rPr>
            </w:pPr>
            <w:r>
              <w:rPr>
                <w:rFonts w:hint="eastAsia" w:ascii="宋体" w:cs="宋体"/>
                <w:kern w:val="0"/>
                <w:sz w:val="20"/>
                <w:szCs w:val="20"/>
              </w:rPr>
              <w:t>渗滤液水位监测工程、浓缩液处理系统建设工程、提升泵站及污水管网工程、填埋库区雨污水分流改造工程、截洪沟加高工程、填埋作业整改工程以及附属设施整改工程。</w:t>
            </w:r>
          </w:p>
        </w:tc>
        <w:tc>
          <w:tcPr>
            <w:tcW w:w="800" w:type="dxa"/>
            <w:tcBorders>
              <w:top w:val="nil"/>
              <w:left w:val="nil"/>
              <w:bottom w:val="single" w:color="auto" w:sz="4" w:space="0"/>
              <w:right w:val="single" w:color="auto" w:sz="4" w:space="0"/>
            </w:tcBorders>
            <w:noWrap/>
            <w:vAlign w:val="center"/>
          </w:tcPr>
          <w:p w14:paraId="770C115A">
            <w:pPr>
              <w:jc w:val="center"/>
              <w:rPr>
                <w:rFonts w:ascii="宋体" w:cs="宋体"/>
                <w:kern w:val="0"/>
                <w:sz w:val="20"/>
                <w:szCs w:val="20"/>
              </w:rPr>
            </w:pPr>
            <w:r>
              <w:rPr>
                <w:rFonts w:ascii="宋体" w:hAnsi="宋体" w:cs="宋体"/>
                <w:kern w:val="0"/>
                <w:sz w:val="20"/>
                <w:szCs w:val="20"/>
              </w:rPr>
              <w:t>2021</w:t>
            </w:r>
          </w:p>
        </w:tc>
        <w:tc>
          <w:tcPr>
            <w:tcW w:w="800" w:type="dxa"/>
            <w:tcBorders>
              <w:top w:val="nil"/>
              <w:left w:val="nil"/>
              <w:bottom w:val="single" w:color="auto" w:sz="4" w:space="0"/>
              <w:right w:val="single" w:color="auto" w:sz="4" w:space="0"/>
            </w:tcBorders>
            <w:noWrap/>
            <w:vAlign w:val="center"/>
          </w:tcPr>
          <w:p w14:paraId="40100C1C">
            <w:pPr>
              <w:jc w:val="center"/>
              <w:rPr>
                <w:rFonts w:ascii="宋体" w:cs="宋体"/>
                <w:kern w:val="0"/>
                <w:sz w:val="20"/>
                <w:szCs w:val="20"/>
              </w:rPr>
            </w:pPr>
            <w:r>
              <w:rPr>
                <w:rFonts w:ascii="宋体" w:hAnsi="宋体" w:cs="宋体"/>
                <w:kern w:val="0"/>
                <w:sz w:val="20"/>
                <w:szCs w:val="20"/>
              </w:rPr>
              <w:t>2021</w:t>
            </w:r>
          </w:p>
        </w:tc>
        <w:tc>
          <w:tcPr>
            <w:tcW w:w="1040" w:type="dxa"/>
            <w:tcBorders>
              <w:top w:val="nil"/>
              <w:left w:val="nil"/>
              <w:bottom w:val="single" w:color="auto" w:sz="4" w:space="0"/>
              <w:right w:val="single" w:color="auto" w:sz="4" w:space="0"/>
            </w:tcBorders>
            <w:noWrap/>
            <w:vAlign w:val="center"/>
          </w:tcPr>
          <w:p w14:paraId="7A8E1DD2">
            <w:pPr>
              <w:jc w:val="center"/>
              <w:rPr>
                <w:rFonts w:ascii="宋体" w:cs="宋体"/>
                <w:kern w:val="0"/>
                <w:sz w:val="20"/>
                <w:szCs w:val="20"/>
              </w:rPr>
            </w:pPr>
            <w:r>
              <w:rPr>
                <w:rFonts w:hint="eastAsia" w:ascii="宋体" w:hAnsi="宋体" w:cs="宋体"/>
                <w:kern w:val="0"/>
                <w:sz w:val="20"/>
                <w:szCs w:val="20"/>
              </w:rPr>
              <w:t>5579</w:t>
            </w:r>
          </w:p>
        </w:tc>
        <w:tc>
          <w:tcPr>
            <w:tcW w:w="2240" w:type="dxa"/>
            <w:tcBorders>
              <w:top w:val="nil"/>
              <w:left w:val="nil"/>
              <w:bottom w:val="single" w:color="auto" w:sz="4" w:space="0"/>
              <w:right w:val="single" w:color="auto" w:sz="4" w:space="0"/>
            </w:tcBorders>
            <w:vAlign w:val="center"/>
          </w:tcPr>
          <w:p w14:paraId="01495CE8">
            <w:pPr>
              <w:jc w:val="left"/>
              <w:rPr>
                <w:rFonts w:ascii="宋体" w:cs="宋体"/>
                <w:kern w:val="0"/>
                <w:sz w:val="20"/>
                <w:szCs w:val="20"/>
              </w:rPr>
            </w:pPr>
            <w:r>
              <w:rPr>
                <w:rFonts w:hint="eastAsia" w:ascii="宋体" w:hAnsi="宋体" w:cs="宋体"/>
                <w:kern w:val="0"/>
                <w:sz w:val="20"/>
                <w:szCs w:val="20"/>
              </w:rPr>
              <w:t>政府投资</w:t>
            </w:r>
          </w:p>
        </w:tc>
      </w:tr>
      <w:tr w14:paraId="22C7FC7A">
        <w:tblPrEx>
          <w:tblCellMar>
            <w:top w:w="0" w:type="dxa"/>
            <w:left w:w="108" w:type="dxa"/>
            <w:bottom w:w="0" w:type="dxa"/>
            <w:right w:w="108" w:type="dxa"/>
          </w:tblCellMar>
        </w:tblPrEx>
        <w:trPr>
          <w:trHeight w:val="675" w:hRule="atLeast"/>
        </w:trPr>
        <w:tc>
          <w:tcPr>
            <w:tcW w:w="600" w:type="dxa"/>
            <w:tcBorders>
              <w:top w:val="nil"/>
              <w:left w:val="single" w:color="auto" w:sz="4" w:space="0"/>
              <w:bottom w:val="single" w:color="auto" w:sz="4" w:space="0"/>
              <w:right w:val="single" w:color="auto" w:sz="4" w:space="0"/>
            </w:tcBorders>
            <w:noWrap/>
            <w:vAlign w:val="center"/>
          </w:tcPr>
          <w:p w14:paraId="0906FA1D">
            <w:pPr>
              <w:jc w:val="center"/>
              <w:rPr>
                <w:rFonts w:ascii="宋体" w:cs="宋体"/>
                <w:kern w:val="0"/>
                <w:sz w:val="20"/>
                <w:szCs w:val="20"/>
              </w:rPr>
            </w:pPr>
            <w:r>
              <w:rPr>
                <w:rFonts w:ascii="宋体" w:hAnsi="宋体" w:cs="宋体"/>
                <w:kern w:val="0"/>
                <w:sz w:val="20"/>
                <w:szCs w:val="20"/>
              </w:rPr>
              <w:t>6</w:t>
            </w:r>
          </w:p>
        </w:tc>
        <w:tc>
          <w:tcPr>
            <w:tcW w:w="1580" w:type="dxa"/>
            <w:tcBorders>
              <w:top w:val="nil"/>
              <w:left w:val="nil"/>
              <w:bottom w:val="single" w:color="auto" w:sz="4" w:space="0"/>
              <w:right w:val="single" w:color="auto" w:sz="4" w:space="0"/>
            </w:tcBorders>
            <w:vAlign w:val="center"/>
          </w:tcPr>
          <w:p w14:paraId="1DDAFD86">
            <w:pPr>
              <w:jc w:val="left"/>
              <w:rPr>
                <w:rFonts w:ascii="宋体" w:cs="宋体"/>
                <w:kern w:val="0"/>
                <w:sz w:val="20"/>
                <w:szCs w:val="20"/>
              </w:rPr>
            </w:pPr>
            <w:r>
              <w:rPr>
                <w:rFonts w:hint="eastAsia" w:ascii="宋体" w:hAnsi="宋体" w:cs="宋体"/>
                <w:kern w:val="0"/>
                <w:sz w:val="20"/>
                <w:szCs w:val="20"/>
              </w:rPr>
              <w:t>双马垃圾场封场及生态修复工程</w:t>
            </w:r>
          </w:p>
        </w:tc>
        <w:tc>
          <w:tcPr>
            <w:tcW w:w="760" w:type="dxa"/>
            <w:tcBorders>
              <w:top w:val="nil"/>
              <w:left w:val="nil"/>
              <w:bottom w:val="single" w:color="auto" w:sz="4" w:space="0"/>
              <w:right w:val="single" w:color="auto" w:sz="4" w:space="0"/>
            </w:tcBorders>
            <w:noWrap/>
            <w:vAlign w:val="center"/>
          </w:tcPr>
          <w:p w14:paraId="482C13D9">
            <w:pPr>
              <w:jc w:val="center"/>
              <w:rPr>
                <w:rFonts w:ascii="宋体" w:cs="宋体"/>
                <w:kern w:val="0"/>
                <w:sz w:val="20"/>
                <w:szCs w:val="20"/>
              </w:rPr>
            </w:pPr>
            <w:r>
              <w:rPr>
                <w:rFonts w:hint="eastAsia" w:ascii="宋体" w:hAnsi="宋体" w:cs="宋体"/>
                <w:kern w:val="0"/>
                <w:sz w:val="20"/>
                <w:szCs w:val="20"/>
              </w:rPr>
              <w:t>新建</w:t>
            </w:r>
          </w:p>
        </w:tc>
        <w:tc>
          <w:tcPr>
            <w:tcW w:w="1360" w:type="dxa"/>
            <w:tcBorders>
              <w:top w:val="nil"/>
              <w:left w:val="nil"/>
              <w:bottom w:val="single" w:color="auto" w:sz="4" w:space="0"/>
              <w:right w:val="single" w:color="auto" w:sz="4" w:space="0"/>
            </w:tcBorders>
            <w:vAlign w:val="center"/>
          </w:tcPr>
          <w:p w14:paraId="1B716708">
            <w:pPr>
              <w:jc w:val="center"/>
              <w:rPr>
                <w:rFonts w:ascii="宋体" w:cs="宋体"/>
                <w:kern w:val="0"/>
                <w:sz w:val="20"/>
                <w:szCs w:val="20"/>
              </w:rPr>
            </w:pPr>
            <w:r>
              <w:rPr>
                <w:rFonts w:hint="eastAsia" w:ascii="宋体" w:hAnsi="宋体" w:cs="宋体"/>
                <w:kern w:val="0"/>
                <w:sz w:val="20"/>
                <w:szCs w:val="20"/>
              </w:rPr>
              <w:t>湘潭市</w:t>
            </w:r>
          </w:p>
          <w:p w14:paraId="0B27C0A1">
            <w:pPr>
              <w:jc w:val="center"/>
              <w:rPr>
                <w:rFonts w:ascii="宋体" w:cs="宋体"/>
                <w:kern w:val="0"/>
                <w:sz w:val="20"/>
                <w:szCs w:val="20"/>
              </w:rPr>
            </w:pPr>
            <w:r>
              <w:rPr>
                <w:rFonts w:hint="eastAsia" w:ascii="宋体" w:hAnsi="宋体" w:cs="宋体"/>
                <w:kern w:val="0"/>
                <w:sz w:val="20"/>
                <w:szCs w:val="20"/>
              </w:rPr>
              <w:t>高新区</w:t>
            </w:r>
          </w:p>
        </w:tc>
        <w:tc>
          <w:tcPr>
            <w:tcW w:w="1840" w:type="dxa"/>
            <w:tcBorders>
              <w:top w:val="nil"/>
              <w:left w:val="nil"/>
              <w:bottom w:val="single" w:color="auto" w:sz="4" w:space="0"/>
              <w:right w:val="single" w:color="auto" w:sz="4" w:space="0"/>
            </w:tcBorders>
            <w:vAlign w:val="center"/>
          </w:tcPr>
          <w:p w14:paraId="456D6C04">
            <w:pPr>
              <w:jc w:val="center"/>
              <w:rPr>
                <w:rFonts w:ascii="宋体" w:cs="宋体"/>
                <w:kern w:val="0"/>
                <w:sz w:val="20"/>
                <w:szCs w:val="20"/>
              </w:rPr>
            </w:pPr>
            <w:r>
              <w:rPr>
                <w:rFonts w:hint="eastAsia" w:ascii="宋体" w:hAnsi="宋体" w:cs="宋体"/>
                <w:kern w:val="0"/>
                <w:sz w:val="20"/>
                <w:szCs w:val="20"/>
              </w:rPr>
              <w:t>湘潭市环卫处</w:t>
            </w:r>
          </w:p>
        </w:tc>
        <w:tc>
          <w:tcPr>
            <w:tcW w:w="4740" w:type="dxa"/>
            <w:tcBorders>
              <w:top w:val="nil"/>
              <w:left w:val="nil"/>
              <w:bottom w:val="single" w:color="auto" w:sz="4" w:space="0"/>
              <w:right w:val="single" w:color="auto" w:sz="4" w:space="0"/>
            </w:tcBorders>
            <w:vAlign w:val="center"/>
          </w:tcPr>
          <w:p w14:paraId="38A2DFBD">
            <w:pPr>
              <w:jc w:val="left"/>
              <w:rPr>
                <w:rFonts w:ascii="宋体" w:cs="宋体"/>
                <w:kern w:val="0"/>
                <w:sz w:val="20"/>
                <w:szCs w:val="20"/>
              </w:rPr>
            </w:pPr>
            <w:r>
              <w:rPr>
                <w:rFonts w:hint="eastAsia" w:ascii="宋体" w:hAnsi="宋体" w:cs="宋体"/>
                <w:kern w:val="0"/>
                <w:sz w:val="20"/>
                <w:szCs w:val="20"/>
              </w:rPr>
              <w:t>采用较为先进且经济的存量垃圾治理技术，对已填埋生活进行环保封场和绿化恢复，打造成生态公园。</w:t>
            </w:r>
          </w:p>
        </w:tc>
        <w:tc>
          <w:tcPr>
            <w:tcW w:w="800" w:type="dxa"/>
            <w:tcBorders>
              <w:top w:val="nil"/>
              <w:left w:val="nil"/>
              <w:bottom w:val="single" w:color="auto" w:sz="4" w:space="0"/>
              <w:right w:val="single" w:color="auto" w:sz="4" w:space="0"/>
            </w:tcBorders>
            <w:noWrap/>
            <w:vAlign w:val="center"/>
          </w:tcPr>
          <w:p w14:paraId="5D19F44B">
            <w:pPr>
              <w:jc w:val="center"/>
              <w:rPr>
                <w:rFonts w:ascii="宋体" w:cs="宋体"/>
                <w:kern w:val="0"/>
                <w:sz w:val="20"/>
                <w:szCs w:val="20"/>
              </w:rPr>
            </w:pPr>
            <w:r>
              <w:rPr>
                <w:rFonts w:ascii="宋体" w:hAnsi="宋体" w:cs="宋体"/>
                <w:kern w:val="0"/>
                <w:sz w:val="20"/>
                <w:szCs w:val="20"/>
              </w:rPr>
              <w:t>2022</w:t>
            </w:r>
          </w:p>
        </w:tc>
        <w:tc>
          <w:tcPr>
            <w:tcW w:w="800" w:type="dxa"/>
            <w:tcBorders>
              <w:top w:val="nil"/>
              <w:left w:val="nil"/>
              <w:bottom w:val="single" w:color="auto" w:sz="4" w:space="0"/>
              <w:right w:val="single" w:color="auto" w:sz="4" w:space="0"/>
            </w:tcBorders>
            <w:noWrap/>
            <w:vAlign w:val="center"/>
          </w:tcPr>
          <w:p w14:paraId="1F3C6304">
            <w:pPr>
              <w:jc w:val="center"/>
              <w:rPr>
                <w:rFonts w:ascii="宋体" w:cs="宋体"/>
                <w:kern w:val="0"/>
                <w:sz w:val="20"/>
                <w:szCs w:val="20"/>
              </w:rPr>
            </w:pPr>
            <w:r>
              <w:rPr>
                <w:rFonts w:ascii="宋体" w:hAnsi="宋体" w:cs="宋体"/>
                <w:kern w:val="0"/>
                <w:sz w:val="20"/>
                <w:szCs w:val="20"/>
              </w:rPr>
              <w:t>2024</w:t>
            </w:r>
          </w:p>
        </w:tc>
        <w:tc>
          <w:tcPr>
            <w:tcW w:w="1040" w:type="dxa"/>
            <w:tcBorders>
              <w:top w:val="nil"/>
              <w:left w:val="nil"/>
              <w:bottom w:val="single" w:color="auto" w:sz="4" w:space="0"/>
              <w:right w:val="single" w:color="auto" w:sz="4" w:space="0"/>
            </w:tcBorders>
            <w:noWrap/>
            <w:vAlign w:val="center"/>
          </w:tcPr>
          <w:p w14:paraId="08AF43C1">
            <w:pPr>
              <w:jc w:val="center"/>
              <w:rPr>
                <w:rFonts w:ascii="宋体" w:cs="宋体"/>
                <w:kern w:val="0"/>
                <w:sz w:val="20"/>
                <w:szCs w:val="20"/>
              </w:rPr>
            </w:pPr>
            <w:r>
              <w:rPr>
                <w:rFonts w:ascii="宋体" w:hAnsi="宋体" w:cs="宋体"/>
                <w:kern w:val="0"/>
                <w:sz w:val="20"/>
                <w:szCs w:val="20"/>
              </w:rPr>
              <w:t>1</w:t>
            </w:r>
            <w:r>
              <w:rPr>
                <w:rFonts w:hint="eastAsia" w:ascii="宋体" w:hAnsi="宋体" w:cs="宋体"/>
                <w:kern w:val="0"/>
                <w:sz w:val="20"/>
                <w:szCs w:val="20"/>
              </w:rPr>
              <w:t>4</w:t>
            </w:r>
            <w:r>
              <w:rPr>
                <w:rFonts w:ascii="宋体" w:cs="宋体"/>
                <w:kern w:val="0"/>
                <w:sz w:val="20"/>
                <w:szCs w:val="20"/>
              </w:rPr>
              <w:t>,</w:t>
            </w:r>
            <w:r>
              <w:rPr>
                <w:rFonts w:ascii="宋体" w:hAnsi="宋体" w:cs="宋体"/>
                <w:kern w:val="0"/>
                <w:sz w:val="20"/>
                <w:szCs w:val="20"/>
              </w:rPr>
              <w:t>0</w:t>
            </w:r>
            <w:r>
              <w:rPr>
                <w:rFonts w:hint="eastAsia" w:ascii="宋体" w:hAnsi="宋体" w:cs="宋体"/>
                <w:kern w:val="0"/>
                <w:sz w:val="20"/>
                <w:szCs w:val="20"/>
              </w:rPr>
              <w:t>00</w:t>
            </w:r>
          </w:p>
        </w:tc>
        <w:tc>
          <w:tcPr>
            <w:tcW w:w="2240" w:type="dxa"/>
            <w:tcBorders>
              <w:top w:val="nil"/>
              <w:left w:val="nil"/>
              <w:bottom w:val="single" w:color="auto" w:sz="4" w:space="0"/>
              <w:right w:val="single" w:color="auto" w:sz="4" w:space="0"/>
            </w:tcBorders>
            <w:vAlign w:val="center"/>
          </w:tcPr>
          <w:p w14:paraId="36377F69">
            <w:pPr>
              <w:jc w:val="left"/>
              <w:rPr>
                <w:rFonts w:ascii="宋体" w:cs="宋体"/>
                <w:kern w:val="0"/>
                <w:sz w:val="20"/>
                <w:szCs w:val="20"/>
              </w:rPr>
            </w:pPr>
            <w:r>
              <w:rPr>
                <w:rFonts w:hint="eastAsia" w:ascii="宋体" w:hAnsi="宋体" w:cs="宋体"/>
                <w:kern w:val="0"/>
                <w:sz w:val="20"/>
                <w:szCs w:val="20"/>
              </w:rPr>
              <w:t>政府投资</w:t>
            </w:r>
          </w:p>
        </w:tc>
      </w:tr>
      <w:tr w14:paraId="5DFC93AB">
        <w:tblPrEx>
          <w:tblCellMar>
            <w:top w:w="0" w:type="dxa"/>
            <w:left w:w="108" w:type="dxa"/>
            <w:bottom w:w="0" w:type="dxa"/>
            <w:right w:w="108" w:type="dxa"/>
          </w:tblCellMar>
        </w:tblPrEx>
        <w:trPr>
          <w:trHeight w:val="1545" w:hRule="atLeast"/>
        </w:trPr>
        <w:tc>
          <w:tcPr>
            <w:tcW w:w="600" w:type="dxa"/>
            <w:tcBorders>
              <w:top w:val="nil"/>
              <w:left w:val="single" w:color="auto" w:sz="4" w:space="0"/>
              <w:bottom w:val="single" w:color="auto" w:sz="4" w:space="0"/>
              <w:right w:val="single" w:color="auto" w:sz="4" w:space="0"/>
            </w:tcBorders>
            <w:noWrap/>
            <w:vAlign w:val="center"/>
          </w:tcPr>
          <w:p w14:paraId="6224DD0A">
            <w:pPr>
              <w:jc w:val="center"/>
              <w:rPr>
                <w:rFonts w:ascii="宋体" w:cs="宋体"/>
                <w:kern w:val="0"/>
                <w:sz w:val="20"/>
                <w:szCs w:val="20"/>
              </w:rPr>
            </w:pPr>
            <w:r>
              <w:rPr>
                <w:rFonts w:ascii="宋体" w:hAnsi="宋体" w:cs="宋体"/>
                <w:kern w:val="0"/>
                <w:sz w:val="20"/>
                <w:szCs w:val="20"/>
              </w:rPr>
              <w:t>7</w:t>
            </w:r>
          </w:p>
        </w:tc>
        <w:tc>
          <w:tcPr>
            <w:tcW w:w="1580" w:type="dxa"/>
            <w:tcBorders>
              <w:top w:val="nil"/>
              <w:left w:val="nil"/>
              <w:bottom w:val="single" w:color="auto" w:sz="4" w:space="0"/>
              <w:right w:val="single" w:color="auto" w:sz="4" w:space="0"/>
            </w:tcBorders>
            <w:vAlign w:val="center"/>
          </w:tcPr>
          <w:p w14:paraId="03D48B2E">
            <w:pPr>
              <w:jc w:val="left"/>
              <w:rPr>
                <w:rFonts w:ascii="宋体" w:cs="宋体"/>
                <w:kern w:val="0"/>
                <w:sz w:val="20"/>
                <w:szCs w:val="20"/>
              </w:rPr>
            </w:pPr>
            <w:r>
              <w:rPr>
                <w:rFonts w:hint="eastAsia" w:ascii="宋体" w:hAnsi="宋体" w:cs="宋体"/>
                <w:kern w:val="0"/>
                <w:sz w:val="20"/>
                <w:szCs w:val="20"/>
              </w:rPr>
              <w:t>湘潭生活垃圾焚烧发电项目</w:t>
            </w:r>
          </w:p>
        </w:tc>
        <w:tc>
          <w:tcPr>
            <w:tcW w:w="760" w:type="dxa"/>
            <w:tcBorders>
              <w:top w:val="nil"/>
              <w:left w:val="nil"/>
              <w:bottom w:val="single" w:color="auto" w:sz="4" w:space="0"/>
              <w:right w:val="single" w:color="auto" w:sz="4" w:space="0"/>
            </w:tcBorders>
            <w:noWrap/>
            <w:vAlign w:val="center"/>
          </w:tcPr>
          <w:p w14:paraId="11DB7581">
            <w:pPr>
              <w:jc w:val="center"/>
              <w:rPr>
                <w:rFonts w:ascii="宋体" w:cs="宋体"/>
                <w:kern w:val="0"/>
                <w:sz w:val="20"/>
                <w:szCs w:val="20"/>
              </w:rPr>
            </w:pPr>
            <w:r>
              <w:rPr>
                <w:rFonts w:hint="eastAsia" w:ascii="宋体" w:hAnsi="宋体" w:cs="宋体"/>
                <w:kern w:val="0"/>
                <w:sz w:val="20"/>
                <w:szCs w:val="20"/>
              </w:rPr>
              <w:t>新建</w:t>
            </w:r>
          </w:p>
        </w:tc>
        <w:tc>
          <w:tcPr>
            <w:tcW w:w="1360" w:type="dxa"/>
            <w:tcBorders>
              <w:top w:val="nil"/>
              <w:left w:val="nil"/>
              <w:bottom w:val="single" w:color="auto" w:sz="4" w:space="0"/>
              <w:right w:val="single" w:color="auto" w:sz="4" w:space="0"/>
            </w:tcBorders>
            <w:vAlign w:val="center"/>
          </w:tcPr>
          <w:p w14:paraId="4A015E5D">
            <w:pPr>
              <w:jc w:val="center"/>
              <w:rPr>
                <w:rFonts w:ascii="宋体" w:cs="宋体"/>
                <w:kern w:val="0"/>
                <w:sz w:val="20"/>
                <w:szCs w:val="20"/>
              </w:rPr>
            </w:pPr>
            <w:r>
              <w:rPr>
                <w:rFonts w:hint="eastAsia" w:ascii="宋体" w:hAnsi="宋体" w:cs="宋体"/>
                <w:kern w:val="0"/>
                <w:sz w:val="20"/>
                <w:szCs w:val="20"/>
              </w:rPr>
              <w:t>湘潭县河口镇宏兴村</w:t>
            </w:r>
          </w:p>
        </w:tc>
        <w:tc>
          <w:tcPr>
            <w:tcW w:w="1840" w:type="dxa"/>
            <w:tcBorders>
              <w:top w:val="nil"/>
              <w:left w:val="nil"/>
              <w:bottom w:val="single" w:color="auto" w:sz="4" w:space="0"/>
              <w:right w:val="single" w:color="auto" w:sz="4" w:space="0"/>
            </w:tcBorders>
            <w:vAlign w:val="center"/>
          </w:tcPr>
          <w:p w14:paraId="5DF1EDAC">
            <w:pPr>
              <w:jc w:val="left"/>
              <w:rPr>
                <w:rFonts w:ascii="宋体" w:cs="宋体"/>
                <w:kern w:val="0"/>
                <w:sz w:val="20"/>
                <w:szCs w:val="20"/>
              </w:rPr>
            </w:pPr>
            <w:r>
              <w:rPr>
                <w:rFonts w:hint="eastAsia" w:ascii="宋体" w:hAnsi="宋体" w:cs="宋体"/>
                <w:kern w:val="0"/>
                <w:sz w:val="20"/>
                <w:szCs w:val="20"/>
              </w:rPr>
              <w:t>光大天易环保能源（湘潭）有限公司</w:t>
            </w:r>
          </w:p>
        </w:tc>
        <w:tc>
          <w:tcPr>
            <w:tcW w:w="4740" w:type="dxa"/>
            <w:tcBorders>
              <w:top w:val="nil"/>
              <w:left w:val="nil"/>
              <w:bottom w:val="single" w:color="auto" w:sz="4" w:space="0"/>
              <w:right w:val="single" w:color="auto" w:sz="4" w:space="0"/>
            </w:tcBorders>
            <w:vAlign w:val="center"/>
          </w:tcPr>
          <w:p w14:paraId="3ADEEFFA">
            <w:pPr>
              <w:jc w:val="left"/>
              <w:rPr>
                <w:rFonts w:ascii="宋体" w:cs="宋体"/>
                <w:kern w:val="0"/>
                <w:sz w:val="20"/>
                <w:szCs w:val="20"/>
              </w:rPr>
            </w:pPr>
            <w:r>
              <w:rPr>
                <w:rFonts w:hint="eastAsia" w:ascii="宋体" w:hAnsi="宋体" w:cs="宋体"/>
                <w:kern w:val="0"/>
                <w:sz w:val="20"/>
                <w:szCs w:val="20"/>
              </w:rPr>
              <w:t>项目用地约</w:t>
            </w:r>
            <w:r>
              <w:rPr>
                <w:rFonts w:ascii="宋体" w:hAnsi="宋体" w:cs="宋体"/>
                <w:kern w:val="0"/>
                <w:sz w:val="20"/>
                <w:szCs w:val="20"/>
              </w:rPr>
              <w:t>117</w:t>
            </w:r>
            <w:r>
              <w:rPr>
                <w:rFonts w:hint="eastAsia" w:ascii="宋体" w:hAnsi="宋体" w:cs="宋体"/>
                <w:kern w:val="0"/>
                <w:sz w:val="20"/>
                <w:szCs w:val="20"/>
              </w:rPr>
              <w:t>亩，建成后日处理垃圾为</w:t>
            </w:r>
            <w:r>
              <w:rPr>
                <w:rFonts w:ascii="宋体" w:hAnsi="宋体" w:cs="宋体"/>
                <w:kern w:val="0"/>
                <w:sz w:val="20"/>
                <w:szCs w:val="20"/>
              </w:rPr>
              <w:t>1200</w:t>
            </w:r>
            <w:r>
              <w:rPr>
                <w:rFonts w:hint="eastAsia" w:ascii="宋体" w:hAnsi="宋体" w:cs="宋体"/>
                <w:kern w:val="0"/>
                <w:sz w:val="20"/>
                <w:szCs w:val="20"/>
              </w:rPr>
              <w:t>吨，年处理能力为</w:t>
            </w:r>
            <w:r>
              <w:rPr>
                <w:rFonts w:ascii="宋体" w:hAnsi="宋体" w:cs="宋体"/>
                <w:kern w:val="0"/>
                <w:sz w:val="20"/>
                <w:szCs w:val="20"/>
              </w:rPr>
              <w:t>42.58</w:t>
            </w:r>
            <w:r>
              <w:rPr>
                <w:rFonts w:hint="eastAsia" w:ascii="宋体" w:hAnsi="宋体" w:cs="宋体"/>
                <w:kern w:val="0"/>
                <w:sz w:val="20"/>
                <w:szCs w:val="20"/>
              </w:rPr>
              <w:t>万吨，年发电量</w:t>
            </w:r>
            <w:r>
              <w:rPr>
                <w:rFonts w:ascii="宋体" w:hAnsi="宋体" w:cs="宋体"/>
                <w:kern w:val="0"/>
                <w:sz w:val="20"/>
                <w:szCs w:val="20"/>
              </w:rPr>
              <w:t>1.56</w:t>
            </w:r>
            <w:r>
              <w:rPr>
                <w:rFonts w:hint="eastAsia" w:ascii="宋体" w:hAnsi="宋体" w:cs="宋体"/>
                <w:kern w:val="0"/>
                <w:sz w:val="20"/>
                <w:szCs w:val="20"/>
              </w:rPr>
              <w:t>亿度，项目包括主体工程和配套工程：接受、储存与进料系统、焚烧系统、烟气净化系统、垃圾热能利用系统、灰渣处理系统、仪表及自动化控制系统、电气系统等。</w:t>
            </w:r>
          </w:p>
        </w:tc>
        <w:tc>
          <w:tcPr>
            <w:tcW w:w="800" w:type="dxa"/>
            <w:tcBorders>
              <w:top w:val="nil"/>
              <w:left w:val="nil"/>
              <w:bottom w:val="single" w:color="auto" w:sz="4" w:space="0"/>
              <w:right w:val="single" w:color="auto" w:sz="4" w:space="0"/>
            </w:tcBorders>
            <w:noWrap/>
            <w:vAlign w:val="center"/>
          </w:tcPr>
          <w:p w14:paraId="10968565">
            <w:pPr>
              <w:jc w:val="center"/>
              <w:rPr>
                <w:rFonts w:ascii="宋体" w:cs="宋体"/>
                <w:kern w:val="0"/>
                <w:sz w:val="20"/>
                <w:szCs w:val="20"/>
              </w:rPr>
            </w:pPr>
            <w:r>
              <w:rPr>
                <w:rFonts w:ascii="宋体" w:hAnsi="宋体" w:cs="宋体"/>
                <w:kern w:val="0"/>
                <w:sz w:val="20"/>
                <w:szCs w:val="20"/>
              </w:rPr>
              <w:t>2020</w:t>
            </w:r>
          </w:p>
        </w:tc>
        <w:tc>
          <w:tcPr>
            <w:tcW w:w="800" w:type="dxa"/>
            <w:tcBorders>
              <w:top w:val="nil"/>
              <w:left w:val="nil"/>
              <w:bottom w:val="single" w:color="auto" w:sz="4" w:space="0"/>
              <w:right w:val="single" w:color="auto" w:sz="4" w:space="0"/>
            </w:tcBorders>
            <w:noWrap/>
            <w:vAlign w:val="center"/>
          </w:tcPr>
          <w:p w14:paraId="5E08EBFB">
            <w:pPr>
              <w:jc w:val="center"/>
              <w:rPr>
                <w:rFonts w:ascii="宋体" w:cs="宋体"/>
                <w:kern w:val="0"/>
                <w:sz w:val="20"/>
                <w:szCs w:val="20"/>
              </w:rPr>
            </w:pPr>
            <w:r>
              <w:rPr>
                <w:rFonts w:ascii="宋体" w:hAnsi="宋体" w:cs="宋体"/>
                <w:kern w:val="0"/>
                <w:sz w:val="20"/>
                <w:szCs w:val="20"/>
              </w:rPr>
              <w:t>2021</w:t>
            </w:r>
          </w:p>
        </w:tc>
        <w:tc>
          <w:tcPr>
            <w:tcW w:w="1040" w:type="dxa"/>
            <w:tcBorders>
              <w:top w:val="nil"/>
              <w:left w:val="nil"/>
              <w:bottom w:val="single" w:color="auto" w:sz="4" w:space="0"/>
              <w:right w:val="single" w:color="auto" w:sz="4" w:space="0"/>
            </w:tcBorders>
            <w:noWrap/>
            <w:vAlign w:val="center"/>
          </w:tcPr>
          <w:p w14:paraId="7D283FB2">
            <w:pPr>
              <w:jc w:val="center"/>
              <w:rPr>
                <w:rFonts w:ascii="宋体" w:cs="宋体"/>
                <w:kern w:val="0"/>
                <w:sz w:val="20"/>
                <w:szCs w:val="20"/>
              </w:rPr>
            </w:pPr>
            <w:r>
              <w:rPr>
                <w:rFonts w:ascii="宋体" w:hAnsi="宋体" w:cs="宋体"/>
                <w:kern w:val="0"/>
                <w:sz w:val="20"/>
                <w:szCs w:val="20"/>
              </w:rPr>
              <w:t xml:space="preserve">74,462 </w:t>
            </w:r>
          </w:p>
        </w:tc>
        <w:tc>
          <w:tcPr>
            <w:tcW w:w="2240" w:type="dxa"/>
            <w:tcBorders>
              <w:top w:val="nil"/>
              <w:left w:val="nil"/>
              <w:bottom w:val="single" w:color="auto" w:sz="4" w:space="0"/>
              <w:right w:val="single" w:color="auto" w:sz="4" w:space="0"/>
            </w:tcBorders>
            <w:vAlign w:val="center"/>
          </w:tcPr>
          <w:p w14:paraId="4235FABF">
            <w:pPr>
              <w:jc w:val="left"/>
              <w:rPr>
                <w:rFonts w:ascii="宋体" w:cs="宋体"/>
                <w:kern w:val="0"/>
                <w:sz w:val="20"/>
                <w:szCs w:val="20"/>
              </w:rPr>
            </w:pPr>
            <w:r>
              <w:rPr>
                <w:rFonts w:ascii="宋体" w:hAnsi="宋体" w:cs="宋体"/>
                <w:kern w:val="0"/>
                <w:sz w:val="20"/>
                <w:szCs w:val="20"/>
              </w:rPr>
              <w:t>PPP</w:t>
            </w:r>
            <w:r>
              <w:rPr>
                <w:rFonts w:hint="eastAsia" w:ascii="宋体" w:hAnsi="宋体" w:cs="宋体"/>
                <w:kern w:val="0"/>
                <w:sz w:val="20"/>
                <w:szCs w:val="20"/>
              </w:rPr>
              <w:t>项目</w:t>
            </w:r>
          </w:p>
        </w:tc>
      </w:tr>
    </w:tbl>
    <w:p w14:paraId="379D877C">
      <w:r>
        <w:fldChar w:fldCharType="begin"/>
      </w:r>
      <w:r>
        <w:instrText xml:space="preserve"> LINK Excel.Sheet.8 "C:\\Users\\Administrator\\Desktop\\拟报省、市“十四五”规划重大工程项目汇总表11.17.xls""Sheet1!R2C1:R9C10" \a \f 4 \h  \* MERGEFORMAT</w:instrText>
      </w:r>
      <w:r>
        <w:fldChar w:fldCharType="separate"/>
      </w:r>
    </w:p>
    <w:p w14:paraId="04CDB5D1">
      <w:r>
        <w:fldChar w:fldCharType="end"/>
      </w:r>
    </w:p>
    <w:p w14:paraId="50309A10">
      <w:pPr>
        <w:spacing w:line="360" w:lineRule="exact"/>
        <w:jc w:val="center"/>
        <w:rPr>
          <w:b/>
          <w:sz w:val="28"/>
        </w:rPr>
      </w:pPr>
      <w:r>
        <w:rPr>
          <w:rFonts w:hint="eastAsia" w:ascii="宋体" w:hAnsi="宋体"/>
          <w:b/>
          <w:sz w:val="28"/>
          <w:szCs w:val="28"/>
        </w:rPr>
        <w:t>湘潭城市管理系统建设“十四五”期间重大项目汇总表</w:t>
      </w:r>
      <w:r>
        <w:rPr>
          <w:b/>
          <w:sz w:val="28"/>
        </w:rPr>
        <w:t xml:space="preserve">                (</w:t>
      </w:r>
      <w:r>
        <w:rPr>
          <w:rFonts w:hint="eastAsia"/>
          <w:b/>
          <w:sz w:val="28"/>
        </w:rPr>
        <w:t>续</w:t>
      </w:r>
      <w:r>
        <w:rPr>
          <w:b/>
          <w:sz w:val="28"/>
        </w:rPr>
        <w:t>1)</w:t>
      </w:r>
    </w:p>
    <w:p w14:paraId="44A09E14"/>
    <w:tbl>
      <w:tblPr>
        <w:tblStyle w:val="28"/>
        <w:tblW w:w="15760" w:type="dxa"/>
        <w:tblInd w:w="93" w:type="dxa"/>
        <w:tblLayout w:type="autofit"/>
        <w:tblCellMar>
          <w:top w:w="0" w:type="dxa"/>
          <w:left w:w="108" w:type="dxa"/>
          <w:bottom w:w="0" w:type="dxa"/>
          <w:right w:w="108" w:type="dxa"/>
        </w:tblCellMar>
      </w:tblPr>
      <w:tblGrid>
        <w:gridCol w:w="600"/>
        <w:gridCol w:w="1560"/>
        <w:gridCol w:w="830"/>
        <w:gridCol w:w="1360"/>
        <w:gridCol w:w="1840"/>
        <w:gridCol w:w="4740"/>
        <w:gridCol w:w="794"/>
        <w:gridCol w:w="794"/>
        <w:gridCol w:w="1033"/>
        <w:gridCol w:w="2209"/>
      </w:tblGrid>
      <w:tr w14:paraId="1B9B7032">
        <w:tblPrEx>
          <w:tblCellMar>
            <w:top w:w="0" w:type="dxa"/>
            <w:left w:w="108" w:type="dxa"/>
            <w:bottom w:w="0" w:type="dxa"/>
            <w:right w:w="108" w:type="dxa"/>
          </w:tblCellMar>
        </w:tblPrEx>
        <w:trPr>
          <w:trHeight w:val="780" w:hRule="atLeast"/>
        </w:trPr>
        <w:tc>
          <w:tcPr>
            <w:tcW w:w="600" w:type="dxa"/>
            <w:tcBorders>
              <w:top w:val="single" w:color="auto" w:sz="4" w:space="0"/>
              <w:left w:val="single" w:color="auto" w:sz="4" w:space="0"/>
              <w:bottom w:val="single" w:color="auto" w:sz="4" w:space="0"/>
              <w:right w:val="single" w:color="auto" w:sz="4" w:space="0"/>
            </w:tcBorders>
            <w:noWrap/>
            <w:vAlign w:val="center"/>
          </w:tcPr>
          <w:p w14:paraId="2BC9FAB5">
            <w:pPr>
              <w:jc w:val="center"/>
              <w:rPr>
                <w:rFonts w:ascii="宋体" w:cs="宋体"/>
                <w:b/>
                <w:bCs/>
                <w:kern w:val="0"/>
                <w:sz w:val="20"/>
                <w:szCs w:val="20"/>
              </w:rPr>
            </w:pPr>
            <w:r>
              <w:rPr>
                <w:rFonts w:hint="eastAsia" w:ascii="宋体" w:hAnsi="宋体" w:cs="宋体"/>
                <w:b/>
                <w:bCs/>
                <w:kern w:val="0"/>
                <w:sz w:val="20"/>
                <w:szCs w:val="20"/>
              </w:rPr>
              <w:t>序号</w:t>
            </w:r>
          </w:p>
        </w:tc>
        <w:tc>
          <w:tcPr>
            <w:tcW w:w="1560" w:type="dxa"/>
            <w:tcBorders>
              <w:top w:val="single" w:color="auto" w:sz="4" w:space="0"/>
              <w:left w:val="nil"/>
              <w:bottom w:val="single" w:color="auto" w:sz="4" w:space="0"/>
              <w:right w:val="single" w:color="auto" w:sz="4" w:space="0"/>
            </w:tcBorders>
            <w:vAlign w:val="center"/>
          </w:tcPr>
          <w:p w14:paraId="36484351">
            <w:pPr>
              <w:jc w:val="center"/>
              <w:rPr>
                <w:rFonts w:ascii="黑体" w:hAnsi="黑体" w:eastAsia="黑体" w:cs="宋体"/>
                <w:kern w:val="0"/>
                <w:sz w:val="20"/>
                <w:szCs w:val="20"/>
              </w:rPr>
            </w:pPr>
            <w:r>
              <w:rPr>
                <w:rFonts w:hint="eastAsia" w:ascii="黑体" w:hAnsi="黑体" w:eastAsia="黑体" w:cs="宋体"/>
                <w:kern w:val="0"/>
                <w:sz w:val="20"/>
                <w:szCs w:val="20"/>
              </w:rPr>
              <w:t>项目名称</w:t>
            </w:r>
          </w:p>
        </w:tc>
        <w:tc>
          <w:tcPr>
            <w:tcW w:w="830" w:type="dxa"/>
            <w:tcBorders>
              <w:top w:val="single" w:color="auto" w:sz="4" w:space="0"/>
              <w:left w:val="nil"/>
              <w:bottom w:val="single" w:color="auto" w:sz="4" w:space="0"/>
              <w:right w:val="single" w:color="auto" w:sz="4" w:space="0"/>
            </w:tcBorders>
            <w:vAlign w:val="center"/>
          </w:tcPr>
          <w:p w14:paraId="60D9A99E">
            <w:pPr>
              <w:jc w:val="center"/>
              <w:rPr>
                <w:rFonts w:ascii="黑体" w:hAnsi="黑体" w:eastAsia="黑体" w:cs="宋体"/>
                <w:kern w:val="0"/>
                <w:sz w:val="20"/>
                <w:szCs w:val="20"/>
              </w:rPr>
            </w:pPr>
            <w:r>
              <w:rPr>
                <w:rFonts w:hint="eastAsia" w:ascii="黑体" w:hAnsi="黑体" w:eastAsia="黑体" w:cs="宋体"/>
                <w:kern w:val="0"/>
                <w:sz w:val="20"/>
                <w:szCs w:val="20"/>
              </w:rPr>
              <w:t>建设</w:t>
            </w:r>
            <w:r>
              <w:rPr>
                <w:rFonts w:ascii="黑体" w:hAnsi="黑体" w:eastAsia="黑体" w:cs="宋体"/>
                <w:kern w:val="0"/>
                <w:sz w:val="20"/>
                <w:szCs w:val="20"/>
              </w:rPr>
              <w:br w:type="textWrapping"/>
            </w:r>
            <w:r>
              <w:rPr>
                <w:rFonts w:hint="eastAsia" w:ascii="黑体" w:hAnsi="黑体" w:eastAsia="黑体" w:cs="宋体"/>
                <w:kern w:val="0"/>
                <w:sz w:val="20"/>
                <w:szCs w:val="20"/>
              </w:rPr>
              <w:t>性质</w:t>
            </w:r>
          </w:p>
        </w:tc>
        <w:tc>
          <w:tcPr>
            <w:tcW w:w="1360" w:type="dxa"/>
            <w:tcBorders>
              <w:top w:val="single" w:color="auto" w:sz="4" w:space="0"/>
              <w:left w:val="nil"/>
              <w:bottom w:val="single" w:color="auto" w:sz="4" w:space="0"/>
              <w:right w:val="single" w:color="auto" w:sz="4" w:space="0"/>
            </w:tcBorders>
            <w:noWrap/>
            <w:vAlign w:val="center"/>
          </w:tcPr>
          <w:p w14:paraId="1175F317">
            <w:pPr>
              <w:jc w:val="center"/>
              <w:rPr>
                <w:rFonts w:ascii="黑体" w:hAnsi="黑体" w:eastAsia="黑体" w:cs="宋体"/>
                <w:kern w:val="0"/>
                <w:sz w:val="20"/>
                <w:szCs w:val="20"/>
              </w:rPr>
            </w:pPr>
            <w:r>
              <w:rPr>
                <w:rFonts w:hint="eastAsia" w:ascii="黑体" w:hAnsi="黑体" w:eastAsia="黑体" w:cs="宋体"/>
                <w:kern w:val="0"/>
                <w:sz w:val="20"/>
                <w:szCs w:val="20"/>
              </w:rPr>
              <w:t>建设地点</w:t>
            </w:r>
          </w:p>
        </w:tc>
        <w:tc>
          <w:tcPr>
            <w:tcW w:w="1840" w:type="dxa"/>
            <w:tcBorders>
              <w:top w:val="single" w:color="auto" w:sz="4" w:space="0"/>
              <w:left w:val="nil"/>
              <w:bottom w:val="single" w:color="auto" w:sz="4" w:space="0"/>
              <w:right w:val="single" w:color="auto" w:sz="4" w:space="0"/>
            </w:tcBorders>
            <w:noWrap/>
            <w:vAlign w:val="center"/>
          </w:tcPr>
          <w:p w14:paraId="0297FE24">
            <w:pPr>
              <w:jc w:val="center"/>
              <w:rPr>
                <w:rFonts w:ascii="黑体" w:hAnsi="黑体" w:eastAsia="黑体" w:cs="宋体"/>
                <w:kern w:val="0"/>
                <w:sz w:val="20"/>
                <w:szCs w:val="20"/>
              </w:rPr>
            </w:pPr>
            <w:r>
              <w:rPr>
                <w:rFonts w:hint="eastAsia" w:ascii="黑体" w:hAnsi="黑体" w:eastAsia="黑体" w:cs="宋体"/>
                <w:kern w:val="0"/>
                <w:sz w:val="20"/>
                <w:szCs w:val="20"/>
              </w:rPr>
              <w:t>项目建设主体</w:t>
            </w:r>
          </w:p>
        </w:tc>
        <w:tc>
          <w:tcPr>
            <w:tcW w:w="4740" w:type="dxa"/>
            <w:tcBorders>
              <w:top w:val="single" w:color="auto" w:sz="4" w:space="0"/>
              <w:left w:val="nil"/>
              <w:bottom w:val="single" w:color="auto" w:sz="4" w:space="0"/>
              <w:right w:val="single" w:color="auto" w:sz="4" w:space="0"/>
            </w:tcBorders>
            <w:noWrap/>
            <w:vAlign w:val="center"/>
          </w:tcPr>
          <w:p w14:paraId="72FB8215">
            <w:pPr>
              <w:jc w:val="center"/>
              <w:rPr>
                <w:rFonts w:ascii="黑体" w:hAnsi="黑体" w:eastAsia="黑体" w:cs="宋体"/>
                <w:kern w:val="0"/>
                <w:sz w:val="20"/>
                <w:szCs w:val="20"/>
              </w:rPr>
            </w:pPr>
            <w:r>
              <w:rPr>
                <w:rFonts w:hint="eastAsia" w:ascii="黑体" w:hAnsi="黑体" w:eastAsia="黑体" w:cs="宋体"/>
                <w:kern w:val="0"/>
                <w:sz w:val="20"/>
                <w:szCs w:val="20"/>
              </w:rPr>
              <w:t>主要建设内容和规模</w:t>
            </w:r>
          </w:p>
        </w:tc>
        <w:tc>
          <w:tcPr>
            <w:tcW w:w="794" w:type="dxa"/>
            <w:tcBorders>
              <w:top w:val="single" w:color="auto" w:sz="4" w:space="0"/>
              <w:left w:val="nil"/>
              <w:bottom w:val="single" w:color="auto" w:sz="4" w:space="0"/>
              <w:right w:val="single" w:color="auto" w:sz="4" w:space="0"/>
            </w:tcBorders>
            <w:vAlign w:val="center"/>
          </w:tcPr>
          <w:p w14:paraId="748AA0B3">
            <w:pPr>
              <w:jc w:val="center"/>
              <w:rPr>
                <w:rFonts w:ascii="黑体" w:hAnsi="黑体" w:eastAsia="黑体" w:cs="宋体"/>
                <w:kern w:val="0"/>
                <w:sz w:val="20"/>
                <w:szCs w:val="20"/>
              </w:rPr>
            </w:pPr>
            <w:r>
              <w:rPr>
                <w:rFonts w:hint="eastAsia" w:ascii="黑体" w:hAnsi="黑体" w:eastAsia="黑体" w:cs="宋体"/>
                <w:kern w:val="0"/>
                <w:sz w:val="20"/>
                <w:szCs w:val="20"/>
              </w:rPr>
              <w:t>开工</w:t>
            </w:r>
            <w:r>
              <w:rPr>
                <w:rFonts w:ascii="黑体" w:hAnsi="黑体" w:eastAsia="黑体" w:cs="宋体"/>
                <w:kern w:val="0"/>
                <w:sz w:val="20"/>
                <w:szCs w:val="20"/>
              </w:rPr>
              <w:br w:type="textWrapping"/>
            </w:r>
            <w:r>
              <w:rPr>
                <w:rFonts w:hint="eastAsia" w:ascii="黑体" w:hAnsi="黑体" w:eastAsia="黑体" w:cs="宋体"/>
                <w:kern w:val="0"/>
                <w:sz w:val="20"/>
                <w:szCs w:val="20"/>
              </w:rPr>
              <w:t>年份</w:t>
            </w:r>
          </w:p>
        </w:tc>
        <w:tc>
          <w:tcPr>
            <w:tcW w:w="794" w:type="dxa"/>
            <w:tcBorders>
              <w:top w:val="single" w:color="auto" w:sz="4" w:space="0"/>
              <w:left w:val="nil"/>
              <w:bottom w:val="single" w:color="auto" w:sz="4" w:space="0"/>
              <w:right w:val="single" w:color="auto" w:sz="4" w:space="0"/>
            </w:tcBorders>
            <w:vAlign w:val="center"/>
          </w:tcPr>
          <w:p w14:paraId="55B75DC7">
            <w:pPr>
              <w:jc w:val="center"/>
              <w:rPr>
                <w:rFonts w:ascii="黑体" w:hAnsi="黑体" w:eastAsia="黑体" w:cs="宋体"/>
                <w:kern w:val="0"/>
                <w:sz w:val="20"/>
                <w:szCs w:val="20"/>
              </w:rPr>
            </w:pPr>
            <w:r>
              <w:rPr>
                <w:rFonts w:hint="eastAsia" w:ascii="黑体" w:hAnsi="黑体" w:eastAsia="黑体" w:cs="宋体"/>
                <w:kern w:val="0"/>
                <w:sz w:val="20"/>
                <w:szCs w:val="20"/>
              </w:rPr>
              <w:t>竣工</w:t>
            </w:r>
            <w:r>
              <w:rPr>
                <w:rFonts w:ascii="黑体" w:hAnsi="黑体" w:eastAsia="黑体" w:cs="宋体"/>
                <w:kern w:val="0"/>
                <w:sz w:val="20"/>
                <w:szCs w:val="20"/>
              </w:rPr>
              <w:br w:type="textWrapping"/>
            </w:r>
            <w:r>
              <w:rPr>
                <w:rFonts w:hint="eastAsia" w:ascii="黑体" w:hAnsi="黑体" w:eastAsia="黑体" w:cs="宋体"/>
                <w:kern w:val="0"/>
                <w:sz w:val="20"/>
                <w:szCs w:val="20"/>
              </w:rPr>
              <w:t>年份</w:t>
            </w:r>
          </w:p>
        </w:tc>
        <w:tc>
          <w:tcPr>
            <w:tcW w:w="1033" w:type="dxa"/>
            <w:tcBorders>
              <w:top w:val="single" w:color="auto" w:sz="4" w:space="0"/>
              <w:left w:val="nil"/>
              <w:bottom w:val="single" w:color="auto" w:sz="4" w:space="0"/>
              <w:right w:val="single" w:color="auto" w:sz="4" w:space="0"/>
            </w:tcBorders>
            <w:vAlign w:val="center"/>
          </w:tcPr>
          <w:p w14:paraId="63A5D6D6">
            <w:pPr>
              <w:jc w:val="center"/>
              <w:rPr>
                <w:rFonts w:ascii="黑体" w:hAnsi="黑体" w:eastAsia="黑体" w:cs="宋体"/>
                <w:kern w:val="0"/>
                <w:sz w:val="20"/>
                <w:szCs w:val="20"/>
              </w:rPr>
            </w:pPr>
            <w:r>
              <w:rPr>
                <w:rFonts w:hint="eastAsia" w:ascii="黑体" w:hAnsi="黑体" w:eastAsia="黑体" w:cs="宋体"/>
                <w:kern w:val="0"/>
                <w:sz w:val="20"/>
                <w:szCs w:val="20"/>
              </w:rPr>
              <w:t>总投资</w:t>
            </w:r>
            <w:r>
              <w:rPr>
                <w:rFonts w:ascii="黑体" w:hAnsi="黑体" w:eastAsia="黑体" w:cs="宋体"/>
                <w:kern w:val="0"/>
                <w:sz w:val="20"/>
                <w:szCs w:val="20"/>
              </w:rPr>
              <w:br w:type="textWrapping"/>
            </w:r>
            <w:r>
              <w:rPr>
                <w:rFonts w:hint="eastAsia" w:ascii="黑体" w:hAnsi="黑体" w:eastAsia="黑体" w:cs="宋体"/>
                <w:kern w:val="0"/>
                <w:sz w:val="20"/>
                <w:szCs w:val="20"/>
              </w:rPr>
              <w:t>（万元）</w:t>
            </w:r>
          </w:p>
        </w:tc>
        <w:tc>
          <w:tcPr>
            <w:tcW w:w="2209" w:type="dxa"/>
            <w:tcBorders>
              <w:top w:val="single" w:color="auto" w:sz="4" w:space="0"/>
              <w:left w:val="nil"/>
              <w:bottom w:val="single" w:color="auto" w:sz="4" w:space="0"/>
              <w:right w:val="single" w:color="auto" w:sz="4" w:space="0"/>
            </w:tcBorders>
            <w:vAlign w:val="center"/>
          </w:tcPr>
          <w:p w14:paraId="0D880BDF">
            <w:pPr>
              <w:jc w:val="center"/>
              <w:rPr>
                <w:rFonts w:ascii="黑体" w:hAnsi="黑体" w:eastAsia="黑体" w:cs="宋体"/>
                <w:kern w:val="0"/>
                <w:sz w:val="20"/>
                <w:szCs w:val="20"/>
              </w:rPr>
            </w:pPr>
            <w:r>
              <w:rPr>
                <w:rFonts w:hint="eastAsia" w:ascii="黑体" w:hAnsi="黑体" w:eastAsia="黑体" w:cs="宋体"/>
                <w:kern w:val="0"/>
                <w:sz w:val="20"/>
                <w:szCs w:val="20"/>
              </w:rPr>
              <w:t>备注</w:t>
            </w:r>
          </w:p>
        </w:tc>
      </w:tr>
      <w:tr w14:paraId="60DB254E">
        <w:tblPrEx>
          <w:tblCellMar>
            <w:top w:w="0" w:type="dxa"/>
            <w:left w:w="108" w:type="dxa"/>
            <w:bottom w:w="0" w:type="dxa"/>
            <w:right w:w="108" w:type="dxa"/>
          </w:tblCellMar>
        </w:tblPrEx>
        <w:trPr>
          <w:trHeight w:val="1440" w:hRule="atLeast"/>
        </w:trPr>
        <w:tc>
          <w:tcPr>
            <w:tcW w:w="600" w:type="dxa"/>
            <w:tcBorders>
              <w:top w:val="nil"/>
              <w:left w:val="single" w:color="auto" w:sz="4" w:space="0"/>
              <w:bottom w:val="single" w:color="auto" w:sz="4" w:space="0"/>
              <w:right w:val="single" w:color="auto" w:sz="4" w:space="0"/>
            </w:tcBorders>
            <w:noWrap/>
            <w:vAlign w:val="center"/>
          </w:tcPr>
          <w:p w14:paraId="5A22B148">
            <w:pPr>
              <w:jc w:val="center"/>
              <w:rPr>
                <w:rFonts w:ascii="宋体" w:cs="宋体"/>
                <w:kern w:val="0"/>
                <w:sz w:val="20"/>
                <w:szCs w:val="20"/>
              </w:rPr>
            </w:pPr>
            <w:r>
              <w:rPr>
                <w:rFonts w:ascii="宋体" w:hAnsi="宋体" w:cs="宋体"/>
                <w:kern w:val="0"/>
                <w:sz w:val="20"/>
                <w:szCs w:val="20"/>
              </w:rPr>
              <w:t>8</w:t>
            </w:r>
          </w:p>
        </w:tc>
        <w:tc>
          <w:tcPr>
            <w:tcW w:w="1560" w:type="dxa"/>
            <w:tcBorders>
              <w:top w:val="nil"/>
              <w:left w:val="nil"/>
              <w:bottom w:val="single" w:color="auto" w:sz="4" w:space="0"/>
              <w:right w:val="single" w:color="auto" w:sz="4" w:space="0"/>
            </w:tcBorders>
            <w:vAlign w:val="center"/>
          </w:tcPr>
          <w:p w14:paraId="4D55D75C">
            <w:pPr>
              <w:jc w:val="left"/>
              <w:rPr>
                <w:rFonts w:ascii="宋体" w:cs="宋体"/>
                <w:kern w:val="0"/>
                <w:sz w:val="20"/>
                <w:szCs w:val="20"/>
              </w:rPr>
            </w:pPr>
            <w:r>
              <w:rPr>
                <w:rFonts w:hint="eastAsia" w:ascii="宋体" w:hAnsi="宋体" w:cs="宋体"/>
                <w:kern w:val="0"/>
                <w:sz w:val="20"/>
                <w:szCs w:val="20"/>
              </w:rPr>
              <w:t>湘潭市城区公园生态修复项目</w:t>
            </w:r>
          </w:p>
        </w:tc>
        <w:tc>
          <w:tcPr>
            <w:tcW w:w="830" w:type="dxa"/>
            <w:tcBorders>
              <w:top w:val="nil"/>
              <w:left w:val="nil"/>
              <w:bottom w:val="single" w:color="auto" w:sz="4" w:space="0"/>
              <w:right w:val="single" w:color="auto" w:sz="4" w:space="0"/>
            </w:tcBorders>
            <w:noWrap/>
            <w:vAlign w:val="center"/>
          </w:tcPr>
          <w:p w14:paraId="03202A69">
            <w:pPr>
              <w:jc w:val="center"/>
              <w:rPr>
                <w:rFonts w:ascii="宋体" w:cs="宋体"/>
                <w:kern w:val="0"/>
                <w:sz w:val="20"/>
                <w:szCs w:val="20"/>
              </w:rPr>
            </w:pPr>
            <w:r>
              <w:rPr>
                <w:rFonts w:hint="eastAsia" w:ascii="宋体" w:hAnsi="宋体" w:cs="宋体"/>
                <w:kern w:val="0"/>
                <w:sz w:val="20"/>
                <w:szCs w:val="20"/>
              </w:rPr>
              <w:t>新建</w:t>
            </w:r>
          </w:p>
        </w:tc>
        <w:tc>
          <w:tcPr>
            <w:tcW w:w="1360" w:type="dxa"/>
            <w:tcBorders>
              <w:top w:val="nil"/>
              <w:left w:val="nil"/>
              <w:bottom w:val="single" w:color="auto" w:sz="4" w:space="0"/>
              <w:right w:val="single" w:color="auto" w:sz="4" w:space="0"/>
            </w:tcBorders>
            <w:noWrap/>
            <w:vAlign w:val="center"/>
          </w:tcPr>
          <w:p w14:paraId="6E08A780">
            <w:pPr>
              <w:jc w:val="center"/>
              <w:rPr>
                <w:rFonts w:ascii="宋体" w:cs="宋体"/>
                <w:kern w:val="0"/>
                <w:sz w:val="20"/>
                <w:szCs w:val="20"/>
              </w:rPr>
            </w:pPr>
            <w:r>
              <w:rPr>
                <w:rFonts w:hint="eastAsia" w:ascii="宋体" w:hAnsi="宋体" w:cs="宋体"/>
                <w:kern w:val="0"/>
                <w:sz w:val="20"/>
                <w:szCs w:val="20"/>
              </w:rPr>
              <w:t>湘潭市城区</w:t>
            </w:r>
          </w:p>
        </w:tc>
        <w:tc>
          <w:tcPr>
            <w:tcW w:w="1840" w:type="dxa"/>
            <w:tcBorders>
              <w:top w:val="nil"/>
              <w:left w:val="nil"/>
              <w:bottom w:val="single" w:color="auto" w:sz="4" w:space="0"/>
              <w:right w:val="single" w:color="auto" w:sz="4" w:space="0"/>
            </w:tcBorders>
            <w:vAlign w:val="center"/>
          </w:tcPr>
          <w:p w14:paraId="4D24CF64">
            <w:pPr>
              <w:jc w:val="left"/>
              <w:rPr>
                <w:rFonts w:ascii="宋体" w:cs="宋体"/>
                <w:kern w:val="0"/>
                <w:sz w:val="20"/>
                <w:szCs w:val="20"/>
              </w:rPr>
            </w:pPr>
            <w:r>
              <w:rPr>
                <w:rFonts w:hint="eastAsia" w:ascii="宋体" w:hAnsi="宋体" w:cs="宋体"/>
                <w:kern w:val="0"/>
                <w:sz w:val="20"/>
                <w:szCs w:val="20"/>
              </w:rPr>
              <w:t>湘潭市风景园林中心</w:t>
            </w:r>
          </w:p>
        </w:tc>
        <w:tc>
          <w:tcPr>
            <w:tcW w:w="4740" w:type="dxa"/>
            <w:tcBorders>
              <w:top w:val="nil"/>
              <w:left w:val="nil"/>
              <w:bottom w:val="single" w:color="auto" w:sz="4" w:space="0"/>
              <w:right w:val="single" w:color="auto" w:sz="4" w:space="0"/>
            </w:tcBorders>
            <w:vAlign w:val="center"/>
          </w:tcPr>
          <w:p w14:paraId="29D720E7">
            <w:pPr>
              <w:jc w:val="left"/>
              <w:rPr>
                <w:rFonts w:ascii="宋体" w:cs="宋体"/>
                <w:kern w:val="0"/>
                <w:sz w:val="20"/>
                <w:szCs w:val="20"/>
              </w:rPr>
            </w:pPr>
            <w:r>
              <w:rPr>
                <w:rFonts w:hint="eastAsia" w:ascii="宋体" w:hAnsi="宋体" w:cs="宋体"/>
                <w:kern w:val="0"/>
                <w:sz w:val="20"/>
                <w:szCs w:val="20"/>
              </w:rPr>
              <w:t>共有</w:t>
            </w:r>
            <w:r>
              <w:rPr>
                <w:rFonts w:ascii="宋体" w:hAnsi="宋体" w:cs="宋体"/>
                <w:kern w:val="0"/>
                <w:sz w:val="20"/>
                <w:szCs w:val="20"/>
              </w:rPr>
              <w:t>15</w:t>
            </w:r>
            <w:r>
              <w:rPr>
                <w:rFonts w:hint="eastAsia" w:ascii="宋体" w:hAnsi="宋体" w:cs="宋体"/>
                <w:kern w:val="0"/>
                <w:sz w:val="20"/>
                <w:szCs w:val="20"/>
              </w:rPr>
              <w:t>个子项目，包括河东沿江风光带、和平公园、雨湖公园、白石公园、木鱼湖、滴水湖、生态公园、菊花塘公园、岳塘公园、湖湘公园、杨梅洲公园、湘电公园、河东游园、河西游园等十四个公园的修复和黄土裸露治理等。</w:t>
            </w:r>
          </w:p>
        </w:tc>
        <w:tc>
          <w:tcPr>
            <w:tcW w:w="794" w:type="dxa"/>
            <w:tcBorders>
              <w:top w:val="nil"/>
              <w:left w:val="nil"/>
              <w:bottom w:val="single" w:color="auto" w:sz="4" w:space="0"/>
              <w:right w:val="single" w:color="auto" w:sz="4" w:space="0"/>
            </w:tcBorders>
            <w:noWrap/>
            <w:vAlign w:val="center"/>
          </w:tcPr>
          <w:p w14:paraId="78387137">
            <w:pPr>
              <w:jc w:val="center"/>
              <w:rPr>
                <w:rFonts w:ascii="宋体" w:cs="宋体"/>
                <w:kern w:val="0"/>
                <w:sz w:val="20"/>
                <w:szCs w:val="20"/>
              </w:rPr>
            </w:pPr>
            <w:r>
              <w:rPr>
                <w:rFonts w:ascii="宋体" w:hAnsi="宋体" w:cs="宋体"/>
                <w:kern w:val="0"/>
                <w:sz w:val="20"/>
                <w:szCs w:val="20"/>
              </w:rPr>
              <w:t>2021</w:t>
            </w:r>
          </w:p>
        </w:tc>
        <w:tc>
          <w:tcPr>
            <w:tcW w:w="794" w:type="dxa"/>
            <w:tcBorders>
              <w:top w:val="nil"/>
              <w:left w:val="nil"/>
              <w:bottom w:val="single" w:color="auto" w:sz="4" w:space="0"/>
              <w:right w:val="single" w:color="auto" w:sz="4" w:space="0"/>
            </w:tcBorders>
            <w:noWrap/>
            <w:vAlign w:val="center"/>
          </w:tcPr>
          <w:p w14:paraId="1A6CD099">
            <w:pPr>
              <w:jc w:val="center"/>
              <w:rPr>
                <w:rFonts w:ascii="宋体" w:cs="宋体"/>
                <w:kern w:val="0"/>
                <w:sz w:val="20"/>
                <w:szCs w:val="20"/>
              </w:rPr>
            </w:pPr>
            <w:r>
              <w:rPr>
                <w:rFonts w:ascii="宋体" w:hAnsi="宋体" w:cs="宋体"/>
                <w:kern w:val="0"/>
                <w:sz w:val="20"/>
                <w:szCs w:val="20"/>
              </w:rPr>
              <w:t>2025</w:t>
            </w:r>
          </w:p>
        </w:tc>
        <w:tc>
          <w:tcPr>
            <w:tcW w:w="1033" w:type="dxa"/>
            <w:tcBorders>
              <w:top w:val="nil"/>
              <w:left w:val="nil"/>
              <w:bottom w:val="single" w:color="auto" w:sz="4" w:space="0"/>
              <w:right w:val="single" w:color="auto" w:sz="4" w:space="0"/>
            </w:tcBorders>
            <w:noWrap/>
            <w:vAlign w:val="center"/>
          </w:tcPr>
          <w:p w14:paraId="7C88276A">
            <w:pPr>
              <w:jc w:val="center"/>
              <w:rPr>
                <w:rFonts w:ascii="宋体" w:cs="宋体"/>
                <w:kern w:val="0"/>
                <w:sz w:val="20"/>
                <w:szCs w:val="20"/>
              </w:rPr>
            </w:pPr>
            <w:r>
              <w:rPr>
                <w:rFonts w:ascii="宋体" w:hAnsi="宋体" w:cs="宋体"/>
                <w:kern w:val="0"/>
                <w:sz w:val="20"/>
                <w:szCs w:val="20"/>
              </w:rPr>
              <w:t xml:space="preserve">8,553 </w:t>
            </w:r>
          </w:p>
        </w:tc>
        <w:tc>
          <w:tcPr>
            <w:tcW w:w="2209" w:type="dxa"/>
            <w:tcBorders>
              <w:top w:val="nil"/>
              <w:left w:val="nil"/>
              <w:bottom w:val="single" w:color="auto" w:sz="4" w:space="0"/>
              <w:right w:val="single" w:color="auto" w:sz="4" w:space="0"/>
            </w:tcBorders>
            <w:vAlign w:val="center"/>
          </w:tcPr>
          <w:p w14:paraId="7DEE029A">
            <w:pPr>
              <w:jc w:val="left"/>
              <w:rPr>
                <w:rFonts w:ascii="宋体" w:cs="宋体"/>
                <w:kern w:val="0"/>
                <w:sz w:val="20"/>
                <w:szCs w:val="20"/>
              </w:rPr>
            </w:pPr>
            <w:r>
              <w:rPr>
                <w:rFonts w:hint="eastAsia" w:ascii="宋体" w:hAnsi="宋体" w:cs="宋体"/>
                <w:kern w:val="0"/>
                <w:sz w:val="20"/>
                <w:szCs w:val="20"/>
              </w:rPr>
              <w:t>争取中央、省、市财政资金</w:t>
            </w:r>
          </w:p>
        </w:tc>
      </w:tr>
      <w:tr w14:paraId="509C32D4">
        <w:tblPrEx>
          <w:tblCellMar>
            <w:top w:w="0" w:type="dxa"/>
            <w:left w:w="108" w:type="dxa"/>
            <w:bottom w:w="0" w:type="dxa"/>
            <w:right w:w="108" w:type="dxa"/>
          </w:tblCellMar>
        </w:tblPrEx>
        <w:trPr>
          <w:trHeight w:val="1125" w:hRule="atLeast"/>
        </w:trPr>
        <w:tc>
          <w:tcPr>
            <w:tcW w:w="600" w:type="dxa"/>
            <w:tcBorders>
              <w:top w:val="nil"/>
              <w:left w:val="single" w:color="auto" w:sz="4" w:space="0"/>
              <w:bottom w:val="single" w:color="auto" w:sz="4" w:space="0"/>
              <w:right w:val="single" w:color="auto" w:sz="4" w:space="0"/>
            </w:tcBorders>
            <w:noWrap/>
            <w:vAlign w:val="center"/>
          </w:tcPr>
          <w:p w14:paraId="07046C4A">
            <w:pPr>
              <w:jc w:val="center"/>
              <w:rPr>
                <w:rFonts w:ascii="宋体" w:cs="宋体"/>
                <w:kern w:val="0"/>
                <w:sz w:val="20"/>
                <w:szCs w:val="20"/>
              </w:rPr>
            </w:pPr>
            <w:r>
              <w:rPr>
                <w:rFonts w:ascii="宋体" w:hAnsi="宋体" w:cs="宋体"/>
                <w:kern w:val="0"/>
                <w:sz w:val="20"/>
                <w:szCs w:val="20"/>
              </w:rPr>
              <w:t>9</w:t>
            </w:r>
          </w:p>
        </w:tc>
        <w:tc>
          <w:tcPr>
            <w:tcW w:w="1560" w:type="dxa"/>
            <w:tcBorders>
              <w:top w:val="nil"/>
              <w:left w:val="nil"/>
              <w:bottom w:val="single" w:color="auto" w:sz="4" w:space="0"/>
              <w:right w:val="single" w:color="auto" w:sz="4" w:space="0"/>
            </w:tcBorders>
            <w:vAlign w:val="center"/>
          </w:tcPr>
          <w:p w14:paraId="1C829BE9">
            <w:pPr>
              <w:jc w:val="left"/>
              <w:rPr>
                <w:rFonts w:ascii="宋体" w:cs="宋体"/>
                <w:kern w:val="0"/>
                <w:sz w:val="20"/>
                <w:szCs w:val="20"/>
              </w:rPr>
            </w:pPr>
            <w:r>
              <w:rPr>
                <w:rFonts w:hint="eastAsia" w:ascii="宋体" w:hAnsi="宋体" w:cs="宋体"/>
                <w:kern w:val="0"/>
                <w:sz w:val="20"/>
                <w:szCs w:val="20"/>
              </w:rPr>
              <w:t>湘潭市天然气供气管道提质改造及延伸项目</w:t>
            </w:r>
          </w:p>
        </w:tc>
        <w:tc>
          <w:tcPr>
            <w:tcW w:w="830" w:type="dxa"/>
            <w:tcBorders>
              <w:top w:val="nil"/>
              <w:left w:val="nil"/>
              <w:bottom w:val="single" w:color="auto" w:sz="4" w:space="0"/>
              <w:right w:val="single" w:color="auto" w:sz="4" w:space="0"/>
            </w:tcBorders>
            <w:noWrap/>
            <w:vAlign w:val="center"/>
          </w:tcPr>
          <w:p w14:paraId="56840368">
            <w:pPr>
              <w:jc w:val="center"/>
              <w:rPr>
                <w:rFonts w:ascii="宋体" w:cs="宋体"/>
                <w:kern w:val="0"/>
                <w:sz w:val="20"/>
                <w:szCs w:val="20"/>
              </w:rPr>
            </w:pPr>
            <w:r>
              <w:rPr>
                <w:rFonts w:hint="eastAsia" w:ascii="宋体" w:hAnsi="宋体" w:cs="宋体"/>
                <w:kern w:val="0"/>
                <w:sz w:val="20"/>
                <w:szCs w:val="20"/>
              </w:rPr>
              <w:t>续建</w:t>
            </w:r>
          </w:p>
        </w:tc>
        <w:tc>
          <w:tcPr>
            <w:tcW w:w="1360" w:type="dxa"/>
            <w:tcBorders>
              <w:top w:val="nil"/>
              <w:left w:val="nil"/>
              <w:bottom w:val="single" w:color="auto" w:sz="4" w:space="0"/>
              <w:right w:val="single" w:color="auto" w:sz="4" w:space="0"/>
            </w:tcBorders>
            <w:noWrap/>
            <w:vAlign w:val="center"/>
          </w:tcPr>
          <w:p w14:paraId="33814B34">
            <w:pPr>
              <w:jc w:val="center"/>
              <w:rPr>
                <w:rFonts w:ascii="宋体" w:cs="宋体"/>
                <w:kern w:val="0"/>
                <w:sz w:val="20"/>
                <w:szCs w:val="20"/>
              </w:rPr>
            </w:pPr>
            <w:r>
              <w:rPr>
                <w:rFonts w:hint="eastAsia" w:ascii="宋体" w:hAnsi="宋体" w:cs="宋体"/>
                <w:kern w:val="0"/>
                <w:sz w:val="20"/>
                <w:szCs w:val="20"/>
              </w:rPr>
              <w:t>湘潭市城区</w:t>
            </w:r>
          </w:p>
        </w:tc>
        <w:tc>
          <w:tcPr>
            <w:tcW w:w="1840" w:type="dxa"/>
            <w:tcBorders>
              <w:top w:val="nil"/>
              <w:left w:val="nil"/>
              <w:bottom w:val="single" w:color="auto" w:sz="4" w:space="0"/>
              <w:right w:val="single" w:color="auto" w:sz="4" w:space="0"/>
            </w:tcBorders>
            <w:vAlign w:val="center"/>
          </w:tcPr>
          <w:p w14:paraId="6A4F44E6">
            <w:pPr>
              <w:jc w:val="left"/>
              <w:rPr>
                <w:rFonts w:ascii="宋体" w:cs="宋体"/>
                <w:kern w:val="0"/>
                <w:sz w:val="20"/>
                <w:szCs w:val="20"/>
              </w:rPr>
            </w:pPr>
            <w:r>
              <w:rPr>
                <w:rFonts w:hint="eastAsia" w:ascii="宋体" w:hAnsi="宋体" w:cs="宋体"/>
                <w:kern w:val="0"/>
                <w:sz w:val="20"/>
                <w:szCs w:val="20"/>
              </w:rPr>
              <w:t>湘潭新奥燃气有限公司</w:t>
            </w:r>
          </w:p>
        </w:tc>
        <w:tc>
          <w:tcPr>
            <w:tcW w:w="4740" w:type="dxa"/>
            <w:tcBorders>
              <w:top w:val="nil"/>
              <w:left w:val="nil"/>
              <w:bottom w:val="single" w:color="auto" w:sz="4" w:space="0"/>
              <w:right w:val="single" w:color="auto" w:sz="4" w:space="0"/>
            </w:tcBorders>
            <w:vAlign w:val="center"/>
          </w:tcPr>
          <w:p w14:paraId="59215DAB">
            <w:pPr>
              <w:jc w:val="left"/>
              <w:rPr>
                <w:rFonts w:ascii="宋体" w:cs="宋体"/>
                <w:kern w:val="0"/>
                <w:sz w:val="20"/>
                <w:szCs w:val="20"/>
              </w:rPr>
            </w:pPr>
            <w:r>
              <w:rPr>
                <w:rFonts w:hint="eastAsia" w:ascii="宋体" w:hAnsi="宋体" w:cs="宋体"/>
                <w:kern w:val="0"/>
                <w:sz w:val="20"/>
                <w:szCs w:val="20"/>
              </w:rPr>
              <w:t>更新改造老旧市政燃气管道</w:t>
            </w:r>
            <w:r>
              <w:rPr>
                <w:rFonts w:ascii="宋体" w:hAnsi="宋体" w:cs="宋体"/>
                <w:kern w:val="0"/>
                <w:sz w:val="20"/>
                <w:szCs w:val="20"/>
              </w:rPr>
              <w:t>35.26</w:t>
            </w:r>
            <w:r>
              <w:rPr>
                <w:rFonts w:hint="eastAsia" w:ascii="宋体" w:hAnsi="宋体" w:cs="宋体"/>
                <w:kern w:val="0"/>
                <w:sz w:val="20"/>
                <w:szCs w:val="20"/>
              </w:rPr>
              <w:t>公里，其中涉及</w:t>
            </w:r>
            <w:r>
              <w:rPr>
                <w:rFonts w:ascii="宋体" w:hAnsi="宋体" w:cs="宋体"/>
                <w:kern w:val="0"/>
                <w:sz w:val="20"/>
                <w:szCs w:val="20"/>
              </w:rPr>
              <w:t>23</w:t>
            </w:r>
            <w:r>
              <w:rPr>
                <w:rFonts w:hint="eastAsia" w:ascii="宋体" w:hAnsi="宋体" w:cs="宋体"/>
                <w:kern w:val="0"/>
                <w:sz w:val="20"/>
                <w:szCs w:val="20"/>
              </w:rPr>
              <w:t>处城区主干道；对</w:t>
            </w:r>
            <w:r>
              <w:rPr>
                <w:rFonts w:ascii="宋体" w:hAnsi="宋体" w:cs="宋体"/>
                <w:kern w:val="0"/>
                <w:sz w:val="20"/>
                <w:szCs w:val="20"/>
              </w:rPr>
              <w:t>33</w:t>
            </w:r>
            <w:r>
              <w:rPr>
                <w:rFonts w:hint="eastAsia" w:ascii="宋体" w:hAnsi="宋体" w:cs="宋体"/>
                <w:kern w:val="0"/>
                <w:sz w:val="20"/>
                <w:szCs w:val="20"/>
              </w:rPr>
              <w:t>个城郊村和</w:t>
            </w:r>
            <w:r>
              <w:rPr>
                <w:rFonts w:ascii="宋体" w:hAnsi="宋体" w:cs="宋体"/>
                <w:kern w:val="0"/>
                <w:sz w:val="20"/>
                <w:szCs w:val="20"/>
              </w:rPr>
              <w:t>27</w:t>
            </w:r>
            <w:r>
              <w:rPr>
                <w:rFonts w:hint="eastAsia" w:ascii="宋体" w:hAnsi="宋体" w:cs="宋体"/>
                <w:kern w:val="0"/>
                <w:sz w:val="20"/>
                <w:szCs w:val="20"/>
              </w:rPr>
              <w:t>个棚户社区、总户数约</w:t>
            </w:r>
            <w:r>
              <w:rPr>
                <w:rFonts w:ascii="宋体" w:hAnsi="宋体" w:cs="宋体"/>
                <w:kern w:val="0"/>
                <w:sz w:val="20"/>
                <w:szCs w:val="20"/>
              </w:rPr>
              <w:t>17854</w:t>
            </w:r>
            <w:r>
              <w:rPr>
                <w:rFonts w:hint="eastAsia" w:ascii="宋体" w:hAnsi="宋体" w:cs="宋体"/>
                <w:kern w:val="0"/>
                <w:sz w:val="20"/>
                <w:szCs w:val="20"/>
              </w:rPr>
              <w:t>户的居民用户稳步推动管道天然气的安装。</w:t>
            </w:r>
          </w:p>
        </w:tc>
        <w:tc>
          <w:tcPr>
            <w:tcW w:w="794" w:type="dxa"/>
            <w:tcBorders>
              <w:top w:val="nil"/>
              <w:left w:val="nil"/>
              <w:bottom w:val="single" w:color="auto" w:sz="4" w:space="0"/>
              <w:right w:val="single" w:color="auto" w:sz="4" w:space="0"/>
            </w:tcBorders>
            <w:noWrap/>
            <w:vAlign w:val="center"/>
          </w:tcPr>
          <w:p w14:paraId="0617503B">
            <w:pPr>
              <w:jc w:val="center"/>
              <w:rPr>
                <w:rFonts w:ascii="宋体" w:cs="宋体"/>
                <w:kern w:val="0"/>
                <w:sz w:val="20"/>
                <w:szCs w:val="20"/>
              </w:rPr>
            </w:pPr>
            <w:r>
              <w:rPr>
                <w:rFonts w:ascii="宋体" w:hAnsi="宋体" w:cs="宋体"/>
                <w:kern w:val="0"/>
                <w:sz w:val="20"/>
                <w:szCs w:val="20"/>
              </w:rPr>
              <w:t>2020</w:t>
            </w:r>
          </w:p>
        </w:tc>
        <w:tc>
          <w:tcPr>
            <w:tcW w:w="794" w:type="dxa"/>
            <w:tcBorders>
              <w:top w:val="nil"/>
              <w:left w:val="nil"/>
              <w:bottom w:val="single" w:color="auto" w:sz="4" w:space="0"/>
              <w:right w:val="single" w:color="auto" w:sz="4" w:space="0"/>
            </w:tcBorders>
            <w:noWrap/>
            <w:vAlign w:val="center"/>
          </w:tcPr>
          <w:p w14:paraId="72313C3C">
            <w:pPr>
              <w:jc w:val="center"/>
              <w:rPr>
                <w:rFonts w:ascii="宋体" w:cs="宋体"/>
                <w:kern w:val="0"/>
                <w:sz w:val="20"/>
                <w:szCs w:val="20"/>
              </w:rPr>
            </w:pPr>
            <w:r>
              <w:rPr>
                <w:rFonts w:ascii="宋体" w:hAnsi="宋体" w:cs="宋体"/>
                <w:kern w:val="0"/>
                <w:sz w:val="20"/>
                <w:szCs w:val="20"/>
              </w:rPr>
              <w:t>2023</w:t>
            </w:r>
          </w:p>
        </w:tc>
        <w:tc>
          <w:tcPr>
            <w:tcW w:w="1033" w:type="dxa"/>
            <w:tcBorders>
              <w:top w:val="nil"/>
              <w:left w:val="nil"/>
              <w:bottom w:val="single" w:color="auto" w:sz="4" w:space="0"/>
              <w:right w:val="single" w:color="auto" w:sz="4" w:space="0"/>
            </w:tcBorders>
            <w:noWrap/>
            <w:vAlign w:val="center"/>
          </w:tcPr>
          <w:p w14:paraId="108A7D99">
            <w:pPr>
              <w:jc w:val="center"/>
              <w:rPr>
                <w:rFonts w:ascii="宋体" w:cs="宋体"/>
                <w:kern w:val="0"/>
                <w:sz w:val="20"/>
                <w:szCs w:val="20"/>
              </w:rPr>
            </w:pPr>
            <w:r>
              <w:rPr>
                <w:rFonts w:ascii="宋体" w:hAnsi="宋体" w:cs="宋体"/>
                <w:kern w:val="0"/>
                <w:sz w:val="20"/>
                <w:szCs w:val="20"/>
              </w:rPr>
              <w:t xml:space="preserve">28,250 </w:t>
            </w:r>
          </w:p>
        </w:tc>
        <w:tc>
          <w:tcPr>
            <w:tcW w:w="2209" w:type="dxa"/>
            <w:tcBorders>
              <w:top w:val="nil"/>
              <w:left w:val="nil"/>
              <w:bottom w:val="single" w:color="auto" w:sz="4" w:space="0"/>
              <w:right w:val="single" w:color="auto" w:sz="4" w:space="0"/>
            </w:tcBorders>
            <w:vAlign w:val="center"/>
          </w:tcPr>
          <w:p w14:paraId="2838B0D9">
            <w:pPr>
              <w:jc w:val="left"/>
              <w:rPr>
                <w:rFonts w:ascii="宋体" w:cs="宋体"/>
                <w:kern w:val="0"/>
                <w:sz w:val="20"/>
                <w:szCs w:val="20"/>
              </w:rPr>
            </w:pPr>
            <w:r>
              <w:rPr>
                <w:rFonts w:hint="eastAsia" w:ascii="宋体" w:hAnsi="宋体" w:cs="宋体"/>
                <w:kern w:val="0"/>
                <w:sz w:val="20"/>
                <w:szCs w:val="20"/>
              </w:rPr>
              <w:t>企业自筹</w:t>
            </w:r>
            <w:r>
              <w:rPr>
                <w:rFonts w:ascii="宋体" w:hAnsi="宋体" w:cs="宋体"/>
                <w:kern w:val="0"/>
                <w:sz w:val="20"/>
                <w:szCs w:val="20"/>
              </w:rPr>
              <w:t>+</w:t>
            </w:r>
            <w:r>
              <w:rPr>
                <w:rFonts w:hint="eastAsia" w:ascii="宋体" w:hAnsi="宋体" w:cs="宋体"/>
                <w:kern w:val="0"/>
                <w:sz w:val="20"/>
                <w:szCs w:val="20"/>
              </w:rPr>
              <w:t>政府专项资金补助</w:t>
            </w:r>
          </w:p>
        </w:tc>
      </w:tr>
      <w:tr w14:paraId="0E0B1528">
        <w:tblPrEx>
          <w:tblCellMar>
            <w:top w:w="0" w:type="dxa"/>
            <w:left w:w="108" w:type="dxa"/>
            <w:bottom w:w="0" w:type="dxa"/>
            <w:right w:w="108" w:type="dxa"/>
          </w:tblCellMar>
        </w:tblPrEx>
        <w:trPr>
          <w:trHeight w:val="735" w:hRule="atLeast"/>
        </w:trPr>
        <w:tc>
          <w:tcPr>
            <w:tcW w:w="600" w:type="dxa"/>
            <w:tcBorders>
              <w:top w:val="nil"/>
              <w:left w:val="single" w:color="auto" w:sz="4" w:space="0"/>
              <w:bottom w:val="single" w:color="auto" w:sz="4" w:space="0"/>
              <w:right w:val="single" w:color="auto" w:sz="4" w:space="0"/>
            </w:tcBorders>
            <w:noWrap/>
            <w:vAlign w:val="center"/>
          </w:tcPr>
          <w:p w14:paraId="6D2A35D8">
            <w:pPr>
              <w:jc w:val="center"/>
              <w:rPr>
                <w:rFonts w:ascii="宋体" w:cs="宋体"/>
                <w:kern w:val="0"/>
                <w:sz w:val="20"/>
                <w:szCs w:val="20"/>
              </w:rPr>
            </w:pPr>
            <w:r>
              <w:rPr>
                <w:rFonts w:ascii="宋体" w:hAnsi="宋体" w:cs="宋体"/>
                <w:kern w:val="0"/>
                <w:sz w:val="20"/>
                <w:szCs w:val="20"/>
              </w:rPr>
              <w:t>10</w:t>
            </w:r>
          </w:p>
        </w:tc>
        <w:tc>
          <w:tcPr>
            <w:tcW w:w="1560" w:type="dxa"/>
            <w:tcBorders>
              <w:top w:val="nil"/>
              <w:left w:val="nil"/>
              <w:bottom w:val="single" w:color="auto" w:sz="4" w:space="0"/>
              <w:right w:val="single" w:color="auto" w:sz="4" w:space="0"/>
            </w:tcBorders>
            <w:vAlign w:val="center"/>
          </w:tcPr>
          <w:p w14:paraId="46D5A571">
            <w:pPr>
              <w:jc w:val="left"/>
              <w:rPr>
                <w:rFonts w:ascii="宋体" w:cs="宋体"/>
                <w:kern w:val="0"/>
                <w:sz w:val="20"/>
                <w:szCs w:val="20"/>
              </w:rPr>
            </w:pPr>
            <w:r>
              <w:rPr>
                <w:rFonts w:hint="eastAsia" w:ascii="宋体" w:hAnsi="宋体" w:cs="宋体"/>
                <w:kern w:val="0"/>
                <w:sz w:val="20"/>
                <w:szCs w:val="20"/>
              </w:rPr>
              <w:t>湘潭市天然气利用工程</w:t>
            </w:r>
          </w:p>
        </w:tc>
        <w:tc>
          <w:tcPr>
            <w:tcW w:w="830" w:type="dxa"/>
            <w:tcBorders>
              <w:top w:val="nil"/>
              <w:left w:val="nil"/>
              <w:bottom w:val="single" w:color="auto" w:sz="4" w:space="0"/>
              <w:right w:val="single" w:color="auto" w:sz="4" w:space="0"/>
            </w:tcBorders>
            <w:noWrap/>
            <w:vAlign w:val="center"/>
          </w:tcPr>
          <w:p w14:paraId="7718CBE1">
            <w:pPr>
              <w:jc w:val="center"/>
              <w:rPr>
                <w:rFonts w:ascii="宋体" w:cs="宋体"/>
                <w:kern w:val="0"/>
                <w:sz w:val="20"/>
                <w:szCs w:val="20"/>
              </w:rPr>
            </w:pPr>
            <w:r>
              <w:rPr>
                <w:rFonts w:hint="eastAsia" w:ascii="宋体" w:hAnsi="宋体" w:cs="宋体"/>
                <w:kern w:val="0"/>
                <w:sz w:val="20"/>
                <w:szCs w:val="20"/>
              </w:rPr>
              <w:t>新建</w:t>
            </w:r>
          </w:p>
        </w:tc>
        <w:tc>
          <w:tcPr>
            <w:tcW w:w="1360" w:type="dxa"/>
            <w:tcBorders>
              <w:top w:val="nil"/>
              <w:left w:val="nil"/>
              <w:bottom w:val="single" w:color="auto" w:sz="4" w:space="0"/>
              <w:right w:val="single" w:color="auto" w:sz="4" w:space="0"/>
            </w:tcBorders>
            <w:noWrap/>
            <w:vAlign w:val="center"/>
          </w:tcPr>
          <w:p w14:paraId="5262888A">
            <w:pPr>
              <w:jc w:val="center"/>
              <w:rPr>
                <w:rFonts w:ascii="宋体" w:cs="宋体"/>
                <w:kern w:val="0"/>
                <w:sz w:val="20"/>
                <w:szCs w:val="20"/>
              </w:rPr>
            </w:pPr>
            <w:r>
              <w:rPr>
                <w:rFonts w:hint="eastAsia" w:ascii="宋体" w:hAnsi="宋体" w:cs="宋体"/>
                <w:kern w:val="0"/>
                <w:sz w:val="20"/>
                <w:szCs w:val="20"/>
              </w:rPr>
              <w:t>湘潭市城区</w:t>
            </w:r>
          </w:p>
        </w:tc>
        <w:tc>
          <w:tcPr>
            <w:tcW w:w="1840" w:type="dxa"/>
            <w:tcBorders>
              <w:top w:val="nil"/>
              <w:left w:val="nil"/>
              <w:bottom w:val="single" w:color="auto" w:sz="4" w:space="0"/>
              <w:right w:val="single" w:color="auto" w:sz="4" w:space="0"/>
            </w:tcBorders>
            <w:vAlign w:val="center"/>
          </w:tcPr>
          <w:p w14:paraId="48127D93">
            <w:pPr>
              <w:jc w:val="left"/>
              <w:rPr>
                <w:rFonts w:ascii="宋体" w:cs="宋体"/>
                <w:kern w:val="0"/>
                <w:sz w:val="20"/>
                <w:szCs w:val="20"/>
              </w:rPr>
            </w:pPr>
            <w:r>
              <w:rPr>
                <w:rFonts w:hint="eastAsia" w:ascii="宋体" w:hAnsi="宋体" w:cs="宋体"/>
                <w:kern w:val="0"/>
                <w:sz w:val="20"/>
                <w:szCs w:val="20"/>
              </w:rPr>
              <w:t>湘潭新奥燃气有限公司</w:t>
            </w:r>
          </w:p>
        </w:tc>
        <w:tc>
          <w:tcPr>
            <w:tcW w:w="4740" w:type="dxa"/>
            <w:tcBorders>
              <w:top w:val="nil"/>
              <w:left w:val="nil"/>
              <w:bottom w:val="single" w:color="auto" w:sz="4" w:space="0"/>
              <w:right w:val="single" w:color="auto" w:sz="4" w:space="0"/>
            </w:tcBorders>
            <w:vAlign w:val="center"/>
          </w:tcPr>
          <w:p w14:paraId="405DE4D6">
            <w:pPr>
              <w:jc w:val="left"/>
              <w:rPr>
                <w:rFonts w:ascii="宋体" w:cs="宋体"/>
                <w:kern w:val="0"/>
                <w:sz w:val="20"/>
                <w:szCs w:val="20"/>
              </w:rPr>
            </w:pPr>
            <w:r>
              <w:rPr>
                <w:rFonts w:ascii="宋体" w:hAnsi="宋体" w:cs="宋体"/>
                <w:kern w:val="0"/>
                <w:sz w:val="20"/>
                <w:szCs w:val="20"/>
              </w:rPr>
              <w:t>10</w:t>
            </w:r>
            <w:r>
              <w:rPr>
                <w:rFonts w:hint="eastAsia" w:ascii="宋体" w:hAnsi="宋体" w:cs="宋体"/>
                <w:kern w:val="0"/>
                <w:sz w:val="20"/>
                <w:szCs w:val="20"/>
              </w:rPr>
              <w:t>万</w:t>
            </w:r>
            <w:r>
              <w:rPr>
                <w:rFonts w:ascii="宋体" w:hAnsi="宋体" w:cs="宋体"/>
                <w:kern w:val="0"/>
                <w:sz w:val="20"/>
                <w:szCs w:val="20"/>
              </w:rPr>
              <w:t>m</w:t>
            </w:r>
            <w:r>
              <w:rPr>
                <w:rFonts w:hint="eastAsia" w:ascii="宋体" w:hAnsi="宋体" w:cs="宋体"/>
                <w:kern w:val="0"/>
                <w:sz w:val="20"/>
                <w:szCs w:val="20"/>
              </w:rPr>
              <w:t>³天然气调峰储气设施及</w:t>
            </w:r>
            <w:r>
              <w:rPr>
                <w:rFonts w:ascii="宋体" w:hAnsi="宋体" w:cs="宋体"/>
                <w:kern w:val="0"/>
                <w:sz w:val="20"/>
                <w:szCs w:val="20"/>
              </w:rPr>
              <w:t>50</w:t>
            </w:r>
            <w:r>
              <w:rPr>
                <w:rFonts w:hint="eastAsia" w:ascii="宋体" w:hAnsi="宋体" w:cs="宋体"/>
                <w:kern w:val="0"/>
                <w:sz w:val="20"/>
                <w:szCs w:val="20"/>
              </w:rPr>
              <w:t>公里城市中压主干管</w:t>
            </w:r>
          </w:p>
        </w:tc>
        <w:tc>
          <w:tcPr>
            <w:tcW w:w="794" w:type="dxa"/>
            <w:tcBorders>
              <w:top w:val="nil"/>
              <w:left w:val="nil"/>
              <w:bottom w:val="single" w:color="auto" w:sz="4" w:space="0"/>
              <w:right w:val="single" w:color="auto" w:sz="4" w:space="0"/>
            </w:tcBorders>
            <w:noWrap/>
            <w:vAlign w:val="center"/>
          </w:tcPr>
          <w:p w14:paraId="1929E8CA">
            <w:pPr>
              <w:jc w:val="center"/>
              <w:rPr>
                <w:rFonts w:ascii="宋体" w:cs="宋体"/>
                <w:kern w:val="0"/>
                <w:sz w:val="20"/>
                <w:szCs w:val="20"/>
              </w:rPr>
            </w:pPr>
            <w:r>
              <w:rPr>
                <w:rFonts w:ascii="宋体" w:hAnsi="宋体" w:cs="宋体"/>
                <w:kern w:val="0"/>
                <w:sz w:val="20"/>
                <w:szCs w:val="20"/>
              </w:rPr>
              <w:t>2021</w:t>
            </w:r>
          </w:p>
        </w:tc>
        <w:tc>
          <w:tcPr>
            <w:tcW w:w="794" w:type="dxa"/>
            <w:tcBorders>
              <w:top w:val="nil"/>
              <w:left w:val="nil"/>
              <w:bottom w:val="single" w:color="auto" w:sz="4" w:space="0"/>
              <w:right w:val="single" w:color="auto" w:sz="4" w:space="0"/>
            </w:tcBorders>
            <w:noWrap/>
            <w:vAlign w:val="center"/>
          </w:tcPr>
          <w:p w14:paraId="08FED960">
            <w:pPr>
              <w:jc w:val="center"/>
              <w:rPr>
                <w:rFonts w:ascii="宋体" w:cs="宋体"/>
                <w:kern w:val="0"/>
                <w:sz w:val="20"/>
                <w:szCs w:val="20"/>
              </w:rPr>
            </w:pPr>
            <w:r>
              <w:rPr>
                <w:rFonts w:ascii="宋体" w:hAnsi="宋体" w:cs="宋体"/>
                <w:kern w:val="0"/>
                <w:sz w:val="20"/>
                <w:szCs w:val="20"/>
              </w:rPr>
              <w:t>2025</w:t>
            </w:r>
          </w:p>
        </w:tc>
        <w:tc>
          <w:tcPr>
            <w:tcW w:w="1033" w:type="dxa"/>
            <w:tcBorders>
              <w:top w:val="nil"/>
              <w:left w:val="nil"/>
              <w:bottom w:val="single" w:color="auto" w:sz="4" w:space="0"/>
              <w:right w:val="single" w:color="auto" w:sz="4" w:space="0"/>
            </w:tcBorders>
            <w:noWrap/>
            <w:vAlign w:val="center"/>
          </w:tcPr>
          <w:p w14:paraId="4FC62AAF">
            <w:pPr>
              <w:jc w:val="center"/>
              <w:rPr>
                <w:rFonts w:ascii="宋体" w:cs="宋体"/>
                <w:kern w:val="0"/>
                <w:sz w:val="20"/>
                <w:szCs w:val="20"/>
              </w:rPr>
            </w:pPr>
            <w:r>
              <w:rPr>
                <w:rFonts w:ascii="宋体" w:hAnsi="宋体" w:cs="宋体"/>
                <w:kern w:val="0"/>
                <w:sz w:val="20"/>
                <w:szCs w:val="20"/>
              </w:rPr>
              <w:t xml:space="preserve">9,500 </w:t>
            </w:r>
          </w:p>
        </w:tc>
        <w:tc>
          <w:tcPr>
            <w:tcW w:w="2209" w:type="dxa"/>
            <w:tcBorders>
              <w:top w:val="nil"/>
              <w:left w:val="nil"/>
              <w:bottom w:val="single" w:color="auto" w:sz="4" w:space="0"/>
              <w:right w:val="single" w:color="auto" w:sz="4" w:space="0"/>
            </w:tcBorders>
            <w:vAlign w:val="center"/>
          </w:tcPr>
          <w:p w14:paraId="31E17BF7">
            <w:pPr>
              <w:jc w:val="left"/>
              <w:rPr>
                <w:rFonts w:ascii="宋体" w:cs="宋体"/>
                <w:kern w:val="0"/>
                <w:sz w:val="20"/>
                <w:szCs w:val="20"/>
              </w:rPr>
            </w:pPr>
            <w:r>
              <w:rPr>
                <w:rFonts w:hint="eastAsia" w:ascii="宋体" w:hAnsi="宋体" w:cs="宋体"/>
                <w:kern w:val="0"/>
                <w:sz w:val="20"/>
                <w:szCs w:val="20"/>
              </w:rPr>
              <w:t>企业自筹</w:t>
            </w:r>
            <w:r>
              <w:rPr>
                <w:rFonts w:ascii="宋体" w:hAnsi="宋体" w:cs="宋体"/>
                <w:kern w:val="0"/>
                <w:sz w:val="20"/>
                <w:szCs w:val="20"/>
              </w:rPr>
              <w:t>+</w:t>
            </w:r>
            <w:r>
              <w:rPr>
                <w:rFonts w:hint="eastAsia" w:ascii="宋体" w:hAnsi="宋体" w:cs="宋体"/>
                <w:kern w:val="0"/>
                <w:sz w:val="20"/>
                <w:szCs w:val="20"/>
              </w:rPr>
              <w:t>政府专项资金补助</w:t>
            </w:r>
          </w:p>
        </w:tc>
      </w:tr>
      <w:tr w14:paraId="2FEFF8B5">
        <w:tblPrEx>
          <w:tblCellMar>
            <w:top w:w="0" w:type="dxa"/>
            <w:left w:w="108" w:type="dxa"/>
            <w:bottom w:w="0" w:type="dxa"/>
            <w:right w:w="108" w:type="dxa"/>
          </w:tblCellMar>
        </w:tblPrEx>
        <w:trPr>
          <w:trHeight w:val="735" w:hRule="atLeast"/>
        </w:trPr>
        <w:tc>
          <w:tcPr>
            <w:tcW w:w="600" w:type="dxa"/>
            <w:tcBorders>
              <w:top w:val="nil"/>
              <w:left w:val="single" w:color="auto" w:sz="4" w:space="0"/>
              <w:bottom w:val="single" w:color="auto" w:sz="4" w:space="0"/>
              <w:right w:val="single" w:color="auto" w:sz="4" w:space="0"/>
            </w:tcBorders>
            <w:noWrap/>
            <w:vAlign w:val="center"/>
          </w:tcPr>
          <w:p w14:paraId="768FFB81">
            <w:pPr>
              <w:jc w:val="center"/>
              <w:rPr>
                <w:rFonts w:ascii="宋体" w:cs="宋体"/>
                <w:kern w:val="0"/>
                <w:sz w:val="20"/>
                <w:szCs w:val="20"/>
              </w:rPr>
            </w:pPr>
            <w:r>
              <w:rPr>
                <w:rFonts w:ascii="宋体" w:hAnsi="宋体" w:cs="宋体"/>
                <w:kern w:val="0"/>
                <w:sz w:val="20"/>
                <w:szCs w:val="20"/>
              </w:rPr>
              <w:t>11</w:t>
            </w:r>
          </w:p>
        </w:tc>
        <w:tc>
          <w:tcPr>
            <w:tcW w:w="1560" w:type="dxa"/>
            <w:tcBorders>
              <w:top w:val="nil"/>
              <w:left w:val="nil"/>
              <w:bottom w:val="single" w:color="auto" w:sz="4" w:space="0"/>
              <w:right w:val="single" w:color="auto" w:sz="4" w:space="0"/>
            </w:tcBorders>
            <w:vAlign w:val="center"/>
          </w:tcPr>
          <w:p w14:paraId="478026E4">
            <w:pPr>
              <w:jc w:val="left"/>
              <w:rPr>
                <w:rFonts w:ascii="宋体" w:cs="宋体"/>
                <w:kern w:val="0"/>
                <w:sz w:val="20"/>
                <w:szCs w:val="20"/>
              </w:rPr>
            </w:pPr>
            <w:r>
              <w:rPr>
                <w:rFonts w:hint="eastAsia" w:ascii="宋体" w:hAnsi="宋体" w:cs="宋体"/>
                <w:kern w:val="0"/>
                <w:sz w:val="20"/>
                <w:szCs w:val="20"/>
              </w:rPr>
              <w:t>老旧小区改造（燃气管道）</w:t>
            </w:r>
          </w:p>
        </w:tc>
        <w:tc>
          <w:tcPr>
            <w:tcW w:w="830" w:type="dxa"/>
            <w:tcBorders>
              <w:top w:val="nil"/>
              <w:left w:val="nil"/>
              <w:bottom w:val="single" w:color="auto" w:sz="4" w:space="0"/>
              <w:right w:val="single" w:color="auto" w:sz="4" w:space="0"/>
            </w:tcBorders>
            <w:noWrap/>
            <w:vAlign w:val="center"/>
          </w:tcPr>
          <w:p w14:paraId="6E2810C4">
            <w:pPr>
              <w:jc w:val="center"/>
              <w:rPr>
                <w:rFonts w:ascii="宋体" w:cs="宋体"/>
                <w:kern w:val="0"/>
                <w:sz w:val="20"/>
                <w:szCs w:val="20"/>
              </w:rPr>
            </w:pPr>
            <w:r>
              <w:rPr>
                <w:rFonts w:hint="eastAsia" w:ascii="宋体" w:hAnsi="宋体" w:cs="宋体"/>
                <w:kern w:val="0"/>
                <w:sz w:val="20"/>
                <w:szCs w:val="20"/>
              </w:rPr>
              <w:t>改建</w:t>
            </w:r>
          </w:p>
        </w:tc>
        <w:tc>
          <w:tcPr>
            <w:tcW w:w="1360" w:type="dxa"/>
            <w:tcBorders>
              <w:top w:val="nil"/>
              <w:left w:val="nil"/>
              <w:bottom w:val="single" w:color="auto" w:sz="4" w:space="0"/>
              <w:right w:val="single" w:color="auto" w:sz="4" w:space="0"/>
            </w:tcBorders>
            <w:noWrap/>
            <w:vAlign w:val="center"/>
          </w:tcPr>
          <w:p w14:paraId="133B71D0">
            <w:pPr>
              <w:jc w:val="center"/>
              <w:rPr>
                <w:rFonts w:ascii="宋体" w:cs="宋体"/>
                <w:kern w:val="0"/>
                <w:sz w:val="20"/>
                <w:szCs w:val="20"/>
              </w:rPr>
            </w:pPr>
            <w:r>
              <w:rPr>
                <w:rFonts w:hint="eastAsia" w:ascii="宋体" w:hAnsi="宋体" w:cs="宋体"/>
                <w:kern w:val="0"/>
                <w:sz w:val="20"/>
                <w:szCs w:val="20"/>
              </w:rPr>
              <w:t>湘潭市城区</w:t>
            </w:r>
          </w:p>
        </w:tc>
        <w:tc>
          <w:tcPr>
            <w:tcW w:w="1840" w:type="dxa"/>
            <w:tcBorders>
              <w:top w:val="nil"/>
              <w:left w:val="nil"/>
              <w:bottom w:val="single" w:color="auto" w:sz="4" w:space="0"/>
              <w:right w:val="single" w:color="auto" w:sz="4" w:space="0"/>
            </w:tcBorders>
            <w:vAlign w:val="center"/>
          </w:tcPr>
          <w:p w14:paraId="46FF58FD">
            <w:pPr>
              <w:jc w:val="left"/>
              <w:rPr>
                <w:rFonts w:ascii="宋体" w:cs="宋体"/>
                <w:kern w:val="0"/>
                <w:sz w:val="20"/>
                <w:szCs w:val="20"/>
              </w:rPr>
            </w:pPr>
            <w:r>
              <w:rPr>
                <w:rFonts w:hint="eastAsia" w:ascii="宋体" w:hAnsi="宋体" w:cs="宋体"/>
                <w:kern w:val="0"/>
                <w:sz w:val="20"/>
                <w:szCs w:val="20"/>
              </w:rPr>
              <w:t>湘潭新奥燃气有限公司</w:t>
            </w:r>
          </w:p>
        </w:tc>
        <w:tc>
          <w:tcPr>
            <w:tcW w:w="4740" w:type="dxa"/>
            <w:tcBorders>
              <w:top w:val="nil"/>
              <w:left w:val="nil"/>
              <w:bottom w:val="single" w:color="auto" w:sz="4" w:space="0"/>
              <w:right w:val="single" w:color="auto" w:sz="4" w:space="0"/>
            </w:tcBorders>
            <w:vAlign w:val="center"/>
          </w:tcPr>
          <w:p w14:paraId="052918A1">
            <w:pPr>
              <w:jc w:val="left"/>
              <w:rPr>
                <w:rFonts w:ascii="宋体" w:cs="宋体"/>
                <w:kern w:val="0"/>
                <w:sz w:val="20"/>
                <w:szCs w:val="20"/>
              </w:rPr>
            </w:pPr>
            <w:r>
              <w:rPr>
                <w:rFonts w:hint="eastAsia" w:ascii="宋体" w:hAnsi="宋体" w:cs="宋体"/>
                <w:kern w:val="0"/>
                <w:sz w:val="20"/>
                <w:szCs w:val="20"/>
              </w:rPr>
              <w:t>对湘潭市城区</w:t>
            </w:r>
            <w:r>
              <w:rPr>
                <w:rFonts w:ascii="宋体" w:hAnsi="宋体" w:cs="宋体"/>
                <w:kern w:val="0"/>
                <w:sz w:val="20"/>
                <w:szCs w:val="20"/>
              </w:rPr>
              <w:t>503</w:t>
            </w:r>
            <w:r>
              <w:rPr>
                <w:rFonts w:hint="eastAsia" w:ascii="宋体" w:hAnsi="宋体" w:cs="宋体"/>
                <w:kern w:val="0"/>
                <w:sz w:val="20"/>
                <w:szCs w:val="20"/>
              </w:rPr>
              <w:t>个老旧小区、</w:t>
            </w:r>
            <w:r>
              <w:rPr>
                <w:rFonts w:ascii="宋体" w:hAnsi="宋体" w:cs="宋体"/>
                <w:kern w:val="0"/>
                <w:sz w:val="20"/>
                <w:szCs w:val="20"/>
              </w:rPr>
              <w:t>2468</w:t>
            </w:r>
            <w:r>
              <w:rPr>
                <w:rFonts w:hint="eastAsia" w:ascii="宋体" w:hAnsi="宋体" w:cs="宋体"/>
                <w:kern w:val="0"/>
                <w:sz w:val="20"/>
                <w:szCs w:val="20"/>
              </w:rPr>
              <w:t>栋居民用户庭院管网共计</w:t>
            </w:r>
            <w:r>
              <w:rPr>
                <w:rFonts w:ascii="宋体" w:hAnsi="宋体" w:cs="宋体"/>
                <w:kern w:val="0"/>
                <w:sz w:val="20"/>
                <w:szCs w:val="20"/>
              </w:rPr>
              <w:t>57</w:t>
            </w:r>
            <w:r>
              <w:rPr>
                <w:rFonts w:hint="eastAsia" w:ascii="宋体" w:hAnsi="宋体" w:cs="宋体"/>
                <w:kern w:val="0"/>
                <w:sz w:val="20"/>
                <w:szCs w:val="20"/>
              </w:rPr>
              <w:t>公里改造建设。</w:t>
            </w:r>
          </w:p>
        </w:tc>
        <w:tc>
          <w:tcPr>
            <w:tcW w:w="794" w:type="dxa"/>
            <w:tcBorders>
              <w:top w:val="nil"/>
              <w:left w:val="nil"/>
              <w:bottom w:val="single" w:color="auto" w:sz="4" w:space="0"/>
              <w:right w:val="single" w:color="auto" w:sz="4" w:space="0"/>
            </w:tcBorders>
            <w:noWrap/>
            <w:vAlign w:val="center"/>
          </w:tcPr>
          <w:p w14:paraId="538FEACB">
            <w:pPr>
              <w:jc w:val="center"/>
              <w:rPr>
                <w:rFonts w:ascii="宋体" w:cs="宋体"/>
                <w:kern w:val="0"/>
                <w:sz w:val="20"/>
                <w:szCs w:val="20"/>
              </w:rPr>
            </w:pPr>
            <w:r>
              <w:rPr>
                <w:rFonts w:ascii="宋体" w:hAnsi="宋体" w:cs="宋体"/>
                <w:kern w:val="0"/>
                <w:sz w:val="20"/>
                <w:szCs w:val="20"/>
              </w:rPr>
              <w:t>2021</w:t>
            </w:r>
          </w:p>
        </w:tc>
        <w:tc>
          <w:tcPr>
            <w:tcW w:w="794" w:type="dxa"/>
            <w:tcBorders>
              <w:top w:val="nil"/>
              <w:left w:val="nil"/>
              <w:bottom w:val="single" w:color="auto" w:sz="4" w:space="0"/>
              <w:right w:val="single" w:color="auto" w:sz="4" w:space="0"/>
            </w:tcBorders>
            <w:noWrap/>
            <w:vAlign w:val="center"/>
          </w:tcPr>
          <w:p w14:paraId="662D17AB">
            <w:pPr>
              <w:jc w:val="center"/>
              <w:rPr>
                <w:rFonts w:ascii="宋体" w:cs="宋体"/>
                <w:kern w:val="0"/>
                <w:sz w:val="20"/>
                <w:szCs w:val="20"/>
              </w:rPr>
            </w:pPr>
            <w:r>
              <w:rPr>
                <w:rFonts w:ascii="宋体" w:hAnsi="宋体" w:cs="宋体"/>
                <w:kern w:val="0"/>
                <w:sz w:val="20"/>
                <w:szCs w:val="20"/>
              </w:rPr>
              <w:t>2023</w:t>
            </w:r>
          </w:p>
        </w:tc>
        <w:tc>
          <w:tcPr>
            <w:tcW w:w="1033" w:type="dxa"/>
            <w:tcBorders>
              <w:top w:val="nil"/>
              <w:left w:val="nil"/>
              <w:bottom w:val="single" w:color="auto" w:sz="4" w:space="0"/>
              <w:right w:val="single" w:color="auto" w:sz="4" w:space="0"/>
            </w:tcBorders>
            <w:noWrap/>
            <w:vAlign w:val="center"/>
          </w:tcPr>
          <w:p w14:paraId="3E65414C">
            <w:pPr>
              <w:jc w:val="center"/>
              <w:rPr>
                <w:rFonts w:ascii="宋体" w:cs="宋体"/>
                <w:kern w:val="0"/>
                <w:sz w:val="20"/>
                <w:szCs w:val="20"/>
              </w:rPr>
            </w:pPr>
            <w:r>
              <w:rPr>
                <w:rFonts w:ascii="宋体" w:hAnsi="宋体" w:cs="宋体"/>
                <w:kern w:val="0"/>
                <w:sz w:val="20"/>
                <w:szCs w:val="20"/>
              </w:rPr>
              <w:t xml:space="preserve">12,000 </w:t>
            </w:r>
          </w:p>
        </w:tc>
        <w:tc>
          <w:tcPr>
            <w:tcW w:w="2209" w:type="dxa"/>
            <w:tcBorders>
              <w:top w:val="nil"/>
              <w:left w:val="nil"/>
              <w:bottom w:val="single" w:color="auto" w:sz="4" w:space="0"/>
              <w:right w:val="single" w:color="auto" w:sz="4" w:space="0"/>
            </w:tcBorders>
            <w:vAlign w:val="center"/>
          </w:tcPr>
          <w:p w14:paraId="420F86DA">
            <w:pPr>
              <w:jc w:val="left"/>
              <w:rPr>
                <w:rFonts w:ascii="宋体" w:cs="宋体"/>
                <w:kern w:val="0"/>
                <w:sz w:val="20"/>
                <w:szCs w:val="20"/>
              </w:rPr>
            </w:pPr>
            <w:r>
              <w:rPr>
                <w:rFonts w:hint="eastAsia" w:ascii="宋体" w:hAnsi="宋体" w:cs="宋体"/>
                <w:kern w:val="0"/>
                <w:sz w:val="20"/>
                <w:szCs w:val="20"/>
              </w:rPr>
              <w:t>企业自筹</w:t>
            </w:r>
            <w:r>
              <w:rPr>
                <w:rFonts w:ascii="宋体" w:hAnsi="宋体" w:cs="宋体"/>
                <w:kern w:val="0"/>
                <w:sz w:val="20"/>
                <w:szCs w:val="20"/>
              </w:rPr>
              <w:t>+</w:t>
            </w:r>
            <w:r>
              <w:rPr>
                <w:rFonts w:hint="eastAsia" w:ascii="宋体" w:hAnsi="宋体" w:cs="宋体"/>
                <w:kern w:val="0"/>
                <w:sz w:val="20"/>
                <w:szCs w:val="20"/>
              </w:rPr>
              <w:t>政府专项资金补助</w:t>
            </w:r>
          </w:p>
        </w:tc>
      </w:tr>
      <w:tr w14:paraId="3B219B92">
        <w:tblPrEx>
          <w:tblCellMar>
            <w:top w:w="0" w:type="dxa"/>
            <w:left w:w="108" w:type="dxa"/>
            <w:bottom w:w="0" w:type="dxa"/>
            <w:right w:w="108" w:type="dxa"/>
          </w:tblCellMar>
        </w:tblPrEx>
        <w:trPr>
          <w:trHeight w:val="960" w:hRule="atLeast"/>
        </w:trPr>
        <w:tc>
          <w:tcPr>
            <w:tcW w:w="600" w:type="dxa"/>
            <w:tcBorders>
              <w:top w:val="nil"/>
              <w:left w:val="single" w:color="auto" w:sz="4" w:space="0"/>
              <w:bottom w:val="single" w:color="auto" w:sz="4" w:space="0"/>
              <w:right w:val="single" w:color="auto" w:sz="4" w:space="0"/>
            </w:tcBorders>
            <w:noWrap/>
            <w:vAlign w:val="center"/>
          </w:tcPr>
          <w:p w14:paraId="3D423B00">
            <w:pPr>
              <w:jc w:val="center"/>
              <w:rPr>
                <w:rFonts w:ascii="宋体" w:cs="宋体"/>
                <w:kern w:val="0"/>
                <w:sz w:val="20"/>
                <w:szCs w:val="20"/>
              </w:rPr>
            </w:pPr>
            <w:r>
              <w:rPr>
                <w:rFonts w:ascii="宋体" w:hAnsi="宋体" w:cs="宋体"/>
                <w:kern w:val="0"/>
                <w:sz w:val="20"/>
                <w:szCs w:val="20"/>
              </w:rPr>
              <w:t>12</w:t>
            </w:r>
          </w:p>
        </w:tc>
        <w:tc>
          <w:tcPr>
            <w:tcW w:w="1560" w:type="dxa"/>
            <w:tcBorders>
              <w:top w:val="nil"/>
              <w:left w:val="nil"/>
              <w:bottom w:val="single" w:color="auto" w:sz="4" w:space="0"/>
              <w:right w:val="single" w:color="auto" w:sz="4" w:space="0"/>
            </w:tcBorders>
            <w:vAlign w:val="center"/>
          </w:tcPr>
          <w:p w14:paraId="1EE01218">
            <w:pPr>
              <w:jc w:val="left"/>
              <w:rPr>
                <w:rFonts w:ascii="宋体" w:cs="宋体"/>
                <w:kern w:val="0"/>
                <w:sz w:val="20"/>
                <w:szCs w:val="20"/>
              </w:rPr>
            </w:pPr>
            <w:r>
              <w:rPr>
                <w:rFonts w:hint="eastAsia" w:ascii="宋体" w:hAnsi="宋体" w:cs="宋体"/>
                <w:kern w:val="0"/>
                <w:sz w:val="20"/>
                <w:szCs w:val="20"/>
              </w:rPr>
              <w:t>燃气设施智能化升级</w:t>
            </w:r>
          </w:p>
        </w:tc>
        <w:tc>
          <w:tcPr>
            <w:tcW w:w="830" w:type="dxa"/>
            <w:tcBorders>
              <w:top w:val="nil"/>
              <w:left w:val="nil"/>
              <w:bottom w:val="single" w:color="auto" w:sz="4" w:space="0"/>
              <w:right w:val="single" w:color="auto" w:sz="4" w:space="0"/>
            </w:tcBorders>
            <w:noWrap/>
            <w:vAlign w:val="center"/>
          </w:tcPr>
          <w:p w14:paraId="6342121B">
            <w:pPr>
              <w:jc w:val="center"/>
              <w:rPr>
                <w:rFonts w:ascii="宋体" w:cs="宋体"/>
                <w:kern w:val="0"/>
                <w:sz w:val="20"/>
                <w:szCs w:val="20"/>
              </w:rPr>
            </w:pPr>
            <w:r>
              <w:rPr>
                <w:rFonts w:hint="eastAsia" w:ascii="宋体" w:hAnsi="宋体" w:cs="宋体"/>
                <w:kern w:val="0"/>
                <w:sz w:val="20"/>
                <w:szCs w:val="20"/>
              </w:rPr>
              <w:t>改建</w:t>
            </w:r>
          </w:p>
        </w:tc>
        <w:tc>
          <w:tcPr>
            <w:tcW w:w="1360" w:type="dxa"/>
            <w:tcBorders>
              <w:top w:val="nil"/>
              <w:left w:val="nil"/>
              <w:bottom w:val="single" w:color="auto" w:sz="4" w:space="0"/>
              <w:right w:val="single" w:color="auto" w:sz="4" w:space="0"/>
            </w:tcBorders>
            <w:noWrap/>
            <w:vAlign w:val="center"/>
          </w:tcPr>
          <w:p w14:paraId="55ACCFC9">
            <w:pPr>
              <w:jc w:val="center"/>
              <w:rPr>
                <w:rFonts w:ascii="宋体" w:cs="宋体"/>
                <w:kern w:val="0"/>
                <w:sz w:val="20"/>
                <w:szCs w:val="20"/>
              </w:rPr>
            </w:pPr>
            <w:r>
              <w:rPr>
                <w:rFonts w:hint="eastAsia" w:ascii="宋体" w:hAnsi="宋体" w:cs="宋体"/>
                <w:kern w:val="0"/>
                <w:sz w:val="20"/>
                <w:szCs w:val="20"/>
              </w:rPr>
              <w:t>湘潭市城区</w:t>
            </w:r>
          </w:p>
        </w:tc>
        <w:tc>
          <w:tcPr>
            <w:tcW w:w="1840" w:type="dxa"/>
            <w:tcBorders>
              <w:top w:val="nil"/>
              <w:left w:val="nil"/>
              <w:bottom w:val="single" w:color="auto" w:sz="4" w:space="0"/>
              <w:right w:val="single" w:color="auto" w:sz="4" w:space="0"/>
            </w:tcBorders>
            <w:vAlign w:val="center"/>
          </w:tcPr>
          <w:p w14:paraId="2A9E8F44">
            <w:pPr>
              <w:jc w:val="left"/>
              <w:rPr>
                <w:rFonts w:ascii="宋体" w:cs="宋体"/>
                <w:kern w:val="0"/>
                <w:sz w:val="20"/>
                <w:szCs w:val="20"/>
              </w:rPr>
            </w:pPr>
            <w:r>
              <w:rPr>
                <w:rFonts w:hint="eastAsia" w:ascii="宋体" w:hAnsi="宋体" w:cs="宋体"/>
                <w:kern w:val="0"/>
                <w:sz w:val="20"/>
                <w:szCs w:val="20"/>
              </w:rPr>
              <w:t>湘潭新奥燃气有限公司</w:t>
            </w:r>
          </w:p>
        </w:tc>
        <w:tc>
          <w:tcPr>
            <w:tcW w:w="4740" w:type="dxa"/>
            <w:tcBorders>
              <w:top w:val="nil"/>
              <w:left w:val="nil"/>
              <w:bottom w:val="single" w:color="auto" w:sz="4" w:space="0"/>
              <w:right w:val="single" w:color="auto" w:sz="4" w:space="0"/>
            </w:tcBorders>
            <w:vAlign w:val="center"/>
          </w:tcPr>
          <w:p w14:paraId="01A1796C">
            <w:pPr>
              <w:jc w:val="left"/>
              <w:rPr>
                <w:rFonts w:ascii="宋体" w:cs="宋体"/>
                <w:sz w:val="20"/>
                <w:szCs w:val="20"/>
              </w:rPr>
            </w:pPr>
            <w:r>
              <w:rPr>
                <w:rFonts w:hint="eastAsia" w:ascii="宋体" w:hAnsi="宋体" w:cs="宋体"/>
                <w:kern w:val="0"/>
                <w:sz w:val="20"/>
                <w:szCs w:val="20"/>
              </w:rPr>
              <w:t>对湘潭市</w:t>
            </w:r>
            <w:r>
              <w:rPr>
                <w:rFonts w:ascii="宋体" w:hAnsi="宋体" w:cs="宋体"/>
                <w:kern w:val="0"/>
                <w:sz w:val="20"/>
                <w:szCs w:val="20"/>
              </w:rPr>
              <w:t>1000</w:t>
            </w:r>
            <w:r>
              <w:rPr>
                <w:rFonts w:hint="eastAsia" w:ascii="宋体" w:hAnsi="宋体" w:cs="宋体"/>
                <w:kern w:val="0"/>
                <w:sz w:val="20"/>
                <w:szCs w:val="20"/>
              </w:rPr>
              <w:t>台调压设施、</w:t>
            </w:r>
            <w:r>
              <w:rPr>
                <w:rFonts w:ascii="宋体" w:hAnsi="宋体" w:cs="宋体"/>
                <w:kern w:val="0"/>
                <w:sz w:val="20"/>
                <w:szCs w:val="20"/>
              </w:rPr>
              <w:t>700</w:t>
            </w:r>
            <w:r>
              <w:rPr>
                <w:rFonts w:hint="eastAsia" w:ascii="宋体" w:hAnsi="宋体" w:cs="宋体"/>
                <w:kern w:val="0"/>
                <w:sz w:val="20"/>
                <w:szCs w:val="20"/>
              </w:rPr>
              <w:t>台流量计、</w:t>
            </w:r>
            <w:r>
              <w:rPr>
                <w:rFonts w:ascii="宋体" w:hAnsi="宋体" w:cs="宋体"/>
                <w:kern w:val="0"/>
                <w:sz w:val="20"/>
                <w:szCs w:val="20"/>
              </w:rPr>
              <w:t>500</w:t>
            </w:r>
            <w:r>
              <w:rPr>
                <w:rFonts w:hint="eastAsia" w:ascii="宋体" w:hAnsi="宋体" w:cs="宋体"/>
                <w:kern w:val="0"/>
                <w:sz w:val="20"/>
                <w:szCs w:val="20"/>
              </w:rPr>
              <w:t>个阀门进行智能化改造</w:t>
            </w:r>
          </w:p>
        </w:tc>
        <w:tc>
          <w:tcPr>
            <w:tcW w:w="794" w:type="dxa"/>
            <w:tcBorders>
              <w:top w:val="nil"/>
              <w:left w:val="nil"/>
              <w:bottom w:val="single" w:color="auto" w:sz="4" w:space="0"/>
              <w:right w:val="single" w:color="auto" w:sz="4" w:space="0"/>
            </w:tcBorders>
            <w:noWrap/>
            <w:vAlign w:val="center"/>
          </w:tcPr>
          <w:p w14:paraId="6758AEB8">
            <w:pPr>
              <w:jc w:val="center"/>
              <w:rPr>
                <w:rFonts w:ascii="宋体" w:hAnsi="宋体" w:cs="宋体"/>
                <w:kern w:val="0"/>
                <w:sz w:val="20"/>
                <w:szCs w:val="20"/>
              </w:rPr>
            </w:pPr>
            <w:r>
              <w:rPr>
                <w:rFonts w:ascii="宋体" w:hAnsi="宋体" w:cs="宋体"/>
                <w:kern w:val="0"/>
                <w:sz w:val="20"/>
                <w:szCs w:val="20"/>
              </w:rPr>
              <w:t>2021</w:t>
            </w:r>
          </w:p>
        </w:tc>
        <w:tc>
          <w:tcPr>
            <w:tcW w:w="794" w:type="dxa"/>
            <w:tcBorders>
              <w:top w:val="nil"/>
              <w:left w:val="nil"/>
              <w:bottom w:val="single" w:color="auto" w:sz="4" w:space="0"/>
              <w:right w:val="single" w:color="auto" w:sz="4" w:space="0"/>
            </w:tcBorders>
            <w:noWrap/>
            <w:vAlign w:val="center"/>
          </w:tcPr>
          <w:p w14:paraId="199050B9">
            <w:pPr>
              <w:jc w:val="center"/>
              <w:rPr>
                <w:rFonts w:ascii="宋体" w:hAnsi="宋体" w:cs="宋体"/>
                <w:kern w:val="0"/>
                <w:sz w:val="20"/>
                <w:szCs w:val="20"/>
              </w:rPr>
            </w:pPr>
            <w:r>
              <w:rPr>
                <w:rFonts w:ascii="宋体" w:hAnsi="宋体" w:cs="宋体"/>
                <w:kern w:val="0"/>
                <w:sz w:val="20"/>
                <w:szCs w:val="20"/>
              </w:rPr>
              <w:t>2023</w:t>
            </w:r>
          </w:p>
        </w:tc>
        <w:tc>
          <w:tcPr>
            <w:tcW w:w="1033" w:type="dxa"/>
            <w:tcBorders>
              <w:top w:val="nil"/>
              <w:left w:val="nil"/>
              <w:bottom w:val="single" w:color="auto" w:sz="4" w:space="0"/>
              <w:right w:val="single" w:color="auto" w:sz="4" w:space="0"/>
            </w:tcBorders>
            <w:noWrap/>
            <w:vAlign w:val="center"/>
          </w:tcPr>
          <w:p w14:paraId="0BBEE60E">
            <w:pPr>
              <w:jc w:val="center"/>
              <w:rPr>
                <w:rFonts w:ascii="宋体" w:hAnsi="宋体" w:cs="宋体"/>
                <w:kern w:val="0"/>
                <w:sz w:val="20"/>
                <w:szCs w:val="20"/>
              </w:rPr>
            </w:pPr>
            <w:r>
              <w:rPr>
                <w:rFonts w:hint="eastAsia" w:ascii="宋体" w:hAnsi="宋体" w:cs="宋体"/>
                <w:kern w:val="0"/>
                <w:sz w:val="20"/>
                <w:szCs w:val="20"/>
              </w:rPr>
              <w:t xml:space="preserve">  9</w:t>
            </w:r>
            <w:r>
              <w:rPr>
                <w:rFonts w:ascii="宋体" w:hAnsi="宋体" w:cs="宋体"/>
                <w:kern w:val="0"/>
                <w:sz w:val="20"/>
                <w:szCs w:val="20"/>
              </w:rPr>
              <w:t>,</w:t>
            </w:r>
            <w:r>
              <w:rPr>
                <w:rFonts w:hint="eastAsia" w:ascii="宋体" w:hAnsi="宋体" w:cs="宋体"/>
                <w:kern w:val="0"/>
                <w:sz w:val="20"/>
                <w:szCs w:val="20"/>
              </w:rPr>
              <w:t>000</w:t>
            </w:r>
          </w:p>
        </w:tc>
        <w:tc>
          <w:tcPr>
            <w:tcW w:w="2209" w:type="dxa"/>
            <w:tcBorders>
              <w:top w:val="nil"/>
              <w:left w:val="nil"/>
              <w:bottom w:val="single" w:color="auto" w:sz="4" w:space="0"/>
              <w:right w:val="single" w:color="auto" w:sz="4" w:space="0"/>
            </w:tcBorders>
            <w:vAlign w:val="center"/>
          </w:tcPr>
          <w:p w14:paraId="457AB705">
            <w:pPr>
              <w:jc w:val="left"/>
              <w:rPr>
                <w:rFonts w:ascii="宋体" w:cs="宋体"/>
                <w:kern w:val="0"/>
                <w:sz w:val="20"/>
                <w:szCs w:val="20"/>
              </w:rPr>
            </w:pPr>
            <w:r>
              <w:rPr>
                <w:rFonts w:hint="eastAsia" w:ascii="宋体" w:hAnsi="宋体" w:cs="宋体"/>
                <w:kern w:val="0"/>
                <w:sz w:val="20"/>
                <w:szCs w:val="20"/>
              </w:rPr>
              <w:t>企业自筹</w:t>
            </w:r>
          </w:p>
        </w:tc>
      </w:tr>
      <w:tr w14:paraId="242D740E">
        <w:tblPrEx>
          <w:tblCellMar>
            <w:top w:w="0" w:type="dxa"/>
            <w:left w:w="108" w:type="dxa"/>
            <w:bottom w:w="0" w:type="dxa"/>
            <w:right w:w="108" w:type="dxa"/>
          </w:tblCellMar>
        </w:tblPrEx>
        <w:trPr>
          <w:trHeight w:val="1155" w:hRule="atLeast"/>
        </w:trPr>
        <w:tc>
          <w:tcPr>
            <w:tcW w:w="600" w:type="dxa"/>
            <w:tcBorders>
              <w:top w:val="nil"/>
              <w:left w:val="single" w:color="auto" w:sz="4" w:space="0"/>
              <w:bottom w:val="single" w:color="auto" w:sz="4" w:space="0"/>
              <w:right w:val="single" w:color="auto" w:sz="4" w:space="0"/>
            </w:tcBorders>
            <w:noWrap/>
            <w:vAlign w:val="center"/>
          </w:tcPr>
          <w:p w14:paraId="3A7AB367">
            <w:pPr>
              <w:jc w:val="center"/>
              <w:rPr>
                <w:rFonts w:ascii="宋体" w:cs="宋体"/>
                <w:kern w:val="0"/>
                <w:sz w:val="20"/>
                <w:szCs w:val="20"/>
              </w:rPr>
            </w:pPr>
            <w:r>
              <w:rPr>
                <w:rFonts w:ascii="宋体" w:hAnsi="宋体" w:cs="宋体"/>
                <w:kern w:val="0"/>
                <w:sz w:val="20"/>
                <w:szCs w:val="20"/>
              </w:rPr>
              <w:t>1</w:t>
            </w:r>
            <w:r>
              <w:rPr>
                <w:rFonts w:hint="eastAsia" w:ascii="宋体" w:hAnsi="宋体" w:cs="宋体"/>
                <w:kern w:val="0"/>
                <w:sz w:val="20"/>
                <w:szCs w:val="20"/>
              </w:rPr>
              <w:t>3</w:t>
            </w:r>
          </w:p>
        </w:tc>
        <w:tc>
          <w:tcPr>
            <w:tcW w:w="1560" w:type="dxa"/>
            <w:tcBorders>
              <w:top w:val="nil"/>
              <w:left w:val="nil"/>
              <w:bottom w:val="single" w:color="auto" w:sz="4" w:space="0"/>
              <w:right w:val="single" w:color="auto" w:sz="4" w:space="0"/>
            </w:tcBorders>
            <w:vAlign w:val="center"/>
          </w:tcPr>
          <w:p w14:paraId="158D794B">
            <w:pPr>
              <w:jc w:val="left"/>
              <w:rPr>
                <w:rFonts w:ascii="宋体" w:cs="宋体"/>
                <w:kern w:val="0"/>
                <w:sz w:val="20"/>
                <w:szCs w:val="20"/>
              </w:rPr>
            </w:pPr>
            <w:r>
              <w:rPr>
                <w:rFonts w:hint="eastAsia" w:ascii="宋体" w:hAnsi="宋体" w:cs="宋体"/>
                <w:kern w:val="0"/>
                <w:sz w:val="20"/>
                <w:szCs w:val="20"/>
              </w:rPr>
              <w:t>湘潭市消除桥梁及道路照明安全隐患建设项目</w:t>
            </w:r>
          </w:p>
        </w:tc>
        <w:tc>
          <w:tcPr>
            <w:tcW w:w="830" w:type="dxa"/>
            <w:tcBorders>
              <w:top w:val="nil"/>
              <w:left w:val="nil"/>
              <w:bottom w:val="single" w:color="auto" w:sz="4" w:space="0"/>
              <w:right w:val="single" w:color="auto" w:sz="4" w:space="0"/>
            </w:tcBorders>
            <w:noWrap/>
            <w:vAlign w:val="center"/>
          </w:tcPr>
          <w:p w14:paraId="6ADC1F30">
            <w:pPr>
              <w:jc w:val="center"/>
              <w:rPr>
                <w:rFonts w:ascii="宋体" w:cs="宋体"/>
                <w:kern w:val="0"/>
                <w:sz w:val="20"/>
                <w:szCs w:val="20"/>
              </w:rPr>
            </w:pPr>
            <w:r>
              <w:rPr>
                <w:rFonts w:hint="eastAsia" w:ascii="宋体" w:hAnsi="宋体" w:cs="宋体"/>
                <w:kern w:val="0"/>
                <w:sz w:val="20"/>
                <w:szCs w:val="20"/>
              </w:rPr>
              <w:t>新、改建</w:t>
            </w:r>
          </w:p>
        </w:tc>
        <w:tc>
          <w:tcPr>
            <w:tcW w:w="1360" w:type="dxa"/>
            <w:tcBorders>
              <w:top w:val="nil"/>
              <w:left w:val="nil"/>
              <w:bottom w:val="single" w:color="auto" w:sz="4" w:space="0"/>
              <w:right w:val="single" w:color="auto" w:sz="4" w:space="0"/>
            </w:tcBorders>
            <w:noWrap/>
            <w:vAlign w:val="center"/>
          </w:tcPr>
          <w:p w14:paraId="76DC6353">
            <w:pPr>
              <w:jc w:val="center"/>
              <w:rPr>
                <w:rFonts w:ascii="宋体" w:cs="宋体"/>
                <w:kern w:val="0"/>
                <w:sz w:val="20"/>
                <w:szCs w:val="20"/>
              </w:rPr>
            </w:pPr>
            <w:r>
              <w:rPr>
                <w:rFonts w:hint="eastAsia" w:ascii="宋体" w:hAnsi="宋体" w:cs="宋体"/>
                <w:kern w:val="0"/>
                <w:sz w:val="20"/>
                <w:szCs w:val="20"/>
              </w:rPr>
              <w:t>湘潭市城区</w:t>
            </w:r>
          </w:p>
        </w:tc>
        <w:tc>
          <w:tcPr>
            <w:tcW w:w="1840" w:type="dxa"/>
            <w:tcBorders>
              <w:top w:val="nil"/>
              <w:left w:val="nil"/>
              <w:bottom w:val="single" w:color="auto" w:sz="4" w:space="0"/>
              <w:right w:val="single" w:color="auto" w:sz="4" w:space="0"/>
            </w:tcBorders>
            <w:vAlign w:val="center"/>
          </w:tcPr>
          <w:p w14:paraId="05703AFF">
            <w:pPr>
              <w:jc w:val="left"/>
              <w:rPr>
                <w:rFonts w:ascii="宋体" w:cs="宋体"/>
                <w:kern w:val="0"/>
                <w:sz w:val="20"/>
                <w:szCs w:val="20"/>
              </w:rPr>
            </w:pPr>
            <w:r>
              <w:rPr>
                <w:rFonts w:hint="eastAsia" w:ascii="宋体" w:hAnsi="宋体" w:cs="宋体"/>
                <w:kern w:val="0"/>
                <w:sz w:val="20"/>
                <w:szCs w:val="20"/>
              </w:rPr>
              <w:t>湘潭市灯饰管理处</w:t>
            </w:r>
          </w:p>
        </w:tc>
        <w:tc>
          <w:tcPr>
            <w:tcW w:w="4740" w:type="dxa"/>
            <w:tcBorders>
              <w:top w:val="nil"/>
              <w:left w:val="nil"/>
              <w:bottom w:val="single" w:color="auto" w:sz="4" w:space="0"/>
              <w:right w:val="single" w:color="auto" w:sz="4" w:space="0"/>
            </w:tcBorders>
            <w:vAlign w:val="center"/>
          </w:tcPr>
          <w:p w14:paraId="20936762">
            <w:pPr>
              <w:jc w:val="left"/>
              <w:rPr>
                <w:rFonts w:ascii="宋体" w:cs="宋体"/>
                <w:kern w:val="0"/>
                <w:sz w:val="20"/>
                <w:szCs w:val="20"/>
              </w:rPr>
            </w:pPr>
            <w:r>
              <w:rPr>
                <w:rFonts w:hint="eastAsia" w:ascii="宋体" w:hAnsi="宋体" w:cs="宋体"/>
                <w:sz w:val="20"/>
                <w:szCs w:val="20"/>
              </w:rPr>
              <w:t>湘潭二、三、四、五桥桥梁线路改造、</w:t>
            </w:r>
            <w:r>
              <w:rPr>
                <w:rFonts w:hint="eastAsia" w:ascii="宋体" w:hAnsi="宋体" w:cs="宋体"/>
                <w:kern w:val="0"/>
                <w:sz w:val="20"/>
                <w:szCs w:val="20"/>
              </w:rPr>
              <w:t>湘潭大道（韶山海关-汽车东站）、芙蓉大道（原吉安路段）、北二环路（G320-新天地）</w:t>
            </w:r>
            <w:r>
              <w:rPr>
                <w:rFonts w:hint="eastAsia" w:ascii="宋体" w:hAnsi="宋体" w:cs="宋体"/>
                <w:sz w:val="20"/>
                <w:szCs w:val="20"/>
              </w:rPr>
              <w:t>道路照明设施改造、45处配电设施改造、小街小巷暗区盲点路灯安装</w:t>
            </w:r>
          </w:p>
        </w:tc>
        <w:tc>
          <w:tcPr>
            <w:tcW w:w="794" w:type="dxa"/>
            <w:tcBorders>
              <w:top w:val="nil"/>
              <w:left w:val="nil"/>
              <w:bottom w:val="single" w:color="auto" w:sz="4" w:space="0"/>
              <w:right w:val="single" w:color="auto" w:sz="4" w:space="0"/>
            </w:tcBorders>
            <w:noWrap/>
            <w:vAlign w:val="center"/>
          </w:tcPr>
          <w:p w14:paraId="5A150AB5">
            <w:pPr>
              <w:jc w:val="center"/>
              <w:rPr>
                <w:rFonts w:ascii="宋体" w:cs="宋体"/>
                <w:kern w:val="0"/>
                <w:sz w:val="20"/>
                <w:szCs w:val="20"/>
              </w:rPr>
            </w:pPr>
            <w:r>
              <w:rPr>
                <w:rFonts w:ascii="宋体" w:hAnsi="宋体" w:cs="宋体"/>
                <w:kern w:val="0"/>
                <w:sz w:val="20"/>
                <w:szCs w:val="20"/>
              </w:rPr>
              <w:t>2020</w:t>
            </w:r>
          </w:p>
        </w:tc>
        <w:tc>
          <w:tcPr>
            <w:tcW w:w="794" w:type="dxa"/>
            <w:tcBorders>
              <w:top w:val="nil"/>
              <w:left w:val="nil"/>
              <w:bottom w:val="single" w:color="auto" w:sz="4" w:space="0"/>
              <w:right w:val="single" w:color="auto" w:sz="4" w:space="0"/>
            </w:tcBorders>
            <w:noWrap/>
            <w:vAlign w:val="center"/>
          </w:tcPr>
          <w:p w14:paraId="1870881C">
            <w:pPr>
              <w:jc w:val="center"/>
              <w:rPr>
                <w:rFonts w:ascii="宋体" w:cs="宋体"/>
                <w:kern w:val="0"/>
                <w:sz w:val="20"/>
                <w:szCs w:val="20"/>
              </w:rPr>
            </w:pPr>
            <w:r>
              <w:rPr>
                <w:rFonts w:ascii="宋体" w:hAnsi="宋体" w:cs="宋体"/>
                <w:kern w:val="0"/>
                <w:sz w:val="20"/>
                <w:szCs w:val="20"/>
              </w:rPr>
              <w:t>2023</w:t>
            </w:r>
          </w:p>
        </w:tc>
        <w:tc>
          <w:tcPr>
            <w:tcW w:w="1033" w:type="dxa"/>
            <w:tcBorders>
              <w:top w:val="nil"/>
              <w:left w:val="nil"/>
              <w:bottom w:val="single" w:color="auto" w:sz="4" w:space="0"/>
              <w:right w:val="single" w:color="auto" w:sz="4" w:space="0"/>
            </w:tcBorders>
            <w:noWrap/>
            <w:vAlign w:val="center"/>
          </w:tcPr>
          <w:p w14:paraId="526684A5">
            <w:pPr>
              <w:jc w:val="center"/>
              <w:rPr>
                <w:rFonts w:ascii="宋体" w:cs="宋体"/>
                <w:kern w:val="0"/>
                <w:sz w:val="20"/>
                <w:szCs w:val="20"/>
              </w:rPr>
            </w:pPr>
            <w:r>
              <w:rPr>
                <w:rFonts w:ascii="宋体" w:hAnsi="宋体" w:cs="宋体"/>
                <w:kern w:val="0"/>
                <w:sz w:val="20"/>
                <w:szCs w:val="20"/>
              </w:rPr>
              <w:t xml:space="preserve">3,837 </w:t>
            </w:r>
          </w:p>
        </w:tc>
        <w:tc>
          <w:tcPr>
            <w:tcW w:w="2209" w:type="dxa"/>
            <w:tcBorders>
              <w:top w:val="nil"/>
              <w:left w:val="nil"/>
              <w:bottom w:val="single" w:color="auto" w:sz="4" w:space="0"/>
              <w:right w:val="single" w:color="auto" w:sz="4" w:space="0"/>
            </w:tcBorders>
            <w:vAlign w:val="center"/>
          </w:tcPr>
          <w:p w14:paraId="636B49FF">
            <w:pPr>
              <w:jc w:val="left"/>
              <w:rPr>
                <w:rFonts w:ascii="宋体" w:cs="宋体"/>
                <w:kern w:val="0"/>
                <w:sz w:val="20"/>
                <w:szCs w:val="20"/>
              </w:rPr>
            </w:pPr>
            <w:r>
              <w:rPr>
                <w:rFonts w:hint="eastAsia" w:ascii="宋体" w:hAnsi="宋体" w:cs="宋体"/>
                <w:kern w:val="0"/>
                <w:sz w:val="20"/>
                <w:szCs w:val="20"/>
              </w:rPr>
              <w:t>争取中央、省、市财政资金</w:t>
            </w:r>
          </w:p>
        </w:tc>
      </w:tr>
      <w:tr w14:paraId="0AD790FD">
        <w:tblPrEx>
          <w:tblCellMar>
            <w:top w:w="0" w:type="dxa"/>
            <w:left w:w="108" w:type="dxa"/>
            <w:bottom w:w="0" w:type="dxa"/>
            <w:right w:w="108" w:type="dxa"/>
          </w:tblCellMar>
        </w:tblPrEx>
        <w:trPr>
          <w:trHeight w:val="915" w:hRule="atLeast"/>
        </w:trPr>
        <w:tc>
          <w:tcPr>
            <w:tcW w:w="600" w:type="dxa"/>
            <w:tcBorders>
              <w:top w:val="nil"/>
              <w:left w:val="single" w:color="auto" w:sz="4" w:space="0"/>
              <w:bottom w:val="single" w:color="auto" w:sz="4" w:space="0"/>
              <w:right w:val="single" w:color="auto" w:sz="4" w:space="0"/>
            </w:tcBorders>
            <w:noWrap/>
            <w:vAlign w:val="center"/>
          </w:tcPr>
          <w:p w14:paraId="493CAB5D">
            <w:pPr>
              <w:jc w:val="center"/>
              <w:rPr>
                <w:rFonts w:ascii="宋体" w:cs="宋体"/>
                <w:kern w:val="0"/>
                <w:sz w:val="20"/>
                <w:szCs w:val="20"/>
              </w:rPr>
            </w:pPr>
            <w:r>
              <w:rPr>
                <w:rFonts w:ascii="宋体" w:hAnsi="宋体" w:cs="宋体"/>
                <w:kern w:val="0"/>
                <w:sz w:val="20"/>
                <w:szCs w:val="20"/>
              </w:rPr>
              <w:t>1</w:t>
            </w:r>
            <w:r>
              <w:rPr>
                <w:rFonts w:hint="eastAsia" w:ascii="宋体" w:hAnsi="宋体" w:cs="宋体"/>
                <w:kern w:val="0"/>
                <w:sz w:val="20"/>
                <w:szCs w:val="20"/>
              </w:rPr>
              <w:t>4</w:t>
            </w:r>
          </w:p>
        </w:tc>
        <w:tc>
          <w:tcPr>
            <w:tcW w:w="1560" w:type="dxa"/>
            <w:tcBorders>
              <w:top w:val="nil"/>
              <w:left w:val="nil"/>
              <w:bottom w:val="single" w:color="auto" w:sz="4" w:space="0"/>
              <w:right w:val="single" w:color="auto" w:sz="4" w:space="0"/>
            </w:tcBorders>
            <w:vAlign w:val="center"/>
          </w:tcPr>
          <w:p w14:paraId="52B47715">
            <w:pPr>
              <w:jc w:val="left"/>
              <w:rPr>
                <w:rFonts w:ascii="宋体" w:cs="宋体"/>
                <w:kern w:val="0"/>
                <w:sz w:val="20"/>
                <w:szCs w:val="20"/>
              </w:rPr>
            </w:pPr>
            <w:r>
              <w:rPr>
                <w:rFonts w:hint="eastAsia" w:ascii="宋体" w:hAnsi="宋体" w:cs="宋体"/>
                <w:kern w:val="0"/>
                <w:sz w:val="20"/>
                <w:szCs w:val="20"/>
              </w:rPr>
              <w:t>湘潭市智慧照明三期建设项目</w:t>
            </w:r>
          </w:p>
        </w:tc>
        <w:tc>
          <w:tcPr>
            <w:tcW w:w="830" w:type="dxa"/>
            <w:tcBorders>
              <w:top w:val="nil"/>
              <w:left w:val="nil"/>
              <w:bottom w:val="single" w:color="auto" w:sz="4" w:space="0"/>
              <w:right w:val="single" w:color="auto" w:sz="4" w:space="0"/>
            </w:tcBorders>
            <w:noWrap/>
            <w:vAlign w:val="center"/>
          </w:tcPr>
          <w:p w14:paraId="39A5FF60">
            <w:pPr>
              <w:jc w:val="center"/>
              <w:rPr>
                <w:rFonts w:ascii="宋体" w:cs="宋体"/>
                <w:kern w:val="0"/>
                <w:sz w:val="20"/>
                <w:szCs w:val="20"/>
              </w:rPr>
            </w:pPr>
            <w:r>
              <w:rPr>
                <w:rFonts w:hint="eastAsia" w:ascii="宋体" w:hAnsi="宋体" w:cs="宋体"/>
                <w:kern w:val="0"/>
                <w:sz w:val="20"/>
                <w:szCs w:val="20"/>
              </w:rPr>
              <w:t>续建</w:t>
            </w:r>
          </w:p>
        </w:tc>
        <w:tc>
          <w:tcPr>
            <w:tcW w:w="1360" w:type="dxa"/>
            <w:tcBorders>
              <w:top w:val="nil"/>
              <w:left w:val="nil"/>
              <w:bottom w:val="single" w:color="auto" w:sz="4" w:space="0"/>
              <w:right w:val="single" w:color="auto" w:sz="4" w:space="0"/>
            </w:tcBorders>
            <w:noWrap/>
            <w:vAlign w:val="center"/>
          </w:tcPr>
          <w:p w14:paraId="0296D61F">
            <w:pPr>
              <w:jc w:val="center"/>
              <w:rPr>
                <w:rFonts w:ascii="宋体" w:cs="宋体"/>
                <w:kern w:val="0"/>
                <w:sz w:val="20"/>
                <w:szCs w:val="20"/>
              </w:rPr>
            </w:pPr>
            <w:r>
              <w:rPr>
                <w:rFonts w:hint="eastAsia" w:ascii="宋体" w:hAnsi="宋体" w:cs="宋体"/>
                <w:kern w:val="0"/>
                <w:sz w:val="20"/>
                <w:szCs w:val="20"/>
              </w:rPr>
              <w:t>湘潭市城区</w:t>
            </w:r>
          </w:p>
        </w:tc>
        <w:tc>
          <w:tcPr>
            <w:tcW w:w="1840" w:type="dxa"/>
            <w:tcBorders>
              <w:top w:val="nil"/>
              <w:left w:val="nil"/>
              <w:bottom w:val="single" w:color="auto" w:sz="4" w:space="0"/>
              <w:right w:val="single" w:color="auto" w:sz="4" w:space="0"/>
            </w:tcBorders>
            <w:vAlign w:val="center"/>
          </w:tcPr>
          <w:p w14:paraId="5F7508B5">
            <w:pPr>
              <w:jc w:val="left"/>
              <w:rPr>
                <w:rFonts w:ascii="宋体" w:cs="宋体"/>
                <w:kern w:val="0"/>
                <w:sz w:val="20"/>
                <w:szCs w:val="20"/>
              </w:rPr>
            </w:pPr>
            <w:r>
              <w:rPr>
                <w:rFonts w:hint="eastAsia" w:ascii="宋体" w:hAnsi="宋体" w:cs="宋体"/>
                <w:kern w:val="0"/>
                <w:sz w:val="20"/>
                <w:szCs w:val="20"/>
              </w:rPr>
              <w:t>湘潭市灯饰管理处</w:t>
            </w:r>
          </w:p>
        </w:tc>
        <w:tc>
          <w:tcPr>
            <w:tcW w:w="4740" w:type="dxa"/>
            <w:tcBorders>
              <w:top w:val="nil"/>
              <w:left w:val="nil"/>
              <w:bottom w:val="single" w:color="auto" w:sz="4" w:space="0"/>
              <w:right w:val="single" w:color="auto" w:sz="4" w:space="0"/>
            </w:tcBorders>
            <w:vAlign w:val="center"/>
          </w:tcPr>
          <w:p w14:paraId="0DD1F366">
            <w:pPr>
              <w:jc w:val="left"/>
              <w:rPr>
                <w:rFonts w:ascii="宋体" w:cs="宋体"/>
                <w:kern w:val="0"/>
                <w:sz w:val="20"/>
                <w:szCs w:val="20"/>
              </w:rPr>
            </w:pPr>
            <w:r>
              <w:rPr>
                <w:rFonts w:hint="eastAsia" w:ascii="宋体" w:hAnsi="宋体" w:cs="宋体"/>
                <w:sz w:val="20"/>
                <w:szCs w:val="20"/>
              </w:rPr>
              <w:t>分批更换老旧设施、线路，优化图像监控、多媒体会议、路灯监控终端、4G通信模组升级、漏电检测设备、安全管理、风险预警等设施以及逐步完善湘潭灯饰大资产数据管理平台功能</w:t>
            </w:r>
          </w:p>
        </w:tc>
        <w:tc>
          <w:tcPr>
            <w:tcW w:w="794" w:type="dxa"/>
            <w:tcBorders>
              <w:top w:val="nil"/>
              <w:left w:val="nil"/>
              <w:bottom w:val="single" w:color="auto" w:sz="4" w:space="0"/>
              <w:right w:val="single" w:color="auto" w:sz="4" w:space="0"/>
            </w:tcBorders>
            <w:noWrap/>
            <w:vAlign w:val="center"/>
          </w:tcPr>
          <w:p w14:paraId="10587E47">
            <w:pPr>
              <w:jc w:val="center"/>
              <w:rPr>
                <w:rFonts w:ascii="宋体" w:cs="宋体"/>
                <w:kern w:val="0"/>
                <w:sz w:val="20"/>
                <w:szCs w:val="20"/>
              </w:rPr>
            </w:pPr>
            <w:r>
              <w:rPr>
                <w:rFonts w:ascii="宋体" w:hAnsi="宋体" w:cs="宋体"/>
                <w:kern w:val="0"/>
                <w:sz w:val="20"/>
                <w:szCs w:val="20"/>
              </w:rPr>
              <w:t>2021</w:t>
            </w:r>
          </w:p>
        </w:tc>
        <w:tc>
          <w:tcPr>
            <w:tcW w:w="794" w:type="dxa"/>
            <w:tcBorders>
              <w:top w:val="nil"/>
              <w:left w:val="nil"/>
              <w:bottom w:val="single" w:color="auto" w:sz="4" w:space="0"/>
              <w:right w:val="single" w:color="auto" w:sz="4" w:space="0"/>
            </w:tcBorders>
            <w:noWrap/>
            <w:vAlign w:val="center"/>
          </w:tcPr>
          <w:p w14:paraId="24178C23">
            <w:pPr>
              <w:jc w:val="center"/>
              <w:rPr>
                <w:rFonts w:ascii="宋体" w:cs="宋体"/>
                <w:kern w:val="0"/>
                <w:sz w:val="20"/>
                <w:szCs w:val="20"/>
              </w:rPr>
            </w:pPr>
            <w:r>
              <w:rPr>
                <w:rFonts w:ascii="宋体" w:hAnsi="宋体" w:cs="宋体"/>
                <w:kern w:val="0"/>
                <w:sz w:val="20"/>
                <w:szCs w:val="20"/>
              </w:rPr>
              <w:t>2025</w:t>
            </w:r>
          </w:p>
        </w:tc>
        <w:tc>
          <w:tcPr>
            <w:tcW w:w="1033" w:type="dxa"/>
            <w:tcBorders>
              <w:top w:val="nil"/>
              <w:left w:val="nil"/>
              <w:bottom w:val="single" w:color="auto" w:sz="4" w:space="0"/>
              <w:right w:val="single" w:color="auto" w:sz="4" w:space="0"/>
            </w:tcBorders>
            <w:noWrap/>
            <w:vAlign w:val="center"/>
          </w:tcPr>
          <w:p w14:paraId="5E77B032">
            <w:pPr>
              <w:jc w:val="center"/>
              <w:rPr>
                <w:rFonts w:ascii="宋体" w:cs="宋体"/>
                <w:kern w:val="0"/>
                <w:sz w:val="20"/>
                <w:szCs w:val="20"/>
              </w:rPr>
            </w:pPr>
            <w:r>
              <w:rPr>
                <w:rFonts w:ascii="宋体" w:hAnsi="宋体" w:cs="宋体"/>
                <w:kern w:val="0"/>
                <w:sz w:val="20"/>
                <w:szCs w:val="20"/>
              </w:rPr>
              <w:t xml:space="preserve">2,000 </w:t>
            </w:r>
          </w:p>
        </w:tc>
        <w:tc>
          <w:tcPr>
            <w:tcW w:w="2209" w:type="dxa"/>
            <w:tcBorders>
              <w:top w:val="nil"/>
              <w:left w:val="nil"/>
              <w:bottom w:val="single" w:color="auto" w:sz="4" w:space="0"/>
              <w:right w:val="single" w:color="auto" w:sz="4" w:space="0"/>
            </w:tcBorders>
            <w:vAlign w:val="center"/>
          </w:tcPr>
          <w:p w14:paraId="4A2292AE">
            <w:pPr>
              <w:jc w:val="left"/>
              <w:rPr>
                <w:rFonts w:ascii="宋体" w:cs="宋体"/>
                <w:kern w:val="0"/>
                <w:sz w:val="20"/>
                <w:szCs w:val="20"/>
              </w:rPr>
            </w:pPr>
            <w:r>
              <w:rPr>
                <w:rFonts w:hint="eastAsia" w:ascii="宋体" w:hAnsi="宋体" w:cs="宋体"/>
                <w:kern w:val="0"/>
                <w:sz w:val="20"/>
                <w:szCs w:val="20"/>
              </w:rPr>
              <w:t>争取中央、省、市财政资金</w:t>
            </w:r>
          </w:p>
        </w:tc>
      </w:tr>
    </w:tbl>
    <w:p w14:paraId="1FD9869C"/>
    <w:p w14:paraId="4AFC749F"/>
    <w:p w14:paraId="69D6DE9C"/>
    <w:p w14:paraId="46DD9E1D"/>
    <w:p w14:paraId="6CFC7DC1">
      <w:pPr>
        <w:spacing w:line="360" w:lineRule="exact"/>
        <w:jc w:val="center"/>
        <w:rPr>
          <w:b/>
          <w:sz w:val="28"/>
        </w:rPr>
      </w:pPr>
      <w:r>
        <w:rPr>
          <w:rFonts w:hint="eastAsia" w:ascii="宋体" w:hAnsi="宋体"/>
          <w:b/>
          <w:sz w:val="28"/>
          <w:szCs w:val="28"/>
        </w:rPr>
        <w:t>湘潭城市管理系统建设“十四五”期间重大项目汇总表</w:t>
      </w:r>
      <w:r>
        <w:rPr>
          <w:b/>
          <w:sz w:val="28"/>
        </w:rPr>
        <w:t xml:space="preserve">              (</w:t>
      </w:r>
      <w:r>
        <w:rPr>
          <w:rFonts w:hint="eastAsia"/>
          <w:b/>
          <w:sz w:val="28"/>
        </w:rPr>
        <w:t>续</w:t>
      </w:r>
      <w:r>
        <w:rPr>
          <w:b/>
          <w:sz w:val="28"/>
        </w:rPr>
        <w:t>2)</w:t>
      </w:r>
    </w:p>
    <w:p w14:paraId="2D4FB401">
      <w:r>
        <w:fldChar w:fldCharType="begin"/>
      </w:r>
      <w:r>
        <w:instrText xml:space="preserve"> LINK Excel.Sheet.8 "C:\\Users\\Administrator\\Desktop\\拟报省、市“十四五”规划重大工程项目汇总表11.17.xls""Sheet2!R2C1:R6C10" \a \f 4 \h  \* MERGEFORMAT</w:instrText>
      </w:r>
      <w:r>
        <w:fldChar w:fldCharType="separate"/>
      </w:r>
    </w:p>
    <w:tbl>
      <w:tblPr>
        <w:tblStyle w:val="28"/>
        <w:tblW w:w="15760" w:type="dxa"/>
        <w:tblInd w:w="108" w:type="dxa"/>
        <w:tblLayout w:type="autofit"/>
        <w:tblCellMar>
          <w:top w:w="0" w:type="dxa"/>
          <w:left w:w="108" w:type="dxa"/>
          <w:bottom w:w="0" w:type="dxa"/>
          <w:right w:w="108" w:type="dxa"/>
        </w:tblCellMar>
      </w:tblPr>
      <w:tblGrid>
        <w:gridCol w:w="600"/>
        <w:gridCol w:w="1580"/>
        <w:gridCol w:w="760"/>
        <w:gridCol w:w="1360"/>
        <w:gridCol w:w="1840"/>
        <w:gridCol w:w="4740"/>
        <w:gridCol w:w="800"/>
        <w:gridCol w:w="800"/>
        <w:gridCol w:w="1040"/>
        <w:gridCol w:w="2240"/>
      </w:tblGrid>
      <w:tr w14:paraId="02017C6D">
        <w:tblPrEx>
          <w:tblCellMar>
            <w:top w:w="0" w:type="dxa"/>
            <w:left w:w="108" w:type="dxa"/>
            <w:bottom w:w="0" w:type="dxa"/>
            <w:right w:w="108" w:type="dxa"/>
          </w:tblCellMar>
        </w:tblPrEx>
        <w:trPr>
          <w:trHeight w:val="780" w:hRule="atLeast"/>
        </w:trPr>
        <w:tc>
          <w:tcPr>
            <w:tcW w:w="600" w:type="dxa"/>
            <w:tcBorders>
              <w:top w:val="single" w:color="auto" w:sz="4" w:space="0"/>
              <w:left w:val="single" w:color="auto" w:sz="4" w:space="0"/>
              <w:bottom w:val="single" w:color="auto" w:sz="4" w:space="0"/>
              <w:right w:val="single" w:color="auto" w:sz="4" w:space="0"/>
            </w:tcBorders>
            <w:noWrap/>
            <w:vAlign w:val="center"/>
          </w:tcPr>
          <w:p w14:paraId="4E4473B0">
            <w:pPr>
              <w:jc w:val="center"/>
              <w:rPr>
                <w:rFonts w:ascii="宋体" w:cs="宋体"/>
                <w:b/>
                <w:bCs/>
                <w:kern w:val="0"/>
                <w:sz w:val="20"/>
                <w:szCs w:val="20"/>
              </w:rPr>
            </w:pPr>
            <w:r>
              <w:rPr>
                <w:rFonts w:hint="eastAsia" w:ascii="宋体" w:hAnsi="宋体" w:cs="宋体"/>
                <w:b/>
                <w:bCs/>
                <w:kern w:val="0"/>
                <w:sz w:val="20"/>
                <w:szCs w:val="20"/>
              </w:rPr>
              <w:t>序号</w:t>
            </w:r>
          </w:p>
        </w:tc>
        <w:tc>
          <w:tcPr>
            <w:tcW w:w="1580" w:type="dxa"/>
            <w:tcBorders>
              <w:top w:val="single" w:color="auto" w:sz="4" w:space="0"/>
              <w:left w:val="nil"/>
              <w:bottom w:val="single" w:color="auto" w:sz="4" w:space="0"/>
              <w:right w:val="single" w:color="auto" w:sz="4" w:space="0"/>
            </w:tcBorders>
            <w:vAlign w:val="center"/>
          </w:tcPr>
          <w:p w14:paraId="75EF6758">
            <w:pPr>
              <w:jc w:val="center"/>
              <w:rPr>
                <w:rFonts w:ascii="黑体" w:hAnsi="黑体" w:eastAsia="黑体" w:cs="宋体"/>
                <w:kern w:val="0"/>
                <w:sz w:val="20"/>
                <w:szCs w:val="20"/>
              </w:rPr>
            </w:pPr>
            <w:r>
              <w:rPr>
                <w:rFonts w:hint="eastAsia" w:ascii="黑体" w:hAnsi="黑体" w:eastAsia="黑体" w:cs="宋体"/>
                <w:kern w:val="0"/>
                <w:sz w:val="20"/>
                <w:szCs w:val="20"/>
              </w:rPr>
              <w:t>项目名称</w:t>
            </w:r>
          </w:p>
        </w:tc>
        <w:tc>
          <w:tcPr>
            <w:tcW w:w="760" w:type="dxa"/>
            <w:tcBorders>
              <w:top w:val="single" w:color="auto" w:sz="4" w:space="0"/>
              <w:left w:val="nil"/>
              <w:bottom w:val="single" w:color="auto" w:sz="4" w:space="0"/>
              <w:right w:val="single" w:color="auto" w:sz="4" w:space="0"/>
            </w:tcBorders>
            <w:vAlign w:val="center"/>
          </w:tcPr>
          <w:p w14:paraId="37FFD772">
            <w:pPr>
              <w:jc w:val="center"/>
              <w:rPr>
                <w:rFonts w:ascii="黑体" w:hAnsi="黑体" w:eastAsia="黑体" w:cs="宋体"/>
                <w:kern w:val="0"/>
                <w:sz w:val="20"/>
                <w:szCs w:val="20"/>
              </w:rPr>
            </w:pPr>
            <w:r>
              <w:rPr>
                <w:rFonts w:hint="eastAsia" w:ascii="黑体" w:hAnsi="黑体" w:eastAsia="黑体" w:cs="宋体"/>
                <w:kern w:val="0"/>
                <w:sz w:val="20"/>
                <w:szCs w:val="20"/>
              </w:rPr>
              <w:t>建设</w:t>
            </w:r>
            <w:r>
              <w:rPr>
                <w:rFonts w:ascii="黑体" w:hAnsi="黑体" w:eastAsia="黑体" w:cs="宋体"/>
                <w:kern w:val="0"/>
                <w:sz w:val="20"/>
                <w:szCs w:val="20"/>
              </w:rPr>
              <w:br w:type="textWrapping"/>
            </w:r>
            <w:r>
              <w:rPr>
                <w:rFonts w:hint="eastAsia" w:ascii="黑体" w:hAnsi="黑体" w:eastAsia="黑体" w:cs="宋体"/>
                <w:kern w:val="0"/>
                <w:sz w:val="20"/>
                <w:szCs w:val="20"/>
              </w:rPr>
              <w:t>性质</w:t>
            </w:r>
          </w:p>
        </w:tc>
        <w:tc>
          <w:tcPr>
            <w:tcW w:w="1360" w:type="dxa"/>
            <w:tcBorders>
              <w:top w:val="single" w:color="auto" w:sz="4" w:space="0"/>
              <w:left w:val="nil"/>
              <w:bottom w:val="single" w:color="auto" w:sz="4" w:space="0"/>
              <w:right w:val="single" w:color="auto" w:sz="4" w:space="0"/>
            </w:tcBorders>
            <w:noWrap/>
            <w:vAlign w:val="center"/>
          </w:tcPr>
          <w:p w14:paraId="44A4C365">
            <w:pPr>
              <w:jc w:val="center"/>
              <w:rPr>
                <w:rFonts w:ascii="黑体" w:hAnsi="黑体" w:eastAsia="黑体" w:cs="宋体"/>
                <w:kern w:val="0"/>
                <w:sz w:val="20"/>
                <w:szCs w:val="20"/>
              </w:rPr>
            </w:pPr>
            <w:r>
              <w:rPr>
                <w:rFonts w:hint="eastAsia" w:ascii="黑体" w:hAnsi="黑体" w:eastAsia="黑体" w:cs="宋体"/>
                <w:kern w:val="0"/>
                <w:sz w:val="20"/>
                <w:szCs w:val="20"/>
              </w:rPr>
              <w:t>建设地点</w:t>
            </w:r>
          </w:p>
        </w:tc>
        <w:tc>
          <w:tcPr>
            <w:tcW w:w="1840" w:type="dxa"/>
            <w:tcBorders>
              <w:top w:val="single" w:color="auto" w:sz="4" w:space="0"/>
              <w:left w:val="nil"/>
              <w:bottom w:val="single" w:color="auto" w:sz="4" w:space="0"/>
              <w:right w:val="single" w:color="auto" w:sz="4" w:space="0"/>
            </w:tcBorders>
            <w:noWrap/>
            <w:vAlign w:val="center"/>
          </w:tcPr>
          <w:p w14:paraId="0DCE3E28">
            <w:pPr>
              <w:jc w:val="center"/>
              <w:rPr>
                <w:rFonts w:ascii="黑体" w:hAnsi="黑体" w:eastAsia="黑体" w:cs="宋体"/>
                <w:kern w:val="0"/>
                <w:sz w:val="20"/>
                <w:szCs w:val="20"/>
              </w:rPr>
            </w:pPr>
            <w:r>
              <w:rPr>
                <w:rFonts w:hint="eastAsia" w:ascii="黑体" w:hAnsi="黑体" w:eastAsia="黑体" w:cs="宋体"/>
                <w:kern w:val="0"/>
                <w:sz w:val="20"/>
                <w:szCs w:val="20"/>
              </w:rPr>
              <w:t>项目建设主体</w:t>
            </w:r>
          </w:p>
        </w:tc>
        <w:tc>
          <w:tcPr>
            <w:tcW w:w="4740" w:type="dxa"/>
            <w:tcBorders>
              <w:top w:val="single" w:color="auto" w:sz="4" w:space="0"/>
              <w:left w:val="nil"/>
              <w:bottom w:val="single" w:color="auto" w:sz="4" w:space="0"/>
              <w:right w:val="single" w:color="auto" w:sz="4" w:space="0"/>
            </w:tcBorders>
            <w:noWrap/>
            <w:vAlign w:val="center"/>
          </w:tcPr>
          <w:p w14:paraId="2E9E4846">
            <w:pPr>
              <w:jc w:val="center"/>
              <w:rPr>
                <w:rFonts w:ascii="黑体" w:hAnsi="黑体" w:eastAsia="黑体" w:cs="宋体"/>
                <w:kern w:val="0"/>
                <w:sz w:val="20"/>
                <w:szCs w:val="20"/>
              </w:rPr>
            </w:pPr>
            <w:r>
              <w:rPr>
                <w:rFonts w:hint="eastAsia" w:ascii="黑体" w:hAnsi="黑体" w:eastAsia="黑体" w:cs="宋体"/>
                <w:kern w:val="0"/>
                <w:sz w:val="20"/>
                <w:szCs w:val="20"/>
              </w:rPr>
              <w:t>主要建设内容和规模</w:t>
            </w:r>
          </w:p>
        </w:tc>
        <w:tc>
          <w:tcPr>
            <w:tcW w:w="800" w:type="dxa"/>
            <w:tcBorders>
              <w:top w:val="single" w:color="auto" w:sz="4" w:space="0"/>
              <w:left w:val="nil"/>
              <w:bottom w:val="single" w:color="auto" w:sz="4" w:space="0"/>
              <w:right w:val="single" w:color="auto" w:sz="4" w:space="0"/>
            </w:tcBorders>
            <w:vAlign w:val="center"/>
          </w:tcPr>
          <w:p w14:paraId="691F4470">
            <w:pPr>
              <w:jc w:val="center"/>
              <w:rPr>
                <w:rFonts w:ascii="黑体" w:hAnsi="黑体" w:eastAsia="黑体" w:cs="宋体"/>
                <w:kern w:val="0"/>
                <w:sz w:val="20"/>
                <w:szCs w:val="20"/>
              </w:rPr>
            </w:pPr>
            <w:r>
              <w:rPr>
                <w:rFonts w:hint="eastAsia" w:ascii="黑体" w:hAnsi="黑体" w:eastAsia="黑体" w:cs="宋体"/>
                <w:kern w:val="0"/>
                <w:sz w:val="20"/>
                <w:szCs w:val="20"/>
              </w:rPr>
              <w:t>开工</w:t>
            </w:r>
            <w:r>
              <w:rPr>
                <w:rFonts w:ascii="黑体" w:hAnsi="黑体" w:eastAsia="黑体" w:cs="宋体"/>
                <w:kern w:val="0"/>
                <w:sz w:val="20"/>
                <w:szCs w:val="20"/>
              </w:rPr>
              <w:br w:type="textWrapping"/>
            </w:r>
            <w:r>
              <w:rPr>
                <w:rFonts w:hint="eastAsia" w:ascii="黑体" w:hAnsi="黑体" w:eastAsia="黑体" w:cs="宋体"/>
                <w:kern w:val="0"/>
                <w:sz w:val="20"/>
                <w:szCs w:val="20"/>
              </w:rPr>
              <w:t>年份</w:t>
            </w:r>
          </w:p>
        </w:tc>
        <w:tc>
          <w:tcPr>
            <w:tcW w:w="800" w:type="dxa"/>
            <w:tcBorders>
              <w:top w:val="single" w:color="auto" w:sz="4" w:space="0"/>
              <w:left w:val="nil"/>
              <w:bottom w:val="single" w:color="auto" w:sz="4" w:space="0"/>
              <w:right w:val="single" w:color="auto" w:sz="4" w:space="0"/>
            </w:tcBorders>
            <w:vAlign w:val="center"/>
          </w:tcPr>
          <w:p w14:paraId="34D3E22C">
            <w:pPr>
              <w:jc w:val="center"/>
              <w:rPr>
                <w:rFonts w:ascii="黑体" w:hAnsi="黑体" w:eastAsia="黑体" w:cs="宋体"/>
                <w:kern w:val="0"/>
                <w:sz w:val="20"/>
                <w:szCs w:val="20"/>
              </w:rPr>
            </w:pPr>
            <w:r>
              <w:rPr>
                <w:rFonts w:hint="eastAsia" w:ascii="黑体" w:hAnsi="黑体" w:eastAsia="黑体" w:cs="宋体"/>
                <w:kern w:val="0"/>
                <w:sz w:val="20"/>
                <w:szCs w:val="20"/>
              </w:rPr>
              <w:t>竣工</w:t>
            </w:r>
            <w:r>
              <w:rPr>
                <w:rFonts w:ascii="黑体" w:hAnsi="黑体" w:eastAsia="黑体" w:cs="宋体"/>
                <w:kern w:val="0"/>
                <w:sz w:val="20"/>
                <w:szCs w:val="20"/>
              </w:rPr>
              <w:br w:type="textWrapping"/>
            </w:r>
            <w:r>
              <w:rPr>
                <w:rFonts w:hint="eastAsia" w:ascii="黑体" w:hAnsi="黑体" w:eastAsia="黑体" w:cs="宋体"/>
                <w:kern w:val="0"/>
                <w:sz w:val="20"/>
                <w:szCs w:val="20"/>
              </w:rPr>
              <w:t>年份</w:t>
            </w:r>
          </w:p>
        </w:tc>
        <w:tc>
          <w:tcPr>
            <w:tcW w:w="1040" w:type="dxa"/>
            <w:tcBorders>
              <w:top w:val="single" w:color="auto" w:sz="4" w:space="0"/>
              <w:left w:val="nil"/>
              <w:bottom w:val="single" w:color="auto" w:sz="4" w:space="0"/>
              <w:right w:val="single" w:color="auto" w:sz="4" w:space="0"/>
            </w:tcBorders>
            <w:vAlign w:val="center"/>
          </w:tcPr>
          <w:p w14:paraId="2CCB0106">
            <w:pPr>
              <w:jc w:val="center"/>
              <w:rPr>
                <w:rFonts w:ascii="黑体" w:hAnsi="黑体" w:eastAsia="黑体" w:cs="宋体"/>
                <w:kern w:val="0"/>
                <w:sz w:val="20"/>
                <w:szCs w:val="20"/>
              </w:rPr>
            </w:pPr>
            <w:r>
              <w:rPr>
                <w:rFonts w:hint="eastAsia" w:ascii="黑体" w:hAnsi="黑体" w:eastAsia="黑体" w:cs="宋体"/>
                <w:kern w:val="0"/>
                <w:sz w:val="20"/>
                <w:szCs w:val="20"/>
              </w:rPr>
              <w:t>总投资</w:t>
            </w:r>
            <w:r>
              <w:rPr>
                <w:rFonts w:ascii="黑体" w:hAnsi="黑体" w:eastAsia="黑体" w:cs="宋体"/>
                <w:kern w:val="0"/>
                <w:sz w:val="20"/>
                <w:szCs w:val="20"/>
              </w:rPr>
              <w:br w:type="textWrapping"/>
            </w:r>
            <w:r>
              <w:rPr>
                <w:rFonts w:hint="eastAsia" w:ascii="黑体" w:hAnsi="黑体" w:eastAsia="黑体" w:cs="宋体"/>
                <w:kern w:val="0"/>
                <w:sz w:val="20"/>
                <w:szCs w:val="20"/>
              </w:rPr>
              <w:t>（万元）</w:t>
            </w:r>
          </w:p>
        </w:tc>
        <w:tc>
          <w:tcPr>
            <w:tcW w:w="2240" w:type="dxa"/>
            <w:tcBorders>
              <w:top w:val="single" w:color="auto" w:sz="4" w:space="0"/>
              <w:left w:val="nil"/>
              <w:bottom w:val="single" w:color="auto" w:sz="4" w:space="0"/>
              <w:right w:val="single" w:color="auto" w:sz="4" w:space="0"/>
            </w:tcBorders>
            <w:vAlign w:val="center"/>
          </w:tcPr>
          <w:p w14:paraId="40CE9C7A">
            <w:pPr>
              <w:jc w:val="center"/>
              <w:rPr>
                <w:rFonts w:ascii="黑体" w:hAnsi="黑体" w:eastAsia="黑体" w:cs="宋体"/>
                <w:kern w:val="0"/>
                <w:sz w:val="20"/>
                <w:szCs w:val="20"/>
              </w:rPr>
            </w:pPr>
            <w:r>
              <w:rPr>
                <w:rFonts w:hint="eastAsia" w:ascii="黑体" w:hAnsi="黑体" w:eastAsia="黑体" w:cs="宋体"/>
                <w:kern w:val="0"/>
                <w:sz w:val="20"/>
                <w:szCs w:val="20"/>
              </w:rPr>
              <w:t>备注</w:t>
            </w:r>
          </w:p>
        </w:tc>
      </w:tr>
      <w:tr w14:paraId="73DCC722">
        <w:tblPrEx>
          <w:tblCellMar>
            <w:top w:w="0" w:type="dxa"/>
            <w:left w:w="108" w:type="dxa"/>
            <w:bottom w:w="0" w:type="dxa"/>
            <w:right w:w="108" w:type="dxa"/>
          </w:tblCellMar>
        </w:tblPrEx>
        <w:trPr>
          <w:trHeight w:val="2430" w:hRule="atLeast"/>
        </w:trPr>
        <w:tc>
          <w:tcPr>
            <w:tcW w:w="600" w:type="dxa"/>
            <w:tcBorders>
              <w:top w:val="nil"/>
              <w:left w:val="single" w:color="auto" w:sz="4" w:space="0"/>
              <w:bottom w:val="single" w:color="auto" w:sz="4" w:space="0"/>
              <w:right w:val="single" w:color="auto" w:sz="4" w:space="0"/>
            </w:tcBorders>
            <w:noWrap/>
            <w:vAlign w:val="center"/>
          </w:tcPr>
          <w:p w14:paraId="4261C2BE">
            <w:pPr>
              <w:jc w:val="center"/>
              <w:rPr>
                <w:rFonts w:ascii="宋体" w:cs="宋体"/>
                <w:kern w:val="0"/>
                <w:sz w:val="20"/>
                <w:szCs w:val="20"/>
              </w:rPr>
            </w:pPr>
            <w:r>
              <w:rPr>
                <w:rFonts w:ascii="宋体" w:hAnsi="宋体" w:cs="宋体"/>
                <w:kern w:val="0"/>
                <w:sz w:val="20"/>
                <w:szCs w:val="20"/>
              </w:rPr>
              <w:t>1</w:t>
            </w:r>
            <w:r>
              <w:rPr>
                <w:rFonts w:hint="eastAsia" w:ascii="宋体" w:hAnsi="宋体" w:cs="宋体"/>
                <w:kern w:val="0"/>
                <w:sz w:val="20"/>
                <w:szCs w:val="20"/>
              </w:rPr>
              <w:t>5</w:t>
            </w:r>
          </w:p>
        </w:tc>
        <w:tc>
          <w:tcPr>
            <w:tcW w:w="1580" w:type="dxa"/>
            <w:tcBorders>
              <w:top w:val="nil"/>
              <w:left w:val="nil"/>
              <w:bottom w:val="single" w:color="auto" w:sz="4" w:space="0"/>
              <w:right w:val="single" w:color="auto" w:sz="4" w:space="0"/>
            </w:tcBorders>
            <w:vAlign w:val="center"/>
          </w:tcPr>
          <w:p w14:paraId="5C198EAF">
            <w:pPr>
              <w:jc w:val="left"/>
              <w:rPr>
                <w:rFonts w:ascii="宋体" w:cs="宋体"/>
                <w:kern w:val="0"/>
                <w:sz w:val="20"/>
                <w:szCs w:val="20"/>
              </w:rPr>
            </w:pPr>
            <w:r>
              <w:rPr>
                <w:rFonts w:hint="eastAsia" w:ascii="宋体" w:hAnsi="宋体" w:cs="宋体"/>
                <w:kern w:val="0"/>
                <w:sz w:val="20"/>
                <w:szCs w:val="20"/>
              </w:rPr>
              <w:t>城市综合管理服务平台</w:t>
            </w:r>
          </w:p>
        </w:tc>
        <w:tc>
          <w:tcPr>
            <w:tcW w:w="760" w:type="dxa"/>
            <w:tcBorders>
              <w:top w:val="nil"/>
              <w:left w:val="nil"/>
              <w:bottom w:val="single" w:color="auto" w:sz="4" w:space="0"/>
              <w:right w:val="single" w:color="auto" w:sz="4" w:space="0"/>
            </w:tcBorders>
            <w:noWrap/>
            <w:vAlign w:val="center"/>
          </w:tcPr>
          <w:p w14:paraId="5D451322">
            <w:pPr>
              <w:jc w:val="center"/>
              <w:rPr>
                <w:rFonts w:ascii="宋体" w:cs="宋体"/>
                <w:kern w:val="0"/>
                <w:sz w:val="20"/>
                <w:szCs w:val="20"/>
              </w:rPr>
            </w:pPr>
            <w:r>
              <w:rPr>
                <w:rFonts w:hint="eastAsia" w:ascii="宋体" w:hAnsi="宋体" w:cs="宋体"/>
                <w:kern w:val="0"/>
                <w:sz w:val="20"/>
                <w:szCs w:val="20"/>
              </w:rPr>
              <w:t>续建</w:t>
            </w:r>
          </w:p>
        </w:tc>
        <w:tc>
          <w:tcPr>
            <w:tcW w:w="1360" w:type="dxa"/>
            <w:tcBorders>
              <w:top w:val="nil"/>
              <w:left w:val="nil"/>
              <w:bottom w:val="single" w:color="auto" w:sz="4" w:space="0"/>
              <w:right w:val="single" w:color="auto" w:sz="4" w:space="0"/>
            </w:tcBorders>
            <w:noWrap/>
            <w:vAlign w:val="center"/>
          </w:tcPr>
          <w:p w14:paraId="484EE9E6">
            <w:pPr>
              <w:jc w:val="center"/>
              <w:rPr>
                <w:rFonts w:ascii="宋体" w:cs="宋体"/>
                <w:kern w:val="0"/>
                <w:sz w:val="20"/>
                <w:szCs w:val="20"/>
              </w:rPr>
            </w:pPr>
            <w:r>
              <w:rPr>
                <w:rFonts w:hint="eastAsia" w:ascii="宋体" w:hAnsi="宋体" w:cs="宋体"/>
                <w:kern w:val="0"/>
                <w:sz w:val="20"/>
                <w:szCs w:val="20"/>
              </w:rPr>
              <w:t>湘潭市城区</w:t>
            </w:r>
          </w:p>
        </w:tc>
        <w:tc>
          <w:tcPr>
            <w:tcW w:w="1840" w:type="dxa"/>
            <w:tcBorders>
              <w:top w:val="nil"/>
              <w:left w:val="nil"/>
              <w:bottom w:val="single" w:color="auto" w:sz="4" w:space="0"/>
              <w:right w:val="single" w:color="auto" w:sz="4" w:space="0"/>
            </w:tcBorders>
            <w:vAlign w:val="center"/>
          </w:tcPr>
          <w:p w14:paraId="36B25CA4">
            <w:pPr>
              <w:jc w:val="left"/>
              <w:rPr>
                <w:rFonts w:ascii="宋体" w:cs="宋体"/>
                <w:kern w:val="0"/>
                <w:sz w:val="20"/>
                <w:szCs w:val="20"/>
              </w:rPr>
            </w:pPr>
            <w:r>
              <w:rPr>
                <w:rFonts w:hint="eastAsia" w:ascii="宋体" w:hAnsi="宋体" w:cs="宋体"/>
                <w:kern w:val="0"/>
                <w:sz w:val="20"/>
                <w:szCs w:val="20"/>
              </w:rPr>
              <w:t>湘潭智城联合信息科技公司</w:t>
            </w:r>
          </w:p>
        </w:tc>
        <w:tc>
          <w:tcPr>
            <w:tcW w:w="4740" w:type="dxa"/>
            <w:tcBorders>
              <w:top w:val="nil"/>
              <w:left w:val="nil"/>
              <w:bottom w:val="single" w:color="auto" w:sz="4" w:space="0"/>
              <w:right w:val="single" w:color="auto" w:sz="4" w:space="0"/>
            </w:tcBorders>
            <w:vAlign w:val="center"/>
          </w:tcPr>
          <w:p w14:paraId="6B67C7F3">
            <w:pPr>
              <w:jc w:val="left"/>
              <w:rPr>
                <w:rFonts w:ascii="宋体" w:cs="宋体"/>
                <w:kern w:val="0"/>
                <w:sz w:val="20"/>
                <w:szCs w:val="20"/>
              </w:rPr>
            </w:pPr>
            <w:r>
              <w:rPr>
                <w:rFonts w:hint="eastAsia" w:ascii="宋体" w:hAnsi="宋体" w:cs="宋体"/>
                <w:kern w:val="0"/>
                <w:sz w:val="20"/>
                <w:szCs w:val="20"/>
              </w:rPr>
              <w:t>在已有“智慧城管”基础上，建设住建部规定的“业务指导系统、指挥协调系统、行业应用系统、公众服务系统、数据汇聚系统、数据交换系统”等六大标准系统。深化智慧园林系统、智慧环卫系统、智慧照明系统、智慧燃气系统、智慧执法系统、智慧停车系统建设、</w:t>
            </w:r>
            <w:r>
              <w:rPr>
                <w:rFonts w:hint="eastAsia" w:ascii="宋体" w:hAnsi="宋体" w:cs="宋体"/>
                <w:sz w:val="20"/>
                <w:szCs w:val="20"/>
              </w:rPr>
              <w:t>户外广告管理系统</w:t>
            </w:r>
            <w:r>
              <w:rPr>
                <w:rFonts w:hint="eastAsia" w:ascii="仿宋" w:hAnsi="仿宋" w:eastAsia="仿宋"/>
                <w:sz w:val="20"/>
                <w:szCs w:val="20"/>
              </w:rPr>
              <w:t>、</w:t>
            </w:r>
            <w:r>
              <w:rPr>
                <w:rFonts w:hint="eastAsia" w:ascii="宋体" w:hAnsi="宋体" w:cs="宋体"/>
                <w:kern w:val="0"/>
                <w:sz w:val="20"/>
                <w:szCs w:val="20"/>
              </w:rPr>
              <w:t>桥梁在线监测系统建设，完成综合管理平台硬件升级、大数据分析平台建设，实现“智慧城管”向城市综合管理服务平台升级。</w:t>
            </w:r>
          </w:p>
        </w:tc>
        <w:tc>
          <w:tcPr>
            <w:tcW w:w="800" w:type="dxa"/>
            <w:tcBorders>
              <w:top w:val="nil"/>
              <w:left w:val="nil"/>
              <w:bottom w:val="single" w:color="auto" w:sz="4" w:space="0"/>
              <w:right w:val="single" w:color="auto" w:sz="4" w:space="0"/>
            </w:tcBorders>
            <w:noWrap/>
            <w:vAlign w:val="center"/>
          </w:tcPr>
          <w:p w14:paraId="4532246F">
            <w:pPr>
              <w:jc w:val="center"/>
              <w:rPr>
                <w:rFonts w:ascii="宋体" w:cs="宋体"/>
                <w:kern w:val="0"/>
                <w:sz w:val="20"/>
                <w:szCs w:val="20"/>
              </w:rPr>
            </w:pPr>
            <w:r>
              <w:rPr>
                <w:rFonts w:ascii="宋体" w:hAnsi="宋体" w:cs="宋体"/>
                <w:kern w:val="0"/>
                <w:sz w:val="20"/>
                <w:szCs w:val="20"/>
              </w:rPr>
              <w:t>2021</w:t>
            </w:r>
          </w:p>
        </w:tc>
        <w:tc>
          <w:tcPr>
            <w:tcW w:w="800" w:type="dxa"/>
            <w:tcBorders>
              <w:top w:val="nil"/>
              <w:left w:val="nil"/>
              <w:bottom w:val="single" w:color="auto" w:sz="4" w:space="0"/>
              <w:right w:val="single" w:color="auto" w:sz="4" w:space="0"/>
            </w:tcBorders>
            <w:noWrap/>
            <w:vAlign w:val="center"/>
          </w:tcPr>
          <w:p w14:paraId="1A3532A3">
            <w:pPr>
              <w:jc w:val="center"/>
              <w:rPr>
                <w:rFonts w:ascii="宋体" w:cs="宋体"/>
                <w:kern w:val="0"/>
                <w:sz w:val="20"/>
                <w:szCs w:val="20"/>
              </w:rPr>
            </w:pPr>
            <w:r>
              <w:rPr>
                <w:rFonts w:ascii="宋体" w:hAnsi="宋体" w:cs="宋体"/>
                <w:kern w:val="0"/>
                <w:sz w:val="20"/>
                <w:szCs w:val="20"/>
              </w:rPr>
              <w:t>2025</w:t>
            </w:r>
          </w:p>
        </w:tc>
        <w:tc>
          <w:tcPr>
            <w:tcW w:w="1040" w:type="dxa"/>
            <w:tcBorders>
              <w:top w:val="nil"/>
              <w:left w:val="nil"/>
              <w:bottom w:val="single" w:color="auto" w:sz="4" w:space="0"/>
              <w:right w:val="single" w:color="auto" w:sz="4" w:space="0"/>
            </w:tcBorders>
            <w:noWrap/>
            <w:vAlign w:val="center"/>
          </w:tcPr>
          <w:p w14:paraId="2B1C86B0">
            <w:pPr>
              <w:jc w:val="center"/>
              <w:rPr>
                <w:rFonts w:ascii="宋体" w:cs="宋体"/>
                <w:kern w:val="0"/>
                <w:sz w:val="20"/>
                <w:szCs w:val="20"/>
              </w:rPr>
            </w:pPr>
            <w:r>
              <w:rPr>
                <w:rFonts w:ascii="宋体" w:hAnsi="宋体" w:cs="宋体"/>
                <w:kern w:val="0"/>
                <w:sz w:val="20"/>
                <w:szCs w:val="20"/>
              </w:rPr>
              <w:t xml:space="preserve">12,000 </w:t>
            </w:r>
          </w:p>
        </w:tc>
        <w:tc>
          <w:tcPr>
            <w:tcW w:w="2240" w:type="dxa"/>
            <w:tcBorders>
              <w:top w:val="nil"/>
              <w:left w:val="nil"/>
              <w:bottom w:val="single" w:color="auto" w:sz="4" w:space="0"/>
              <w:right w:val="single" w:color="auto" w:sz="4" w:space="0"/>
            </w:tcBorders>
            <w:vAlign w:val="center"/>
          </w:tcPr>
          <w:p w14:paraId="2265A5EB">
            <w:pPr>
              <w:jc w:val="left"/>
              <w:rPr>
                <w:rFonts w:ascii="宋体" w:cs="宋体"/>
                <w:kern w:val="0"/>
                <w:sz w:val="20"/>
                <w:szCs w:val="20"/>
              </w:rPr>
            </w:pPr>
            <w:r>
              <w:rPr>
                <w:rFonts w:hint="eastAsia" w:ascii="宋体" w:hAnsi="宋体" w:cs="宋体"/>
                <w:kern w:val="0"/>
                <w:sz w:val="20"/>
                <w:szCs w:val="20"/>
              </w:rPr>
              <w:t>企业投资、分期付款（目前智慧湘潭项目统一由湘潭智城科技统一组织建设）</w:t>
            </w:r>
          </w:p>
        </w:tc>
      </w:tr>
      <w:tr w14:paraId="6BA4979C">
        <w:tblPrEx>
          <w:tblCellMar>
            <w:top w:w="0" w:type="dxa"/>
            <w:left w:w="108" w:type="dxa"/>
            <w:bottom w:w="0" w:type="dxa"/>
            <w:right w:w="108" w:type="dxa"/>
          </w:tblCellMar>
        </w:tblPrEx>
        <w:trPr>
          <w:trHeight w:val="1200" w:hRule="atLeast"/>
        </w:trPr>
        <w:tc>
          <w:tcPr>
            <w:tcW w:w="600" w:type="dxa"/>
            <w:tcBorders>
              <w:top w:val="nil"/>
              <w:left w:val="single" w:color="auto" w:sz="4" w:space="0"/>
              <w:bottom w:val="single" w:color="auto" w:sz="4" w:space="0"/>
              <w:right w:val="single" w:color="auto" w:sz="4" w:space="0"/>
            </w:tcBorders>
            <w:noWrap/>
            <w:vAlign w:val="center"/>
          </w:tcPr>
          <w:p w14:paraId="65510ADF">
            <w:pPr>
              <w:jc w:val="center"/>
              <w:rPr>
                <w:rFonts w:ascii="宋体" w:cs="宋体"/>
                <w:kern w:val="0"/>
                <w:sz w:val="20"/>
                <w:szCs w:val="20"/>
              </w:rPr>
            </w:pPr>
            <w:r>
              <w:rPr>
                <w:rFonts w:ascii="宋体" w:hAnsi="宋体" w:cs="宋体"/>
                <w:kern w:val="0"/>
                <w:sz w:val="20"/>
                <w:szCs w:val="20"/>
              </w:rPr>
              <w:t>1</w:t>
            </w:r>
            <w:r>
              <w:rPr>
                <w:rFonts w:hint="eastAsia" w:ascii="宋体" w:hAnsi="宋体" w:cs="宋体"/>
                <w:kern w:val="0"/>
                <w:sz w:val="20"/>
                <w:szCs w:val="20"/>
              </w:rPr>
              <w:t>6</w:t>
            </w:r>
          </w:p>
        </w:tc>
        <w:tc>
          <w:tcPr>
            <w:tcW w:w="1580" w:type="dxa"/>
            <w:tcBorders>
              <w:top w:val="nil"/>
              <w:left w:val="nil"/>
              <w:bottom w:val="single" w:color="auto" w:sz="4" w:space="0"/>
              <w:right w:val="single" w:color="auto" w:sz="4" w:space="0"/>
            </w:tcBorders>
            <w:vAlign w:val="center"/>
          </w:tcPr>
          <w:p w14:paraId="4DEBF7A7">
            <w:pPr>
              <w:jc w:val="left"/>
              <w:rPr>
                <w:rFonts w:ascii="宋体" w:cs="宋体"/>
                <w:kern w:val="0"/>
                <w:sz w:val="20"/>
                <w:szCs w:val="20"/>
              </w:rPr>
            </w:pPr>
            <w:r>
              <w:rPr>
                <w:rFonts w:hint="eastAsia" w:ascii="宋体" w:hAnsi="宋体" w:cs="宋体"/>
                <w:kern w:val="0"/>
                <w:sz w:val="20"/>
                <w:szCs w:val="20"/>
              </w:rPr>
              <w:t>湘潭市步行和自行车交通系统二期（共享单车建设）</w:t>
            </w:r>
          </w:p>
        </w:tc>
        <w:tc>
          <w:tcPr>
            <w:tcW w:w="760" w:type="dxa"/>
            <w:tcBorders>
              <w:top w:val="nil"/>
              <w:left w:val="nil"/>
              <w:bottom w:val="single" w:color="auto" w:sz="4" w:space="0"/>
              <w:right w:val="single" w:color="auto" w:sz="4" w:space="0"/>
            </w:tcBorders>
            <w:vAlign w:val="center"/>
          </w:tcPr>
          <w:p w14:paraId="0A04B67C">
            <w:pPr>
              <w:jc w:val="center"/>
              <w:rPr>
                <w:rFonts w:ascii="宋体" w:cs="宋体"/>
                <w:kern w:val="0"/>
                <w:sz w:val="20"/>
                <w:szCs w:val="20"/>
              </w:rPr>
            </w:pPr>
            <w:r>
              <w:rPr>
                <w:rFonts w:hint="eastAsia" w:ascii="宋体" w:hAnsi="宋体" w:cs="宋体"/>
                <w:kern w:val="0"/>
                <w:sz w:val="20"/>
                <w:szCs w:val="20"/>
              </w:rPr>
              <w:t>续建</w:t>
            </w:r>
          </w:p>
        </w:tc>
        <w:tc>
          <w:tcPr>
            <w:tcW w:w="1360" w:type="dxa"/>
            <w:tcBorders>
              <w:top w:val="nil"/>
              <w:left w:val="nil"/>
              <w:bottom w:val="single" w:color="auto" w:sz="4" w:space="0"/>
              <w:right w:val="single" w:color="auto" w:sz="4" w:space="0"/>
            </w:tcBorders>
            <w:noWrap/>
            <w:vAlign w:val="center"/>
          </w:tcPr>
          <w:p w14:paraId="7A01A7D4">
            <w:pPr>
              <w:jc w:val="center"/>
              <w:rPr>
                <w:rFonts w:ascii="宋体" w:cs="宋体"/>
                <w:kern w:val="0"/>
                <w:sz w:val="20"/>
                <w:szCs w:val="20"/>
              </w:rPr>
            </w:pPr>
            <w:r>
              <w:rPr>
                <w:rFonts w:hint="eastAsia" w:ascii="宋体" w:hAnsi="宋体" w:cs="宋体"/>
                <w:kern w:val="0"/>
                <w:sz w:val="20"/>
                <w:szCs w:val="20"/>
              </w:rPr>
              <w:t>湘潭市城区</w:t>
            </w:r>
          </w:p>
        </w:tc>
        <w:tc>
          <w:tcPr>
            <w:tcW w:w="1840" w:type="dxa"/>
            <w:tcBorders>
              <w:top w:val="nil"/>
              <w:left w:val="nil"/>
              <w:bottom w:val="single" w:color="auto" w:sz="4" w:space="0"/>
              <w:right w:val="single" w:color="auto" w:sz="4" w:space="0"/>
            </w:tcBorders>
            <w:vAlign w:val="center"/>
          </w:tcPr>
          <w:p w14:paraId="3594624C">
            <w:pPr>
              <w:jc w:val="left"/>
              <w:rPr>
                <w:rFonts w:ascii="宋体" w:cs="宋体"/>
                <w:kern w:val="0"/>
                <w:sz w:val="20"/>
                <w:szCs w:val="20"/>
              </w:rPr>
            </w:pPr>
            <w:r>
              <w:rPr>
                <w:rFonts w:hint="eastAsia" w:ascii="宋体" w:hAnsi="宋体" w:cs="宋体"/>
                <w:kern w:val="0"/>
                <w:sz w:val="20"/>
                <w:szCs w:val="20"/>
              </w:rPr>
              <w:t>湘盾远安公司</w:t>
            </w:r>
          </w:p>
        </w:tc>
        <w:tc>
          <w:tcPr>
            <w:tcW w:w="4740" w:type="dxa"/>
            <w:tcBorders>
              <w:top w:val="nil"/>
              <w:left w:val="nil"/>
              <w:bottom w:val="single" w:color="auto" w:sz="4" w:space="0"/>
              <w:right w:val="single" w:color="auto" w:sz="4" w:space="0"/>
            </w:tcBorders>
            <w:vAlign w:val="center"/>
          </w:tcPr>
          <w:p w14:paraId="4CAE91EB">
            <w:pPr>
              <w:jc w:val="left"/>
              <w:rPr>
                <w:rFonts w:ascii="宋体" w:cs="宋体"/>
                <w:kern w:val="0"/>
                <w:sz w:val="20"/>
                <w:szCs w:val="20"/>
              </w:rPr>
            </w:pPr>
            <w:r>
              <w:rPr>
                <w:rFonts w:hint="eastAsia" w:ascii="宋体" w:hAnsi="宋体" w:cs="宋体"/>
                <w:kern w:val="0"/>
                <w:sz w:val="20"/>
                <w:szCs w:val="20"/>
              </w:rPr>
              <w:t>在全市范围内建设有桩共享助力单车站点不少于</w:t>
            </w:r>
            <w:r>
              <w:rPr>
                <w:rFonts w:ascii="宋体" w:hAnsi="宋体" w:cs="宋体"/>
                <w:kern w:val="0"/>
                <w:sz w:val="20"/>
                <w:szCs w:val="20"/>
              </w:rPr>
              <w:t>500</w:t>
            </w:r>
            <w:r>
              <w:rPr>
                <w:rFonts w:hint="eastAsia" w:ascii="宋体" w:hAnsi="宋体" w:cs="宋体"/>
                <w:kern w:val="0"/>
                <w:sz w:val="20"/>
                <w:szCs w:val="20"/>
              </w:rPr>
              <w:t>个，根据市场需求分批投放共享助力单车</w:t>
            </w:r>
            <w:r>
              <w:rPr>
                <w:rFonts w:ascii="宋体" w:hAnsi="宋体" w:cs="宋体"/>
                <w:kern w:val="0"/>
                <w:sz w:val="20"/>
                <w:szCs w:val="20"/>
              </w:rPr>
              <w:t>10000</w:t>
            </w:r>
            <w:r>
              <w:rPr>
                <w:rFonts w:hint="eastAsia" w:ascii="宋体" w:hAnsi="宋体" w:cs="宋体"/>
                <w:kern w:val="0"/>
                <w:sz w:val="20"/>
                <w:szCs w:val="20"/>
              </w:rPr>
              <w:t>辆</w:t>
            </w:r>
            <w:r>
              <w:rPr>
                <w:rFonts w:ascii="宋体" w:cs="宋体"/>
                <w:kern w:val="0"/>
                <w:sz w:val="20"/>
                <w:szCs w:val="20"/>
              </w:rPr>
              <w:t>,</w:t>
            </w:r>
            <w:r>
              <w:rPr>
                <w:rFonts w:hint="eastAsia" w:ascii="宋体" w:hAnsi="宋体" w:cs="宋体"/>
                <w:kern w:val="0"/>
                <w:sz w:val="20"/>
                <w:szCs w:val="20"/>
              </w:rPr>
              <w:t>同时对公共自行车租赁系统进行提质改造</w:t>
            </w:r>
          </w:p>
        </w:tc>
        <w:tc>
          <w:tcPr>
            <w:tcW w:w="800" w:type="dxa"/>
            <w:tcBorders>
              <w:top w:val="nil"/>
              <w:left w:val="nil"/>
              <w:bottom w:val="single" w:color="auto" w:sz="4" w:space="0"/>
              <w:right w:val="single" w:color="auto" w:sz="4" w:space="0"/>
            </w:tcBorders>
            <w:vAlign w:val="center"/>
          </w:tcPr>
          <w:p w14:paraId="4F5EA63F">
            <w:pPr>
              <w:jc w:val="center"/>
              <w:rPr>
                <w:rFonts w:ascii="宋体" w:cs="宋体"/>
                <w:kern w:val="0"/>
                <w:sz w:val="20"/>
                <w:szCs w:val="20"/>
              </w:rPr>
            </w:pPr>
            <w:r>
              <w:rPr>
                <w:rFonts w:ascii="宋体" w:hAnsi="宋体" w:cs="宋体"/>
                <w:kern w:val="0"/>
                <w:sz w:val="20"/>
                <w:szCs w:val="20"/>
              </w:rPr>
              <w:t>2020</w:t>
            </w:r>
          </w:p>
        </w:tc>
        <w:tc>
          <w:tcPr>
            <w:tcW w:w="800" w:type="dxa"/>
            <w:tcBorders>
              <w:top w:val="nil"/>
              <w:left w:val="nil"/>
              <w:bottom w:val="single" w:color="auto" w:sz="4" w:space="0"/>
              <w:right w:val="single" w:color="auto" w:sz="4" w:space="0"/>
            </w:tcBorders>
            <w:vAlign w:val="center"/>
          </w:tcPr>
          <w:p w14:paraId="1E3C9FC2">
            <w:pPr>
              <w:jc w:val="center"/>
              <w:rPr>
                <w:rFonts w:ascii="宋体" w:cs="宋体"/>
                <w:kern w:val="0"/>
                <w:sz w:val="20"/>
                <w:szCs w:val="20"/>
              </w:rPr>
            </w:pPr>
            <w:r>
              <w:rPr>
                <w:rFonts w:ascii="宋体" w:hAnsi="宋体" w:cs="宋体"/>
                <w:kern w:val="0"/>
                <w:sz w:val="20"/>
                <w:szCs w:val="20"/>
              </w:rPr>
              <w:t>2025</w:t>
            </w:r>
          </w:p>
        </w:tc>
        <w:tc>
          <w:tcPr>
            <w:tcW w:w="1040" w:type="dxa"/>
            <w:tcBorders>
              <w:top w:val="nil"/>
              <w:left w:val="nil"/>
              <w:bottom w:val="single" w:color="auto" w:sz="4" w:space="0"/>
              <w:right w:val="single" w:color="auto" w:sz="4" w:space="0"/>
            </w:tcBorders>
            <w:vAlign w:val="center"/>
          </w:tcPr>
          <w:p w14:paraId="044AD556">
            <w:pPr>
              <w:jc w:val="center"/>
              <w:rPr>
                <w:rFonts w:ascii="宋体" w:cs="宋体"/>
                <w:kern w:val="0"/>
                <w:sz w:val="20"/>
                <w:szCs w:val="20"/>
              </w:rPr>
            </w:pPr>
            <w:r>
              <w:rPr>
                <w:rFonts w:ascii="宋体" w:hAnsi="宋体" w:cs="宋体"/>
                <w:kern w:val="0"/>
                <w:sz w:val="20"/>
                <w:szCs w:val="20"/>
              </w:rPr>
              <w:t xml:space="preserve">3,000 </w:t>
            </w:r>
          </w:p>
        </w:tc>
        <w:tc>
          <w:tcPr>
            <w:tcW w:w="2240" w:type="dxa"/>
            <w:tcBorders>
              <w:top w:val="nil"/>
              <w:left w:val="nil"/>
              <w:bottom w:val="single" w:color="auto" w:sz="4" w:space="0"/>
              <w:right w:val="single" w:color="auto" w:sz="4" w:space="0"/>
            </w:tcBorders>
            <w:vAlign w:val="center"/>
          </w:tcPr>
          <w:p w14:paraId="033B545D">
            <w:pPr>
              <w:jc w:val="left"/>
              <w:rPr>
                <w:rFonts w:ascii="宋体" w:cs="宋体"/>
                <w:kern w:val="0"/>
                <w:sz w:val="20"/>
                <w:szCs w:val="20"/>
              </w:rPr>
            </w:pPr>
            <w:r>
              <w:rPr>
                <w:rFonts w:hint="eastAsia" w:ascii="宋体" w:hAnsi="宋体" w:cs="宋体"/>
                <w:kern w:val="0"/>
                <w:sz w:val="20"/>
                <w:szCs w:val="20"/>
              </w:rPr>
              <w:t>共享单车建设采用市场化运作，原公共自行车租赁系统提质升级改造争取中央、省、市财政资金。</w:t>
            </w:r>
          </w:p>
        </w:tc>
      </w:tr>
      <w:tr w14:paraId="06FB10F8">
        <w:tblPrEx>
          <w:tblCellMar>
            <w:top w:w="0" w:type="dxa"/>
            <w:left w:w="108" w:type="dxa"/>
            <w:bottom w:w="0" w:type="dxa"/>
            <w:right w:w="108" w:type="dxa"/>
          </w:tblCellMar>
        </w:tblPrEx>
        <w:trPr>
          <w:trHeight w:val="1062" w:hRule="atLeast"/>
        </w:trPr>
        <w:tc>
          <w:tcPr>
            <w:tcW w:w="600" w:type="dxa"/>
            <w:tcBorders>
              <w:top w:val="nil"/>
              <w:left w:val="single" w:color="auto" w:sz="4" w:space="0"/>
              <w:bottom w:val="single" w:color="auto" w:sz="4" w:space="0"/>
              <w:right w:val="single" w:color="auto" w:sz="4" w:space="0"/>
            </w:tcBorders>
            <w:noWrap/>
            <w:vAlign w:val="center"/>
          </w:tcPr>
          <w:p w14:paraId="7CBF4AF9">
            <w:pPr>
              <w:jc w:val="center"/>
              <w:rPr>
                <w:rFonts w:ascii="宋体" w:cs="宋体"/>
                <w:kern w:val="0"/>
                <w:sz w:val="20"/>
                <w:szCs w:val="20"/>
              </w:rPr>
            </w:pPr>
            <w:r>
              <w:rPr>
                <w:rFonts w:ascii="宋体" w:hAnsi="宋体" w:cs="宋体"/>
                <w:kern w:val="0"/>
                <w:sz w:val="20"/>
                <w:szCs w:val="20"/>
              </w:rPr>
              <w:t>1</w:t>
            </w:r>
            <w:r>
              <w:rPr>
                <w:rFonts w:hint="eastAsia" w:ascii="宋体" w:hAnsi="宋体" w:cs="宋体"/>
                <w:kern w:val="0"/>
                <w:sz w:val="20"/>
                <w:szCs w:val="20"/>
              </w:rPr>
              <w:t>7</w:t>
            </w:r>
          </w:p>
        </w:tc>
        <w:tc>
          <w:tcPr>
            <w:tcW w:w="1580" w:type="dxa"/>
            <w:tcBorders>
              <w:top w:val="nil"/>
              <w:left w:val="nil"/>
              <w:bottom w:val="single" w:color="auto" w:sz="4" w:space="0"/>
              <w:right w:val="single" w:color="auto" w:sz="4" w:space="0"/>
            </w:tcBorders>
            <w:vAlign w:val="center"/>
          </w:tcPr>
          <w:p w14:paraId="106F1BBE">
            <w:pPr>
              <w:jc w:val="left"/>
              <w:rPr>
                <w:rFonts w:ascii="宋体" w:cs="宋体"/>
                <w:kern w:val="0"/>
                <w:sz w:val="20"/>
                <w:szCs w:val="20"/>
              </w:rPr>
            </w:pPr>
            <w:r>
              <w:rPr>
                <w:rFonts w:hint="eastAsia" w:ascii="宋体" w:hAnsi="宋体" w:cs="宋体"/>
                <w:kern w:val="0"/>
                <w:sz w:val="20"/>
                <w:szCs w:val="20"/>
              </w:rPr>
              <w:t>湘潭市公共停车场及停车位项目（近期）</w:t>
            </w:r>
          </w:p>
        </w:tc>
        <w:tc>
          <w:tcPr>
            <w:tcW w:w="760" w:type="dxa"/>
            <w:tcBorders>
              <w:top w:val="nil"/>
              <w:left w:val="nil"/>
              <w:bottom w:val="single" w:color="auto" w:sz="4" w:space="0"/>
              <w:right w:val="single" w:color="auto" w:sz="4" w:space="0"/>
            </w:tcBorders>
            <w:vAlign w:val="center"/>
          </w:tcPr>
          <w:p w14:paraId="40920E5A">
            <w:pPr>
              <w:jc w:val="center"/>
              <w:rPr>
                <w:rFonts w:ascii="宋体" w:cs="宋体"/>
                <w:kern w:val="0"/>
                <w:sz w:val="20"/>
                <w:szCs w:val="20"/>
              </w:rPr>
            </w:pPr>
            <w:r>
              <w:rPr>
                <w:rFonts w:hint="eastAsia" w:ascii="宋体" w:hAnsi="宋体" w:cs="宋体"/>
                <w:kern w:val="0"/>
                <w:sz w:val="20"/>
                <w:szCs w:val="20"/>
              </w:rPr>
              <w:t>续建</w:t>
            </w:r>
          </w:p>
        </w:tc>
        <w:tc>
          <w:tcPr>
            <w:tcW w:w="1360" w:type="dxa"/>
            <w:tcBorders>
              <w:top w:val="nil"/>
              <w:left w:val="nil"/>
              <w:bottom w:val="single" w:color="auto" w:sz="4" w:space="0"/>
              <w:right w:val="single" w:color="auto" w:sz="4" w:space="0"/>
            </w:tcBorders>
            <w:noWrap/>
            <w:vAlign w:val="center"/>
          </w:tcPr>
          <w:p w14:paraId="4393C3BD">
            <w:pPr>
              <w:jc w:val="center"/>
              <w:rPr>
                <w:rFonts w:ascii="宋体" w:cs="宋体"/>
                <w:kern w:val="0"/>
                <w:sz w:val="20"/>
                <w:szCs w:val="20"/>
              </w:rPr>
            </w:pPr>
            <w:r>
              <w:rPr>
                <w:rFonts w:hint="eastAsia" w:ascii="宋体" w:hAnsi="宋体" w:cs="宋体"/>
                <w:kern w:val="0"/>
                <w:sz w:val="20"/>
                <w:szCs w:val="20"/>
              </w:rPr>
              <w:t>湘潭市城区</w:t>
            </w:r>
          </w:p>
        </w:tc>
        <w:tc>
          <w:tcPr>
            <w:tcW w:w="1840" w:type="dxa"/>
            <w:tcBorders>
              <w:top w:val="nil"/>
              <w:left w:val="nil"/>
              <w:bottom w:val="single" w:color="auto" w:sz="4" w:space="0"/>
              <w:right w:val="single" w:color="auto" w:sz="4" w:space="0"/>
            </w:tcBorders>
            <w:vAlign w:val="center"/>
          </w:tcPr>
          <w:p w14:paraId="72C59057">
            <w:pPr>
              <w:jc w:val="left"/>
              <w:rPr>
                <w:rFonts w:ascii="宋体" w:cs="宋体"/>
                <w:kern w:val="0"/>
                <w:sz w:val="20"/>
                <w:szCs w:val="20"/>
              </w:rPr>
            </w:pPr>
            <w:r>
              <w:rPr>
                <w:rFonts w:hint="eastAsia" w:ascii="宋体" w:hAnsi="宋体" w:cs="宋体"/>
                <w:kern w:val="0"/>
                <w:sz w:val="20"/>
                <w:szCs w:val="20"/>
              </w:rPr>
              <w:t>湘潭侨城慧通停车服务公司</w:t>
            </w:r>
          </w:p>
        </w:tc>
        <w:tc>
          <w:tcPr>
            <w:tcW w:w="4740" w:type="dxa"/>
            <w:tcBorders>
              <w:top w:val="nil"/>
              <w:left w:val="nil"/>
              <w:bottom w:val="single" w:color="auto" w:sz="4" w:space="0"/>
              <w:right w:val="single" w:color="auto" w:sz="4" w:space="0"/>
            </w:tcBorders>
            <w:vAlign w:val="center"/>
          </w:tcPr>
          <w:p w14:paraId="540EEE06">
            <w:pPr>
              <w:jc w:val="left"/>
              <w:rPr>
                <w:rFonts w:ascii="宋体" w:cs="宋体"/>
                <w:kern w:val="0"/>
                <w:sz w:val="20"/>
                <w:szCs w:val="20"/>
              </w:rPr>
            </w:pPr>
            <w:r>
              <w:rPr>
                <w:rFonts w:hint="eastAsia" w:ascii="宋体" w:hAnsi="宋体" w:cs="宋体"/>
                <w:kern w:val="0"/>
                <w:sz w:val="20"/>
                <w:szCs w:val="20"/>
              </w:rPr>
              <w:t>共建设停车位</w:t>
            </w:r>
            <w:r>
              <w:rPr>
                <w:rFonts w:ascii="宋体" w:hAnsi="宋体" w:cs="宋体"/>
                <w:kern w:val="0"/>
                <w:sz w:val="20"/>
                <w:szCs w:val="20"/>
              </w:rPr>
              <w:t>30066</w:t>
            </w:r>
            <w:r>
              <w:rPr>
                <w:rFonts w:hint="eastAsia" w:ascii="宋体" w:hAnsi="宋体" w:cs="宋体"/>
                <w:kern w:val="0"/>
                <w:sz w:val="20"/>
                <w:szCs w:val="20"/>
              </w:rPr>
              <w:t>个提供给公众停车服务，其中改造现有停车场车位</w:t>
            </w:r>
            <w:r>
              <w:rPr>
                <w:rFonts w:ascii="宋体" w:hAnsi="宋体" w:cs="宋体"/>
                <w:kern w:val="0"/>
                <w:sz w:val="20"/>
                <w:szCs w:val="20"/>
              </w:rPr>
              <w:t>10382</w:t>
            </w:r>
            <w:r>
              <w:rPr>
                <w:rFonts w:hint="eastAsia" w:ascii="宋体" w:hAnsi="宋体" w:cs="宋体"/>
                <w:kern w:val="0"/>
                <w:sz w:val="20"/>
                <w:szCs w:val="20"/>
              </w:rPr>
              <w:t>个，路内及人行道停车位</w:t>
            </w:r>
            <w:r>
              <w:rPr>
                <w:rFonts w:ascii="宋体" w:hAnsi="宋体" w:cs="宋体"/>
                <w:kern w:val="0"/>
                <w:sz w:val="20"/>
                <w:szCs w:val="20"/>
              </w:rPr>
              <w:t>14777</w:t>
            </w:r>
            <w:r>
              <w:rPr>
                <w:rFonts w:hint="eastAsia" w:ascii="宋体" w:hAnsi="宋体" w:cs="宋体"/>
                <w:kern w:val="0"/>
                <w:sz w:val="20"/>
                <w:szCs w:val="20"/>
              </w:rPr>
              <w:t>个，新建停车场车位</w:t>
            </w:r>
            <w:r>
              <w:rPr>
                <w:rFonts w:ascii="宋体" w:hAnsi="宋体" w:cs="宋体"/>
                <w:kern w:val="0"/>
                <w:sz w:val="20"/>
                <w:szCs w:val="20"/>
              </w:rPr>
              <w:t>5657</w:t>
            </w:r>
            <w:r>
              <w:rPr>
                <w:rFonts w:hint="eastAsia" w:ascii="宋体" w:hAnsi="宋体" w:cs="宋体"/>
                <w:kern w:val="0"/>
                <w:sz w:val="20"/>
                <w:szCs w:val="20"/>
              </w:rPr>
              <w:t>个</w:t>
            </w:r>
          </w:p>
        </w:tc>
        <w:tc>
          <w:tcPr>
            <w:tcW w:w="800" w:type="dxa"/>
            <w:tcBorders>
              <w:top w:val="nil"/>
              <w:left w:val="nil"/>
              <w:bottom w:val="single" w:color="auto" w:sz="4" w:space="0"/>
              <w:right w:val="single" w:color="auto" w:sz="4" w:space="0"/>
            </w:tcBorders>
            <w:vAlign w:val="center"/>
          </w:tcPr>
          <w:p w14:paraId="033C7B6C">
            <w:pPr>
              <w:jc w:val="center"/>
              <w:rPr>
                <w:rFonts w:ascii="宋体" w:cs="宋体"/>
                <w:kern w:val="0"/>
                <w:sz w:val="20"/>
                <w:szCs w:val="20"/>
              </w:rPr>
            </w:pPr>
            <w:r>
              <w:rPr>
                <w:rFonts w:ascii="宋体" w:hAnsi="宋体" w:cs="宋体"/>
                <w:kern w:val="0"/>
                <w:sz w:val="20"/>
                <w:szCs w:val="20"/>
              </w:rPr>
              <w:t>2021</w:t>
            </w:r>
          </w:p>
        </w:tc>
        <w:tc>
          <w:tcPr>
            <w:tcW w:w="800" w:type="dxa"/>
            <w:tcBorders>
              <w:top w:val="nil"/>
              <w:left w:val="nil"/>
              <w:bottom w:val="single" w:color="auto" w:sz="4" w:space="0"/>
              <w:right w:val="single" w:color="auto" w:sz="4" w:space="0"/>
            </w:tcBorders>
            <w:vAlign w:val="center"/>
          </w:tcPr>
          <w:p w14:paraId="76322B20">
            <w:pPr>
              <w:jc w:val="center"/>
              <w:rPr>
                <w:rFonts w:ascii="宋体" w:cs="宋体"/>
                <w:kern w:val="0"/>
                <w:sz w:val="20"/>
                <w:szCs w:val="20"/>
              </w:rPr>
            </w:pPr>
            <w:r>
              <w:rPr>
                <w:rFonts w:ascii="宋体" w:hAnsi="宋体" w:cs="宋体"/>
                <w:kern w:val="0"/>
                <w:sz w:val="20"/>
                <w:szCs w:val="20"/>
              </w:rPr>
              <w:t>2025</w:t>
            </w:r>
          </w:p>
        </w:tc>
        <w:tc>
          <w:tcPr>
            <w:tcW w:w="1040" w:type="dxa"/>
            <w:tcBorders>
              <w:top w:val="nil"/>
              <w:left w:val="nil"/>
              <w:bottom w:val="single" w:color="auto" w:sz="4" w:space="0"/>
              <w:right w:val="single" w:color="auto" w:sz="4" w:space="0"/>
            </w:tcBorders>
            <w:vAlign w:val="center"/>
          </w:tcPr>
          <w:p w14:paraId="7B86CF11">
            <w:pPr>
              <w:jc w:val="center"/>
              <w:rPr>
                <w:rFonts w:ascii="宋体" w:cs="宋体"/>
                <w:kern w:val="0"/>
                <w:sz w:val="20"/>
                <w:szCs w:val="20"/>
              </w:rPr>
            </w:pPr>
            <w:r>
              <w:rPr>
                <w:rFonts w:ascii="宋体" w:hAnsi="宋体" w:cs="宋体"/>
                <w:kern w:val="0"/>
                <w:sz w:val="20"/>
                <w:szCs w:val="20"/>
              </w:rPr>
              <w:t xml:space="preserve">57,160 </w:t>
            </w:r>
          </w:p>
        </w:tc>
        <w:tc>
          <w:tcPr>
            <w:tcW w:w="2240" w:type="dxa"/>
            <w:tcBorders>
              <w:top w:val="nil"/>
              <w:left w:val="nil"/>
              <w:bottom w:val="single" w:color="auto" w:sz="4" w:space="0"/>
              <w:right w:val="single" w:color="auto" w:sz="4" w:space="0"/>
            </w:tcBorders>
            <w:vAlign w:val="center"/>
          </w:tcPr>
          <w:p w14:paraId="7D8F976E">
            <w:pPr>
              <w:jc w:val="left"/>
              <w:rPr>
                <w:rFonts w:ascii="宋体" w:cs="宋体"/>
                <w:kern w:val="0"/>
                <w:sz w:val="20"/>
                <w:szCs w:val="20"/>
              </w:rPr>
            </w:pPr>
            <w:r>
              <w:rPr>
                <w:rFonts w:hint="eastAsia" w:ascii="宋体" w:hAnsi="宋体" w:cs="宋体"/>
                <w:kern w:val="0"/>
                <w:sz w:val="20"/>
                <w:szCs w:val="20"/>
              </w:rPr>
              <w:t>特许经营权项目</w:t>
            </w:r>
          </w:p>
        </w:tc>
      </w:tr>
      <w:tr w14:paraId="4C687CB2">
        <w:tblPrEx>
          <w:tblCellMar>
            <w:top w:w="0" w:type="dxa"/>
            <w:left w:w="108" w:type="dxa"/>
            <w:bottom w:w="0" w:type="dxa"/>
            <w:right w:w="108" w:type="dxa"/>
          </w:tblCellMar>
        </w:tblPrEx>
        <w:trPr>
          <w:trHeight w:val="540" w:hRule="atLeast"/>
        </w:trPr>
        <w:tc>
          <w:tcPr>
            <w:tcW w:w="12480" w:type="dxa"/>
            <w:gridSpan w:val="8"/>
            <w:tcBorders>
              <w:top w:val="single" w:color="auto" w:sz="4" w:space="0"/>
              <w:left w:val="single" w:color="auto" w:sz="4" w:space="0"/>
              <w:bottom w:val="single" w:color="auto" w:sz="4" w:space="0"/>
              <w:right w:val="single" w:color="000000" w:sz="4" w:space="0"/>
            </w:tcBorders>
            <w:noWrap/>
            <w:vAlign w:val="center"/>
          </w:tcPr>
          <w:p w14:paraId="5E0CDA3A">
            <w:pPr>
              <w:jc w:val="center"/>
              <w:rPr>
                <w:rFonts w:ascii="宋体" w:cs="宋体"/>
                <w:kern w:val="0"/>
                <w:sz w:val="20"/>
                <w:szCs w:val="20"/>
              </w:rPr>
            </w:pPr>
            <w:r>
              <w:rPr>
                <w:rFonts w:hint="eastAsia" w:ascii="宋体" w:hAnsi="宋体" w:cs="宋体"/>
                <w:kern w:val="0"/>
                <w:sz w:val="20"/>
                <w:szCs w:val="20"/>
              </w:rPr>
              <w:t>合计</w:t>
            </w:r>
          </w:p>
        </w:tc>
        <w:tc>
          <w:tcPr>
            <w:tcW w:w="1040" w:type="dxa"/>
            <w:tcBorders>
              <w:top w:val="nil"/>
              <w:left w:val="nil"/>
              <w:bottom w:val="single" w:color="auto" w:sz="4" w:space="0"/>
              <w:right w:val="single" w:color="auto" w:sz="4" w:space="0"/>
            </w:tcBorders>
            <w:noWrap/>
            <w:vAlign w:val="center"/>
          </w:tcPr>
          <w:p w14:paraId="10D228A4">
            <w:pPr>
              <w:jc w:val="center"/>
              <w:rPr>
                <w:rFonts w:ascii="宋体" w:cs="宋体"/>
                <w:kern w:val="0"/>
                <w:sz w:val="20"/>
                <w:szCs w:val="20"/>
              </w:rPr>
            </w:pPr>
            <w:r>
              <w:rPr>
                <w:rFonts w:hint="eastAsia" w:ascii="宋体" w:hAnsi="宋体" w:cs="宋体"/>
                <w:kern w:val="0"/>
                <w:sz w:val="20"/>
                <w:szCs w:val="20"/>
              </w:rPr>
              <w:t>374,434</w:t>
            </w:r>
          </w:p>
        </w:tc>
        <w:tc>
          <w:tcPr>
            <w:tcW w:w="2240" w:type="dxa"/>
            <w:tcBorders>
              <w:top w:val="nil"/>
              <w:left w:val="nil"/>
              <w:bottom w:val="single" w:color="auto" w:sz="4" w:space="0"/>
              <w:right w:val="single" w:color="auto" w:sz="4" w:space="0"/>
            </w:tcBorders>
            <w:vAlign w:val="center"/>
          </w:tcPr>
          <w:p w14:paraId="303FC42A">
            <w:pPr>
              <w:jc w:val="left"/>
              <w:rPr>
                <w:rFonts w:ascii="宋体" w:cs="宋体"/>
                <w:kern w:val="0"/>
                <w:sz w:val="20"/>
                <w:szCs w:val="20"/>
              </w:rPr>
            </w:pPr>
            <w:r>
              <w:rPr>
                <w:rFonts w:hint="eastAsia" w:ascii="宋体" w:hAnsi="宋体" w:cs="宋体"/>
                <w:kern w:val="0"/>
                <w:sz w:val="20"/>
                <w:szCs w:val="20"/>
              </w:rPr>
              <w:t>　</w:t>
            </w:r>
          </w:p>
        </w:tc>
      </w:tr>
    </w:tbl>
    <w:p w14:paraId="43C965FF">
      <w:r>
        <w:fldChar w:fldCharType="end"/>
      </w:r>
    </w:p>
    <w:p w14:paraId="05A12671">
      <w:pPr>
        <w:adjustRightInd w:val="0"/>
        <w:snapToGrid w:val="0"/>
        <w:spacing w:line="500" w:lineRule="exact"/>
      </w:pPr>
    </w:p>
    <w:p w14:paraId="1ABCF3F0">
      <w:pPr>
        <w:pStyle w:val="17"/>
      </w:pPr>
    </w:p>
    <w:p w14:paraId="11374241">
      <w:pPr>
        <w:sectPr>
          <w:footerReference r:id="rId13" w:type="default"/>
          <w:pgSz w:w="16838" w:h="11906" w:orient="landscape"/>
          <w:pgMar w:top="720" w:right="720" w:bottom="720" w:left="720" w:header="851" w:footer="992" w:gutter="0"/>
          <w:cols w:space="425" w:num="1"/>
          <w:docGrid w:type="lines" w:linePitch="312" w:charSpace="0"/>
        </w:sectPr>
      </w:pPr>
    </w:p>
    <w:p w14:paraId="2372A48F">
      <w:pPr>
        <w:adjustRightInd w:val="0"/>
        <w:snapToGrid w:val="0"/>
        <w:spacing w:line="500" w:lineRule="exact"/>
        <w:rPr>
          <w:rFonts w:ascii="宋体"/>
          <w:b/>
          <w:sz w:val="24"/>
          <w:szCs w:val="24"/>
        </w:rPr>
      </w:pPr>
    </w:p>
    <w:sectPr>
      <w:pgSz w:w="11906" w:h="16838"/>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Calibri Light">
    <w:panose1 w:val="020F0302020204030204"/>
    <w:charset w:val="00"/>
    <w:family w:val="swiss"/>
    <w:pitch w:val="default"/>
    <w:sig w:usb0="A00002EF" w:usb1="4000207B" w:usb2="00000000" w:usb3="00000000" w:csb0="2000019F" w:csb1="00000000"/>
  </w:font>
  <w:font w:name="等线">
    <w:altName w:val="微软雅黑"/>
    <w:panose1 w:val="00000000000000000000"/>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 w:name="仿宋_GB2312">
    <w:panose1 w:val="02010609030101010101"/>
    <w:charset w:val="86"/>
    <w:family w:val="modern"/>
    <w:pitch w:val="default"/>
    <w:sig w:usb0="00000001" w:usb1="080E0000" w:usb2="00000000" w:usb3="00000000" w:csb0="00040000" w:csb1="00000000"/>
  </w:font>
  <w:font w:name="Helvetica">
    <w:altName w:val="Arial"/>
    <w:panose1 w:val="020B0604020202020204"/>
    <w:charset w:val="00"/>
    <w:family w:val="swiss"/>
    <w:pitch w:val="default"/>
    <w:sig w:usb0="00000000" w:usb1="00000000" w:usb2="00000000" w:usb3="00000000" w:csb0="00000001" w:csb1="00000000"/>
  </w:font>
  <w:font w:name="仿宋">
    <w:panose1 w:val="02010609060101010101"/>
    <w:charset w:val="86"/>
    <w:family w:val="modern"/>
    <w:pitch w:val="default"/>
    <w:sig w:usb0="800002BF" w:usb1="38CF7CFA" w:usb2="00000016" w:usb3="00000000" w:csb0="00040001" w:csb1="00000000"/>
  </w:font>
  <w:font w:name="PMingLiU">
    <w:panose1 w:val="02020500000000000000"/>
    <w:charset w:val="88"/>
    <w:family w:val="auto"/>
    <w:pitch w:val="default"/>
    <w:sig w:usb0="A00002FF" w:usb1="28CFFCFA" w:usb2="00000016"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D22F5DC">
    <w:pPr>
      <w:pStyle w:val="17"/>
      <w:jc w:val="center"/>
    </w:pPr>
    <w:r>
      <w:pict>
        <v:shape id="Text Box 1025" o:spid="_x0000_s2054" o:spt="202" type="#_x0000_t202" style="position:absolute;left:0pt;margin-top:0pt;height:11pt;width:2.3pt;mso-position-horizontal:center;mso-position-horizontal-relative:margin;mso-wrap-style:none;z-index:251663360;mso-width-relative:page;mso-height-relative:page;" filled="f" stroked="f" coordsize="21600,21600" o:gfxdata="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A/RNRzQAAAAAgEAAA8AAAAAAAAAAQAgAAAAIgAAAGRycy9kb3ducmV2LnhtbFBLAQIU&#10;ABQAAAAIAIdO4kATP93C+wEAAAMEAAAOAAAAAAAAAAEAIAAAAB8BAABkcnMvZTJvRG9jLnhtbFBL&#10;BQYAAAAABgAGAFkBAACMBQAAAAA=&#10;">
          <v:path/>
          <v:fill on="f" focussize="0,0"/>
          <v:stroke on="f" joinstyle="miter"/>
          <v:imagedata o:title=""/>
          <o:lock v:ext="edit"/>
          <v:textbox inset="0mm,0mm,0mm,0mm" style="mso-fit-shape-to-text:t;">
            <w:txbxContent>
              <w:p w14:paraId="45C4B333">
                <w:pPr>
                  <w:pStyle w:val="17"/>
                  <w:jc w:val="center"/>
                </w:pPr>
                <w:r>
                  <w:fldChar w:fldCharType="begin"/>
                </w:r>
                <w:r>
                  <w:instrText xml:space="preserve">PAGE   \* MERGEFORMAT</w:instrText>
                </w:r>
                <w:r>
                  <w:fldChar w:fldCharType="separate"/>
                </w:r>
                <w:r>
                  <w:rPr>
                    <w:lang w:val="zh-CN"/>
                  </w:rPr>
                  <w:t>I</w:t>
                </w:r>
                <w:r>
                  <w:rPr>
                    <w:lang w:val="zh-CN"/>
                  </w:rPr>
                  <w:fldChar w:fldCharType="end"/>
                </w:r>
              </w:p>
            </w:txbxContent>
          </v:textbox>
        </v:shape>
      </w:pict>
    </w:r>
  </w:p>
  <w:p w14:paraId="6125FE24">
    <w:pPr>
      <w:pStyle w:val="1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978E11">
    <w:pPr>
      <w:pStyle w:val="17"/>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4A0EE94">
    <w:pPr>
      <w:pStyle w:val="17"/>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7298120">
    <w:pPr>
      <w:pStyle w:val="17"/>
      <w:jc w:val="center"/>
    </w:pPr>
    <w:r>
      <w:pict>
        <v:shape id="_x0000_s2053" o:spid="_x0000_s2053" o:spt="202" type="#_x0000_t202" style="position:absolute;left:0pt;margin-top:0pt;height:11pt;width:2.3pt;mso-position-horizontal:center;mso-position-horizontal-relative:margin;mso-wrap-style:none;z-index:251665408;mso-width-relative:page;mso-height-relative:page;" filled="f" stroked="f" coordsize="21600,21600" o:gfxdata="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A/RNRzQAAAAAgEAAA8AAAAAAAAAAQAgAAAAIgAAAGRycy9kb3ducmV2LnhtbFBLAQIU&#10;ABQAAAAIAIdO4kAqeO2h+wEAAAMEAAAOAAAAAAAAAAEAIAAAAB8BAABkcnMvZTJvRG9jLnhtbFBL&#10;BQYAAAAABgAGAFkBAACMBQAAAAA=&#10;">
          <v:path/>
          <v:fill on="f" focussize="0,0"/>
          <v:stroke on="f" joinstyle="miter"/>
          <v:imagedata o:title=""/>
          <o:lock v:ext="edit"/>
          <v:textbox inset="0mm,0mm,0mm,0mm" style="mso-fit-shape-to-text:t;">
            <w:txbxContent>
              <w:p w14:paraId="05C52C40">
                <w:pPr>
                  <w:pStyle w:val="17"/>
                  <w:jc w:val="center"/>
                </w:pPr>
                <w:r>
                  <w:fldChar w:fldCharType="begin"/>
                </w:r>
                <w:r>
                  <w:instrText xml:space="preserve">PAGE   \* MERGEFORMAT</w:instrText>
                </w:r>
                <w:r>
                  <w:fldChar w:fldCharType="separate"/>
                </w:r>
                <w:r>
                  <w:rPr>
                    <w:lang w:val="zh-CN"/>
                  </w:rPr>
                  <w:t>I</w:t>
                </w:r>
                <w:r>
                  <w:rPr>
                    <w:lang w:val="zh-CN"/>
                  </w:rPr>
                  <w:fldChar w:fldCharType="end"/>
                </w:r>
              </w:p>
            </w:txbxContent>
          </v:textbox>
        </v:shape>
      </w:pict>
    </w:r>
  </w:p>
  <w:p w14:paraId="3E4893CC">
    <w:pPr>
      <w:pStyle w:val="17"/>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0B23A5">
    <w:pPr>
      <w:pStyle w:val="17"/>
      <w:jc w:val="center"/>
    </w:pPr>
    <w:r>
      <w:pict>
        <v:shape id="Text Box 1027" o:spid="_x0000_s2051" o:spt="202" type="#_x0000_t202" style="position:absolute;left:0pt;margin-top:0pt;height:11pt;width:7.4pt;mso-position-horizontal:center;mso-position-horizontal-relative:margin;mso-wrap-style:none;z-index:251660288;mso-width-relative:page;mso-height-relative:page;" filled="f" stroked="f" coordsize="21600,21600" o:gfxdata="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DTyfhu0AAAAAMBAAAPAAAAAAAAAAEAIAAAACIAAABkcnMvZG93bnJldi54bWxQSwEC&#10;FAAUAAAACACHTuJAloO4j/wBAAADBAAADgAAAAAAAAABACAAAAAfAQAAZHJzL2Uyb0RvYy54bWxQ&#10;SwUGAAAAAAYABgBZAQAAjQUAAAAA&#10;">
          <v:path/>
          <v:fill on="f" focussize="0,0"/>
          <v:stroke on="f" joinstyle="miter"/>
          <v:imagedata o:title=""/>
          <o:lock v:ext="edit"/>
          <v:textbox inset="0mm,0mm,0mm,0mm" style="mso-fit-shape-to-text:t;">
            <w:txbxContent>
              <w:p w14:paraId="257AA070">
                <w:pPr>
                  <w:pStyle w:val="17"/>
                  <w:jc w:val="center"/>
                </w:pPr>
                <w:r>
                  <w:fldChar w:fldCharType="begin"/>
                </w:r>
                <w:r>
                  <w:instrText xml:space="preserve">PAGE   \* MERGEFORMAT</w:instrText>
                </w:r>
                <w:r>
                  <w:fldChar w:fldCharType="separate"/>
                </w:r>
                <w:r>
                  <w:rPr>
                    <w:lang w:val="zh-CN"/>
                  </w:rPr>
                  <w:t>VII</w:t>
                </w:r>
                <w:r>
                  <w:rPr>
                    <w:lang w:val="zh-CN"/>
                  </w:rPr>
                  <w:fldChar w:fldCharType="end"/>
                </w:r>
              </w:p>
            </w:txbxContent>
          </v:textbox>
        </v:shape>
      </w:pict>
    </w:r>
  </w:p>
  <w:p w14:paraId="4ADB59BA">
    <w:pPr>
      <w:pStyle w:val="17"/>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F3074E7">
    <w:pPr>
      <w:pStyle w:val="17"/>
    </w:pPr>
    <w:r>
      <w:pict>
        <v:shape id="Text Box 1026" o:spid="_x0000_s2052" o:spt="202" type="#_x0000_t202" style="position:absolute;left:0pt;margin-top:0pt;height:11pt;width:2.3pt;mso-position-horizontal:center;mso-position-horizontal-relative:margin;mso-wrap-style:none;z-index:251662336;mso-width-relative:page;mso-height-relative:page;" filled="f" stroked="f" coordsize="21600,21600" o:gfxdata="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A/RNRzQAAAAAgEAAA8AAAAAAAAAAQAgAAAAIgAAAGRycy9kb3ducmV2LnhtbFBLAQIU&#10;ABQAAAAIAIdO4kBcVAVY+wEAAAMEAAAOAAAAAAAAAAEAIAAAAB8BAABkcnMvZTJvRG9jLnhtbFBL&#10;BQYAAAAABgAGAFkBAACMBQAAAAA=&#10;">
          <v:path/>
          <v:fill on="f" focussize="0,0"/>
          <v:stroke on="f" joinstyle="miter"/>
          <v:imagedata o:title=""/>
          <o:lock v:ext="edit"/>
          <v:textbox inset="0mm,0mm,0mm,0mm" style="mso-fit-shape-to-text:t;">
            <w:txbxContent>
              <w:p w14:paraId="29F9E9CC">
                <w:pPr>
                  <w:pStyle w:val="17"/>
                </w:pPr>
                <w:r>
                  <w:rPr>
                    <w:rFonts w:hint="eastAsia"/>
                  </w:rPr>
                  <w:fldChar w:fldCharType="begin"/>
                </w:r>
                <w:r>
                  <w:rPr>
                    <w:rFonts w:hint="eastAsia"/>
                  </w:rPr>
                  <w:instrText xml:space="preserve"> PAGE  \* MERGEFORMAT </w:instrText>
                </w:r>
                <w:r>
                  <w:rPr>
                    <w:rFonts w:hint="eastAsia"/>
                  </w:rPr>
                  <w:fldChar w:fldCharType="separate"/>
                </w:r>
                <w:r>
                  <w:t>I</w:t>
                </w:r>
                <w:r>
                  <w:rPr>
                    <w:rFonts w:hint="eastAsia"/>
                  </w:rPr>
                  <w:fldChar w:fldCharType="end"/>
                </w:r>
              </w:p>
            </w:txbxContent>
          </v:textbox>
        </v:shape>
      </w:pic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36A17D4">
    <w:pPr>
      <w:pStyle w:val="17"/>
      <w:jc w:val="center"/>
    </w:pPr>
    <w:r>
      <w:pict>
        <v:shape id="Text Box 1028" o:spid="_x0000_s2050" o:spt="202" type="#_x0000_t202" style="position:absolute;left:0pt;margin-top:0pt;height:11pt;width:9.15pt;mso-position-horizontal:center;mso-position-horizontal-relative:margin;mso-wrap-style:none;z-index:251661312;mso-width-relative:page;mso-height-relative:page;" filled="f" stroked="f" coordsize="21600,21600" o:gfxdata="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AGLpYU0AAAAAMBAAAPAAAAAAAAAAEAIAAAACIAAABkcnMvZG93bnJldi54bWxQSwEC&#10;FAAUAAAACACHTuJAb+aqifwBAAAEBAAADgAAAAAAAAABACAAAAAfAQAAZHJzL2Uyb0RvYy54bWxQ&#10;SwUGAAAAAAYABgBZAQAAjQUAAAAA&#10;">
          <v:path/>
          <v:fill on="f" focussize="0,0"/>
          <v:stroke on="f" joinstyle="miter"/>
          <v:imagedata o:title=""/>
          <o:lock v:ext="edit"/>
          <v:textbox inset="0mm,0mm,0mm,0mm" style="mso-fit-shape-to-text:t;">
            <w:txbxContent>
              <w:p w14:paraId="3ED9CF01">
                <w:pPr>
                  <w:pStyle w:val="17"/>
                  <w:jc w:val="center"/>
                </w:pPr>
                <w:r>
                  <w:fldChar w:fldCharType="begin"/>
                </w:r>
                <w:r>
                  <w:instrText xml:space="preserve">PAGE   \* MERGEFORMAT</w:instrText>
                </w:r>
                <w:r>
                  <w:fldChar w:fldCharType="separate"/>
                </w:r>
                <w:r>
                  <w:rPr>
                    <w:lang w:val="zh-CN"/>
                  </w:rPr>
                  <w:t>101</w:t>
                </w:r>
                <w:r>
                  <w:rPr>
                    <w:lang w:val="zh-CN"/>
                  </w:rPr>
                  <w:fldChar w:fldCharType="end"/>
                </w:r>
              </w:p>
            </w:txbxContent>
          </v:textbox>
        </v:shape>
      </w:pict>
    </w:r>
  </w:p>
  <w:p w14:paraId="1DBE5212">
    <w:pPr>
      <w:pStyle w:val="17"/>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06C136E">
    <w:pPr>
      <w:pStyle w:val="17"/>
      <w:jc w:val="center"/>
    </w:pPr>
    <w:r>
      <w:pict>
        <v:shape id="Text Box 1029" o:spid="_x0000_s2049" o:spt="202" type="#_x0000_t202" style="position:absolute;left:0pt;margin-top:0pt;height:11pt;width:13.7pt;mso-position-horizontal:center;mso-position-horizontal-relative:margin;mso-wrap-style:none;z-index:251664384;mso-width-relative:page;mso-height-relative:page;" filled="f" stroked="f" coordsize="21600,21600" o:gfxdata="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FcY7WrQAAAAAwEAAA8AAAAAAAAAAQAgAAAAIgAAAGRycy9kb3ducmV2LnhtbFBLAQIU&#10;ABQAAAAIAIdO4kBDR5i5+wEAAAQEAAAOAAAAAAAAAAEAIAAAAB8BAABkcnMvZTJvRG9jLnhtbFBL&#10;BQYAAAAABgAGAFkBAACMBQAAAAA=&#10;">
          <v:path/>
          <v:fill on="f" focussize="0,0"/>
          <v:stroke on="f" joinstyle="miter"/>
          <v:imagedata o:title=""/>
          <o:lock v:ext="edit"/>
          <v:textbox inset="0mm,0mm,0mm,0mm" style="mso-fit-shape-to-text:t;">
            <w:txbxContent>
              <w:p w14:paraId="3FA6E45F">
                <w:pPr>
                  <w:pStyle w:val="17"/>
                  <w:jc w:val="center"/>
                </w:pPr>
                <w:r>
                  <w:fldChar w:fldCharType="begin"/>
                </w:r>
                <w:r>
                  <w:instrText xml:space="preserve">PAGE   \* MERGEFORMAT</w:instrText>
                </w:r>
                <w:r>
                  <w:fldChar w:fldCharType="separate"/>
                </w:r>
                <w:r>
                  <w:rPr>
                    <w:lang w:val="zh-CN"/>
                  </w:rPr>
                  <w:t>108</w:t>
                </w:r>
                <w:r>
                  <w:rPr>
                    <w:lang w:val="zh-CN"/>
                  </w:rPr>
                  <w:fldChar w:fldCharType="end"/>
                </w:r>
              </w:p>
            </w:txbxContent>
          </v:textbox>
        </v:shape>
      </w:pict>
    </w:r>
  </w:p>
  <w:p w14:paraId="784D70D9">
    <w:pPr>
      <w:pStyle w:val="17"/>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8C1689">
    <w:pPr>
      <w:pStyle w:val="18"/>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A5A627">
    <w:pPr>
      <w:pStyle w:val="18"/>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108D02">
    <w:pPr>
      <w:pStyle w:val="18"/>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4"/>
    <w:multiLevelType w:val="multilevel"/>
    <w:tmpl w:val="00000004"/>
    <w:lvl w:ilvl="0" w:tentative="0">
      <w:start w:val="1"/>
      <w:numFmt w:val="decimal"/>
      <w:pStyle w:val="2"/>
      <w:lvlText w:val="%1."/>
      <w:lvlJc w:val="left"/>
      <w:pPr>
        <w:ind w:left="6463" w:hanging="425"/>
      </w:pPr>
      <w:rPr>
        <w:rFonts w:hint="default" w:ascii="Times New Roman" w:hAnsi="Times New Roman" w:cs="Times New Roman"/>
      </w:rPr>
    </w:lvl>
    <w:lvl w:ilvl="1" w:tentative="0">
      <w:start w:val="1"/>
      <w:numFmt w:val="decimal"/>
      <w:pStyle w:val="3"/>
      <w:lvlText w:val="%1.%2."/>
      <w:lvlJc w:val="left"/>
      <w:pPr>
        <w:ind w:left="2211" w:hanging="567"/>
      </w:pPr>
      <w:rPr>
        <w:rFonts w:cs="Times New Roman"/>
        <w:b w:val="0"/>
        <w:bCs w:val="0"/>
        <w:i w:val="0"/>
        <w:iCs w:val="0"/>
        <w:caps w:val="0"/>
        <w:smallCaps w:val="0"/>
        <w:vanish w:val="0"/>
        <w:color w:val="000000"/>
        <w:spacing w:val="0"/>
        <w:position w:val="0"/>
        <w:u w:val="none"/>
        <w:vertAlign w:val="baseline"/>
      </w:rPr>
    </w:lvl>
    <w:lvl w:ilvl="2" w:tentative="0">
      <w:start w:val="1"/>
      <w:numFmt w:val="decimal"/>
      <w:pStyle w:val="4"/>
      <w:lvlText w:val="%1.%2.%3."/>
      <w:lvlJc w:val="left"/>
      <w:pPr>
        <w:ind w:left="2211" w:hanging="709"/>
      </w:pPr>
      <w:rPr>
        <w:rFonts w:hint="default" w:ascii="Times New Roman" w:hAnsi="Times New Roman" w:cs="Times New Roman"/>
        <w:b w:val="0"/>
        <w:bCs w:val="0"/>
        <w:i w:val="0"/>
        <w:iCs w:val="0"/>
        <w:caps w:val="0"/>
        <w:smallCaps w:val="0"/>
        <w:vanish w:val="0"/>
        <w:color w:val="000000"/>
        <w:spacing w:val="0"/>
        <w:position w:val="0"/>
        <w:u w:val="none"/>
        <w:vertAlign w:val="baseline"/>
      </w:rPr>
    </w:lvl>
    <w:lvl w:ilvl="3" w:tentative="0">
      <w:start w:val="1"/>
      <w:numFmt w:val="decimal"/>
      <w:pStyle w:val="5"/>
      <w:lvlText w:val="%1.%2.%3.%4."/>
      <w:lvlJc w:val="left"/>
      <w:pPr>
        <w:ind w:left="4339" w:hanging="851"/>
      </w:pPr>
      <w:rPr>
        <w:rFonts w:hint="default" w:ascii="Cambria" w:hAnsi="Cambria" w:cs="Times New Roman"/>
        <w:b/>
        <w:bCs w:val="0"/>
        <w:i w:val="0"/>
        <w:iCs w:val="0"/>
        <w:caps w:val="0"/>
        <w:smallCaps w:val="0"/>
        <w:snapToGrid w:val="0"/>
        <w:vanish w:val="0"/>
        <w:color w:val="000000"/>
        <w:spacing w:val="0"/>
        <w:w w:val="0"/>
        <w:kern w:val="0"/>
        <w:position w:val="0"/>
        <w:sz w:val="22"/>
        <w:szCs w:val="22"/>
        <w:u w:val="none"/>
        <w:vertAlign w:val="baseline"/>
      </w:rPr>
    </w:lvl>
    <w:lvl w:ilvl="4" w:tentative="0">
      <w:start w:val="1"/>
      <w:numFmt w:val="decimal"/>
      <w:lvlText w:val="%1.%2.%3.%4.%5."/>
      <w:lvlJc w:val="left"/>
      <w:pPr>
        <w:ind w:left="1644" w:hanging="992"/>
      </w:pPr>
      <w:rPr>
        <w:rFonts w:hint="eastAsia" w:cs="Times New Roman"/>
      </w:rPr>
    </w:lvl>
    <w:lvl w:ilvl="5" w:tentative="0">
      <w:start w:val="1"/>
      <w:numFmt w:val="decimal"/>
      <w:lvlText w:val="%1.%2.%3.%4.%5.%6."/>
      <w:lvlJc w:val="left"/>
      <w:pPr>
        <w:ind w:left="1786" w:hanging="1134"/>
      </w:pPr>
      <w:rPr>
        <w:rFonts w:hint="eastAsia" w:cs="Times New Roman"/>
      </w:rPr>
    </w:lvl>
    <w:lvl w:ilvl="6" w:tentative="0">
      <w:start w:val="1"/>
      <w:numFmt w:val="decimal"/>
      <w:lvlText w:val="%1.%2.%3.%4.%5.%6.%7."/>
      <w:lvlJc w:val="left"/>
      <w:pPr>
        <w:ind w:left="1928" w:hanging="1276"/>
      </w:pPr>
      <w:rPr>
        <w:rFonts w:hint="eastAsia" w:cs="Times New Roman"/>
      </w:rPr>
    </w:lvl>
    <w:lvl w:ilvl="7" w:tentative="0">
      <w:start w:val="1"/>
      <w:numFmt w:val="decimal"/>
      <w:lvlText w:val="%1.%2.%3.%4.%5.%6.%7.%8."/>
      <w:lvlJc w:val="left"/>
      <w:pPr>
        <w:ind w:left="2070" w:hanging="1418"/>
      </w:pPr>
      <w:rPr>
        <w:rFonts w:hint="eastAsia" w:cs="Times New Roman"/>
      </w:rPr>
    </w:lvl>
    <w:lvl w:ilvl="8" w:tentative="0">
      <w:start w:val="1"/>
      <w:numFmt w:val="decimal"/>
      <w:lvlText w:val="%1.%2.%3.%4.%5.%6.%7.%8.%9."/>
      <w:lvlJc w:val="left"/>
      <w:pPr>
        <w:ind w:left="2211" w:hanging="1559"/>
      </w:pPr>
      <w:rPr>
        <w:rFonts w:hint="eastAsia" w:cs="Times New Roman"/>
      </w:rPr>
    </w:lvl>
  </w:abstractNum>
  <w:abstractNum w:abstractNumId="1">
    <w:nsid w:val="0000001D"/>
    <w:multiLevelType w:val="multilevel"/>
    <w:tmpl w:val="0000001D"/>
    <w:lvl w:ilvl="0" w:tentative="0">
      <w:start w:val="1"/>
      <w:numFmt w:val="decimal"/>
      <w:lvlText w:val="%1."/>
      <w:lvlJc w:val="left"/>
      <w:pPr>
        <w:ind w:left="425" w:hanging="425"/>
      </w:pPr>
      <w:rPr>
        <w:rFonts w:hint="eastAsia" w:cs="Times New Roman"/>
      </w:rPr>
    </w:lvl>
    <w:lvl w:ilvl="1" w:tentative="0">
      <w:start w:val="1"/>
      <w:numFmt w:val="decimal"/>
      <w:lvlText w:val="%1.%2."/>
      <w:lvlJc w:val="left"/>
      <w:pPr>
        <w:ind w:left="567" w:hanging="567"/>
      </w:pPr>
      <w:rPr>
        <w:rFonts w:hint="eastAsia" w:cs="Times New Roman"/>
      </w:rPr>
    </w:lvl>
    <w:lvl w:ilvl="2" w:tentative="0">
      <w:start w:val="1"/>
      <w:numFmt w:val="decimal"/>
      <w:lvlText w:val="%1.%2.%3."/>
      <w:lvlJc w:val="left"/>
      <w:pPr>
        <w:ind w:left="1135" w:hanging="709"/>
      </w:pPr>
      <w:rPr>
        <w:rFonts w:hint="eastAsia" w:cs="Times New Roman"/>
        <w:b/>
        <w:bCs w:val="0"/>
        <w:i w:val="0"/>
        <w:iCs w:val="0"/>
        <w:caps w:val="0"/>
        <w:smallCaps w:val="0"/>
        <w:vanish w:val="0"/>
        <w:color w:val="000000"/>
        <w:spacing w:val="0"/>
        <w:kern w:val="0"/>
        <w:position w:val="0"/>
        <w:u w:val="none"/>
        <w:vertAlign w:val="baseline"/>
      </w:rPr>
    </w:lvl>
    <w:lvl w:ilvl="3" w:tentative="0">
      <w:start w:val="1"/>
      <w:numFmt w:val="decimal"/>
      <w:pStyle w:val="52"/>
      <w:lvlText w:val="（%4）"/>
      <w:lvlJc w:val="left"/>
      <w:pPr>
        <w:ind w:left="851" w:hanging="851"/>
      </w:pPr>
      <w:rPr>
        <w:rFonts w:hint="default" w:cs="Times New Roman"/>
        <w:b/>
        <w:bCs w:val="0"/>
        <w:i w:val="0"/>
        <w:iCs w:val="0"/>
        <w:caps w:val="0"/>
        <w:smallCaps w:val="0"/>
        <w:snapToGrid w:val="0"/>
        <w:vanish w:val="0"/>
        <w:color w:val="000000"/>
        <w:spacing w:val="0"/>
        <w:w w:val="0"/>
        <w:kern w:val="0"/>
        <w:position w:val="0"/>
        <w:sz w:val="22"/>
        <w:szCs w:val="22"/>
        <w:u w:val="none"/>
        <w:vertAlign w:val="baseline"/>
      </w:rPr>
    </w:lvl>
    <w:lvl w:ilvl="4" w:tentative="0">
      <w:start w:val="1"/>
      <w:numFmt w:val="decimal"/>
      <w:lvlText w:val="%1.%2.%3.%4.%5."/>
      <w:lvlJc w:val="left"/>
      <w:pPr>
        <w:ind w:left="992" w:hanging="992"/>
      </w:pPr>
      <w:rPr>
        <w:rFonts w:hint="eastAsia" w:cs="Times New Roman"/>
      </w:rPr>
    </w:lvl>
    <w:lvl w:ilvl="5" w:tentative="0">
      <w:start w:val="1"/>
      <w:numFmt w:val="decimal"/>
      <w:lvlText w:val="%1.%2.%3.%4.%5.%6."/>
      <w:lvlJc w:val="left"/>
      <w:pPr>
        <w:ind w:left="1134" w:hanging="1134"/>
      </w:pPr>
      <w:rPr>
        <w:rFonts w:hint="eastAsia" w:cs="Times New Roman"/>
      </w:rPr>
    </w:lvl>
    <w:lvl w:ilvl="6" w:tentative="0">
      <w:start w:val="1"/>
      <w:numFmt w:val="decimal"/>
      <w:lvlText w:val="%1.%2.%3.%4.%5.%6.%7."/>
      <w:lvlJc w:val="left"/>
      <w:pPr>
        <w:ind w:left="1276" w:hanging="1276"/>
      </w:pPr>
      <w:rPr>
        <w:rFonts w:hint="eastAsia" w:cs="Times New Roman"/>
      </w:rPr>
    </w:lvl>
    <w:lvl w:ilvl="7" w:tentative="0">
      <w:start w:val="1"/>
      <w:numFmt w:val="decimal"/>
      <w:lvlText w:val="%1.%2.%3.%4.%5.%6.%7.%8."/>
      <w:lvlJc w:val="left"/>
      <w:pPr>
        <w:ind w:left="1418" w:hanging="1418"/>
      </w:pPr>
      <w:rPr>
        <w:rFonts w:hint="eastAsia" w:cs="Times New Roman"/>
      </w:rPr>
    </w:lvl>
    <w:lvl w:ilvl="8" w:tentative="0">
      <w:start w:val="1"/>
      <w:numFmt w:val="decimal"/>
      <w:lvlText w:val="%1.%2.%3.%4.%5.%6.%7.%8.%9."/>
      <w:lvlJc w:val="left"/>
      <w:pPr>
        <w:ind w:left="1559" w:hanging="1559"/>
      </w:pPr>
      <w:rPr>
        <w:rFonts w:hint="eastAsia" w:cs="Times New Roman"/>
      </w:rPr>
    </w:lvl>
  </w:abstractNum>
  <w:abstractNum w:abstractNumId="2">
    <w:nsid w:val="02A9D7D8"/>
    <w:multiLevelType w:val="singleLevel"/>
    <w:tmpl w:val="02A9D7D8"/>
    <w:lvl w:ilvl="0" w:tentative="0">
      <w:start w:val="2"/>
      <w:numFmt w:val="decimal"/>
      <w:suff w:val="space"/>
      <w:lvlText w:val="%1."/>
      <w:lvlJc w:val="left"/>
      <w:pPr>
        <w:ind w:left="68"/>
      </w:pPr>
      <w:rPr>
        <w:rFonts w:hint="default"/>
        <w:b/>
        <w:bCs/>
      </w:rPr>
    </w:lvl>
  </w:abstractNum>
  <w:abstractNum w:abstractNumId="3">
    <w:nsid w:val="3BFDE789"/>
    <w:multiLevelType w:val="singleLevel"/>
    <w:tmpl w:val="3BFDE789"/>
    <w:lvl w:ilvl="0" w:tentative="0">
      <w:start w:val="3"/>
      <w:numFmt w:val="decimal"/>
      <w:suff w:val="space"/>
      <w:lvlText w:val="%1."/>
      <w:lvlJc w:val="left"/>
    </w:lvl>
  </w:abstractNum>
  <w:abstractNum w:abstractNumId="4">
    <w:nsid w:val="516D6FCE"/>
    <w:multiLevelType w:val="singleLevel"/>
    <w:tmpl w:val="516D6FCE"/>
    <w:lvl w:ilvl="0" w:tentative="0">
      <w:start w:val="2"/>
      <w:numFmt w:val="decimal"/>
      <w:suff w:val="space"/>
      <w:lvlText w:val="%1."/>
      <w:lvlJc w:val="left"/>
      <w:pPr>
        <w:ind w:left="68"/>
      </w:pPr>
      <w:rPr>
        <w:rFonts w:hint="default"/>
        <w:b/>
        <w:bCs/>
      </w:rPr>
    </w:lvl>
  </w:abstractNum>
  <w:abstractNum w:abstractNumId="5">
    <w:nsid w:val="667B6037"/>
    <w:multiLevelType w:val="singleLevel"/>
    <w:tmpl w:val="667B6037"/>
    <w:lvl w:ilvl="0" w:tentative="0">
      <w:start w:val="1"/>
      <w:numFmt w:val="decimal"/>
      <w:suff w:val="space"/>
      <w:lvlText w:val="%1."/>
      <w:lvlJc w:val="left"/>
      <w:rPr>
        <w:rFonts w:hint="default"/>
        <w:b/>
        <w:bCs/>
      </w:rPr>
    </w:lvl>
  </w:abstractNum>
  <w:num w:numId="1">
    <w:abstractNumId w:val="0"/>
  </w:num>
  <w:num w:numId="2">
    <w:abstractNumId w:val="1"/>
  </w:num>
  <w:num w:numId="3">
    <w:abstractNumId w:val="5"/>
  </w:num>
  <w:num w:numId="4">
    <w:abstractNumId w:val="4"/>
  </w:num>
  <w:num w:numId="5">
    <w:abstractNumId w:val="3"/>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3"/>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noLineBreaksAfter w:lang="zh-CN" w:val="$([{£¥·‘“〈《「『【〔〖〝﹙﹛﹝＄（．［｛￡￥"/>
  <w:noLineBreaksBefore w:lang="zh-CN" w:val="!%),.:;&gt;?]}¢¨°·ˇˉ―‖’”…‰′″›℃∶、。〃〉》」』】〕〗〞︶︺︾﹀﹄﹚﹜﹞！＂％＇），．：；？］｀｜｝～￠"/>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MjdkMmFkY2MxNDI4ZDBhOTY3MDdjNjk2YTU3MjI4M2EifQ=="/>
  </w:docVars>
  <w:rsids>
    <w:rsidRoot w:val="00CF2C10"/>
    <w:rsid w:val="00002038"/>
    <w:rsid w:val="00003D6C"/>
    <w:rsid w:val="0000435D"/>
    <w:rsid w:val="00004E26"/>
    <w:rsid w:val="00005351"/>
    <w:rsid w:val="000058E6"/>
    <w:rsid w:val="00005B53"/>
    <w:rsid w:val="00005BC5"/>
    <w:rsid w:val="00007AC6"/>
    <w:rsid w:val="00007F10"/>
    <w:rsid w:val="00010492"/>
    <w:rsid w:val="00011195"/>
    <w:rsid w:val="00011F1C"/>
    <w:rsid w:val="00012B7F"/>
    <w:rsid w:val="000133F1"/>
    <w:rsid w:val="000152E3"/>
    <w:rsid w:val="00015758"/>
    <w:rsid w:val="00016A5C"/>
    <w:rsid w:val="000205DA"/>
    <w:rsid w:val="0002227D"/>
    <w:rsid w:val="000226A2"/>
    <w:rsid w:val="00022AB2"/>
    <w:rsid w:val="00023297"/>
    <w:rsid w:val="00024FA0"/>
    <w:rsid w:val="00026415"/>
    <w:rsid w:val="00026E7E"/>
    <w:rsid w:val="000278E6"/>
    <w:rsid w:val="00030271"/>
    <w:rsid w:val="00031E98"/>
    <w:rsid w:val="000320EC"/>
    <w:rsid w:val="00033321"/>
    <w:rsid w:val="00033504"/>
    <w:rsid w:val="00034125"/>
    <w:rsid w:val="00036883"/>
    <w:rsid w:val="00037091"/>
    <w:rsid w:val="000371F3"/>
    <w:rsid w:val="00037500"/>
    <w:rsid w:val="00037573"/>
    <w:rsid w:val="0003767A"/>
    <w:rsid w:val="000379EC"/>
    <w:rsid w:val="000410BF"/>
    <w:rsid w:val="0004292D"/>
    <w:rsid w:val="0004390E"/>
    <w:rsid w:val="000453A2"/>
    <w:rsid w:val="000465A5"/>
    <w:rsid w:val="0005008B"/>
    <w:rsid w:val="00050768"/>
    <w:rsid w:val="00050D68"/>
    <w:rsid w:val="000516F1"/>
    <w:rsid w:val="00052038"/>
    <w:rsid w:val="000524BA"/>
    <w:rsid w:val="0005304F"/>
    <w:rsid w:val="000533ED"/>
    <w:rsid w:val="000554C7"/>
    <w:rsid w:val="00055536"/>
    <w:rsid w:val="00057018"/>
    <w:rsid w:val="00060330"/>
    <w:rsid w:val="00060E94"/>
    <w:rsid w:val="000610B8"/>
    <w:rsid w:val="000618A5"/>
    <w:rsid w:val="00064172"/>
    <w:rsid w:val="00065B5A"/>
    <w:rsid w:val="0006683E"/>
    <w:rsid w:val="000700FA"/>
    <w:rsid w:val="00070CAB"/>
    <w:rsid w:val="00071131"/>
    <w:rsid w:val="00071B93"/>
    <w:rsid w:val="00071BA0"/>
    <w:rsid w:val="00071D3B"/>
    <w:rsid w:val="00073309"/>
    <w:rsid w:val="0007442E"/>
    <w:rsid w:val="000779D1"/>
    <w:rsid w:val="00080E35"/>
    <w:rsid w:val="00082162"/>
    <w:rsid w:val="000824B5"/>
    <w:rsid w:val="00083091"/>
    <w:rsid w:val="0008314A"/>
    <w:rsid w:val="000842DF"/>
    <w:rsid w:val="00084B41"/>
    <w:rsid w:val="00084CFB"/>
    <w:rsid w:val="00085F28"/>
    <w:rsid w:val="0009251A"/>
    <w:rsid w:val="00092DBE"/>
    <w:rsid w:val="000932E5"/>
    <w:rsid w:val="000949E6"/>
    <w:rsid w:val="00094D73"/>
    <w:rsid w:val="000964BD"/>
    <w:rsid w:val="00096EA8"/>
    <w:rsid w:val="000A1BD4"/>
    <w:rsid w:val="000A2328"/>
    <w:rsid w:val="000A36AA"/>
    <w:rsid w:val="000A4AAC"/>
    <w:rsid w:val="000A4D37"/>
    <w:rsid w:val="000A59A3"/>
    <w:rsid w:val="000A7187"/>
    <w:rsid w:val="000A757E"/>
    <w:rsid w:val="000B1406"/>
    <w:rsid w:val="000B16F0"/>
    <w:rsid w:val="000B1B6F"/>
    <w:rsid w:val="000B1F9E"/>
    <w:rsid w:val="000B503E"/>
    <w:rsid w:val="000B5878"/>
    <w:rsid w:val="000B6BC5"/>
    <w:rsid w:val="000B6D15"/>
    <w:rsid w:val="000B720F"/>
    <w:rsid w:val="000B794A"/>
    <w:rsid w:val="000C0AFB"/>
    <w:rsid w:val="000C260F"/>
    <w:rsid w:val="000C2E81"/>
    <w:rsid w:val="000C3A10"/>
    <w:rsid w:val="000C3EF0"/>
    <w:rsid w:val="000C4C0C"/>
    <w:rsid w:val="000C4E53"/>
    <w:rsid w:val="000C6A0D"/>
    <w:rsid w:val="000C6D78"/>
    <w:rsid w:val="000C725D"/>
    <w:rsid w:val="000C7FBC"/>
    <w:rsid w:val="000D010E"/>
    <w:rsid w:val="000D02B0"/>
    <w:rsid w:val="000D0A54"/>
    <w:rsid w:val="000D1C99"/>
    <w:rsid w:val="000D2A04"/>
    <w:rsid w:val="000D32A2"/>
    <w:rsid w:val="000D39C2"/>
    <w:rsid w:val="000D4014"/>
    <w:rsid w:val="000D4370"/>
    <w:rsid w:val="000D6435"/>
    <w:rsid w:val="000D65F1"/>
    <w:rsid w:val="000D6662"/>
    <w:rsid w:val="000D667F"/>
    <w:rsid w:val="000E0604"/>
    <w:rsid w:val="000E21E1"/>
    <w:rsid w:val="000E3C9D"/>
    <w:rsid w:val="000E3E8B"/>
    <w:rsid w:val="000E4917"/>
    <w:rsid w:val="000E50D2"/>
    <w:rsid w:val="000E61FB"/>
    <w:rsid w:val="000E6B85"/>
    <w:rsid w:val="000E7277"/>
    <w:rsid w:val="000F1FF2"/>
    <w:rsid w:val="000F2328"/>
    <w:rsid w:val="000F2DA2"/>
    <w:rsid w:val="000F3144"/>
    <w:rsid w:val="000F6181"/>
    <w:rsid w:val="000F6EAC"/>
    <w:rsid w:val="000F7E24"/>
    <w:rsid w:val="0010207C"/>
    <w:rsid w:val="001027AC"/>
    <w:rsid w:val="001039A6"/>
    <w:rsid w:val="00103CC6"/>
    <w:rsid w:val="00104E75"/>
    <w:rsid w:val="00104F56"/>
    <w:rsid w:val="00106658"/>
    <w:rsid w:val="001101E2"/>
    <w:rsid w:val="001116DD"/>
    <w:rsid w:val="00111834"/>
    <w:rsid w:val="00111F9D"/>
    <w:rsid w:val="001122DB"/>
    <w:rsid w:val="0011261E"/>
    <w:rsid w:val="001130DA"/>
    <w:rsid w:val="0011516C"/>
    <w:rsid w:val="001165A7"/>
    <w:rsid w:val="001166A9"/>
    <w:rsid w:val="00116DDD"/>
    <w:rsid w:val="00117714"/>
    <w:rsid w:val="00117F2F"/>
    <w:rsid w:val="00120301"/>
    <w:rsid w:val="0012132B"/>
    <w:rsid w:val="001220AD"/>
    <w:rsid w:val="00122702"/>
    <w:rsid w:val="001233F6"/>
    <w:rsid w:val="00123D70"/>
    <w:rsid w:val="001248F7"/>
    <w:rsid w:val="00125425"/>
    <w:rsid w:val="001256E3"/>
    <w:rsid w:val="00125E03"/>
    <w:rsid w:val="00126057"/>
    <w:rsid w:val="001263F0"/>
    <w:rsid w:val="00126CA2"/>
    <w:rsid w:val="00132969"/>
    <w:rsid w:val="00133A91"/>
    <w:rsid w:val="00133D94"/>
    <w:rsid w:val="00133FF2"/>
    <w:rsid w:val="001350B7"/>
    <w:rsid w:val="0013572A"/>
    <w:rsid w:val="00140D02"/>
    <w:rsid w:val="00140DFE"/>
    <w:rsid w:val="001415FD"/>
    <w:rsid w:val="00141A06"/>
    <w:rsid w:val="00142AD9"/>
    <w:rsid w:val="00146716"/>
    <w:rsid w:val="00146817"/>
    <w:rsid w:val="0014730C"/>
    <w:rsid w:val="001505B3"/>
    <w:rsid w:val="0015068A"/>
    <w:rsid w:val="00152A21"/>
    <w:rsid w:val="00152BC8"/>
    <w:rsid w:val="00152D7C"/>
    <w:rsid w:val="00153A48"/>
    <w:rsid w:val="00153F44"/>
    <w:rsid w:val="00154E59"/>
    <w:rsid w:val="00155A90"/>
    <w:rsid w:val="00156F9C"/>
    <w:rsid w:val="0015747D"/>
    <w:rsid w:val="00160E45"/>
    <w:rsid w:val="00162239"/>
    <w:rsid w:val="001647E3"/>
    <w:rsid w:val="00164D68"/>
    <w:rsid w:val="00165174"/>
    <w:rsid w:val="00166037"/>
    <w:rsid w:val="00166E56"/>
    <w:rsid w:val="00170060"/>
    <w:rsid w:val="001701C9"/>
    <w:rsid w:val="00170D3A"/>
    <w:rsid w:val="001719F1"/>
    <w:rsid w:val="00171A8F"/>
    <w:rsid w:val="0017274F"/>
    <w:rsid w:val="0017288D"/>
    <w:rsid w:val="001746E1"/>
    <w:rsid w:val="00174704"/>
    <w:rsid w:val="00174CCB"/>
    <w:rsid w:val="001750EB"/>
    <w:rsid w:val="001756A3"/>
    <w:rsid w:val="0017585F"/>
    <w:rsid w:val="00175D72"/>
    <w:rsid w:val="00176AE5"/>
    <w:rsid w:val="00180A1C"/>
    <w:rsid w:val="00180E82"/>
    <w:rsid w:val="001816DB"/>
    <w:rsid w:val="001832CE"/>
    <w:rsid w:val="00184208"/>
    <w:rsid w:val="0018429A"/>
    <w:rsid w:val="00184AAE"/>
    <w:rsid w:val="001858D1"/>
    <w:rsid w:val="001859B0"/>
    <w:rsid w:val="001904FF"/>
    <w:rsid w:val="0019110D"/>
    <w:rsid w:val="00194B3C"/>
    <w:rsid w:val="001958F6"/>
    <w:rsid w:val="001972BE"/>
    <w:rsid w:val="001979C2"/>
    <w:rsid w:val="00197B98"/>
    <w:rsid w:val="00197F1E"/>
    <w:rsid w:val="001A086E"/>
    <w:rsid w:val="001A0ACC"/>
    <w:rsid w:val="001A1421"/>
    <w:rsid w:val="001A3F2C"/>
    <w:rsid w:val="001A3FAA"/>
    <w:rsid w:val="001A4C7A"/>
    <w:rsid w:val="001A4EFC"/>
    <w:rsid w:val="001A56A0"/>
    <w:rsid w:val="001A5B76"/>
    <w:rsid w:val="001A6EA5"/>
    <w:rsid w:val="001A7FB5"/>
    <w:rsid w:val="001B2299"/>
    <w:rsid w:val="001B3234"/>
    <w:rsid w:val="001B3918"/>
    <w:rsid w:val="001B42AC"/>
    <w:rsid w:val="001B4375"/>
    <w:rsid w:val="001B48F0"/>
    <w:rsid w:val="001B4E19"/>
    <w:rsid w:val="001B5172"/>
    <w:rsid w:val="001B6578"/>
    <w:rsid w:val="001B761A"/>
    <w:rsid w:val="001B79C6"/>
    <w:rsid w:val="001C1E75"/>
    <w:rsid w:val="001C315E"/>
    <w:rsid w:val="001C431B"/>
    <w:rsid w:val="001C558A"/>
    <w:rsid w:val="001C56E0"/>
    <w:rsid w:val="001C5F6B"/>
    <w:rsid w:val="001C6146"/>
    <w:rsid w:val="001C7B6F"/>
    <w:rsid w:val="001D1326"/>
    <w:rsid w:val="001D152C"/>
    <w:rsid w:val="001D1F36"/>
    <w:rsid w:val="001D3812"/>
    <w:rsid w:val="001D4473"/>
    <w:rsid w:val="001D529A"/>
    <w:rsid w:val="001D5636"/>
    <w:rsid w:val="001D583E"/>
    <w:rsid w:val="001D651F"/>
    <w:rsid w:val="001D696C"/>
    <w:rsid w:val="001E33CA"/>
    <w:rsid w:val="001E397C"/>
    <w:rsid w:val="001E4117"/>
    <w:rsid w:val="001E41B7"/>
    <w:rsid w:val="001E44C8"/>
    <w:rsid w:val="001E4830"/>
    <w:rsid w:val="001E6709"/>
    <w:rsid w:val="001F0197"/>
    <w:rsid w:val="001F1844"/>
    <w:rsid w:val="001F1982"/>
    <w:rsid w:val="001F3DFB"/>
    <w:rsid w:val="001F4441"/>
    <w:rsid w:val="001F4A43"/>
    <w:rsid w:val="001F4B00"/>
    <w:rsid w:val="001F4D76"/>
    <w:rsid w:val="001F62CB"/>
    <w:rsid w:val="001F794D"/>
    <w:rsid w:val="00200029"/>
    <w:rsid w:val="0020029C"/>
    <w:rsid w:val="0020162E"/>
    <w:rsid w:val="002032F9"/>
    <w:rsid w:val="00204013"/>
    <w:rsid w:val="00205A52"/>
    <w:rsid w:val="00205E8F"/>
    <w:rsid w:val="00206C24"/>
    <w:rsid w:val="0020769D"/>
    <w:rsid w:val="00210779"/>
    <w:rsid w:val="00211075"/>
    <w:rsid w:val="002111AD"/>
    <w:rsid w:val="00211CAA"/>
    <w:rsid w:val="00212990"/>
    <w:rsid w:val="00213085"/>
    <w:rsid w:val="0021314E"/>
    <w:rsid w:val="00213A32"/>
    <w:rsid w:val="002145DE"/>
    <w:rsid w:val="00216597"/>
    <w:rsid w:val="00216B9D"/>
    <w:rsid w:val="00216E8F"/>
    <w:rsid w:val="002207DE"/>
    <w:rsid w:val="00220CF6"/>
    <w:rsid w:val="00220D1C"/>
    <w:rsid w:val="002214B0"/>
    <w:rsid w:val="002222EA"/>
    <w:rsid w:val="00222CD2"/>
    <w:rsid w:val="00223F94"/>
    <w:rsid w:val="002240A0"/>
    <w:rsid w:val="00224860"/>
    <w:rsid w:val="00225309"/>
    <w:rsid w:val="00225A55"/>
    <w:rsid w:val="00225D6F"/>
    <w:rsid w:val="00225FA8"/>
    <w:rsid w:val="00225FEE"/>
    <w:rsid w:val="0022615E"/>
    <w:rsid w:val="002265C3"/>
    <w:rsid w:val="002303A6"/>
    <w:rsid w:val="002312E6"/>
    <w:rsid w:val="00231B68"/>
    <w:rsid w:val="00231FBB"/>
    <w:rsid w:val="00232675"/>
    <w:rsid w:val="002335D9"/>
    <w:rsid w:val="00233D39"/>
    <w:rsid w:val="00234267"/>
    <w:rsid w:val="0023446A"/>
    <w:rsid w:val="002347EB"/>
    <w:rsid w:val="002352BA"/>
    <w:rsid w:val="00235AC7"/>
    <w:rsid w:val="002364D4"/>
    <w:rsid w:val="00237839"/>
    <w:rsid w:val="00242B83"/>
    <w:rsid w:val="002438C9"/>
    <w:rsid w:val="00243CEF"/>
    <w:rsid w:val="002442F1"/>
    <w:rsid w:val="00244C09"/>
    <w:rsid w:val="002455A2"/>
    <w:rsid w:val="0024663F"/>
    <w:rsid w:val="00246C22"/>
    <w:rsid w:val="002471C3"/>
    <w:rsid w:val="00250457"/>
    <w:rsid w:val="0025236B"/>
    <w:rsid w:val="00252D0D"/>
    <w:rsid w:val="00253A3D"/>
    <w:rsid w:val="002542D1"/>
    <w:rsid w:val="00254F31"/>
    <w:rsid w:val="00255A8A"/>
    <w:rsid w:val="002565F4"/>
    <w:rsid w:val="0025742C"/>
    <w:rsid w:val="0026008D"/>
    <w:rsid w:val="00261877"/>
    <w:rsid w:val="002618D0"/>
    <w:rsid w:val="00262D30"/>
    <w:rsid w:val="00264CE8"/>
    <w:rsid w:val="00265872"/>
    <w:rsid w:val="002658DB"/>
    <w:rsid w:val="00267735"/>
    <w:rsid w:val="002678CC"/>
    <w:rsid w:val="002678F8"/>
    <w:rsid w:val="00270AAE"/>
    <w:rsid w:val="00271EF3"/>
    <w:rsid w:val="00273FAE"/>
    <w:rsid w:val="002746E8"/>
    <w:rsid w:val="00274921"/>
    <w:rsid w:val="002759B5"/>
    <w:rsid w:val="00276CE9"/>
    <w:rsid w:val="00277C37"/>
    <w:rsid w:val="002801E9"/>
    <w:rsid w:val="0028038A"/>
    <w:rsid w:val="00282EE5"/>
    <w:rsid w:val="00283164"/>
    <w:rsid w:val="00284568"/>
    <w:rsid w:val="0028554C"/>
    <w:rsid w:val="0028663A"/>
    <w:rsid w:val="002869BB"/>
    <w:rsid w:val="002869C5"/>
    <w:rsid w:val="00286FD3"/>
    <w:rsid w:val="002879DE"/>
    <w:rsid w:val="00291AA4"/>
    <w:rsid w:val="00291C68"/>
    <w:rsid w:val="00292572"/>
    <w:rsid w:val="00292C11"/>
    <w:rsid w:val="00292EDF"/>
    <w:rsid w:val="00292F41"/>
    <w:rsid w:val="00294692"/>
    <w:rsid w:val="00294E29"/>
    <w:rsid w:val="00295B8C"/>
    <w:rsid w:val="00295EAB"/>
    <w:rsid w:val="002964E5"/>
    <w:rsid w:val="002A02A6"/>
    <w:rsid w:val="002A0E61"/>
    <w:rsid w:val="002A18E8"/>
    <w:rsid w:val="002A1D30"/>
    <w:rsid w:val="002A212E"/>
    <w:rsid w:val="002A43D4"/>
    <w:rsid w:val="002A5B61"/>
    <w:rsid w:val="002A6657"/>
    <w:rsid w:val="002A6E64"/>
    <w:rsid w:val="002A7092"/>
    <w:rsid w:val="002B5112"/>
    <w:rsid w:val="002B687B"/>
    <w:rsid w:val="002B6CDE"/>
    <w:rsid w:val="002B7744"/>
    <w:rsid w:val="002C050C"/>
    <w:rsid w:val="002C064C"/>
    <w:rsid w:val="002C1B12"/>
    <w:rsid w:val="002C1B41"/>
    <w:rsid w:val="002C1EE3"/>
    <w:rsid w:val="002C3187"/>
    <w:rsid w:val="002C332E"/>
    <w:rsid w:val="002C335E"/>
    <w:rsid w:val="002C3EAA"/>
    <w:rsid w:val="002C4183"/>
    <w:rsid w:val="002C6DE4"/>
    <w:rsid w:val="002C77C1"/>
    <w:rsid w:val="002D2B04"/>
    <w:rsid w:val="002D2DBE"/>
    <w:rsid w:val="002D55BD"/>
    <w:rsid w:val="002D5FEC"/>
    <w:rsid w:val="002D6471"/>
    <w:rsid w:val="002D6A5D"/>
    <w:rsid w:val="002D6EB4"/>
    <w:rsid w:val="002D79EA"/>
    <w:rsid w:val="002D7A8E"/>
    <w:rsid w:val="002E02E9"/>
    <w:rsid w:val="002E1BB8"/>
    <w:rsid w:val="002E32AB"/>
    <w:rsid w:val="002E3D2B"/>
    <w:rsid w:val="002E5620"/>
    <w:rsid w:val="002E7827"/>
    <w:rsid w:val="002E7DFF"/>
    <w:rsid w:val="002F1751"/>
    <w:rsid w:val="002F206B"/>
    <w:rsid w:val="002F24ED"/>
    <w:rsid w:val="002F2E5F"/>
    <w:rsid w:val="002F30C6"/>
    <w:rsid w:val="002F3237"/>
    <w:rsid w:val="002F413C"/>
    <w:rsid w:val="002F4383"/>
    <w:rsid w:val="002F4A2F"/>
    <w:rsid w:val="002F510C"/>
    <w:rsid w:val="002F67D9"/>
    <w:rsid w:val="002F7EF3"/>
    <w:rsid w:val="002F7FD4"/>
    <w:rsid w:val="00300110"/>
    <w:rsid w:val="00300C36"/>
    <w:rsid w:val="003012B1"/>
    <w:rsid w:val="00302035"/>
    <w:rsid w:val="003023FC"/>
    <w:rsid w:val="0030243A"/>
    <w:rsid w:val="00302CC0"/>
    <w:rsid w:val="0030335B"/>
    <w:rsid w:val="00304FF9"/>
    <w:rsid w:val="003060EC"/>
    <w:rsid w:val="00307296"/>
    <w:rsid w:val="00307C9C"/>
    <w:rsid w:val="00307FDB"/>
    <w:rsid w:val="003101D8"/>
    <w:rsid w:val="00310932"/>
    <w:rsid w:val="003126EA"/>
    <w:rsid w:val="00314C57"/>
    <w:rsid w:val="00315099"/>
    <w:rsid w:val="00316551"/>
    <w:rsid w:val="00316A4D"/>
    <w:rsid w:val="003206D8"/>
    <w:rsid w:val="00321033"/>
    <w:rsid w:val="003217AE"/>
    <w:rsid w:val="00321B52"/>
    <w:rsid w:val="00321BCD"/>
    <w:rsid w:val="00322299"/>
    <w:rsid w:val="00322FA6"/>
    <w:rsid w:val="003235F4"/>
    <w:rsid w:val="0032403E"/>
    <w:rsid w:val="003251AE"/>
    <w:rsid w:val="00326105"/>
    <w:rsid w:val="00327BEE"/>
    <w:rsid w:val="00327E6F"/>
    <w:rsid w:val="00327F01"/>
    <w:rsid w:val="0033061F"/>
    <w:rsid w:val="003338B1"/>
    <w:rsid w:val="00337A62"/>
    <w:rsid w:val="00340396"/>
    <w:rsid w:val="00341A1F"/>
    <w:rsid w:val="00342DE1"/>
    <w:rsid w:val="0034366D"/>
    <w:rsid w:val="00343A02"/>
    <w:rsid w:val="003457C8"/>
    <w:rsid w:val="00346408"/>
    <w:rsid w:val="003464E8"/>
    <w:rsid w:val="00346EA1"/>
    <w:rsid w:val="00347A9B"/>
    <w:rsid w:val="003517FA"/>
    <w:rsid w:val="00353312"/>
    <w:rsid w:val="00353B3D"/>
    <w:rsid w:val="00354677"/>
    <w:rsid w:val="003562EF"/>
    <w:rsid w:val="00356C36"/>
    <w:rsid w:val="00356CA2"/>
    <w:rsid w:val="00356E5D"/>
    <w:rsid w:val="00360578"/>
    <w:rsid w:val="00360A51"/>
    <w:rsid w:val="003618CB"/>
    <w:rsid w:val="00361DAE"/>
    <w:rsid w:val="003627B9"/>
    <w:rsid w:val="00362A25"/>
    <w:rsid w:val="00363D56"/>
    <w:rsid w:val="003647BF"/>
    <w:rsid w:val="003651DB"/>
    <w:rsid w:val="00366037"/>
    <w:rsid w:val="00366101"/>
    <w:rsid w:val="00371116"/>
    <w:rsid w:val="00371738"/>
    <w:rsid w:val="00372A74"/>
    <w:rsid w:val="003743AB"/>
    <w:rsid w:val="00374637"/>
    <w:rsid w:val="0038053C"/>
    <w:rsid w:val="0038113C"/>
    <w:rsid w:val="00381466"/>
    <w:rsid w:val="00381B4F"/>
    <w:rsid w:val="0038219D"/>
    <w:rsid w:val="00382278"/>
    <w:rsid w:val="0038259C"/>
    <w:rsid w:val="0038264F"/>
    <w:rsid w:val="00382867"/>
    <w:rsid w:val="003833D6"/>
    <w:rsid w:val="00383546"/>
    <w:rsid w:val="0038379E"/>
    <w:rsid w:val="00385F18"/>
    <w:rsid w:val="0038629E"/>
    <w:rsid w:val="003862D9"/>
    <w:rsid w:val="00387820"/>
    <w:rsid w:val="003878CA"/>
    <w:rsid w:val="003879C9"/>
    <w:rsid w:val="0039017F"/>
    <w:rsid w:val="00390425"/>
    <w:rsid w:val="00393BA5"/>
    <w:rsid w:val="00393F65"/>
    <w:rsid w:val="00394123"/>
    <w:rsid w:val="00395001"/>
    <w:rsid w:val="00395DAB"/>
    <w:rsid w:val="00396852"/>
    <w:rsid w:val="00396F50"/>
    <w:rsid w:val="003A01D9"/>
    <w:rsid w:val="003A0244"/>
    <w:rsid w:val="003A0453"/>
    <w:rsid w:val="003A0574"/>
    <w:rsid w:val="003A0720"/>
    <w:rsid w:val="003A15C7"/>
    <w:rsid w:val="003A1908"/>
    <w:rsid w:val="003A2915"/>
    <w:rsid w:val="003A336C"/>
    <w:rsid w:val="003A3E21"/>
    <w:rsid w:val="003A6337"/>
    <w:rsid w:val="003A6931"/>
    <w:rsid w:val="003A6E95"/>
    <w:rsid w:val="003A70C0"/>
    <w:rsid w:val="003B1839"/>
    <w:rsid w:val="003B192E"/>
    <w:rsid w:val="003B234E"/>
    <w:rsid w:val="003B3203"/>
    <w:rsid w:val="003B4739"/>
    <w:rsid w:val="003B5765"/>
    <w:rsid w:val="003B5A56"/>
    <w:rsid w:val="003B71B9"/>
    <w:rsid w:val="003B7A7B"/>
    <w:rsid w:val="003C0017"/>
    <w:rsid w:val="003C0715"/>
    <w:rsid w:val="003C0EFD"/>
    <w:rsid w:val="003C1C2E"/>
    <w:rsid w:val="003C1F86"/>
    <w:rsid w:val="003C24D2"/>
    <w:rsid w:val="003C2624"/>
    <w:rsid w:val="003C264E"/>
    <w:rsid w:val="003C299C"/>
    <w:rsid w:val="003C2CC0"/>
    <w:rsid w:val="003C3048"/>
    <w:rsid w:val="003C345F"/>
    <w:rsid w:val="003C51FE"/>
    <w:rsid w:val="003C5AAF"/>
    <w:rsid w:val="003C617F"/>
    <w:rsid w:val="003D054F"/>
    <w:rsid w:val="003D06C3"/>
    <w:rsid w:val="003D0AA7"/>
    <w:rsid w:val="003D175B"/>
    <w:rsid w:val="003D277B"/>
    <w:rsid w:val="003D2DF1"/>
    <w:rsid w:val="003D444C"/>
    <w:rsid w:val="003D5129"/>
    <w:rsid w:val="003D540A"/>
    <w:rsid w:val="003D7D20"/>
    <w:rsid w:val="003E08E9"/>
    <w:rsid w:val="003E0A29"/>
    <w:rsid w:val="003E137A"/>
    <w:rsid w:val="003E2A3C"/>
    <w:rsid w:val="003E3D9A"/>
    <w:rsid w:val="003E4164"/>
    <w:rsid w:val="003E4BB1"/>
    <w:rsid w:val="003E5727"/>
    <w:rsid w:val="003E76CF"/>
    <w:rsid w:val="003E7D3C"/>
    <w:rsid w:val="003F13A6"/>
    <w:rsid w:val="003F36AD"/>
    <w:rsid w:val="003F5BA4"/>
    <w:rsid w:val="003F6287"/>
    <w:rsid w:val="003F6996"/>
    <w:rsid w:val="003F6C2C"/>
    <w:rsid w:val="003F6F5A"/>
    <w:rsid w:val="003F723E"/>
    <w:rsid w:val="00401950"/>
    <w:rsid w:val="00401EDC"/>
    <w:rsid w:val="00402647"/>
    <w:rsid w:val="00404172"/>
    <w:rsid w:val="00404196"/>
    <w:rsid w:val="00404AEF"/>
    <w:rsid w:val="004057B0"/>
    <w:rsid w:val="00406AA3"/>
    <w:rsid w:val="00406CEB"/>
    <w:rsid w:val="0041126E"/>
    <w:rsid w:val="00412177"/>
    <w:rsid w:val="004121EF"/>
    <w:rsid w:val="00413573"/>
    <w:rsid w:val="0041390D"/>
    <w:rsid w:val="00413EB4"/>
    <w:rsid w:val="004145F1"/>
    <w:rsid w:val="00415809"/>
    <w:rsid w:val="00415A19"/>
    <w:rsid w:val="00415CD1"/>
    <w:rsid w:val="00416B35"/>
    <w:rsid w:val="00421C8B"/>
    <w:rsid w:val="00422FFD"/>
    <w:rsid w:val="00424680"/>
    <w:rsid w:val="00426BD0"/>
    <w:rsid w:val="00430B5E"/>
    <w:rsid w:val="00431AF1"/>
    <w:rsid w:val="00432467"/>
    <w:rsid w:val="004325F5"/>
    <w:rsid w:val="004326E0"/>
    <w:rsid w:val="00432ED5"/>
    <w:rsid w:val="00433268"/>
    <w:rsid w:val="0043398D"/>
    <w:rsid w:val="0043588D"/>
    <w:rsid w:val="00436AEF"/>
    <w:rsid w:val="00436E52"/>
    <w:rsid w:val="00437B33"/>
    <w:rsid w:val="00437D34"/>
    <w:rsid w:val="00441485"/>
    <w:rsid w:val="004430DF"/>
    <w:rsid w:val="00443632"/>
    <w:rsid w:val="00443AD0"/>
    <w:rsid w:val="00444541"/>
    <w:rsid w:val="00445648"/>
    <w:rsid w:val="00445711"/>
    <w:rsid w:val="0044614D"/>
    <w:rsid w:val="0044632F"/>
    <w:rsid w:val="00446BD1"/>
    <w:rsid w:val="004471E0"/>
    <w:rsid w:val="00447A39"/>
    <w:rsid w:val="00447A58"/>
    <w:rsid w:val="00450CEA"/>
    <w:rsid w:val="00452576"/>
    <w:rsid w:val="004531CE"/>
    <w:rsid w:val="00453338"/>
    <w:rsid w:val="00453690"/>
    <w:rsid w:val="00455587"/>
    <w:rsid w:val="00455D19"/>
    <w:rsid w:val="004563A0"/>
    <w:rsid w:val="00460E50"/>
    <w:rsid w:val="004613D4"/>
    <w:rsid w:val="00462691"/>
    <w:rsid w:val="0046291F"/>
    <w:rsid w:val="004633B7"/>
    <w:rsid w:val="0046352C"/>
    <w:rsid w:val="00465B9B"/>
    <w:rsid w:val="00470A1E"/>
    <w:rsid w:val="00472C55"/>
    <w:rsid w:val="00473165"/>
    <w:rsid w:val="00473272"/>
    <w:rsid w:val="004732AF"/>
    <w:rsid w:val="00473F49"/>
    <w:rsid w:val="00474672"/>
    <w:rsid w:val="00475150"/>
    <w:rsid w:val="00475BFB"/>
    <w:rsid w:val="004760C5"/>
    <w:rsid w:val="004761CA"/>
    <w:rsid w:val="004765E1"/>
    <w:rsid w:val="00476BA8"/>
    <w:rsid w:val="004774F3"/>
    <w:rsid w:val="00477CB5"/>
    <w:rsid w:val="004802D0"/>
    <w:rsid w:val="00480537"/>
    <w:rsid w:val="00480E3C"/>
    <w:rsid w:val="0048451C"/>
    <w:rsid w:val="0048497E"/>
    <w:rsid w:val="00484C02"/>
    <w:rsid w:val="00485021"/>
    <w:rsid w:val="004859C2"/>
    <w:rsid w:val="004863E4"/>
    <w:rsid w:val="00486B52"/>
    <w:rsid w:val="00486B5C"/>
    <w:rsid w:val="00487314"/>
    <w:rsid w:val="004900D2"/>
    <w:rsid w:val="004903C2"/>
    <w:rsid w:val="004908CF"/>
    <w:rsid w:val="0049162D"/>
    <w:rsid w:val="00494938"/>
    <w:rsid w:val="0049592F"/>
    <w:rsid w:val="0049709A"/>
    <w:rsid w:val="004A07C7"/>
    <w:rsid w:val="004A25F9"/>
    <w:rsid w:val="004A27C6"/>
    <w:rsid w:val="004A2B8C"/>
    <w:rsid w:val="004A2D40"/>
    <w:rsid w:val="004A2EDA"/>
    <w:rsid w:val="004A315F"/>
    <w:rsid w:val="004A3406"/>
    <w:rsid w:val="004A3998"/>
    <w:rsid w:val="004A64F0"/>
    <w:rsid w:val="004A6AD4"/>
    <w:rsid w:val="004A7A10"/>
    <w:rsid w:val="004A7B60"/>
    <w:rsid w:val="004B01DF"/>
    <w:rsid w:val="004B16AC"/>
    <w:rsid w:val="004B21B8"/>
    <w:rsid w:val="004B2E0E"/>
    <w:rsid w:val="004B3DEF"/>
    <w:rsid w:val="004B46A0"/>
    <w:rsid w:val="004B5D99"/>
    <w:rsid w:val="004B71FA"/>
    <w:rsid w:val="004B7A4B"/>
    <w:rsid w:val="004C06CA"/>
    <w:rsid w:val="004C424E"/>
    <w:rsid w:val="004C459E"/>
    <w:rsid w:val="004C511F"/>
    <w:rsid w:val="004C78CD"/>
    <w:rsid w:val="004C795E"/>
    <w:rsid w:val="004C7CF3"/>
    <w:rsid w:val="004D0DE7"/>
    <w:rsid w:val="004D1D94"/>
    <w:rsid w:val="004D2628"/>
    <w:rsid w:val="004D288D"/>
    <w:rsid w:val="004D2FC1"/>
    <w:rsid w:val="004D31B4"/>
    <w:rsid w:val="004D4ADC"/>
    <w:rsid w:val="004D6664"/>
    <w:rsid w:val="004D66B9"/>
    <w:rsid w:val="004E068A"/>
    <w:rsid w:val="004E1336"/>
    <w:rsid w:val="004E1C47"/>
    <w:rsid w:val="004E23EC"/>
    <w:rsid w:val="004E280D"/>
    <w:rsid w:val="004E3F78"/>
    <w:rsid w:val="004E688D"/>
    <w:rsid w:val="004F1339"/>
    <w:rsid w:val="004F13B4"/>
    <w:rsid w:val="004F2841"/>
    <w:rsid w:val="004F2B75"/>
    <w:rsid w:val="004F2CBC"/>
    <w:rsid w:val="004F337D"/>
    <w:rsid w:val="004F39BE"/>
    <w:rsid w:val="004F3A8B"/>
    <w:rsid w:val="004F3F0D"/>
    <w:rsid w:val="004F6864"/>
    <w:rsid w:val="004F6EA3"/>
    <w:rsid w:val="004F7E7C"/>
    <w:rsid w:val="00501A98"/>
    <w:rsid w:val="00502C39"/>
    <w:rsid w:val="00503761"/>
    <w:rsid w:val="00503D55"/>
    <w:rsid w:val="00504D0D"/>
    <w:rsid w:val="00505125"/>
    <w:rsid w:val="00505ADC"/>
    <w:rsid w:val="005064A5"/>
    <w:rsid w:val="005067D8"/>
    <w:rsid w:val="00507F5D"/>
    <w:rsid w:val="005105E4"/>
    <w:rsid w:val="00512473"/>
    <w:rsid w:val="00514369"/>
    <w:rsid w:val="005146D5"/>
    <w:rsid w:val="0051661F"/>
    <w:rsid w:val="005166DD"/>
    <w:rsid w:val="005169B3"/>
    <w:rsid w:val="005177A8"/>
    <w:rsid w:val="00517840"/>
    <w:rsid w:val="00521467"/>
    <w:rsid w:val="00522166"/>
    <w:rsid w:val="005221CA"/>
    <w:rsid w:val="005229D1"/>
    <w:rsid w:val="0052367C"/>
    <w:rsid w:val="00524020"/>
    <w:rsid w:val="0052653F"/>
    <w:rsid w:val="005303C8"/>
    <w:rsid w:val="0053051A"/>
    <w:rsid w:val="0053091C"/>
    <w:rsid w:val="005311A0"/>
    <w:rsid w:val="00531CE3"/>
    <w:rsid w:val="00532BA3"/>
    <w:rsid w:val="005336AC"/>
    <w:rsid w:val="00533855"/>
    <w:rsid w:val="005344D0"/>
    <w:rsid w:val="00535A89"/>
    <w:rsid w:val="00535C8F"/>
    <w:rsid w:val="00535E6D"/>
    <w:rsid w:val="00535F63"/>
    <w:rsid w:val="00537842"/>
    <w:rsid w:val="00537DEE"/>
    <w:rsid w:val="00540568"/>
    <w:rsid w:val="00540991"/>
    <w:rsid w:val="00540FE7"/>
    <w:rsid w:val="005412B1"/>
    <w:rsid w:val="005436FC"/>
    <w:rsid w:val="00545C19"/>
    <w:rsid w:val="00545D18"/>
    <w:rsid w:val="00545DB5"/>
    <w:rsid w:val="00551166"/>
    <w:rsid w:val="00551E96"/>
    <w:rsid w:val="005521C1"/>
    <w:rsid w:val="005531BE"/>
    <w:rsid w:val="00554A26"/>
    <w:rsid w:val="00554D5F"/>
    <w:rsid w:val="00556801"/>
    <w:rsid w:val="00560394"/>
    <w:rsid w:val="00561798"/>
    <w:rsid w:val="00561CF9"/>
    <w:rsid w:val="00561D81"/>
    <w:rsid w:val="0056365C"/>
    <w:rsid w:val="005636D6"/>
    <w:rsid w:val="00563AAE"/>
    <w:rsid w:val="00564194"/>
    <w:rsid w:val="00565E1E"/>
    <w:rsid w:val="005676BF"/>
    <w:rsid w:val="00567F80"/>
    <w:rsid w:val="005761FE"/>
    <w:rsid w:val="00576AB2"/>
    <w:rsid w:val="00577573"/>
    <w:rsid w:val="0058007D"/>
    <w:rsid w:val="00582CA2"/>
    <w:rsid w:val="00583546"/>
    <w:rsid w:val="00583AE6"/>
    <w:rsid w:val="00583FD7"/>
    <w:rsid w:val="005841E5"/>
    <w:rsid w:val="0058467E"/>
    <w:rsid w:val="00585181"/>
    <w:rsid w:val="0058699C"/>
    <w:rsid w:val="00587725"/>
    <w:rsid w:val="00590359"/>
    <w:rsid w:val="00590368"/>
    <w:rsid w:val="005906E7"/>
    <w:rsid w:val="00590DF8"/>
    <w:rsid w:val="005910D4"/>
    <w:rsid w:val="00591A12"/>
    <w:rsid w:val="00592D27"/>
    <w:rsid w:val="00592E42"/>
    <w:rsid w:val="00593C71"/>
    <w:rsid w:val="00594CE2"/>
    <w:rsid w:val="00597F90"/>
    <w:rsid w:val="005A24D5"/>
    <w:rsid w:val="005A2DA0"/>
    <w:rsid w:val="005A3395"/>
    <w:rsid w:val="005A35D1"/>
    <w:rsid w:val="005A39E8"/>
    <w:rsid w:val="005A3B39"/>
    <w:rsid w:val="005A4566"/>
    <w:rsid w:val="005A47DA"/>
    <w:rsid w:val="005A58D1"/>
    <w:rsid w:val="005A5A8A"/>
    <w:rsid w:val="005A6209"/>
    <w:rsid w:val="005B3B02"/>
    <w:rsid w:val="005B493C"/>
    <w:rsid w:val="005B4C2A"/>
    <w:rsid w:val="005B4DCF"/>
    <w:rsid w:val="005B5336"/>
    <w:rsid w:val="005B6DFA"/>
    <w:rsid w:val="005B7005"/>
    <w:rsid w:val="005C09B2"/>
    <w:rsid w:val="005C105C"/>
    <w:rsid w:val="005C186A"/>
    <w:rsid w:val="005C27BB"/>
    <w:rsid w:val="005C350E"/>
    <w:rsid w:val="005C39B2"/>
    <w:rsid w:val="005C3E28"/>
    <w:rsid w:val="005C47D1"/>
    <w:rsid w:val="005C47DA"/>
    <w:rsid w:val="005C4A27"/>
    <w:rsid w:val="005C54DC"/>
    <w:rsid w:val="005C7FC8"/>
    <w:rsid w:val="005D0213"/>
    <w:rsid w:val="005D1170"/>
    <w:rsid w:val="005D15F1"/>
    <w:rsid w:val="005D2736"/>
    <w:rsid w:val="005D28A6"/>
    <w:rsid w:val="005D3647"/>
    <w:rsid w:val="005D38BF"/>
    <w:rsid w:val="005D48A8"/>
    <w:rsid w:val="005D69DB"/>
    <w:rsid w:val="005D6B22"/>
    <w:rsid w:val="005D71FA"/>
    <w:rsid w:val="005D7E20"/>
    <w:rsid w:val="005E047D"/>
    <w:rsid w:val="005E1507"/>
    <w:rsid w:val="005E1E21"/>
    <w:rsid w:val="005E2713"/>
    <w:rsid w:val="005E4D54"/>
    <w:rsid w:val="005E52E5"/>
    <w:rsid w:val="005E5B8B"/>
    <w:rsid w:val="005E6AA5"/>
    <w:rsid w:val="005E7600"/>
    <w:rsid w:val="005F1059"/>
    <w:rsid w:val="005F2176"/>
    <w:rsid w:val="005F2E8D"/>
    <w:rsid w:val="005F3400"/>
    <w:rsid w:val="005F47C4"/>
    <w:rsid w:val="005F58D7"/>
    <w:rsid w:val="005F5F65"/>
    <w:rsid w:val="006003B5"/>
    <w:rsid w:val="0060138B"/>
    <w:rsid w:val="006029B2"/>
    <w:rsid w:val="006046DA"/>
    <w:rsid w:val="00605F76"/>
    <w:rsid w:val="00606D47"/>
    <w:rsid w:val="00606E86"/>
    <w:rsid w:val="00606E9C"/>
    <w:rsid w:val="00607D88"/>
    <w:rsid w:val="00610D51"/>
    <w:rsid w:val="00611948"/>
    <w:rsid w:val="00611F81"/>
    <w:rsid w:val="00613519"/>
    <w:rsid w:val="006145FC"/>
    <w:rsid w:val="006161CA"/>
    <w:rsid w:val="00620412"/>
    <w:rsid w:val="00620936"/>
    <w:rsid w:val="00620C76"/>
    <w:rsid w:val="00620DE1"/>
    <w:rsid w:val="00621E18"/>
    <w:rsid w:val="00622827"/>
    <w:rsid w:val="00623312"/>
    <w:rsid w:val="00625501"/>
    <w:rsid w:val="00625995"/>
    <w:rsid w:val="00625D23"/>
    <w:rsid w:val="00627823"/>
    <w:rsid w:val="00627845"/>
    <w:rsid w:val="00627E4E"/>
    <w:rsid w:val="00627F75"/>
    <w:rsid w:val="00630EA7"/>
    <w:rsid w:val="006318B1"/>
    <w:rsid w:val="00632656"/>
    <w:rsid w:val="0063366D"/>
    <w:rsid w:val="00633E0A"/>
    <w:rsid w:val="00634E1F"/>
    <w:rsid w:val="00635245"/>
    <w:rsid w:val="0063564C"/>
    <w:rsid w:val="00636139"/>
    <w:rsid w:val="00636464"/>
    <w:rsid w:val="00637232"/>
    <w:rsid w:val="00637AC9"/>
    <w:rsid w:val="00637CFB"/>
    <w:rsid w:val="00637EE0"/>
    <w:rsid w:val="00640F36"/>
    <w:rsid w:val="00640F81"/>
    <w:rsid w:val="0064185F"/>
    <w:rsid w:val="00641D89"/>
    <w:rsid w:val="00642DA3"/>
    <w:rsid w:val="00642F9A"/>
    <w:rsid w:val="0064438D"/>
    <w:rsid w:val="00644DCE"/>
    <w:rsid w:val="00644E91"/>
    <w:rsid w:val="0064507E"/>
    <w:rsid w:val="00645EAD"/>
    <w:rsid w:val="006462E1"/>
    <w:rsid w:val="0064637A"/>
    <w:rsid w:val="00646F5C"/>
    <w:rsid w:val="00646F83"/>
    <w:rsid w:val="00647927"/>
    <w:rsid w:val="00650A3A"/>
    <w:rsid w:val="00650C11"/>
    <w:rsid w:val="00650C70"/>
    <w:rsid w:val="00653FAC"/>
    <w:rsid w:val="006543E6"/>
    <w:rsid w:val="00654F95"/>
    <w:rsid w:val="00654FC7"/>
    <w:rsid w:val="00655371"/>
    <w:rsid w:val="00655A1F"/>
    <w:rsid w:val="00657106"/>
    <w:rsid w:val="0066103E"/>
    <w:rsid w:val="0066175A"/>
    <w:rsid w:val="00661CB2"/>
    <w:rsid w:val="00663407"/>
    <w:rsid w:val="006634D8"/>
    <w:rsid w:val="0066368D"/>
    <w:rsid w:val="00663C44"/>
    <w:rsid w:val="006646D7"/>
    <w:rsid w:val="006648D8"/>
    <w:rsid w:val="006673EB"/>
    <w:rsid w:val="006676C4"/>
    <w:rsid w:val="006679A0"/>
    <w:rsid w:val="00670C17"/>
    <w:rsid w:val="00671274"/>
    <w:rsid w:val="00672216"/>
    <w:rsid w:val="00672F06"/>
    <w:rsid w:val="00676D95"/>
    <w:rsid w:val="00677C67"/>
    <w:rsid w:val="006801D0"/>
    <w:rsid w:val="0068132C"/>
    <w:rsid w:val="006830C5"/>
    <w:rsid w:val="006831F1"/>
    <w:rsid w:val="00685838"/>
    <w:rsid w:val="00685950"/>
    <w:rsid w:val="00685D25"/>
    <w:rsid w:val="00685F8B"/>
    <w:rsid w:val="006865A9"/>
    <w:rsid w:val="0069050D"/>
    <w:rsid w:val="0069164F"/>
    <w:rsid w:val="00694C28"/>
    <w:rsid w:val="0069564A"/>
    <w:rsid w:val="0069564F"/>
    <w:rsid w:val="00695D6E"/>
    <w:rsid w:val="00696909"/>
    <w:rsid w:val="00696B40"/>
    <w:rsid w:val="00696F6A"/>
    <w:rsid w:val="00697845"/>
    <w:rsid w:val="006A15E0"/>
    <w:rsid w:val="006A1ADF"/>
    <w:rsid w:val="006A1E84"/>
    <w:rsid w:val="006A2285"/>
    <w:rsid w:val="006A2CE9"/>
    <w:rsid w:val="006A3F4F"/>
    <w:rsid w:val="006A4CF1"/>
    <w:rsid w:val="006A571F"/>
    <w:rsid w:val="006A685F"/>
    <w:rsid w:val="006B03FA"/>
    <w:rsid w:val="006B06A1"/>
    <w:rsid w:val="006B10D4"/>
    <w:rsid w:val="006B1593"/>
    <w:rsid w:val="006B2268"/>
    <w:rsid w:val="006B32D1"/>
    <w:rsid w:val="006B654A"/>
    <w:rsid w:val="006B75F0"/>
    <w:rsid w:val="006B7D1C"/>
    <w:rsid w:val="006C2F82"/>
    <w:rsid w:val="006C3F30"/>
    <w:rsid w:val="006C4ECE"/>
    <w:rsid w:val="006C72BB"/>
    <w:rsid w:val="006C7725"/>
    <w:rsid w:val="006D14B3"/>
    <w:rsid w:val="006D1A3C"/>
    <w:rsid w:val="006D1A4E"/>
    <w:rsid w:val="006D1EE2"/>
    <w:rsid w:val="006D2F12"/>
    <w:rsid w:val="006D3576"/>
    <w:rsid w:val="006D3FA8"/>
    <w:rsid w:val="006D4789"/>
    <w:rsid w:val="006D69BF"/>
    <w:rsid w:val="006D717E"/>
    <w:rsid w:val="006D75FE"/>
    <w:rsid w:val="006E0723"/>
    <w:rsid w:val="006E1362"/>
    <w:rsid w:val="006E2163"/>
    <w:rsid w:val="006E260A"/>
    <w:rsid w:val="006E27E1"/>
    <w:rsid w:val="006E30C7"/>
    <w:rsid w:val="006E3F77"/>
    <w:rsid w:val="006E5253"/>
    <w:rsid w:val="006E5EFA"/>
    <w:rsid w:val="006E6841"/>
    <w:rsid w:val="006E6DA3"/>
    <w:rsid w:val="006E6F79"/>
    <w:rsid w:val="006E7757"/>
    <w:rsid w:val="006E7B84"/>
    <w:rsid w:val="006E7D76"/>
    <w:rsid w:val="006F0240"/>
    <w:rsid w:val="006F068C"/>
    <w:rsid w:val="006F1A5E"/>
    <w:rsid w:val="006F1C60"/>
    <w:rsid w:val="006F1D4B"/>
    <w:rsid w:val="006F33BE"/>
    <w:rsid w:val="006F49A3"/>
    <w:rsid w:val="006F4C5D"/>
    <w:rsid w:val="006F57BC"/>
    <w:rsid w:val="006F5892"/>
    <w:rsid w:val="006F5A79"/>
    <w:rsid w:val="006F69F7"/>
    <w:rsid w:val="00700438"/>
    <w:rsid w:val="0070110F"/>
    <w:rsid w:val="007013F2"/>
    <w:rsid w:val="007014F7"/>
    <w:rsid w:val="007035CA"/>
    <w:rsid w:val="00704C19"/>
    <w:rsid w:val="007053C1"/>
    <w:rsid w:val="00705E9F"/>
    <w:rsid w:val="00706D25"/>
    <w:rsid w:val="00707868"/>
    <w:rsid w:val="0071150B"/>
    <w:rsid w:val="00712871"/>
    <w:rsid w:val="00714D06"/>
    <w:rsid w:val="0071582F"/>
    <w:rsid w:val="00716170"/>
    <w:rsid w:val="007163BD"/>
    <w:rsid w:val="007168F0"/>
    <w:rsid w:val="00717B72"/>
    <w:rsid w:val="00717CFF"/>
    <w:rsid w:val="007203C6"/>
    <w:rsid w:val="007221E1"/>
    <w:rsid w:val="007223EF"/>
    <w:rsid w:val="00722904"/>
    <w:rsid w:val="00726806"/>
    <w:rsid w:val="00727928"/>
    <w:rsid w:val="007304AD"/>
    <w:rsid w:val="00731FA9"/>
    <w:rsid w:val="00732CCE"/>
    <w:rsid w:val="00733A69"/>
    <w:rsid w:val="007366C9"/>
    <w:rsid w:val="00742290"/>
    <w:rsid w:val="007427AF"/>
    <w:rsid w:val="007433D7"/>
    <w:rsid w:val="00744B37"/>
    <w:rsid w:val="007460EF"/>
    <w:rsid w:val="007465BC"/>
    <w:rsid w:val="007507C3"/>
    <w:rsid w:val="007519F9"/>
    <w:rsid w:val="00751E13"/>
    <w:rsid w:val="00753454"/>
    <w:rsid w:val="00755202"/>
    <w:rsid w:val="00756AC3"/>
    <w:rsid w:val="00756BB2"/>
    <w:rsid w:val="007600AD"/>
    <w:rsid w:val="00761AC8"/>
    <w:rsid w:val="00762CF3"/>
    <w:rsid w:val="00763321"/>
    <w:rsid w:val="00763567"/>
    <w:rsid w:val="00763F4E"/>
    <w:rsid w:val="00765241"/>
    <w:rsid w:val="00765CCD"/>
    <w:rsid w:val="00765FED"/>
    <w:rsid w:val="00766FB9"/>
    <w:rsid w:val="007672F3"/>
    <w:rsid w:val="007704C4"/>
    <w:rsid w:val="00770787"/>
    <w:rsid w:val="00770C1F"/>
    <w:rsid w:val="0077115F"/>
    <w:rsid w:val="00772A11"/>
    <w:rsid w:val="00772C18"/>
    <w:rsid w:val="007811F6"/>
    <w:rsid w:val="0078173B"/>
    <w:rsid w:val="00781B34"/>
    <w:rsid w:val="0078209B"/>
    <w:rsid w:val="00782A53"/>
    <w:rsid w:val="00784133"/>
    <w:rsid w:val="00785365"/>
    <w:rsid w:val="00786454"/>
    <w:rsid w:val="0078651E"/>
    <w:rsid w:val="0078658E"/>
    <w:rsid w:val="007866C5"/>
    <w:rsid w:val="00787156"/>
    <w:rsid w:val="00787C6B"/>
    <w:rsid w:val="0079132C"/>
    <w:rsid w:val="007919B7"/>
    <w:rsid w:val="007925F4"/>
    <w:rsid w:val="00793674"/>
    <w:rsid w:val="00794DF6"/>
    <w:rsid w:val="0079567D"/>
    <w:rsid w:val="00795EE5"/>
    <w:rsid w:val="00796C8C"/>
    <w:rsid w:val="00797168"/>
    <w:rsid w:val="0079787C"/>
    <w:rsid w:val="00797BE0"/>
    <w:rsid w:val="007A050A"/>
    <w:rsid w:val="007A0FC9"/>
    <w:rsid w:val="007A302A"/>
    <w:rsid w:val="007A7959"/>
    <w:rsid w:val="007B0DAA"/>
    <w:rsid w:val="007B1370"/>
    <w:rsid w:val="007B176C"/>
    <w:rsid w:val="007B25A0"/>
    <w:rsid w:val="007B2AC0"/>
    <w:rsid w:val="007B2CAD"/>
    <w:rsid w:val="007B5F42"/>
    <w:rsid w:val="007B65E1"/>
    <w:rsid w:val="007B685E"/>
    <w:rsid w:val="007C0A81"/>
    <w:rsid w:val="007C18C3"/>
    <w:rsid w:val="007C2DB6"/>
    <w:rsid w:val="007C406A"/>
    <w:rsid w:val="007C43B7"/>
    <w:rsid w:val="007C446E"/>
    <w:rsid w:val="007C5E32"/>
    <w:rsid w:val="007C6C0C"/>
    <w:rsid w:val="007C6C5E"/>
    <w:rsid w:val="007C7B13"/>
    <w:rsid w:val="007D188B"/>
    <w:rsid w:val="007D1ADF"/>
    <w:rsid w:val="007D1C37"/>
    <w:rsid w:val="007D23D4"/>
    <w:rsid w:val="007D2FB2"/>
    <w:rsid w:val="007D34DE"/>
    <w:rsid w:val="007D50C8"/>
    <w:rsid w:val="007D54CD"/>
    <w:rsid w:val="007D5854"/>
    <w:rsid w:val="007D5944"/>
    <w:rsid w:val="007D5A90"/>
    <w:rsid w:val="007D5C0B"/>
    <w:rsid w:val="007D75F6"/>
    <w:rsid w:val="007E12A8"/>
    <w:rsid w:val="007E1F63"/>
    <w:rsid w:val="007E2443"/>
    <w:rsid w:val="007E3D9F"/>
    <w:rsid w:val="007E55E8"/>
    <w:rsid w:val="007E6836"/>
    <w:rsid w:val="007E6AA6"/>
    <w:rsid w:val="007E6D00"/>
    <w:rsid w:val="007E705B"/>
    <w:rsid w:val="007E7C82"/>
    <w:rsid w:val="007F13C7"/>
    <w:rsid w:val="007F3226"/>
    <w:rsid w:val="007F47E4"/>
    <w:rsid w:val="007F4931"/>
    <w:rsid w:val="007F52F1"/>
    <w:rsid w:val="007F5A30"/>
    <w:rsid w:val="007F608E"/>
    <w:rsid w:val="0080043A"/>
    <w:rsid w:val="00800616"/>
    <w:rsid w:val="00801FC9"/>
    <w:rsid w:val="0080205C"/>
    <w:rsid w:val="008022E1"/>
    <w:rsid w:val="008027D4"/>
    <w:rsid w:val="00803B4C"/>
    <w:rsid w:val="00804C16"/>
    <w:rsid w:val="00807231"/>
    <w:rsid w:val="00810AF8"/>
    <w:rsid w:val="00810D42"/>
    <w:rsid w:val="0081312B"/>
    <w:rsid w:val="00813AD4"/>
    <w:rsid w:val="00815595"/>
    <w:rsid w:val="0081710E"/>
    <w:rsid w:val="00817B28"/>
    <w:rsid w:val="008208F3"/>
    <w:rsid w:val="008222E8"/>
    <w:rsid w:val="00822366"/>
    <w:rsid w:val="00822BAD"/>
    <w:rsid w:val="00823775"/>
    <w:rsid w:val="008245A1"/>
    <w:rsid w:val="0082595D"/>
    <w:rsid w:val="00831475"/>
    <w:rsid w:val="00831BFD"/>
    <w:rsid w:val="008325FB"/>
    <w:rsid w:val="00832BCE"/>
    <w:rsid w:val="00833616"/>
    <w:rsid w:val="008343B1"/>
    <w:rsid w:val="00835793"/>
    <w:rsid w:val="00836AB9"/>
    <w:rsid w:val="0084201F"/>
    <w:rsid w:val="0084333C"/>
    <w:rsid w:val="00844791"/>
    <w:rsid w:val="00844A3B"/>
    <w:rsid w:val="008458E7"/>
    <w:rsid w:val="0084734B"/>
    <w:rsid w:val="00847AF0"/>
    <w:rsid w:val="00847EAE"/>
    <w:rsid w:val="00847ECF"/>
    <w:rsid w:val="00850C27"/>
    <w:rsid w:val="008517B2"/>
    <w:rsid w:val="0085565C"/>
    <w:rsid w:val="00855A6B"/>
    <w:rsid w:val="00855D65"/>
    <w:rsid w:val="00856665"/>
    <w:rsid w:val="008568C2"/>
    <w:rsid w:val="0085729F"/>
    <w:rsid w:val="00861F3B"/>
    <w:rsid w:val="008663E3"/>
    <w:rsid w:val="008672D0"/>
    <w:rsid w:val="00867900"/>
    <w:rsid w:val="008704BE"/>
    <w:rsid w:val="00870D0D"/>
    <w:rsid w:val="0087195C"/>
    <w:rsid w:val="008720A5"/>
    <w:rsid w:val="008726B8"/>
    <w:rsid w:val="00873359"/>
    <w:rsid w:val="008739FE"/>
    <w:rsid w:val="00874449"/>
    <w:rsid w:val="008777EB"/>
    <w:rsid w:val="00881E0B"/>
    <w:rsid w:val="00882EB4"/>
    <w:rsid w:val="008851A5"/>
    <w:rsid w:val="00886BBE"/>
    <w:rsid w:val="00886FC3"/>
    <w:rsid w:val="008870E2"/>
    <w:rsid w:val="00887EA6"/>
    <w:rsid w:val="00891971"/>
    <w:rsid w:val="00892A80"/>
    <w:rsid w:val="00892F00"/>
    <w:rsid w:val="00895FA5"/>
    <w:rsid w:val="008964DE"/>
    <w:rsid w:val="00896AD4"/>
    <w:rsid w:val="00896D8D"/>
    <w:rsid w:val="008977ED"/>
    <w:rsid w:val="00897BFA"/>
    <w:rsid w:val="00897CC1"/>
    <w:rsid w:val="008A38BE"/>
    <w:rsid w:val="008A4629"/>
    <w:rsid w:val="008A49EB"/>
    <w:rsid w:val="008A53FA"/>
    <w:rsid w:val="008A5949"/>
    <w:rsid w:val="008A75A7"/>
    <w:rsid w:val="008A786E"/>
    <w:rsid w:val="008B26E8"/>
    <w:rsid w:val="008B3E97"/>
    <w:rsid w:val="008B40A5"/>
    <w:rsid w:val="008B498F"/>
    <w:rsid w:val="008B5185"/>
    <w:rsid w:val="008B7352"/>
    <w:rsid w:val="008C0A9C"/>
    <w:rsid w:val="008C26DA"/>
    <w:rsid w:val="008C28DC"/>
    <w:rsid w:val="008C3D4D"/>
    <w:rsid w:val="008C4045"/>
    <w:rsid w:val="008C413E"/>
    <w:rsid w:val="008C4167"/>
    <w:rsid w:val="008C424C"/>
    <w:rsid w:val="008C469A"/>
    <w:rsid w:val="008C4A43"/>
    <w:rsid w:val="008C4DE8"/>
    <w:rsid w:val="008C4F79"/>
    <w:rsid w:val="008C569D"/>
    <w:rsid w:val="008C5D01"/>
    <w:rsid w:val="008C604A"/>
    <w:rsid w:val="008C7BCA"/>
    <w:rsid w:val="008D255D"/>
    <w:rsid w:val="008D2F77"/>
    <w:rsid w:val="008D39EC"/>
    <w:rsid w:val="008D4541"/>
    <w:rsid w:val="008D6C40"/>
    <w:rsid w:val="008D6D0A"/>
    <w:rsid w:val="008D7732"/>
    <w:rsid w:val="008D7AC9"/>
    <w:rsid w:val="008E01C1"/>
    <w:rsid w:val="008E1A93"/>
    <w:rsid w:val="008E273F"/>
    <w:rsid w:val="008E2FDD"/>
    <w:rsid w:val="008E336E"/>
    <w:rsid w:val="008E449A"/>
    <w:rsid w:val="008E5671"/>
    <w:rsid w:val="008E77F0"/>
    <w:rsid w:val="008E7C8C"/>
    <w:rsid w:val="008F055D"/>
    <w:rsid w:val="008F077E"/>
    <w:rsid w:val="008F0CC4"/>
    <w:rsid w:val="008F3838"/>
    <w:rsid w:val="008F5D17"/>
    <w:rsid w:val="008F6247"/>
    <w:rsid w:val="008F68A4"/>
    <w:rsid w:val="009012CD"/>
    <w:rsid w:val="00903234"/>
    <w:rsid w:val="00904814"/>
    <w:rsid w:val="0091096E"/>
    <w:rsid w:val="00910C06"/>
    <w:rsid w:val="0091133A"/>
    <w:rsid w:val="00912B35"/>
    <w:rsid w:val="00914348"/>
    <w:rsid w:val="00914631"/>
    <w:rsid w:val="009170B1"/>
    <w:rsid w:val="00920676"/>
    <w:rsid w:val="00924518"/>
    <w:rsid w:val="00924C2D"/>
    <w:rsid w:val="009251B7"/>
    <w:rsid w:val="009260BE"/>
    <w:rsid w:val="00926964"/>
    <w:rsid w:val="00926CE4"/>
    <w:rsid w:val="00926D65"/>
    <w:rsid w:val="00930C43"/>
    <w:rsid w:val="00930EED"/>
    <w:rsid w:val="00931DD2"/>
    <w:rsid w:val="00932DAA"/>
    <w:rsid w:val="00932DEE"/>
    <w:rsid w:val="00933355"/>
    <w:rsid w:val="00934A71"/>
    <w:rsid w:val="00934B61"/>
    <w:rsid w:val="00934BA5"/>
    <w:rsid w:val="009352C4"/>
    <w:rsid w:val="00935683"/>
    <w:rsid w:val="00935F01"/>
    <w:rsid w:val="009372E8"/>
    <w:rsid w:val="009377BF"/>
    <w:rsid w:val="009409BE"/>
    <w:rsid w:val="00941D85"/>
    <w:rsid w:val="00942003"/>
    <w:rsid w:val="0094244D"/>
    <w:rsid w:val="009444CF"/>
    <w:rsid w:val="00944676"/>
    <w:rsid w:val="009472CA"/>
    <w:rsid w:val="009475F9"/>
    <w:rsid w:val="009479CF"/>
    <w:rsid w:val="009500AC"/>
    <w:rsid w:val="00950EE9"/>
    <w:rsid w:val="00951C43"/>
    <w:rsid w:val="009522C3"/>
    <w:rsid w:val="00952F76"/>
    <w:rsid w:val="009547AE"/>
    <w:rsid w:val="00955A7F"/>
    <w:rsid w:val="00956678"/>
    <w:rsid w:val="009566A5"/>
    <w:rsid w:val="00956AB9"/>
    <w:rsid w:val="0095784C"/>
    <w:rsid w:val="00960F7E"/>
    <w:rsid w:val="00961719"/>
    <w:rsid w:val="00961EF3"/>
    <w:rsid w:val="00962DA1"/>
    <w:rsid w:val="009639B9"/>
    <w:rsid w:val="00964691"/>
    <w:rsid w:val="0096638B"/>
    <w:rsid w:val="009669F9"/>
    <w:rsid w:val="00966D9A"/>
    <w:rsid w:val="00967D60"/>
    <w:rsid w:val="00973A39"/>
    <w:rsid w:val="00974582"/>
    <w:rsid w:val="00974735"/>
    <w:rsid w:val="00974EB6"/>
    <w:rsid w:val="00977AE3"/>
    <w:rsid w:val="00980197"/>
    <w:rsid w:val="0098145A"/>
    <w:rsid w:val="0098244E"/>
    <w:rsid w:val="009853BF"/>
    <w:rsid w:val="00985CB9"/>
    <w:rsid w:val="0098647C"/>
    <w:rsid w:val="00986867"/>
    <w:rsid w:val="0099006F"/>
    <w:rsid w:val="009903EF"/>
    <w:rsid w:val="00990754"/>
    <w:rsid w:val="0099118A"/>
    <w:rsid w:val="00991C91"/>
    <w:rsid w:val="00992813"/>
    <w:rsid w:val="0099311A"/>
    <w:rsid w:val="009931E1"/>
    <w:rsid w:val="00993CEC"/>
    <w:rsid w:val="009941BB"/>
    <w:rsid w:val="009946F4"/>
    <w:rsid w:val="00994E77"/>
    <w:rsid w:val="009A116D"/>
    <w:rsid w:val="009A14B3"/>
    <w:rsid w:val="009A1915"/>
    <w:rsid w:val="009A2A26"/>
    <w:rsid w:val="009A2B77"/>
    <w:rsid w:val="009A2C3A"/>
    <w:rsid w:val="009A538B"/>
    <w:rsid w:val="009A5EE8"/>
    <w:rsid w:val="009A69CC"/>
    <w:rsid w:val="009A6D09"/>
    <w:rsid w:val="009A708D"/>
    <w:rsid w:val="009A7EA8"/>
    <w:rsid w:val="009B1543"/>
    <w:rsid w:val="009B22F9"/>
    <w:rsid w:val="009B2812"/>
    <w:rsid w:val="009B5CDE"/>
    <w:rsid w:val="009B6D5E"/>
    <w:rsid w:val="009B7B27"/>
    <w:rsid w:val="009C0444"/>
    <w:rsid w:val="009C1593"/>
    <w:rsid w:val="009C3AD7"/>
    <w:rsid w:val="009C41F1"/>
    <w:rsid w:val="009C4C04"/>
    <w:rsid w:val="009C5967"/>
    <w:rsid w:val="009C59E8"/>
    <w:rsid w:val="009C5EDC"/>
    <w:rsid w:val="009D0106"/>
    <w:rsid w:val="009D0B30"/>
    <w:rsid w:val="009D1BF8"/>
    <w:rsid w:val="009D22EA"/>
    <w:rsid w:val="009D2977"/>
    <w:rsid w:val="009D2B64"/>
    <w:rsid w:val="009D3F2A"/>
    <w:rsid w:val="009D46CF"/>
    <w:rsid w:val="009D49CA"/>
    <w:rsid w:val="009D79C6"/>
    <w:rsid w:val="009E08B2"/>
    <w:rsid w:val="009E204C"/>
    <w:rsid w:val="009E23F3"/>
    <w:rsid w:val="009E33D5"/>
    <w:rsid w:val="009E5137"/>
    <w:rsid w:val="009E605A"/>
    <w:rsid w:val="009E6A05"/>
    <w:rsid w:val="009E6A53"/>
    <w:rsid w:val="009E7006"/>
    <w:rsid w:val="009E7624"/>
    <w:rsid w:val="009F015E"/>
    <w:rsid w:val="009F2A26"/>
    <w:rsid w:val="009F2D3F"/>
    <w:rsid w:val="009F3330"/>
    <w:rsid w:val="009F3571"/>
    <w:rsid w:val="009F4042"/>
    <w:rsid w:val="009F489B"/>
    <w:rsid w:val="009F694F"/>
    <w:rsid w:val="00A01046"/>
    <w:rsid w:val="00A018DD"/>
    <w:rsid w:val="00A01A31"/>
    <w:rsid w:val="00A01C61"/>
    <w:rsid w:val="00A03456"/>
    <w:rsid w:val="00A03B91"/>
    <w:rsid w:val="00A0464F"/>
    <w:rsid w:val="00A047AA"/>
    <w:rsid w:val="00A06EE8"/>
    <w:rsid w:val="00A07698"/>
    <w:rsid w:val="00A0785D"/>
    <w:rsid w:val="00A1005E"/>
    <w:rsid w:val="00A106CA"/>
    <w:rsid w:val="00A10E54"/>
    <w:rsid w:val="00A110DC"/>
    <w:rsid w:val="00A1177C"/>
    <w:rsid w:val="00A11844"/>
    <w:rsid w:val="00A126A4"/>
    <w:rsid w:val="00A133C0"/>
    <w:rsid w:val="00A13403"/>
    <w:rsid w:val="00A134AC"/>
    <w:rsid w:val="00A13A10"/>
    <w:rsid w:val="00A13AB2"/>
    <w:rsid w:val="00A1446E"/>
    <w:rsid w:val="00A15516"/>
    <w:rsid w:val="00A16526"/>
    <w:rsid w:val="00A16BB1"/>
    <w:rsid w:val="00A17187"/>
    <w:rsid w:val="00A17885"/>
    <w:rsid w:val="00A20254"/>
    <w:rsid w:val="00A2042C"/>
    <w:rsid w:val="00A208BE"/>
    <w:rsid w:val="00A21D39"/>
    <w:rsid w:val="00A2304F"/>
    <w:rsid w:val="00A23770"/>
    <w:rsid w:val="00A26166"/>
    <w:rsid w:val="00A26CEA"/>
    <w:rsid w:val="00A277D0"/>
    <w:rsid w:val="00A314BD"/>
    <w:rsid w:val="00A31A37"/>
    <w:rsid w:val="00A31C89"/>
    <w:rsid w:val="00A32456"/>
    <w:rsid w:val="00A34A53"/>
    <w:rsid w:val="00A34C7D"/>
    <w:rsid w:val="00A35D9E"/>
    <w:rsid w:val="00A36285"/>
    <w:rsid w:val="00A3629D"/>
    <w:rsid w:val="00A3630B"/>
    <w:rsid w:val="00A37FEB"/>
    <w:rsid w:val="00A408B1"/>
    <w:rsid w:val="00A40C69"/>
    <w:rsid w:val="00A41DA3"/>
    <w:rsid w:val="00A425CA"/>
    <w:rsid w:val="00A43B06"/>
    <w:rsid w:val="00A455A9"/>
    <w:rsid w:val="00A467A1"/>
    <w:rsid w:val="00A5095E"/>
    <w:rsid w:val="00A5264E"/>
    <w:rsid w:val="00A53BA1"/>
    <w:rsid w:val="00A561ED"/>
    <w:rsid w:val="00A56D7B"/>
    <w:rsid w:val="00A578D5"/>
    <w:rsid w:val="00A60287"/>
    <w:rsid w:val="00A60DB0"/>
    <w:rsid w:val="00A6133E"/>
    <w:rsid w:val="00A624DF"/>
    <w:rsid w:val="00A626ED"/>
    <w:rsid w:val="00A62C48"/>
    <w:rsid w:val="00A640F9"/>
    <w:rsid w:val="00A643CE"/>
    <w:rsid w:val="00A644EF"/>
    <w:rsid w:val="00A646BE"/>
    <w:rsid w:val="00A65114"/>
    <w:rsid w:val="00A6567F"/>
    <w:rsid w:val="00A6590D"/>
    <w:rsid w:val="00A65BEC"/>
    <w:rsid w:val="00A67CE8"/>
    <w:rsid w:val="00A70C7E"/>
    <w:rsid w:val="00A716CD"/>
    <w:rsid w:val="00A71976"/>
    <w:rsid w:val="00A72898"/>
    <w:rsid w:val="00A73EE8"/>
    <w:rsid w:val="00A74608"/>
    <w:rsid w:val="00A75354"/>
    <w:rsid w:val="00A75493"/>
    <w:rsid w:val="00A75B3B"/>
    <w:rsid w:val="00A763F8"/>
    <w:rsid w:val="00A8091F"/>
    <w:rsid w:val="00A80BDD"/>
    <w:rsid w:val="00A815A8"/>
    <w:rsid w:val="00A81EBB"/>
    <w:rsid w:val="00A83D31"/>
    <w:rsid w:val="00A84B86"/>
    <w:rsid w:val="00A87E17"/>
    <w:rsid w:val="00A90809"/>
    <w:rsid w:val="00A908E7"/>
    <w:rsid w:val="00A90CAB"/>
    <w:rsid w:val="00A91E77"/>
    <w:rsid w:val="00A9208F"/>
    <w:rsid w:val="00A92E8C"/>
    <w:rsid w:val="00A94134"/>
    <w:rsid w:val="00A955F8"/>
    <w:rsid w:val="00A959BC"/>
    <w:rsid w:val="00A9645E"/>
    <w:rsid w:val="00A96BFE"/>
    <w:rsid w:val="00AA4C73"/>
    <w:rsid w:val="00AA5A98"/>
    <w:rsid w:val="00AA5FB9"/>
    <w:rsid w:val="00AA70A5"/>
    <w:rsid w:val="00AA7957"/>
    <w:rsid w:val="00AB054F"/>
    <w:rsid w:val="00AB23ED"/>
    <w:rsid w:val="00AB24B0"/>
    <w:rsid w:val="00AB2776"/>
    <w:rsid w:val="00AB2DD1"/>
    <w:rsid w:val="00AB31E1"/>
    <w:rsid w:val="00AB5818"/>
    <w:rsid w:val="00AB762C"/>
    <w:rsid w:val="00AC0166"/>
    <w:rsid w:val="00AC0BFB"/>
    <w:rsid w:val="00AC1493"/>
    <w:rsid w:val="00AC204D"/>
    <w:rsid w:val="00AC27F5"/>
    <w:rsid w:val="00AC2A42"/>
    <w:rsid w:val="00AC4519"/>
    <w:rsid w:val="00AC4662"/>
    <w:rsid w:val="00AC481A"/>
    <w:rsid w:val="00AC484D"/>
    <w:rsid w:val="00AC5306"/>
    <w:rsid w:val="00AC53EE"/>
    <w:rsid w:val="00AC6AA9"/>
    <w:rsid w:val="00AC7CFD"/>
    <w:rsid w:val="00AD027B"/>
    <w:rsid w:val="00AD090E"/>
    <w:rsid w:val="00AD182E"/>
    <w:rsid w:val="00AD42D8"/>
    <w:rsid w:val="00AD4CE5"/>
    <w:rsid w:val="00AD5016"/>
    <w:rsid w:val="00AD54B0"/>
    <w:rsid w:val="00AD57EC"/>
    <w:rsid w:val="00AD589E"/>
    <w:rsid w:val="00AE0100"/>
    <w:rsid w:val="00AE09BB"/>
    <w:rsid w:val="00AE34CA"/>
    <w:rsid w:val="00AE3639"/>
    <w:rsid w:val="00AE3C6E"/>
    <w:rsid w:val="00AE4577"/>
    <w:rsid w:val="00AE4F78"/>
    <w:rsid w:val="00AE6A52"/>
    <w:rsid w:val="00AE6D91"/>
    <w:rsid w:val="00AE729D"/>
    <w:rsid w:val="00AE75A9"/>
    <w:rsid w:val="00AE7A4E"/>
    <w:rsid w:val="00AE7AA8"/>
    <w:rsid w:val="00AF009A"/>
    <w:rsid w:val="00AF2022"/>
    <w:rsid w:val="00AF3298"/>
    <w:rsid w:val="00AF5113"/>
    <w:rsid w:val="00AF57B8"/>
    <w:rsid w:val="00AF59A4"/>
    <w:rsid w:val="00AF76B6"/>
    <w:rsid w:val="00AF7934"/>
    <w:rsid w:val="00B005CE"/>
    <w:rsid w:val="00B009B1"/>
    <w:rsid w:val="00B019C7"/>
    <w:rsid w:val="00B01BDD"/>
    <w:rsid w:val="00B02ACD"/>
    <w:rsid w:val="00B02D45"/>
    <w:rsid w:val="00B036AB"/>
    <w:rsid w:val="00B04062"/>
    <w:rsid w:val="00B0490F"/>
    <w:rsid w:val="00B0701B"/>
    <w:rsid w:val="00B078DB"/>
    <w:rsid w:val="00B101E6"/>
    <w:rsid w:val="00B10A5F"/>
    <w:rsid w:val="00B13700"/>
    <w:rsid w:val="00B148D8"/>
    <w:rsid w:val="00B1575F"/>
    <w:rsid w:val="00B15ED5"/>
    <w:rsid w:val="00B22B20"/>
    <w:rsid w:val="00B22C78"/>
    <w:rsid w:val="00B24289"/>
    <w:rsid w:val="00B245B6"/>
    <w:rsid w:val="00B251C5"/>
    <w:rsid w:val="00B25B0F"/>
    <w:rsid w:val="00B2711D"/>
    <w:rsid w:val="00B27728"/>
    <w:rsid w:val="00B27D76"/>
    <w:rsid w:val="00B31C89"/>
    <w:rsid w:val="00B332F7"/>
    <w:rsid w:val="00B333D4"/>
    <w:rsid w:val="00B339E2"/>
    <w:rsid w:val="00B342E8"/>
    <w:rsid w:val="00B35916"/>
    <w:rsid w:val="00B36D66"/>
    <w:rsid w:val="00B378B4"/>
    <w:rsid w:val="00B401A9"/>
    <w:rsid w:val="00B40599"/>
    <w:rsid w:val="00B421EB"/>
    <w:rsid w:val="00B422AF"/>
    <w:rsid w:val="00B42B84"/>
    <w:rsid w:val="00B4356C"/>
    <w:rsid w:val="00B43801"/>
    <w:rsid w:val="00B43B8C"/>
    <w:rsid w:val="00B44C5B"/>
    <w:rsid w:val="00B44E0F"/>
    <w:rsid w:val="00B4738F"/>
    <w:rsid w:val="00B51825"/>
    <w:rsid w:val="00B51C2A"/>
    <w:rsid w:val="00B51CE7"/>
    <w:rsid w:val="00B526A7"/>
    <w:rsid w:val="00B527F7"/>
    <w:rsid w:val="00B560B9"/>
    <w:rsid w:val="00B60962"/>
    <w:rsid w:val="00B62999"/>
    <w:rsid w:val="00B62A4E"/>
    <w:rsid w:val="00B639D6"/>
    <w:rsid w:val="00B63B84"/>
    <w:rsid w:val="00B63EED"/>
    <w:rsid w:val="00B64000"/>
    <w:rsid w:val="00B64A09"/>
    <w:rsid w:val="00B66DDA"/>
    <w:rsid w:val="00B70879"/>
    <w:rsid w:val="00B7242E"/>
    <w:rsid w:val="00B72E9E"/>
    <w:rsid w:val="00B750C8"/>
    <w:rsid w:val="00B75A62"/>
    <w:rsid w:val="00B773E7"/>
    <w:rsid w:val="00B827C3"/>
    <w:rsid w:val="00B83D51"/>
    <w:rsid w:val="00B84020"/>
    <w:rsid w:val="00B84A7C"/>
    <w:rsid w:val="00B85A9D"/>
    <w:rsid w:val="00B90892"/>
    <w:rsid w:val="00B90AE3"/>
    <w:rsid w:val="00B90F38"/>
    <w:rsid w:val="00B91222"/>
    <w:rsid w:val="00B91E2D"/>
    <w:rsid w:val="00B91FA6"/>
    <w:rsid w:val="00B93706"/>
    <w:rsid w:val="00B950DE"/>
    <w:rsid w:val="00B95AEB"/>
    <w:rsid w:val="00BA0B70"/>
    <w:rsid w:val="00BA0CCC"/>
    <w:rsid w:val="00BA4118"/>
    <w:rsid w:val="00BA55FC"/>
    <w:rsid w:val="00BA5601"/>
    <w:rsid w:val="00BA5BA7"/>
    <w:rsid w:val="00BA613E"/>
    <w:rsid w:val="00BA747D"/>
    <w:rsid w:val="00BA76F6"/>
    <w:rsid w:val="00BA7DE0"/>
    <w:rsid w:val="00BB03EA"/>
    <w:rsid w:val="00BB1215"/>
    <w:rsid w:val="00BB1E6D"/>
    <w:rsid w:val="00BB2209"/>
    <w:rsid w:val="00BB2316"/>
    <w:rsid w:val="00BB2F89"/>
    <w:rsid w:val="00BB4B4A"/>
    <w:rsid w:val="00BB4C8B"/>
    <w:rsid w:val="00BB513D"/>
    <w:rsid w:val="00BB5E2A"/>
    <w:rsid w:val="00BB6359"/>
    <w:rsid w:val="00BB68CC"/>
    <w:rsid w:val="00BB7C2B"/>
    <w:rsid w:val="00BC1CF8"/>
    <w:rsid w:val="00BC3346"/>
    <w:rsid w:val="00BC36DD"/>
    <w:rsid w:val="00BC64FD"/>
    <w:rsid w:val="00BC74A3"/>
    <w:rsid w:val="00BD13BB"/>
    <w:rsid w:val="00BD26BC"/>
    <w:rsid w:val="00BD59BF"/>
    <w:rsid w:val="00BE1C55"/>
    <w:rsid w:val="00BE232C"/>
    <w:rsid w:val="00BE4946"/>
    <w:rsid w:val="00BE60C4"/>
    <w:rsid w:val="00BE683A"/>
    <w:rsid w:val="00BE7781"/>
    <w:rsid w:val="00BF2E79"/>
    <w:rsid w:val="00BF44D4"/>
    <w:rsid w:val="00BF640F"/>
    <w:rsid w:val="00BF6B25"/>
    <w:rsid w:val="00BF73DA"/>
    <w:rsid w:val="00BF76F5"/>
    <w:rsid w:val="00C02032"/>
    <w:rsid w:val="00C040B4"/>
    <w:rsid w:val="00C057AA"/>
    <w:rsid w:val="00C06574"/>
    <w:rsid w:val="00C06822"/>
    <w:rsid w:val="00C07D9D"/>
    <w:rsid w:val="00C10041"/>
    <w:rsid w:val="00C1092A"/>
    <w:rsid w:val="00C1148E"/>
    <w:rsid w:val="00C11FE8"/>
    <w:rsid w:val="00C121A2"/>
    <w:rsid w:val="00C127A8"/>
    <w:rsid w:val="00C139D2"/>
    <w:rsid w:val="00C14E37"/>
    <w:rsid w:val="00C155A7"/>
    <w:rsid w:val="00C15725"/>
    <w:rsid w:val="00C16703"/>
    <w:rsid w:val="00C1709F"/>
    <w:rsid w:val="00C17E6C"/>
    <w:rsid w:val="00C205AB"/>
    <w:rsid w:val="00C20FBF"/>
    <w:rsid w:val="00C2232D"/>
    <w:rsid w:val="00C231EE"/>
    <w:rsid w:val="00C24543"/>
    <w:rsid w:val="00C24D20"/>
    <w:rsid w:val="00C2785E"/>
    <w:rsid w:val="00C27EDB"/>
    <w:rsid w:val="00C30B06"/>
    <w:rsid w:val="00C348E3"/>
    <w:rsid w:val="00C35041"/>
    <w:rsid w:val="00C358C8"/>
    <w:rsid w:val="00C35AEA"/>
    <w:rsid w:val="00C35DA9"/>
    <w:rsid w:val="00C3725F"/>
    <w:rsid w:val="00C37A37"/>
    <w:rsid w:val="00C40035"/>
    <w:rsid w:val="00C46113"/>
    <w:rsid w:val="00C462BD"/>
    <w:rsid w:val="00C47E2A"/>
    <w:rsid w:val="00C50C15"/>
    <w:rsid w:val="00C51634"/>
    <w:rsid w:val="00C53275"/>
    <w:rsid w:val="00C53D8D"/>
    <w:rsid w:val="00C54423"/>
    <w:rsid w:val="00C54726"/>
    <w:rsid w:val="00C54765"/>
    <w:rsid w:val="00C54A68"/>
    <w:rsid w:val="00C557E8"/>
    <w:rsid w:val="00C557F2"/>
    <w:rsid w:val="00C56BC2"/>
    <w:rsid w:val="00C6045E"/>
    <w:rsid w:val="00C604A9"/>
    <w:rsid w:val="00C609C0"/>
    <w:rsid w:val="00C615A7"/>
    <w:rsid w:val="00C6183F"/>
    <w:rsid w:val="00C61EAE"/>
    <w:rsid w:val="00C62172"/>
    <w:rsid w:val="00C63469"/>
    <w:rsid w:val="00C6369D"/>
    <w:rsid w:val="00C63DDA"/>
    <w:rsid w:val="00C64694"/>
    <w:rsid w:val="00C658B8"/>
    <w:rsid w:val="00C667F3"/>
    <w:rsid w:val="00C70101"/>
    <w:rsid w:val="00C70907"/>
    <w:rsid w:val="00C70D76"/>
    <w:rsid w:val="00C718E3"/>
    <w:rsid w:val="00C721E9"/>
    <w:rsid w:val="00C7321C"/>
    <w:rsid w:val="00C74A99"/>
    <w:rsid w:val="00C74F0A"/>
    <w:rsid w:val="00C811F4"/>
    <w:rsid w:val="00C8137F"/>
    <w:rsid w:val="00C81B09"/>
    <w:rsid w:val="00C856A9"/>
    <w:rsid w:val="00C85FBB"/>
    <w:rsid w:val="00C868E7"/>
    <w:rsid w:val="00C87A1B"/>
    <w:rsid w:val="00C87C23"/>
    <w:rsid w:val="00C87CCC"/>
    <w:rsid w:val="00C87E00"/>
    <w:rsid w:val="00C87FFD"/>
    <w:rsid w:val="00C91BB9"/>
    <w:rsid w:val="00C94526"/>
    <w:rsid w:val="00C95B31"/>
    <w:rsid w:val="00C962BA"/>
    <w:rsid w:val="00C96A1A"/>
    <w:rsid w:val="00C96A81"/>
    <w:rsid w:val="00CA091F"/>
    <w:rsid w:val="00CA09F3"/>
    <w:rsid w:val="00CA147C"/>
    <w:rsid w:val="00CA26F0"/>
    <w:rsid w:val="00CA29C2"/>
    <w:rsid w:val="00CA65F5"/>
    <w:rsid w:val="00CA6853"/>
    <w:rsid w:val="00CA69B5"/>
    <w:rsid w:val="00CA7C40"/>
    <w:rsid w:val="00CB33A8"/>
    <w:rsid w:val="00CB4252"/>
    <w:rsid w:val="00CB427C"/>
    <w:rsid w:val="00CB4A35"/>
    <w:rsid w:val="00CB4BBF"/>
    <w:rsid w:val="00CB5767"/>
    <w:rsid w:val="00CB623A"/>
    <w:rsid w:val="00CB686F"/>
    <w:rsid w:val="00CB7F23"/>
    <w:rsid w:val="00CC0296"/>
    <w:rsid w:val="00CC14A6"/>
    <w:rsid w:val="00CC42AC"/>
    <w:rsid w:val="00CC5217"/>
    <w:rsid w:val="00CC562F"/>
    <w:rsid w:val="00CC7913"/>
    <w:rsid w:val="00CD0BAC"/>
    <w:rsid w:val="00CD248F"/>
    <w:rsid w:val="00CD24E1"/>
    <w:rsid w:val="00CD2944"/>
    <w:rsid w:val="00CD370A"/>
    <w:rsid w:val="00CD5571"/>
    <w:rsid w:val="00CD5B30"/>
    <w:rsid w:val="00CD73BF"/>
    <w:rsid w:val="00CD7B23"/>
    <w:rsid w:val="00CD7E17"/>
    <w:rsid w:val="00CE00E0"/>
    <w:rsid w:val="00CE0558"/>
    <w:rsid w:val="00CE0791"/>
    <w:rsid w:val="00CE274B"/>
    <w:rsid w:val="00CE40AB"/>
    <w:rsid w:val="00CE57F2"/>
    <w:rsid w:val="00CE5DF9"/>
    <w:rsid w:val="00CE655B"/>
    <w:rsid w:val="00CE76B9"/>
    <w:rsid w:val="00CF0D6A"/>
    <w:rsid w:val="00CF1276"/>
    <w:rsid w:val="00CF2C10"/>
    <w:rsid w:val="00CF480A"/>
    <w:rsid w:val="00CF56E5"/>
    <w:rsid w:val="00CF5E27"/>
    <w:rsid w:val="00CF6696"/>
    <w:rsid w:val="00CF6794"/>
    <w:rsid w:val="00CF743F"/>
    <w:rsid w:val="00D00771"/>
    <w:rsid w:val="00D03921"/>
    <w:rsid w:val="00D03DFC"/>
    <w:rsid w:val="00D046A0"/>
    <w:rsid w:val="00D06161"/>
    <w:rsid w:val="00D06CCB"/>
    <w:rsid w:val="00D072AB"/>
    <w:rsid w:val="00D10169"/>
    <w:rsid w:val="00D1029C"/>
    <w:rsid w:val="00D10F49"/>
    <w:rsid w:val="00D11879"/>
    <w:rsid w:val="00D1344D"/>
    <w:rsid w:val="00D13EFA"/>
    <w:rsid w:val="00D14296"/>
    <w:rsid w:val="00D14F59"/>
    <w:rsid w:val="00D172DC"/>
    <w:rsid w:val="00D1732B"/>
    <w:rsid w:val="00D20876"/>
    <w:rsid w:val="00D20F76"/>
    <w:rsid w:val="00D213F4"/>
    <w:rsid w:val="00D22D9B"/>
    <w:rsid w:val="00D233FD"/>
    <w:rsid w:val="00D24931"/>
    <w:rsid w:val="00D24EC8"/>
    <w:rsid w:val="00D2607B"/>
    <w:rsid w:val="00D264E3"/>
    <w:rsid w:val="00D26C62"/>
    <w:rsid w:val="00D26F51"/>
    <w:rsid w:val="00D274EF"/>
    <w:rsid w:val="00D27515"/>
    <w:rsid w:val="00D27804"/>
    <w:rsid w:val="00D3015C"/>
    <w:rsid w:val="00D30970"/>
    <w:rsid w:val="00D314F5"/>
    <w:rsid w:val="00D31ADB"/>
    <w:rsid w:val="00D31BCB"/>
    <w:rsid w:val="00D31EC3"/>
    <w:rsid w:val="00D31F3D"/>
    <w:rsid w:val="00D31FE1"/>
    <w:rsid w:val="00D3260C"/>
    <w:rsid w:val="00D336EB"/>
    <w:rsid w:val="00D338AA"/>
    <w:rsid w:val="00D33D78"/>
    <w:rsid w:val="00D34A3D"/>
    <w:rsid w:val="00D34EAD"/>
    <w:rsid w:val="00D3524A"/>
    <w:rsid w:val="00D35BD7"/>
    <w:rsid w:val="00D36B99"/>
    <w:rsid w:val="00D36C33"/>
    <w:rsid w:val="00D37BA2"/>
    <w:rsid w:val="00D40AE3"/>
    <w:rsid w:val="00D44C94"/>
    <w:rsid w:val="00D45138"/>
    <w:rsid w:val="00D45858"/>
    <w:rsid w:val="00D461D8"/>
    <w:rsid w:val="00D46FB0"/>
    <w:rsid w:val="00D47568"/>
    <w:rsid w:val="00D52D69"/>
    <w:rsid w:val="00D53265"/>
    <w:rsid w:val="00D53A8A"/>
    <w:rsid w:val="00D53E61"/>
    <w:rsid w:val="00D567EE"/>
    <w:rsid w:val="00D571FC"/>
    <w:rsid w:val="00D608D2"/>
    <w:rsid w:val="00D609CD"/>
    <w:rsid w:val="00D61978"/>
    <w:rsid w:val="00D61B5F"/>
    <w:rsid w:val="00D62382"/>
    <w:rsid w:val="00D63E89"/>
    <w:rsid w:val="00D672F6"/>
    <w:rsid w:val="00D67562"/>
    <w:rsid w:val="00D67C3A"/>
    <w:rsid w:val="00D70E10"/>
    <w:rsid w:val="00D7130F"/>
    <w:rsid w:val="00D745C3"/>
    <w:rsid w:val="00D747C9"/>
    <w:rsid w:val="00D75FE5"/>
    <w:rsid w:val="00D76A4A"/>
    <w:rsid w:val="00D8122F"/>
    <w:rsid w:val="00D81991"/>
    <w:rsid w:val="00D82192"/>
    <w:rsid w:val="00D82CC1"/>
    <w:rsid w:val="00D833AE"/>
    <w:rsid w:val="00D83DFF"/>
    <w:rsid w:val="00D8442D"/>
    <w:rsid w:val="00D84E6C"/>
    <w:rsid w:val="00D8588A"/>
    <w:rsid w:val="00D85C0F"/>
    <w:rsid w:val="00D860D3"/>
    <w:rsid w:val="00D864C6"/>
    <w:rsid w:val="00D905A5"/>
    <w:rsid w:val="00D905E9"/>
    <w:rsid w:val="00D90B17"/>
    <w:rsid w:val="00D90F3B"/>
    <w:rsid w:val="00D928ED"/>
    <w:rsid w:val="00D938B8"/>
    <w:rsid w:val="00D94B1F"/>
    <w:rsid w:val="00D9504C"/>
    <w:rsid w:val="00D957CC"/>
    <w:rsid w:val="00D964CE"/>
    <w:rsid w:val="00D9684A"/>
    <w:rsid w:val="00D97A21"/>
    <w:rsid w:val="00DA01A6"/>
    <w:rsid w:val="00DA332D"/>
    <w:rsid w:val="00DA34CC"/>
    <w:rsid w:val="00DA3632"/>
    <w:rsid w:val="00DA4F3C"/>
    <w:rsid w:val="00DA5979"/>
    <w:rsid w:val="00DA7C2E"/>
    <w:rsid w:val="00DB39E9"/>
    <w:rsid w:val="00DB3DC7"/>
    <w:rsid w:val="00DB402D"/>
    <w:rsid w:val="00DB53EB"/>
    <w:rsid w:val="00DB5B93"/>
    <w:rsid w:val="00DC2448"/>
    <w:rsid w:val="00DC2BC9"/>
    <w:rsid w:val="00DC3220"/>
    <w:rsid w:val="00DC3380"/>
    <w:rsid w:val="00DC6568"/>
    <w:rsid w:val="00DC6734"/>
    <w:rsid w:val="00DC7CCC"/>
    <w:rsid w:val="00DC7E6B"/>
    <w:rsid w:val="00DD1F2D"/>
    <w:rsid w:val="00DD26C0"/>
    <w:rsid w:val="00DD2C77"/>
    <w:rsid w:val="00DD4B46"/>
    <w:rsid w:val="00DD52DA"/>
    <w:rsid w:val="00DD5605"/>
    <w:rsid w:val="00DD5EE2"/>
    <w:rsid w:val="00DD60F1"/>
    <w:rsid w:val="00DD781F"/>
    <w:rsid w:val="00DE061B"/>
    <w:rsid w:val="00DE0AA9"/>
    <w:rsid w:val="00DE1EC6"/>
    <w:rsid w:val="00DE33D9"/>
    <w:rsid w:val="00DE39BE"/>
    <w:rsid w:val="00DE3C8E"/>
    <w:rsid w:val="00DE3DBD"/>
    <w:rsid w:val="00DE3E6F"/>
    <w:rsid w:val="00DE51C3"/>
    <w:rsid w:val="00DE56BD"/>
    <w:rsid w:val="00DE5980"/>
    <w:rsid w:val="00DE657F"/>
    <w:rsid w:val="00DE66E5"/>
    <w:rsid w:val="00DE71DD"/>
    <w:rsid w:val="00DE74D4"/>
    <w:rsid w:val="00DE7DE2"/>
    <w:rsid w:val="00DE7F18"/>
    <w:rsid w:val="00DF0EDB"/>
    <w:rsid w:val="00DF3559"/>
    <w:rsid w:val="00DF380F"/>
    <w:rsid w:val="00DF49F4"/>
    <w:rsid w:val="00DF4A25"/>
    <w:rsid w:val="00DF653E"/>
    <w:rsid w:val="00DF7360"/>
    <w:rsid w:val="00DF799F"/>
    <w:rsid w:val="00E00E63"/>
    <w:rsid w:val="00E010A2"/>
    <w:rsid w:val="00E021E1"/>
    <w:rsid w:val="00E021EE"/>
    <w:rsid w:val="00E026EC"/>
    <w:rsid w:val="00E0289E"/>
    <w:rsid w:val="00E03EF4"/>
    <w:rsid w:val="00E05206"/>
    <w:rsid w:val="00E05790"/>
    <w:rsid w:val="00E06963"/>
    <w:rsid w:val="00E06CAF"/>
    <w:rsid w:val="00E07581"/>
    <w:rsid w:val="00E07FF7"/>
    <w:rsid w:val="00E10D94"/>
    <w:rsid w:val="00E126A6"/>
    <w:rsid w:val="00E13135"/>
    <w:rsid w:val="00E13D0F"/>
    <w:rsid w:val="00E15CA1"/>
    <w:rsid w:val="00E17815"/>
    <w:rsid w:val="00E17B4B"/>
    <w:rsid w:val="00E17CE2"/>
    <w:rsid w:val="00E20402"/>
    <w:rsid w:val="00E2112D"/>
    <w:rsid w:val="00E22837"/>
    <w:rsid w:val="00E22934"/>
    <w:rsid w:val="00E23167"/>
    <w:rsid w:val="00E24057"/>
    <w:rsid w:val="00E24D61"/>
    <w:rsid w:val="00E24E6E"/>
    <w:rsid w:val="00E24F4D"/>
    <w:rsid w:val="00E25E0C"/>
    <w:rsid w:val="00E26A81"/>
    <w:rsid w:val="00E27022"/>
    <w:rsid w:val="00E27F88"/>
    <w:rsid w:val="00E307CB"/>
    <w:rsid w:val="00E311EB"/>
    <w:rsid w:val="00E316A6"/>
    <w:rsid w:val="00E32D06"/>
    <w:rsid w:val="00E33A24"/>
    <w:rsid w:val="00E34BD8"/>
    <w:rsid w:val="00E3568F"/>
    <w:rsid w:val="00E40146"/>
    <w:rsid w:val="00E40613"/>
    <w:rsid w:val="00E40C33"/>
    <w:rsid w:val="00E42D73"/>
    <w:rsid w:val="00E435C6"/>
    <w:rsid w:val="00E43B25"/>
    <w:rsid w:val="00E45F3A"/>
    <w:rsid w:val="00E46356"/>
    <w:rsid w:val="00E47092"/>
    <w:rsid w:val="00E4740B"/>
    <w:rsid w:val="00E47C88"/>
    <w:rsid w:val="00E519B6"/>
    <w:rsid w:val="00E563F5"/>
    <w:rsid w:val="00E56A45"/>
    <w:rsid w:val="00E57029"/>
    <w:rsid w:val="00E60140"/>
    <w:rsid w:val="00E60845"/>
    <w:rsid w:val="00E60927"/>
    <w:rsid w:val="00E60C09"/>
    <w:rsid w:val="00E61194"/>
    <w:rsid w:val="00E61EC1"/>
    <w:rsid w:val="00E62D10"/>
    <w:rsid w:val="00E6398E"/>
    <w:rsid w:val="00E64A7B"/>
    <w:rsid w:val="00E65728"/>
    <w:rsid w:val="00E65E09"/>
    <w:rsid w:val="00E7347F"/>
    <w:rsid w:val="00E73813"/>
    <w:rsid w:val="00E75F20"/>
    <w:rsid w:val="00E7669C"/>
    <w:rsid w:val="00E77872"/>
    <w:rsid w:val="00E80217"/>
    <w:rsid w:val="00E80729"/>
    <w:rsid w:val="00E81F51"/>
    <w:rsid w:val="00E8344F"/>
    <w:rsid w:val="00E8461C"/>
    <w:rsid w:val="00E87ACA"/>
    <w:rsid w:val="00E87DDF"/>
    <w:rsid w:val="00E90103"/>
    <w:rsid w:val="00E904DC"/>
    <w:rsid w:val="00E90902"/>
    <w:rsid w:val="00E90A6F"/>
    <w:rsid w:val="00E913BC"/>
    <w:rsid w:val="00E91EE9"/>
    <w:rsid w:val="00E926EE"/>
    <w:rsid w:val="00E9309E"/>
    <w:rsid w:val="00E93C6E"/>
    <w:rsid w:val="00E94CFC"/>
    <w:rsid w:val="00E94E36"/>
    <w:rsid w:val="00E958FD"/>
    <w:rsid w:val="00E9595F"/>
    <w:rsid w:val="00EA044C"/>
    <w:rsid w:val="00EA13EF"/>
    <w:rsid w:val="00EA24BD"/>
    <w:rsid w:val="00EA3489"/>
    <w:rsid w:val="00EA3B62"/>
    <w:rsid w:val="00EA60D7"/>
    <w:rsid w:val="00EA6542"/>
    <w:rsid w:val="00EA6D26"/>
    <w:rsid w:val="00EA765C"/>
    <w:rsid w:val="00EA7A89"/>
    <w:rsid w:val="00EB5C02"/>
    <w:rsid w:val="00EB5FAD"/>
    <w:rsid w:val="00EB6138"/>
    <w:rsid w:val="00EB6579"/>
    <w:rsid w:val="00EB6C80"/>
    <w:rsid w:val="00EB714C"/>
    <w:rsid w:val="00EB7516"/>
    <w:rsid w:val="00EB76C2"/>
    <w:rsid w:val="00EC00C5"/>
    <w:rsid w:val="00EC01D5"/>
    <w:rsid w:val="00EC0B7A"/>
    <w:rsid w:val="00EC1250"/>
    <w:rsid w:val="00EC19C7"/>
    <w:rsid w:val="00EC2C4A"/>
    <w:rsid w:val="00EC3454"/>
    <w:rsid w:val="00EC442B"/>
    <w:rsid w:val="00EC69B7"/>
    <w:rsid w:val="00EC7059"/>
    <w:rsid w:val="00ED02A3"/>
    <w:rsid w:val="00ED0E52"/>
    <w:rsid w:val="00ED1874"/>
    <w:rsid w:val="00ED18B6"/>
    <w:rsid w:val="00ED1C8E"/>
    <w:rsid w:val="00ED2D78"/>
    <w:rsid w:val="00ED3004"/>
    <w:rsid w:val="00ED4471"/>
    <w:rsid w:val="00ED4F74"/>
    <w:rsid w:val="00ED51D0"/>
    <w:rsid w:val="00ED54D6"/>
    <w:rsid w:val="00ED715C"/>
    <w:rsid w:val="00ED7509"/>
    <w:rsid w:val="00ED7964"/>
    <w:rsid w:val="00EE0F67"/>
    <w:rsid w:val="00EE26E2"/>
    <w:rsid w:val="00EE2F7D"/>
    <w:rsid w:val="00EE30F7"/>
    <w:rsid w:val="00EE45CE"/>
    <w:rsid w:val="00EE4B1E"/>
    <w:rsid w:val="00EE5073"/>
    <w:rsid w:val="00EE58B2"/>
    <w:rsid w:val="00EE6790"/>
    <w:rsid w:val="00EE707C"/>
    <w:rsid w:val="00EF07D8"/>
    <w:rsid w:val="00EF14B7"/>
    <w:rsid w:val="00EF152D"/>
    <w:rsid w:val="00EF277B"/>
    <w:rsid w:val="00EF2BBA"/>
    <w:rsid w:val="00EF2CC0"/>
    <w:rsid w:val="00EF40EF"/>
    <w:rsid w:val="00EF4980"/>
    <w:rsid w:val="00EF60B1"/>
    <w:rsid w:val="00EF651A"/>
    <w:rsid w:val="00EF7F39"/>
    <w:rsid w:val="00F00543"/>
    <w:rsid w:val="00F00838"/>
    <w:rsid w:val="00F0303A"/>
    <w:rsid w:val="00F03B7B"/>
    <w:rsid w:val="00F05B1D"/>
    <w:rsid w:val="00F06300"/>
    <w:rsid w:val="00F06A3F"/>
    <w:rsid w:val="00F078A5"/>
    <w:rsid w:val="00F07C72"/>
    <w:rsid w:val="00F07C84"/>
    <w:rsid w:val="00F10235"/>
    <w:rsid w:val="00F10770"/>
    <w:rsid w:val="00F109F5"/>
    <w:rsid w:val="00F1121E"/>
    <w:rsid w:val="00F11D80"/>
    <w:rsid w:val="00F12666"/>
    <w:rsid w:val="00F12F86"/>
    <w:rsid w:val="00F13C70"/>
    <w:rsid w:val="00F14054"/>
    <w:rsid w:val="00F155F1"/>
    <w:rsid w:val="00F15B29"/>
    <w:rsid w:val="00F17D75"/>
    <w:rsid w:val="00F20271"/>
    <w:rsid w:val="00F204C0"/>
    <w:rsid w:val="00F2220A"/>
    <w:rsid w:val="00F2240E"/>
    <w:rsid w:val="00F22BF4"/>
    <w:rsid w:val="00F22DF0"/>
    <w:rsid w:val="00F23E3F"/>
    <w:rsid w:val="00F266DA"/>
    <w:rsid w:val="00F26906"/>
    <w:rsid w:val="00F27396"/>
    <w:rsid w:val="00F27422"/>
    <w:rsid w:val="00F274FA"/>
    <w:rsid w:val="00F27A2C"/>
    <w:rsid w:val="00F32D77"/>
    <w:rsid w:val="00F32FD5"/>
    <w:rsid w:val="00F3301E"/>
    <w:rsid w:val="00F33A3B"/>
    <w:rsid w:val="00F36E11"/>
    <w:rsid w:val="00F377D1"/>
    <w:rsid w:val="00F37D36"/>
    <w:rsid w:val="00F37E3C"/>
    <w:rsid w:val="00F40EA7"/>
    <w:rsid w:val="00F42F9D"/>
    <w:rsid w:val="00F43C45"/>
    <w:rsid w:val="00F442D6"/>
    <w:rsid w:val="00F453A3"/>
    <w:rsid w:val="00F454DF"/>
    <w:rsid w:val="00F47253"/>
    <w:rsid w:val="00F478C4"/>
    <w:rsid w:val="00F50078"/>
    <w:rsid w:val="00F5146B"/>
    <w:rsid w:val="00F518E8"/>
    <w:rsid w:val="00F5354D"/>
    <w:rsid w:val="00F53FC5"/>
    <w:rsid w:val="00F54AEB"/>
    <w:rsid w:val="00F54D5E"/>
    <w:rsid w:val="00F55AF7"/>
    <w:rsid w:val="00F56B56"/>
    <w:rsid w:val="00F57B65"/>
    <w:rsid w:val="00F6111D"/>
    <w:rsid w:val="00F64E58"/>
    <w:rsid w:val="00F66245"/>
    <w:rsid w:val="00F670B4"/>
    <w:rsid w:val="00F67FF3"/>
    <w:rsid w:val="00F707E6"/>
    <w:rsid w:val="00F73206"/>
    <w:rsid w:val="00F7521F"/>
    <w:rsid w:val="00F754B0"/>
    <w:rsid w:val="00F75B27"/>
    <w:rsid w:val="00F77FBB"/>
    <w:rsid w:val="00F80B07"/>
    <w:rsid w:val="00F80E35"/>
    <w:rsid w:val="00F817E2"/>
    <w:rsid w:val="00F82CC5"/>
    <w:rsid w:val="00F83522"/>
    <w:rsid w:val="00F8441B"/>
    <w:rsid w:val="00F870CC"/>
    <w:rsid w:val="00F8732F"/>
    <w:rsid w:val="00F90E19"/>
    <w:rsid w:val="00F91268"/>
    <w:rsid w:val="00F92057"/>
    <w:rsid w:val="00F92A8A"/>
    <w:rsid w:val="00F93DBC"/>
    <w:rsid w:val="00F93E2B"/>
    <w:rsid w:val="00F93EBE"/>
    <w:rsid w:val="00F95079"/>
    <w:rsid w:val="00F95B3D"/>
    <w:rsid w:val="00F95E10"/>
    <w:rsid w:val="00F96E00"/>
    <w:rsid w:val="00F97301"/>
    <w:rsid w:val="00FA1D3E"/>
    <w:rsid w:val="00FA2DD4"/>
    <w:rsid w:val="00FA37D8"/>
    <w:rsid w:val="00FA475A"/>
    <w:rsid w:val="00FA479D"/>
    <w:rsid w:val="00FA52F6"/>
    <w:rsid w:val="00FA578E"/>
    <w:rsid w:val="00FA5926"/>
    <w:rsid w:val="00FB2B2D"/>
    <w:rsid w:val="00FB2BF3"/>
    <w:rsid w:val="00FB35FF"/>
    <w:rsid w:val="00FB40E0"/>
    <w:rsid w:val="00FB447E"/>
    <w:rsid w:val="00FB652F"/>
    <w:rsid w:val="00FB6740"/>
    <w:rsid w:val="00FB6AFA"/>
    <w:rsid w:val="00FB7533"/>
    <w:rsid w:val="00FC0032"/>
    <w:rsid w:val="00FC013C"/>
    <w:rsid w:val="00FC056C"/>
    <w:rsid w:val="00FC0B31"/>
    <w:rsid w:val="00FC11D3"/>
    <w:rsid w:val="00FC1A8D"/>
    <w:rsid w:val="00FC1B8A"/>
    <w:rsid w:val="00FC1EF6"/>
    <w:rsid w:val="00FC57BF"/>
    <w:rsid w:val="00FD0EF4"/>
    <w:rsid w:val="00FD12EA"/>
    <w:rsid w:val="00FD25A6"/>
    <w:rsid w:val="00FD3359"/>
    <w:rsid w:val="00FD5583"/>
    <w:rsid w:val="00FD5E8E"/>
    <w:rsid w:val="00FD6AA6"/>
    <w:rsid w:val="00FD711A"/>
    <w:rsid w:val="00FD7857"/>
    <w:rsid w:val="00FD7E44"/>
    <w:rsid w:val="00FD7EE4"/>
    <w:rsid w:val="00FE0049"/>
    <w:rsid w:val="00FE48D6"/>
    <w:rsid w:val="00FE5009"/>
    <w:rsid w:val="00FE5803"/>
    <w:rsid w:val="00FE5EEA"/>
    <w:rsid w:val="00FE6314"/>
    <w:rsid w:val="00FE68F8"/>
    <w:rsid w:val="00FF0678"/>
    <w:rsid w:val="00FF0761"/>
    <w:rsid w:val="00FF08D1"/>
    <w:rsid w:val="00FF2101"/>
    <w:rsid w:val="00FF23D5"/>
    <w:rsid w:val="00FF2E4C"/>
    <w:rsid w:val="00FF4846"/>
    <w:rsid w:val="00FF535B"/>
    <w:rsid w:val="020E3E68"/>
    <w:rsid w:val="02ED5638"/>
    <w:rsid w:val="02FD15FD"/>
    <w:rsid w:val="03B2481D"/>
    <w:rsid w:val="04590E96"/>
    <w:rsid w:val="050C2C8F"/>
    <w:rsid w:val="064C1D8B"/>
    <w:rsid w:val="065E0003"/>
    <w:rsid w:val="06A42D53"/>
    <w:rsid w:val="06B31194"/>
    <w:rsid w:val="06DE0109"/>
    <w:rsid w:val="078B414F"/>
    <w:rsid w:val="08927EEB"/>
    <w:rsid w:val="08FD3E05"/>
    <w:rsid w:val="09CD2C0B"/>
    <w:rsid w:val="09D154F0"/>
    <w:rsid w:val="0A5E779E"/>
    <w:rsid w:val="0AAF5BBF"/>
    <w:rsid w:val="0B6B446F"/>
    <w:rsid w:val="0B931067"/>
    <w:rsid w:val="0C6176B7"/>
    <w:rsid w:val="0C700BF6"/>
    <w:rsid w:val="0C9F3F16"/>
    <w:rsid w:val="0CD7112F"/>
    <w:rsid w:val="0CF31260"/>
    <w:rsid w:val="0D122A73"/>
    <w:rsid w:val="0DC43DB0"/>
    <w:rsid w:val="0DFF5E17"/>
    <w:rsid w:val="0E484205"/>
    <w:rsid w:val="0E8E00CE"/>
    <w:rsid w:val="0EFC61DD"/>
    <w:rsid w:val="0F114C7D"/>
    <w:rsid w:val="0FC37C11"/>
    <w:rsid w:val="10793B1A"/>
    <w:rsid w:val="10BD14CE"/>
    <w:rsid w:val="10D07C38"/>
    <w:rsid w:val="11B57C04"/>
    <w:rsid w:val="11E84E31"/>
    <w:rsid w:val="128E43BE"/>
    <w:rsid w:val="12F04358"/>
    <w:rsid w:val="12F21058"/>
    <w:rsid w:val="12FE0042"/>
    <w:rsid w:val="14014E1E"/>
    <w:rsid w:val="14360987"/>
    <w:rsid w:val="1438159D"/>
    <w:rsid w:val="14526842"/>
    <w:rsid w:val="14664443"/>
    <w:rsid w:val="14B204D7"/>
    <w:rsid w:val="155715B6"/>
    <w:rsid w:val="15B71DFB"/>
    <w:rsid w:val="16C400FF"/>
    <w:rsid w:val="16EB1FBE"/>
    <w:rsid w:val="1777414A"/>
    <w:rsid w:val="17F36AC0"/>
    <w:rsid w:val="18941EDE"/>
    <w:rsid w:val="19423014"/>
    <w:rsid w:val="199E3258"/>
    <w:rsid w:val="1A0D2708"/>
    <w:rsid w:val="1A526106"/>
    <w:rsid w:val="1A957828"/>
    <w:rsid w:val="1AF050B6"/>
    <w:rsid w:val="1AF241BE"/>
    <w:rsid w:val="1CE65A38"/>
    <w:rsid w:val="1D7F05D1"/>
    <w:rsid w:val="1DB057CB"/>
    <w:rsid w:val="1DB874C3"/>
    <w:rsid w:val="1DF56397"/>
    <w:rsid w:val="1E1E3C85"/>
    <w:rsid w:val="1FB619CB"/>
    <w:rsid w:val="1FEE3820"/>
    <w:rsid w:val="20FE53B9"/>
    <w:rsid w:val="21254DA2"/>
    <w:rsid w:val="21BE55AA"/>
    <w:rsid w:val="21F03399"/>
    <w:rsid w:val="22627578"/>
    <w:rsid w:val="23196C56"/>
    <w:rsid w:val="23F95A8B"/>
    <w:rsid w:val="24453F8B"/>
    <w:rsid w:val="248A001F"/>
    <w:rsid w:val="24DD2472"/>
    <w:rsid w:val="257156F4"/>
    <w:rsid w:val="2578303A"/>
    <w:rsid w:val="257E6C5C"/>
    <w:rsid w:val="25B415CB"/>
    <w:rsid w:val="266D3B4E"/>
    <w:rsid w:val="26A25F92"/>
    <w:rsid w:val="26A92ED3"/>
    <w:rsid w:val="26B34702"/>
    <w:rsid w:val="26D56540"/>
    <w:rsid w:val="276A6977"/>
    <w:rsid w:val="27E6683C"/>
    <w:rsid w:val="27E8100E"/>
    <w:rsid w:val="286E215C"/>
    <w:rsid w:val="289D6804"/>
    <w:rsid w:val="289F5AF0"/>
    <w:rsid w:val="28D314CC"/>
    <w:rsid w:val="291B5ACF"/>
    <w:rsid w:val="291C5E9F"/>
    <w:rsid w:val="29881976"/>
    <w:rsid w:val="2A521370"/>
    <w:rsid w:val="2A867F5A"/>
    <w:rsid w:val="2AC6086D"/>
    <w:rsid w:val="2AE3038A"/>
    <w:rsid w:val="2B1E3F1E"/>
    <w:rsid w:val="2BE03BF1"/>
    <w:rsid w:val="2C2E010C"/>
    <w:rsid w:val="2CA369AE"/>
    <w:rsid w:val="2D52732D"/>
    <w:rsid w:val="2D7A1C35"/>
    <w:rsid w:val="2DCE762F"/>
    <w:rsid w:val="2E2E0855"/>
    <w:rsid w:val="2E7B16B6"/>
    <w:rsid w:val="2E983484"/>
    <w:rsid w:val="2EEE5337"/>
    <w:rsid w:val="2F134588"/>
    <w:rsid w:val="30102C4F"/>
    <w:rsid w:val="30A50423"/>
    <w:rsid w:val="316B1013"/>
    <w:rsid w:val="31CE5EB3"/>
    <w:rsid w:val="3234141E"/>
    <w:rsid w:val="32510F7D"/>
    <w:rsid w:val="32A42DC2"/>
    <w:rsid w:val="32F54D64"/>
    <w:rsid w:val="331D2FAE"/>
    <w:rsid w:val="336E1ADD"/>
    <w:rsid w:val="33DA606C"/>
    <w:rsid w:val="346A2659"/>
    <w:rsid w:val="35EC690E"/>
    <w:rsid w:val="367D7487"/>
    <w:rsid w:val="377B28D5"/>
    <w:rsid w:val="37AD6BE2"/>
    <w:rsid w:val="394C61DB"/>
    <w:rsid w:val="39AD53BF"/>
    <w:rsid w:val="39B60405"/>
    <w:rsid w:val="3A121F44"/>
    <w:rsid w:val="3A437CBA"/>
    <w:rsid w:val="3A650C49"/>
    <w:rsid w:val="3AD3227C"/>
    <w:rsid w:val="3B0A3A78"/>
    <w:rsid w:val="3B0C1F6B"/>
    <w:rsid w:val="3B3C4F13"/>
    <w:rsid w:val="3B5E2802"/>
    <w:rsid w:val="3C1F14F3"/>
    <w:rsid w:val="3D60472A"/>
    <w:rsid w:val="3D90740D"/>
    <w:rsid w:val="3DD60555"/>
    <w:rsid w:val="3EA15FE0"/>
    <w:rsid w:val="3F0D3B06"/>
    <w:rsid w:val="3F56713B"/>
    <w:rsid w:val="3FDB31AE"/>
    <w:rsid w:val="41063BE2"/>
    <w:rsid w:val="41322E17"/>
    <w:rsid w:val="414D4691"/>
    <w:rsid w:val="41B73E78"/>
    <w:rsid w:val="424C7DCD"/>
    <w:rsid w:val="429D3064"/>
    <w:rsid w:val="42DE3103"/>
    <w:rsid w:val="431D38D3"/>
    <w:rsid w:val="43544AFD"/>
    <w:rsid w:val="43837EBF"/>
    <w:rsid w:val="43A6251C"/>
    <w:rsid w:val="4504572C"/>
    <w:rsid w:val="45282A9D"/>
    <w:rsid w:val="457241EA"/>
    <w:rsid w:val="46002020"/>
    <w:rsid w:val="46D7584B"/>
    <w:rsid w:val="46D83809"/>
    <w:rsid w:val="470D0609"/>
    <w:rsid w:val="47551D9A"/>
    <w:rsid w:val="475734B5"/>
    <w:rsid w:val="475F3D0B"/>
    <w:rsid w:val="47844F26"/>
    <w:rsid w:val="48002A9F"/>
    <w:rsid w:val="485447A2"/>
    <w:rsid w:val="48E20943"/>
    <w:rsid w:val="492978F2"/>
    <w:rsid w:val="494F6169"/>
    <w:rsid w:val="49593862"/>
    <w:rsid w:val="498B4C6F"/>
    <w:rsid w:val="49961BFF"/>
    <w:rsid w:val="49A34BD0"/>
    <w:rsid w:val="4B5B54C4"/>
    <w:rsid w:val="4B5E57B7"/>
    <w:rsid w:val="4CBF755D"/>
    <w:rsid w:val="4D15461E"/>
    <w:rsid w:val="4D9A35CE"/>
    <w:rsid w:val="4DC91693"/>
    <w:rsid w:val="4DD51DC9"/>
    <w:rsid w:val="4E4E5D60"/>
    <w:rsid w:val="4E6A6F26"/>
    <w:rsid w:val="4EFD2F18"/>
    <w:rsid w:val="4F435E6B"/>
    <w:rsid w:val="4F7C428B"/>
    <w:rsid w:val="4F9812EC"/>
    <w:rsid w:val="4FB35AB5"/>
    <w:rsid w:val="50B9785A"/>
    <w:rsid w:val="50D64037"/>
    <w:rsid w:val="51D27550"/>
    <w:rsid w:val="520828BE"/>
    <w:rsid w:val="53656973"/>
    <w:rsid w:val="536F1131"/>
    <w:rsid w:val="53823652"/>
    <w:rsid w:val="53880486"/>
    <w:rsid w:val="542F5B84"/>
    <w:rsid w:val="54A00A16"/>
    <w:rsid w:val="54C627EA"/>
    <w:rsid w:val="54DF1A5E"/>
    <w:rsid w:val="55017509"/>
    <w:rsid w:val="55082E21"/>
    <w:rsid w:val="550F69FB"/>
    <w:rsid w:val="553163CA"/>
    <w:rsid w:val="55AA761A"/>
    <w:rsid w:val="55D8298C"/>
    <w:rsid w:val="56161A3A"/>
    <w:rsid w:val="562B095A"/>
    <w:rsid w:val="564F4E40"/>
    <w:rsid w:val="56A05FCC"/>
    <w:rsid w:val="56BB4861"/>
    <w:rsid w:val="57DB7AB7"/>
    <w:rsid w:val="586E0AFC"/>
    <w:rsid w:val="59440D7D"/>
    <w:rsid w:val="595763E7"/>
    <w:rsid w:val="598C3A4D"/>
    <w:rsid w:val="59A52519"/>
    <w:rsid w:val="59E6376D"/>
    <w:rsid w:val="5A3B48EC"/>
    <w:rsid w:val="5A944092"/>
    <w:rsid w:val="5AF44AEC"/>
    <w:rsid w:val="5B0F7469"/>
    <w:rsid w:val="5B121D0A"/>
    <w:rsid w:val="5B6A0427"/>
    <w:rsid w:val="5B92765B"/>
    <w:rsid w:val="5C0606B9"/>
    <w:rsid w:val="5C1D2C5A"/>
    <w:rsid w:val="5C712B9B"/>
    <w:rsid w:val="5CBA0AB8"/>
    <w:rsid w:val="5D21112E"/>
    <w:rsid w:val="5D477730"/>
    <w:rsid w:val="5D8C7D45"/>
    <w:rsid w:val="5DC82C77"/>
    <w:rsid w:val="5E806411"/>
    <w:rsid w:val="5F36494D"/>
    <w:rsid w:val="5F5900BF"/>
    <w:rsid w:val="60001B11"/>
    <w:rsid w:val="60360BBC"/>
    <w:rsid w:val="603E1254"/>
    <w:rsid w:val="6050708F"/>
    <w:rsid w:val="60ED0771"/>
    <w:rsid w:val="61423246"/>
    <w:rsid w:val="61657873"/>
    <w:rsid w:val="6281516D"/>
    <w:rsid w:val="62DF2C9C"/>
    <w:rsid w:val="630653CC"/>
    <w:rsid w:val="63621810"/>
    <w:rsid w:val="63F132B0"/>
    <w:rsid w:val="644C68AD"/>
    <w:rsid w:val="64D37126"/>
    <w:rsid w:val="65065FBC"/>
    <w:rsid w:val="65410D2C"/>
    <w:rsid w:val="66395279"/>
    <w:rsid w:val="66461633"/>
    <w:rsid w:val="668B23BC"/>
    <w:rsid w:val="66CD763A"/>
    <w:rsid w:val="66EB7C1B"/>
    <w:rsid w:val="6767136D"/>
    <w:rsid w:val="67AA23DC"/>
    <w:rsid w:val="67B447D0"/>
    <w:rsid w:val="67C60B7F"/>
    <w:rsid w:val="67D24C68"/>
    <w:rsid w:val="681A0C7D"/>
    <w:rsid w:val="684669F9"/>
    <w:rsid w:val="684763D7"/>
    <w:rsid w:val="684A4C0B"/>
    <w:rsid w:val="68844672"/>
    <w:rsid w:val="69F06F12"/>
    <w:rsid w:val="6A3E71F9"/>
    <w:rsid w:val="6AC35879"/>
    <w:rsid w:val="6B365125"/>
    <w:rsid w:val="6B4758CA"/>
    <w:rsid w:val="6C167F4F"/>
    <w:rsid w:val="6C816B34"/>
    <w:rsid w:val="6CB02DA8"/>
    <w:rsid w:val="6CC0743A"/>
    <w:rsid w:val="6D213DB7"/>
    <w:rsid w:val="6EA86FFB"/>
    <w:rsid w:val="6EE17D38"/>
    <w:rsid w:val="6EFF5949"/>
    <w:rsid w:val="6F0D3FA7"/>
    <w:rsid w:val="6F206907"/>
    <w:rsid w:val="6F712C77"/>
    <w:rsid w:val="70187E60"/>
    <w:rsid w:val="702D6EF9"/>
    <w:rsid w:val="70785BA5"/>
    <w:rsid w:val="70EF3AF6"/>
    <w:rsid w:val="711842FD"/>
    <w:rsid w:val="71255FA9"/>
    <w:rsid w:val="716E57FE"/>
    <w:rsid w:val="717A232A"/>
    <w:rsid w:val="72543A6A"/>
    <w:rsid w:val="72D64F7A"/>
    <w:rsid w:val="731D2737"/>
    <w:rsid w:val="73386166"/>
    <w:rsid w:val="734F542C"/>
    <w:rsid w:val="73B2519E"/>
    <w:rsid w:val="73D71C5D"/>
    <w:rsid w:val="741D2AF8"/>
    <w:rsid w:val="74C46E54"/>
    <w:rsid w:val="74D81FA3"/>
    <w:rsid w:val="74EC09C3"/>
    <w:rsid w:val="75266C81"/>
    <w:rsid w:val="752E0983"/>
    <w:rsid w:val="756771E7"/>
    <w:rsid w:val="75B5300A"/>
    <w:rsid w:val="75D6714C"/>
    <w:rsid w:val="75E63F1A"/>
    <w:rsid w:val="77326599"/>
    <w:rsid w:val="7734550F"/>
    <w:rsid w:val="7786552F"/>
    <w:rsid w:val="77AF3FA8"/>
    <w:rsid w:val="77D54012"/>
    <w:rsid w:val="77FC2864"/>
    <w:rsid w:val="781B44D6"/>
    <w:rsid w:val="786E5DD1"/>
    <w:rsid w:val="788C43D5"/>
    <w:rsid w:val="78C71637"/>
    <w:rsid w:val="78E04EA5"/>
    <w:rsid w:val="78E55A76"/>
    <w:rsid w:val="79994A30"/>
    <w:rsid w:val="79B14192"/>
    <w:rsid w:val="79BF18D1"/>
    <w:rsid w:val="79C34377"/>
    <w:rsid w:val="7A38391C"/>
    <w:rsid w:val="7B7567C9"/>
    <w:rsid w:val="7C0E528F"/>
    <w:rsid w:val="7C5D4181"/>
    <w:rsid w:val="7D605C40"/>
    <w:rsid w:val="7E8D69FD"/>
    <w:rsid w:val="7FDC0F95"/>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qFormat="1"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qFormat="1"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link w:val="37"/>
    <w:qFormat/>
    <w:uiPriority w:val="0"/>
    <w:pPr>
      <w:keepNext/>
      <w:keepLines/>
      <w:pageBreakBefore/>
      <w:numPr>
        <w:ilvl w:val="0"/>
        <w:numId w:val="1"/>
      </w:numPr>
      <w:spacing w:before="156" w:line="360" w:lineRule="auto"/>
      <w:outlineLvl w:val="0"/>
    </w:pPr>
    <w:rPr>
      <w:rFonts w:ascii="Cambria" w:hAnsi="Cambria"/>
      <w:b/>
      <w:bCs/>
      <w:kern w:val="0"/>
      <w:sz w:val="32"/>
      <w:szCs w:val="28"/>
      <w:lang w:eastAsia="en-US"/>
    </w:rPr>
  </w:style>
  <w:style w:type="paragraph" w:styleId="3">
    <w:name w:val="heading 2"/>
    <w:basedOn w:val="1"/>
    <w:next w:val="1"/>
    <w:link w:val="38"/>
    <w:qFormat/>
    <w:uiPriority w:val="0"/>
    <w:pPr>
      <w:keepNext/>
      <w:keepLines/>
      <w:numPr>
        <w:ilvl w:val="1"/>
        <w:numId w:val="1"/>
      </w:numPr>
      <w:spacing w:beforeLines="50" w:afterLines="50"/>
      <w:jc w:val="left"/>
      <w:outlineLvl w:val="1"/>
    </w:pPr>
    <w:rPr>
      <w:rFonts w:ascii="Times New Roman" w:hAnsi="Times New Roman"/>
      <w:b/>
      <w:bCs/>
      <w:kern w:val="0"/>
      <w:sz w:val="28"/>
      <w:szCs w:val="28"/>
    </w:rPr>
  </w:style>
  <w:style w:type="paragraph" w:styleId="4">
    <w:name w:val="heading 3"/>
    <w:basedOn w:val="1"/>
    <w:next w:val="1"/>
    <w:link w:val="39"/>
    <w:semiHidden/>
    <w:unhideWhenUsed/>
    <w:qFormat/>
    <w:uiPriority w:val="0"/>
    <w:pPr>
      <w:keepNext/>
      <w:keepLines/>
      <w:numPr>
        <w:ilvl w:val="2"/>
        <w:numId w:val="1"/>
      </w:numPr>
      <w:spacing w:before="62" w:afterLines="50" w:line="360" w:lineRule="auto"/>
      <w:outlineLvl w:val="2"/>
    </w:pPr>
    <w:rPr>
      <w:rFonts w:ascii="宋体" w:hAnsi="宋体"/>
      <w:b/>
      <w:bCs/>
      <w:kern w:val="0"/>
      <w:sz w:val="24"/>
      <w:lang w:eastAsia="en-US"/>
    </w:rPr>
  </w:style>
  <w:style w:type="paragraph" w:styleId="5">
    <w:name w:val="heading 4"/>
    <w:basedOn w:val="1"/>
    <w:next w:val="1"/>
    <w:link w:val="40"/>
    <w:semiHidden/>
    <w:unhideWhenUsed/>
    <w:qFormat/>
    <w:uiPriority w:val="0"/>
    <w:pPr>
      <w:keepNext/>
      <w:keepLines/>
      <w:numPr>
        <w:ilvl w:val="3"/>
        <w:numId w:val="1"/>
      </w:numPr>
      <w:spacing w:before="156" w:afterLines="50"/>
      <w:ind w:firstLine="0"/>
      <w:jc w:val="left"/>
      <w:outlineLvl w:val="3"/>
    </w:pPr>
    <w:rPr>
      <w:rFonts w:ascii="宋体" w:hAnsi="宋体"/>
      <w:b/>
      <w:bCs/>
      <w:iCs/>
      <w:kern w:val="0"/>
      <w:sz w:val="24"/>
      <w:lang w:eastAsia="en-US"/>
    </w:rPr>
  </w:style>
  <w:style w:type="character" w:default="1" w:styleId="30">
    <w:name w:val="Default Paragraph Font"/>
    <w:semiHidden/>
    <w:unhideWhenUsed/>
    <w:qFormat/>
    <w:uiPriority w:val="1"/>
  </w:style>
  <w:style w:type="table" w:default="1" w:styleId="28">
    <w:name w:val="Normal Table"/>
    <w:semiHidden/>
    <w:unhideWhenUsed/>
    <w:qFormat/>
    <w:uiPriority w:val="99"/>
    <w:tblPr>
      <w:tblCellMar>
        <w:top w:w="0" w:type="dxa"/>
        <w:left w:w="108" w:type="dxa"/>
        <w:bottom w:w="0" w:type="dxa"/>
        <w:right w:w="108" w:type="dxa"/>
      </w:tblCellMar>
    </w:tblPr>
  </w:style>
  <w:style w:type="paragraph" w:styleId="6">
    <w:name w:val="toc 7"/>
    <w:basedOn w:val="1"/>
    <w:next w:val="1"/>
    <w:qFormat/>
    <w:uiPriority w:val="0"/>
    <w:pPr>
      <w:ind w:left="2520" w:leftChars="1200"/>
    </w:pPr>
  </w:style>
  <w:style w:type="paragraph" w:styleId="7">
    <w:name w:val="index 5"/>
    <w:basedOn w:val="1"/>
    <w:next w:val="1"/>
    <w:qFormat/>
    <w:uiPriority w:val="0"/>
    <w:pPr>
      <w:spacing w:before="100" w:beforeAutospacing="1" w:after="100" w:afterAutospacing="1"/>
      <w:ind w:left="1680"/>
    </w:pPr>
  </w:style>
  <w:style w:type="paragraph" w:styleId="8">
    <w:name w:val="annotation text"/>
    <w:basedOn w:val="1"/>
    <w:link w:val="61"/>
    <w:qFormat/>
    <w:uiPriority w:val="0"/>
    <w:pPr>
      <w:jc w:val="left"/>
    </w:pPr>
    <w:rPr>
      <w:szCs w:val="24"/>
    </w:rPr>
  </w:style>
  <w:style w:type="paragraph" w:styleId="9">
    <w:name w:val="Body Text Indent"/>
    <w:basedOn w:val="1"/>
    <w:qFormat/>
    <w:uiPriority w:val="0"/>
    <w:pPr>
      <w:spacing w:after="120"/>
      <w:ind w:left="420" w:leftChars="200"/>
    </w:pPr>
  </w:style>
  <w:style w:type="paragraph" w:styleId="10">
    <w:name w:val="toc 5"/>
    <w:basedOn w:val="1"/>
    <w:next w:val="1"/>
    <w:qFormat/>
    <w:uiPriority w:val="0"/>
    <w:pPr>
      <w:ind w:left="1680" w:leftChars="800"/>
    </w:pPr>
  </w:style>
  <w:style w:type="paragraph" w:styleId="11">
    <w:name w:val="toc 3"/>
    <w:basedOn w:val="1"/>
    <w:next w:val="1"/>
    <w:qFormat/>
    <w:uiPriority w:val="0"/>
    <w:pPr>
      <w:tabs>
        <w:tab w:val="right" w:leader="dot" w:pos="8296"/>
      </w:tabs>
      <w:spacing w:line="500" w:lineRule="exact"/>
      <w:ind w:left="840" w:leftChars="400"/>
    </w:pPr>
  </w:style>
  <w:style w:type="paragraph" w:styleId="12">
    <w:name w:val="Plain Text"/>
    <w:basedOn w:val="1"/>
    <w:qFormat/>
    <w:uiPriority w:val="0"/>
    <w:rPr>
      <w:rFonts w:ascii="宋体" w:hAnsi="Courier New"/>
      <w:szCs w:val="20"/>
    </w:rPr>
  </w:style>
  <w:style w:type="paragraph" w:styleId="13">
    <w:name w:val="toc 8"/>
    <w:basedOn w:val="1"/>
    <w:next w:val="1"/>
    <w:qFormat/>
    <w:uiPriority w:val="0"/>
    <w:pPr>
      <w:ind w:left="2940" w:leftChars="1400"/>
    </w:pPr>
  </w:style>
  <w:style w:type="paragraph" w:styleId="14">
    <w:name w:val="Date"/>
    <w:basedOn w:val="1"/>
    <w:next w:val="1"/>
    <w:qFormat/>
    <w:uiPriority w:val="0"/>
    <w:pPr>
      <w:ind w:left="100" w:leftChars="2500"/>
    </w:pPr>
    <w:rPr>
      <w:rFonts w:ascii="Times New Roman" w:hAnsi="Times New Roman"/>
      <w:szCs w:val="24"/>
    </w:rPr>
  </w:style>
  <w:style w:type="paragraph" w:styleId="15">
    <w:name w:val="endnote text"/>
    <w:basedOn w:val="1"/>
    <w:link w:val="41"/>
    <w:qFormat/>
    <w:uiPriority w:val="0"/>
    <w:pPr>
      <w:jc w:val="left"/>
    </w:pPr>
    <w:rPr>
      <w:szCs w:val="24"/>
    </w:rPr>
  </w:style>
  <w:style w:type="paragraph" w:styleId="16">
    <w:name w:val="Balloon Text"/>
    <w:basedOn w:val="1"/>
    <w:link w:val="42"/>
    <w:qFormat/>
    <w:uiPriority w:val="0"/>
    <w:rPr>
      <w:sz w:val="18"/>
      <w:szCs w:val="18"/>
    </w:rPr>
  </w:style>
  <w:style w:type="paragraph" w:styleId="17">
    <w:name w:val="footer"/>
    <w:basedOn w:val="1"/>
    <w:link w:val="43"/>
    <w:qFormat/>
    <w:uiPriority w:val="99"/>
    <w:pPr>
      <w:tabs>
        <w:tab w:val="center" w:pos="4153"/>
        <w:tab w:val="right" w:pos="8306"/>
      </w:tabs>
      <w:snapToGrid w:val="0"/>
      <w:jc w:val="left"/>
    </w:pPr>
    <w:rPr>
      <w:sz w:val="18"/>
      <w:szCs w:val="18"/>
    </w:rPr>
  </w:style>
  <w:style w:type="paragraph" w:styleId="18">
    <w:name w:val="header"/>
    <w:basedOn w:val="1"/>
    <w:link w:val="44"/>
    <w:qFormat/>
    <w:uiPriority w:val="0"/>
    <w:pPr>
      <w:pBdr>
        <w:bottom w:val="single" w:color="auto" w:sz="6" w:space="1"/>
      </w:pBdr>
      <w:tabs>
        <w:tab w:val="center" w:pos="4153"/>
        <w:tab w:val="right" w:pos="8306"/>
      </w:tabs>
      <w:snapToGrid w:val="0"/>
      <w:jc w:val="center"/>
    </w:pPr>
    <w:rPr>
      <w:sz w:val="18"/>
      <w:szCs w:val="18"/>
    </w:rPr>
  </w:style>
  <w:style w:type="paragraph" w:styleId="19">
    <w:name w:val="toc 1"/>
    <w:basedOn w:val="1"/>
    <w:next w:val="1"/>
    <w:qFormat/>
    <w:uiPriority w:val="0"/>
    <w:pPr>
      <w:tabs>
        <w:tab w:val="right" w:leader="dot" w:pos="8296"/>
      </w:tabs>
      <w:spacing w:line="440" w:lineRule="exact"/>
    </w:pPr>
    <w:rPr>
      <w:sz w:val="24"/>
      <w:szCs w:val="24"/>
    </w:rPr>
  </w:style>
  <w:style w:type="paragraph" w:styleId="20">
    <w:name w:val="toc 4"/>
    <w:basedOn w:val="1"/>
    <w:next w:val="1"/>
    <w:qFormat/>
    <w:uiPriority w:val="0"/>
    <w:pPr>
      <w:ind w:left="1260" w:leftChars="600"/>
    </w:pPr>
  </w:style>
  <w:style w:type="paragraph" w:styleId="21">
    <w:name w:val="toc 6"/>
    <w:basedOn w:val="1"/>
    <w:next w:val="1"/>
    <w:qFormat/>
    <w:uiPriority w:val="0"/>
    <w:pPr>
      <w:ind w:left="2100" w:leftChars="1000"/>
    </w:pPr>
  </w:style>
  <w:style w:type="paragraph" w:styleId="22">
    <w:name w:val="toc 2"/>
    <w:basedOn w:val="1"/>
    <w:next w:val="1"/>
    <w:qFormat/>
    <w:uiPriority w:val="0"/>
    <w:pPr>
      <w:tabs>
        <w:tab w:val="right" w:leader="dot" w:pos="8296"/>
      </w:tabs>
      <w:spacing w:line="500" w:lineRule="exact"/>
      <w:ind w:left="420" w:leftChars="200"/>
    </w:pPr>
  </w:style>
  <w:style w:type="paragraph" w:styleId="23">
    <w:name w:val="toc 9"/>
    <w:basedOn w:val="1"/>
    <w:next w:val="1"/>
    <w:qFormat/>
    <w:uiPriority w:val="0"/>
    <w:pPr>
      <w:ind w:left="3360" w:leftChars="1600"/>
    </w:pPr>
  </w:style>
  <w:style w:type="paragraph" w:styleId="24">
    <w:name w:val="Normal (Web)"/>
    <w:basedOn w:val="1"/>
    <w:qFormat/>
    <w:uiPriority w:val="0"/>
    <w:pPr>
      <w:widowControl/>
      <w:spacing w:after="150"/>
      <w:jc w:val="left"/>
    </w:pPr>
    <w:rPr>
      <w:rFonts w:ascii="宋体" w:hAnsi="宋体" w:cs="宋体"/>
      <w:kern w:val="0"/>
      <w:sz w:val="24"/>
      <w:szCs w:val="24"/>
    </w:rPr>
  </w:style>
  <w:style w:type="paragraph" w:styleId="25">
    <w:name w:val="Title"/>
    <w:basedOn w:val="1"/>
    <w:next w:val="1"/>
    <w:link w:val="45"/>
    <w:qFormat/>
    <w:uiPriority w:val="0"/>
    <w:pPr>
      <w:widowControl/>
      <w:spacing w:before="240" w:after="60" w:line="440" w:lineRule="exact"/>
      <w:jc w:val="center"/>
      <w:outlineLvl w:val="0"/>
    </w:pPr>
    <w:rPr>
      <w:rFonts w:ascii="Calibri Light" w:hAnsi="Calibri Light"/>
      <w:b/>
      <w:bCs/>
      <w:sz w:val="32"/>
      <w:szCs w:val="32"/>
    </w:rPr>
  </w:style>
  <w:style w:type="paragraph" w:styleId="26">
    <w:name w:val="annotation subject"/>
    <w:basedOn w:val="8"/>
    <w:next w:val="8"/>
    <w:link w:val="62"/>
    <w:qFormat/>
    <w:uiPriority w:val="0"/>
    <w:rPr>
      <w:b/>
      <w:bCs/>
      <w:szCs w:val="22"/>
    </w:rPr>
  </w:style>
  <w:style w:type="paragraph" w:styleId="27">
    <w:name w:val="Body Text First Indent 2"/>
    <w:basedOn w:val="9"/>
    <w:qFormat/>
    <w:uiPriority w:val="0"/>
    <w:pPr>
      <w:ind w:firstLine="420"/>
    </w:pPr>
  </w:style>
  <w:style w:type="table" w:styleId="29">
    <w:name w:val="Table Grid"/>
    <w:basedOn w:val="28"/>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31">
    <w:name w:val="Strong"/>
    <w:qFormat/>
    <w:uiPriority w:val="0"/>
    <w:rPr>
      <w:rFonts w:ascii="Times New Roman" w:hAnsi="Times New Roman" w:eastAsia="宋体" w:cs="Times New Roman"/>
      <w:b/>
      <w:bCs/>
    </w:rPr>
  </w:style>
  <w:style w:type="character" w:styleId="32">
    <w:name w:val="page number"/>
    <w:basedOn w:val="30"/>
    <w:qFormat/>
    <w:uiPriority w:val="0"/>
    <w:rPr>
      <w:rFonts w:ascii="Times New Roman" w:hAnsi="Times New Roman" w:eastAsia="宋体" w:cs="Times New Roman"/>
    </w:rPr>
  </w:style>
  <w:style w:type="character" w:styleId="33">
    <w:name w:val="Hyperlink"/>
    <w:basedOn w:val="30"/>
    <w:qFormat/>
    <w:uiPriority w:val="0"/>
    <w:rPr>
      <w:rFonts w:cs="Times New Roman"/>
      <w:color w:val="0563C1"/>
      <w:u w:val="single"/>
    </w:rPr>
  </w:style>
  <w:style w:type="character" w:styleId="34">
    <w:name w:val="annotation reference"/>
    <w:basedOn w:val="30"/>
    <w:qFormat/>
    <w:uiPriority w:val="0"/>
    <w:rPr>
      <w:rFonts w:cs="Times New Roman"/>
      <w:sz w:val="21"/>
      <w:szCs w:val="21"/>
    </w:rPr>
  </w:style>
  <w:style w:type="paragraph" w:customStyle="1" w:styleId="35">
    <w:name w:val="标4"/>
    <w:basedOn w:val="36"/>
    <w:next w:val="1"/>
    <w:qFormat/>
    <w:uiPriority w:val="0"/>
    <w:pPr>
      <w:spacing w:before="240" w:after="360"/>
      <w:outlineLvl w:val="3"/>
    </w:pPr>
    <w:rPr>
      <w:rFonts w:cs="Arial"/>
    </w:rPr>
  </w:style>
  <w:style w:type="paragraph" w:customStyle="1" w:styleId="36">
    <w:name w:val="标3"/>
    <w:basedOn w:val="1"/>
    <w:qFormat/>
    <w:uiPriority w:val="0"/>
    <w:pPr>
      <w:adjustRightInd w:val="0"/>
      <w:spacing w:line="240" w:lineRule="exact"/>
      <w:jc w:val="left"/>
      <w:outlineLvl w:val="2"/>
    </w:pPr>
    <w:rPr>
      <w:rFonts w:ascii="Arial" w:hAnsi="Arial"/>
      <w:b/>
      <w:bCs/>
      <w:kern w:val="24"/>
      <w:szCs w:val="24"/>
    </w:rPr>
  </w:style>
  <w:style w:type="character" w:customStyle="1" w:styleId="37">
    <w:name w:val="标题 1 Char"/>
    <w:basedOn w:val="30"/>
    <w:link w:val="2"/>
    <w:qFormat/>
    <w:locked/>
    <w:uiPriority w:val="99"/>
    <w:rPr>
      <w:rFonts w:ascii="Cambria" w:hAnsi="Cambria" w:eastAsia="宋体" w:cs="Times New Roman"/>
      <w:b/>
      <w:bCs/>
      <w:kern w:val="0"/>
      <w:sz w:val="28"/>
      <w:szCs w:val="28"/>
      <w:lang w:eastAsia="en-US"/>
    </w:rPr>
  </w:style>
  <w:style w:type="character" w:customStyle="1" w:styleId="38">
    <w:name w:val="标题 2 Char"/>
    <w:basedOn w:val="30"/>
    <w:link w:val="3"/>
    <w:qFormat/>
    <w:locked/>
    <w:uiPriority w:val="99"/>
    <w:rPr>
      <w:rFonts w:ascii="Times New Roman" w:hAnsi="Times New Roman" w:eastAsia="宋体" w:cs="Times New Roman"/>
      <w:b/>
      <w:bCs/>
      <w:kern w:val="0"/>
      <w:sz w:val="28"/>
      <w:szCs w:val="28"/>
    </w:rPr>
  </w:style>
  <w:style w:type="character" w:customStyle="1" w:styleId="39">
    <w:name w:val="标题 3 Char"/>
    <w:basedOn w:val="30"/>
    <w:link w:val="4"/>
    <w:qFormat/>
    <w:locked/>
    <w:uiPriority w:val="99"/>
    <w:rPr>
      <w:rFonts w:ascii="宋体" w:hAnsi="宋体" w:cs="Times New Roman"/>
      <w:b/>
      <w:bCs/>
      <w:sz w:val="24"/>
      <w:szCs w:val="22"/>
      <w:lang w:eastAsia="en-US"/>
    </w:rPr>
  </w:style>
  <w:style w:type="character" w:customStyle="1" w:styleId="40">
    <w:name w:val="标题 4 Char"/>
    <w:basedOn w:val="30"/>
    <w:link w:val="5"/>
    <w:semiHidden/>
    <w:qFormat/>
    <w:locked/>
    <w:uiPriority w:val="99"/>
    <w:rPr>
      <w:rFonts w:ascii="宋体" w:hAnsi="宋体" w:eastAsia="宋体" w:cs="Times New Roman"/>
      <w:b/>
      <w:bCs/>
      <w:iCs/>
      <w:kern w:val="0"/>
      <w:sz w:val="24"/>
      <w:lang w:eastAsia="en-US"/>
    </w:rPr>
  </w:style>
  <w:style w:type="character" w:customStyle="1" w:styleId="41">
    <w:name w:val="尾注文本 Char"/>
    <w:basedOn w:val="30"/>
    <w:link w:val="15"/>
    <w:qFormat/>
    <w:locked/>
    <w:uiPriority w:val="99"/>
    <w:rPr>
      <w:rFonts w:cs="Times New Roman"/>
      <w:sz w:val="24"/>
      <w:szCs w:val="24"/>
    </w:rPr>
  </w:style>
  <w:style w:type="character" w:customStyle="1" w:styleId="42">
    <w:name w:val="批注框文本 Char"/>
    <w:basedOn w:val="30"/>
    <w:link w:val="16"/>
    <w:semiHidden/>
    <w:qFormat/>
    <w:locked/>
    <w:uiPriority w:val="99"/>
    <w:rPr>
      <w:rFonts w:cs="Times New Roman"/>
      <w:sz w:val="18"/>
      <w:szCs w:val="18"/>
    </w:rPr>
  </w:style>
  <w:style w:type="character" w:customStyle="1" w:styleId="43">
    <w:name w:val="页脚 Char"/>
    <w:basedOn w:val="30"/>
    <w:link w:val="17"/>
    <w:qFormat/>
    <w:locked/>
    <w:uiPriority w:val="99"/>
    <w:rPr>
      <w:rFonts w:cs="Times New Roman"/>
      <w:sz w:val="18"/>
      <w:szCs w:val="18"/>
    </w:rPr>
  </w:style>
  <w:style w:type="character" w:customStyle="1" w:styleId="44">
    <w:name w:val="页眉 Char"/>
    <w:basedOn w:val="30"/>
    <w:link w:val="18"/>
    <w:qFormat/>
    <w:locked/>
    <w:uiPriority w:val="0"/>
    <w:rPr>
      <w:rFonts w:cs="Times New Roman"/>
      <w:sz w:val="18"/>
      <w:szCs w:val="18"/>
    </w:rPr>
  </w:style>
  <w:style w:type="character" w:customStyle="1" w:styleId="45">
    <w:name w:val="标题 Char"/>
    <w:basedOn w:val="30"/>
    <w:link w:val="25"/>
    <w:qFormat/>
    <w:locked/>
    <w:uiPriority w:val="99"/>
    <w:rPr>
      <w:rFonts w:ascii="Calibri Light" w:hAnsi="Calibri Light" w:eastAsia="宋体" w:cs="Times New Roman"/>
      <w:b/>
      <w:bCs/>
      <w:sz w:val="32"/>
      <w:szCs w:val="32"/>
    </w:rPr>
  </w:style>
  <w:style w:type="paragraph" w:customStyle="1" w:styleId="46">
    <w:name w:val="Default"/>
    <w:qFormat/>
    <w:uiPriority w:val="99"/>
    <w:pPr>
      <w:widowControl w:val="0"/>
      <w:autoSpaceDE w:val="0"/>
      <w:autoSpaceDN w:val="0"/>
      <w:adjustRightInd w:val="0"/>
    </w:pPr>
    <w:rPr>
      <w:rFonts w:ascii="宋体" w:hAnsi="Calibri" w:eastAsia="宋体" w:cs="宋体"/>
      <w:color w:val="000000"/>
      <w:sz w:val="24"/>
      <w:szCs w:val="24"/>
      <w:lang w:val="en-US" w:eastAsia="zh-CN" w:bidi="ar-SA"/>
    </w:rPr>
  </w:style>
  <w:style w:type="paragraph" w:styleId="47">
    <w:name w:val="List Paragraph"/>
    <w:basedOn w:val="1"/>
    <w:qFormat/>
    <w:uiPriority w:val="34"/>
    <w:pPr>
      <w:ind w:firstLine="420" w:firstLineChars="200"/>
    </w:pPr>
  </w:style>
  <w:style w:type="paragraph" w:customStyle="1" w:styleId="48">
    <w:name w:val="表名"/>
    <w:basedOn w:val="1"/>
    <w:qFormat/>
    <w:uiPriority w:val="99"/>
    <w:pPr>
      <w:spacing w:beforeLines="50" w:afterLines="50" w:line="360" w:lineRule="auto"/>
      <w:jc w:val="center"/>
    </w:pPr>
    <w:rPr>
      <w:rFonts w:ascii="Times New Roman" w:hAnsi="Times New Roman"/>
      <w:b/>
    </w:rPr>
  </w:style>
  <w:style w:type="table" w:customStyle="1" w:styleId="49">
    <w:name w:val="网格型11"/>
    <w:qFormat/>
    <w:uiPriority w:val="99"/>
    <w:rPr>
      <w:rFonts w:ascii="等线" w:hAnsi="等线" w:eastAsia="等线"/>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50">
    <w:name w:val="表格"/>
    <w:basedOn w:val="1"/>
    <w:link w:val="51"/>
    <w:qFormat/>
    <w:uiPriority w:val="99"/>
    <w:pPr>
      <w:widowControl/>
      <w:jc w:val="center"/>
    </w:pPr>
    <w:rPr>
      <w:rFonts w:ascii="Times New Roman" w:hAnsi="Times New Roman"/>
      <w:sz w:val="22"/>
      <w:szCs w:val="20"/>
    </w:rPr>
  </w:style>
  <w:style w:type="character" w:customStyle="1" w:styleId="51">
    <w:name w:val="表格 字符"/>
    <w:basedOn w:val="30"/>
    <w:link w:val="50"/>
    <w:qFormat/>
    <w:locked/>
    <w:uiPriority w:val="99"/>
    <w:rPr>
      <w:rFonts w:ascii="Times New Roman" w:hAnsi="Times New Roman" w:cs="Times New Roman"/>
      <w:sz w:val="20"/>
      <w:szCs w:val="20"/>
    </w:rPr>
  </w:style>
  <w:style w:type="paragraph" w:customStyle="1" w:styleId="52">
    <w:name w:val="（1）标题"/>
    <w:basedOn w:val="1"/>
    <w:qFormat/>
    <w:uiPriority w:val="99"/>
    <w:pPr>
      <w:keepNext/>
      <w:keepLines/>
      <w:numPr>
        <w:ilvl w:val="3"/>
        <w:numId w:val="2"/>
      </w:numPr>
      <w:spacing w:before="156" w:afterLines="50"/>
      <w:ind w:left="425" w:hanging="425"/>
      <w:jc w:val="left"/>
      <w:outlineLvl w:val="3"/>
    </w:pPr>
    <w:rPr>
      <w:rFonts w:ascii="宋体" w:hAnsi="宋体"/>
      <w:b/>
      <w:bCs/>
      <w:iCs/>
      <w:kern w:val="0"/>
      <w:sz w:val="24"/>
      <w:lang w:eastAsia="en-US"/>
    </w:rPr>
  </w:style>
  <w:style w:type="table" w:customStyle="1" w:styleId="53">
    <w:name w:val="网格型1"/>
    <w:qFormat/>
    <w:uiPriority w:val="99"/>
    <w:rPr>
      <w:rFonts w:ascii="等线" w:hAnsi="等线" w:eastAsia="等线"/>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54">
    <w:name w:val="Char1"/>
    <w:basedOn w:val="1"/>
    <w:qFormat/>
    <w:uiPriority w:val="99"/>
    <w:rPr>
      <w:rFonts w:ascii="仿宋_GB2312" w:eastAsia="仿宋_GB2312"/>
      <w:b/>
      <w:sz w:val="32"/>
      <w:szCs w:val="32"/>
    </w:rPr>
  </w:style>
  <w:style w:type="paragraph" w:customStyle="1" w:styleId="55">
    <w:name w:val="Char11"/>
    <w:basedOn w:val="1"/>
    <w:qFormat/>
    <w:uiPriority w:val="99"/>
    <w:rPr>
      <w:rFonts w:ascii="仿宋_GB2312" w:eastAsia="仿宋_GB2312"/>
      <w:b/>
      <w:sz w:val="32"/>
      <w:szCs w:val="32"/>
    </w:rPr>
  </w:style>
  <w:style w:type="paragraph" w:customStyle="1" w:styleId="56">
    <w:name w:val="TOC 标题1"/>
    <w:basedOn w:val="2"/>
    <w:next w:val="1"/>
    <w:semiHidden/>
    <w:qFormat/>
    <w:uiPriority w:val="99"/>
    <w:pPr>
      <w:pageBreakBefore w:val="0"/>
      <w:widowControl/>
      <w:numPr>
        <w:numId w:val="0"/>
      </w:numPr>
      <w:spacing w:before="480" w:line="276" w:lineRule="auto"/>
      <w:jc w:val="left"/>
      <w:outlineLvl w:val="9"/>
    </w:pPr>
    <w:rPr>
      <w:rFonts w:ascii="Calibri Light" w:hAnsi="Calibri Light"/>
      <w:color w:val="2E74B5"/>
      <w:sz w:val="28"/>
      <w:lang w:eastAsia="zh-CN"/>
    </w:rPr>
  </w:style>
  <w:style w:type="paragraph" w:styleId="57">
    <w:name w:val="No Spacing"/>
    <w:link w:val="58"/>
    <w:qFormat/>
    <w:uiPriority w:val="1"/>
    <w:pPr>
      <w:widowControl w:val="0"/>
      <w:jc w:val="both"/>
    </w:pPr>
    <w:rPr>
      <w:rFonts w:ascii="Calibri" w:hAnsi="Calibri" w:eastAsia="宋体" w:cs="Times New Roman"/>
      <w:kern w:val="2"/>
      <w:sz w:val="21"/>
      <w:szCs w:val="22"/>
      <w:lang w:val="en-US" w:eastAsia="zh-CN" w:bidi="ar-SA"/>
    </w:rPr>
  </w:style>
  <w:style w:type="character" w:customStyle="1" w:styleId="58">
    <w:name w:val="无间隔 Char"/>
    <w:basedOn w:val="30"/>
    <w:link w:val="57"/>
    <w:qFormat/>
    <w:locked/>
    <w:uiPriority w:val="99"/>
    <w:rPr>
      <w:kern w:val="2"/>
      <w:sz w:val="21"/>
      <w:szCs w:val="22"/>
      <w:lang w:val="en-US" w:eastAsia="zh-CN" w:bidi="ar-SA"/>
    </w:rPr>
  </w:style>
  <w:style w:type="paragraph" w:customStyle="1" w:styleId="59">
    <w:name w:val="Char"/>
    <w:basedOn w:val="1"/>
    <w:next w:val="1"/>
    <w:qFormat/>
    <w:uiPriority w:val="99"/>
    <w:pPr>
      <w:shd w:val="clear" w:color="auto" w:fill="000080"/>
      <w:adjustRightInd w:val="0"/>
      <w:spacing w:line="436" w:lineRule="exact"/>
      <w:ind w:left="357"/>
      <w:jc w:val="left"/>
      <w:outlineLvl w:val="3"/>
    </w:pPr>
    <w:rPr>
      <w:rFonts w:ascii="Times New Roman" w:hAnsi="Times New Roman" w:cs="Calibri"/>
      <w:sz w:val="16"/>
      <w:szCs w:val="16"/>
    </w:rPr>
  </w:style>
  <w:style w:type="character" w:customStyle="1" w:styleId="60">
    <w:name w:val="Unresolved Mention"/>
    <w:basedOn w:val="30"/>
    <w:semiHidden/>
    <w:qFormat/>
    <w:uiPriority w:val="99"/>
    <w:rPr>
      <w:rFonts w:cs="Times New Roman"/>
      <w:color w:val="605E5C"/>
      <w:shd w:val="clear" w:color="auto" w:fill="E1DFDD"/>
    </w:rPr>
  </w:style>
  <w:style w:type="character" w:customStyle="1" w:styleId="61">
    <w:name w:val="批注文字 Char"/>
    <w:basedOn w:val="30"/>
    <w:link w:val="8"/>
    <w:qFormat/>
    <w:locked/>
    <w:uiPriority w:val="99"/>
    <w:rPr>
      <w:rFonts w:cs="Times New Roman"/>
      <w:kern w:val="2"/>
      <w:sz w:val="24"/>
      <w:szCs w:val="24"/>
    </w:rPr>
  </w:style>
  <w:style w:type="character" w:customStyle="1" w:styleId="62">
    <w:name w:val="批注主题 Char"/>
    <w:basedOn w:val="61"/>
    <w:link w:val="26"/>
    <w:semiHidden/>
    <w:qFormat/>
    <w:uiPriority w:val="99"/>
    <w:rPr>
      <w:rFonts w:cs="Times New Roman"/>
      <w:b/>
      <w:bCs/>
      <w:kern w:val="2"/>
      <w:sz w:val="24"/>
      <w:szCs w:val="24"/>
    </w:rPr>
  </w:style>
  <w:style w:type="character" w:customStyle="1" w:styleId="63">
    <w:name w:val="NormalCharacter"/>
    <w:semiHidden/>
    <w:qFormat/>
    <w:uiPriority w:val="0"/>
    <w:rPr>
      <w:rFonts w:ascii="Calibri" w:hAnsi="Calibri" w:eastAsia="宋体" w:cs="Times New Roman"/>
      <w:kern w:val="2"/>
      <w:sz w:val="21"/>
      <w:szCs w:val="22"/>
      <w:lang w:val="en-US" w:eastAsia="zh-CN" w:bidi="ar-SA"/>
    </w:rPr>
  </w:style>
  <w:style w:type="paragraph" w:customStyle="1" w:styleId="64">
    <w:name w:val="Heading2"/>
    <w:basedOn w:val="1"/>
    <w:next w:val="1"/>
    <w:qFormat/>
    <w:uiPriority w:val="0"/>
    <w:pPr>
      <w:keepNext/>
      <w:keepLines/>
      <w:spacing w:before="260" w:after="260" w:line="413" w:lineRule="auto"/>
      <w:textAlignment w:val="baseline"/>
    </w:pPr>
    <w:rPr>
      <w:rFonts w:ascii="Arial" w:hAnsi="Arial" w:eastAsia="黑体"/>
      <w:b/>
      <w:sz w:val="32"/>
      <w:szCs w:val="32"/>
    </w:rPr>
  </w:style>
  <w:style w:type="paragraph" w:customStyle="1" w:styleId="65">
    <w:name w:val="Heading3"/>
    <w:basedOn w:val="1"/>
    <w:qFormat/>
    <w:uiPriority w:val="0"/>
    <w:pPr>
      <w:widowControl/>
      <w:jc w:val="left"/>
      <w:textAlignment w:val="baseline"/>
    </w:pPr>
    <w:rPr>
      <w:rFonts w:ascii="宋体" w:hAnsi="宋体" w:eastAsia="仿宋_GB2312" w:cs="宋体"/>
      <w:b/>
      <w:bCs/>
      <w:kern w:val="0"/>
      <w:sz w:val="27"/>
      <w:szCs w:val="27"/>
    </w:rPr>
  </w:style>
  <w:style w:type="character" w:customStyle="1" w:styleId="66">
    <w:name w:val="15"/>
    <w:qFormat/>
    <w:uiPriority w:val="0"/>
    <w:rPr>
      <w:rFonts w:hint="default" w:ascii="Times New Roman" w:hAnsi="Times New Roman" w:eastAsia="宋体" w:cs="Times New Roman"/>
      <w:b/>
      <w:bCs/>
    </w:rPr>
  </w:style>
  <w:style w:type="paragraph" w:customStyle="1" w:styleId="67">
    <w:name w:val="普通(网站)1"/>
    <w:basedOn w:val="1"/>
    <w:qFormat/>
    <w:uiPriority w:val="0"/>
    <w:pPr>
      <w:jc w:val="left"/>
    </w:pPr>
    <w:rPr>
      <w:kern w:val="0"/>
      <w:sz w:val="24"/>
      <w:szCs w:val="24"/>
    </w:rPr>
  </w:style>
  <w:style w:type="paragraph" w:customStyle="1" w:styleId="68">
    <w:name w:val="p0"/>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69">
    <w:name w:val="列出段落1"/>
    <w:basedOn w:val="1"/>
    <w:qFormat/>
    <w:uiPriority w:val="34"/>
    <w:pPr>
      <w:ind w:firstLine="420" w:firstLineChars="200"/>
    </w:pPr>
  </w:style>
  <w:style w:type="table" w:customStyle="1" w:styleId="70">
    <w:name w:val="网格型2"/>
    <w:basedOn w:val="28"/>
    <w:qFormat/>
    <w:uiPriority w:val="5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71">
    <w:name w:val="网格型3"/>
    <w:basedOn w:val="28"/>
    <w:qFormat/>
    <w:uiPriority w:val="0"/>
    <w:pPr>
      <w:widowControl w:val="0"/>
      <w:jc w:val="both"/>
    </w:pPr>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theme" Target="theme/theme1.xml"/><Relationship Id="rId13" Type="http://schemas.openxmlformats.org/officeDocument/2006/relationships/footer" Target="footer8.xml"/><Relationship Id="rId12" Type="http://schemas.openxmlformats.org/officeDocument/2006/relationships/footer" Target="footer7.xml"/><Relationship Id="rId11" Type="http://schemas.openxmlformats.org/officeDocument/2006/relationships/footer" Target="footer6.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2054"/>
    <customShpInfo spid="_x0000_s2053"/>
    <customShpInfo spid="_x0000_s2051"/>
    <customShpInfo spid="_x0000_s2052"/>
    <customShpInfo spid="_x0000_s2050"/>
    <customShpInfo spid="_x0000_s2049"/>
    <customShpInfo spid="_x0000_s102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HP Inc.</Company>
  <Pages>117</Pages>
  <Words>48654</Words>
  <Characters>50138</Characters>
  <Lines>543</Lines>
  <Paragraphs>153</Paragraphs>
  <TotalTime>12</TotalTime>
  <ScaleCrop>false</ScaleCrop>
  <LinksUpToDate>false</LinksUpToDate>
  <CharactersWithSpaces>50601</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2021-05-03T15:03:00Z</dcterms:created>
  <dc:creator>Yan</dc:creator>
  <cp:lastModifiedBy>麋鹿</cp:lastModifiedBy>
  <cp:lastPrinted>2021-02-25T13:51:00Z</cp:lastPrinted>
  <dcterms:modified xsi:type="dcterms:W3CDTF">2025-03-24T00:28:02Z</dcterms:modified>
  <dc:title>湘潭“十四五”城市管理系统建设规划（初稿）</dc:title>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89FC6A97190E4193A1244257E361496A</vt:lpwstr>
  </property>
  <property fmtid="{D5CDD505-2E9C-101B-9397-08002B2CF9AE}" pid="4" name="KSOTemplateDocerSaveRecord">
    <vt:lpwstr>eyJoZGlkIjoiMjdkMmFkY2MxNDI4ZDBhOTY3MDdjNjk2YTU3MjI4M2EiLCJ1c2VySWQiOiI5MjEwOTU2OTIifQ==</vt:lpwstr>
  </property>
</Properties>
</file>