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CE3869">
      <w:pPr>
        <w:tabs>
          <w:tab w:val="left" w:pos="6480"/>
        </w:tabs>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湘潭县人力资源和社会保障局</w:t>
      </w:r>
    </w:p>
    <w:p w14:paraId="182B52BB">
      <w:pPr>
        <w:tabs>
          <w:tab w:val="left" w:pos="6480"/>
        </w:tabs>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部门整体支出绩效评价报告</w:t>
      </w:r>
    </w:p>
    <w:tbl>
      <w:tblPr>
        <w:tblStyle w:val="7"/>
        <w:tblpPr w:leftFromText="180" w:rightFromText="180" w:vertAnchor="text" w:horzAnchor="page" w:tblpX="1650" w:tblpY="153"/>
        <w:tblOverlap w:val="never"/>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425"/>
        <w:gridCol w:w="6521"/>
      </w:tblGrid>
      <w:tr w14:paraId="381AD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817" w:type="dxa"/>
            <w:vMerge w:val="restart"/>
            <w:vAlign w:val="center"/>
          </w:tcPr>
          <w:p w14:paraId="50F8285C">
            <w:pPr>
              <w:spacing w:line="300" w:lineRule="exact"/>
              <w:jc w:val="center"/>
              <w:rPr>
                <w:rFonts w:ascii="仿宋_GB2312" w:hAnsi="宋体" w:eastAsia="仿宋_GB2312" w:cs="宋体"/>
                <w:b/>
                <w:szCs w:val="21"/>
              </w:rPr>
            </w:pPr>
            <w:r>
              <w:rPr>
                <w:rFonts w:hint="eastAsia" w:ascii="仿宋_GB2312" w:hAnsi="宋体" w:eastAsia="仿宋_GB2312" w:cs="宋体"/>
                <w:b/>
                <w:szCs w:val="21"/>
              </w:rPr>
              <w:t>部门</w:t>
            </w:r>
          </w:p>
          <w:p w14:paraId="3D16EB66">
            <w:pPr>
              <w:spacing w:line="300" w:lineRule="exact"/>
              <w:jc w:val="center"/>
              <w:rPr>
                <w:rFonts w:ascii="仿宋_GB2312" w:hAnsi="宋体" w:eastAsia="仿宋_GB2312" w:cs="宋体"/>
                <w:b/>
                <w:szCs w:val="21"/>
              </w:rPr>
            </w:pPr>
            <w:r>
              <w:rPr>
                <w:rFonts w:hint="eastAsia" w:ascii="仿宋_GB2312" w:hAnsi="宋体" w:eastAsia="仿宋_GB2312" w:cs="宋体"/>
                <w:b/>
                <w:szCs w:val="21"/>
              </w:rPr>
              <w:t>概况</w:t>
            </w:r>
          </w:p>
        </w:tc>
        <w:tc>
          <w:tcPr>
            <w:tcW w:w="1701" w:type="dxa"/>
            <w:gridSpan w:val="2"/>
            <w:vAlign w:val="center"/>
          </w:tcPr>
          <w:p w14:paraId="067A9FFA">
            <w:pPr>
              <w:spacing w:line="300" w:lineRule="exact"/>
              <w:jc w:val="center"/>
              <w:rPr>
                <w:rFonts w:ascii="仿宋_GB2312" w:hAnsi="宋体" w:eastAsia="仿宋_GB2312" w:cs="宋体"/>
                <w:b/>
                <w:szCs w:val="21"/>
              </w:rPr>
            </w:pPr>
            <w:r>
              <w:rPr>
                <w:rFonts w:hint="eastAsia" w:ascii="仿宋_GB2312" w:hAnsi="宋体" w:eastAsia="仿宋_GB2312" w:cs="宋体"/>
                <w:b/>
                <w:szCs w:val="21"/>
              </w:rPr>
              <w:t>单位名称</w:t>
            </w:r>
          </w:p>
        </w:tc>
        <w:tc>
          <w:tcPr>
            <w:tcW w:w="6521" w:type="dxa"/>
            <w:vAlign w:val="center"/>
          </w:tcPr>
          <w:p w14:paraId="4CA837D5">
            <w:pPr>
              <w:spacing w:line="300" w:lineRule="exact"/>
              <w:jc w:val="center"/>
              <w:rPr>
                <w:rFonts w:ascii="仿宋_GB2312" w:hAnsi="宋体" w:eastAsia="仿宋_GB2312" w:cs="宋体"/>
                <w:sz w:val="22"/>
                <w:szCs w:val="22"/>
              </w:rPr>
            </w:pPr>
            <w:r>
              <w:rPr>
                <w:rFonts w:hint="eastAsia" w:ascii="仿宋_GB2312" w:hAnsi="仿宋_GB2312" w:eastAsia="仿宋_GB2312" w:cs="仿宋_GB2312"/>
                <w:sz w:val="22"/>
                <w:szCs w:val="22"/>
              </w:rPr>
              <w:t>湘潭县人力资源和社会保障局</w:t>
            </w:r>
          </w:p>
        </w:tc>
      </w:tr>
      <w:tr w14:paraId="07A74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817" w:type="dxa"/>
            <w:vMerge w:val="continue"/>
            <w:vAlign w:val="center"/>
          </w:tcPr>
          <w:p w14:paraId="009B72EE">
            <w:pPr>
              <w:spacing w:line="300" w:lineRule="exact"/>
              <w:jc w:val="center"/>
              <w:rPr>
                <w:rFonts w:ascii="仿宋_GB2312" w:hAnsi="宋体" w:eastAsia="仿宋_GB2312" w:cs="宋体"/>
                <w:b/>
                <w:szCs w:val="21"/>
              </w:rPr>
            </w:pPr>
          </w:p>
        </w:tc>
        <w:tc>
          <w:tcPr>
            <w:tcW w:w="1701" w:type="dxa"/>
            <w:gridSpan w:val="2"/>
            <w:vAlign w:val="center"/>
          </w:tcPr>
          <w:p w14:paraId="5C8907D2">
            <w:pPr>
              <w:spacing w:line="300" w:lineRule="exact"/>
              <w:jc w:val="center"/>
              <w:rPr>
                <w:rFonts w:ascii="仿宋_GB2312" w:hAnsi="宋体" w:eastAsia="仿宋_GB2312" w:cs="宋体"/>
                <w:b/>
                <w:szCs w:val="21"/>
              </w:rPr>
            </w:pPr>
            <w:r>
              <w:rPr>
                <w:rFonts w:hint="eastAsia" w:ascii="仿宋_GB2312" w:hAnsi="宋体" w:eastAsia="仿宋_GB2312" w:cs="宋体"/>
                <w:b/>
                <w:szCs w:val="21"/>
              </w:rPr>
              <w:t>年度预算金额</w:t>
            </w:r>
          </w:p>
        </w:tc>
        <w:tc>
          <w:tcPr>
            <w:tcW w:w="6521" w:type="dxa"/>
            <w:vAlign w:val="center"/>
          </w:tcPr>
          <w:p w14:paraId="5DAFF776">
            <w:pPr>
              <w:spacing w:line="300" w:lineRule="exact"/>
              <w:jc w:val="center"/>
              <w:rPr>
                <w:rFonts w:ascii="仿宋_GB2312" w:hAnsi="宋体" w:eastAsia="仿宋_GB2312" w:cs="宋体"/>
                <w:color w:val="FF0000"/>
                <w:sz w:val="22"/>
                <w:szCs w:val="22"/>
              </w:rPr>
            </w:pPr>
            <w:r>
              <w:rPr>
                <w:rFonts w:hint="eastAsia" w:ascii="仿宋_GB2312" w:hAnsi="仿宋_GB2312" w:eastAsia="仿宋_GB2312" w:cs="仿宋_GB2312"/>
                <w:szCs w:val="21"/>
              </w:rPr>
              <w:t>1938.72万元</w:t>
            </w:r>
          </w:p>
        </w:tc>
      </w:tr>
      <w:tr w14:paraId="05D47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817" w:type="dxa"/>
            <w:vMerge w:val="continue"/>
            <w:vAlign w:val="center"/>
          </w:tcPr>
          <w:p w14:paraId="1B04E043">
            <w:pPr>
              <w:spacing w:line="300" w:lineRule="exact"/>
              <w:jc w:val="center"/>
              <w:rPr>
                <w:rFonts w:ascii="仿宋_GB2312" w:hAnsi="宋体" w:eastAsia="仿宋_GB2312" w:cs="宋体"/>
                <w:b/>
                <w:szCs w:val="21"/>
              </w:rPr>
            </w:pPr>
          </w:p>
        </w:tc>
        <w:tc>
          <w:tcPr>
            <w:tcW w:w="1701" w:type="dxa"/>
            <w:gridSpan w:val="2"/>
            <w:vAlign w:val="center"/>
          </w:tcPr>
          <w:p w14:paraId="72CDDDDF">
            <w:pPr>
              <w:spacing w:line="300" w:lineRule="exact"/>
              <w:jc w:val="center"/>
              <w:rPr>
                <w:rFonts w:ascii="仿宋_GB2312" w:hAnsi="宋体" w:eastAsia="仿宋_GB2312" w:cs="宋体"/>
                <w:b/>
                <w:szCs w:val="21"/>
              </w:rPr>
            </w:pPr>
            <w:r>
              <w:rPr>
                <w:rFonts w:hint="eastAsia" w:ascii="仿宋_GB2312" w:hAnsi="宋体" w:eastAsia="仿宋_GB2312" w:cs="宋体"/>
                <w:b/>
                <w:szCs w:val="21"/>
              </w:rPr>
              <w:t>主管部门</w:t>
            </w:r>
          </w:p>
        </w:tc>
        <w:tc>
          <w:tcPr>
            <w:tcW w:w="6521" w:type="dxa"/>
            <w:vAlign w:val="center"/>
          </w:tcPr>
          <w:p w14:paraId="15800850">
            <w:pPr>
              <w:spacing w:line="300" w:lineRule="exact"/>
              <w:jc w:val="center"/>
              <w:rPr>
                <w:rFonts w:ascii="仿宋_GB2312" w:hAnsi="宋体" w:eastAsia="仿宋_GB2312" w:cs="宋体"/>
                <w:sz w:val="22"/>
                <w:szCs w:val="22"/>
              </w:rPr>
            </w:pPr>
            <w:r>
              <w:rPr>
                <w:rFonts w:hint="eastAsia" w:ascii="仿宋_GB2312" w:hAnsi="仿宋_GB2312" w:eastAsia="仿宋_GB2312" w:cs="仿宋_GB2312"/>
                <w:sz w:val="22"/>
                <w:szCs w:val="22"/>
              </w:rPr>
              <w:t>湘潭县人民政府</w:t>
            </w:r>
          </w:p>
        </w:tc>
      </w:tr>
      <w:tr w14:paraId="7F37A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7" w:hRule="atLeast"/>
        </w:trPr>
        <w:tc>
          <w:tcPr>
            <w:tcW w:w="817" w:type="dxa"/>
            <w:vMerge w:val="continue"/>
            <w:vAlign w:val="center"/>
          </w:tcPr>
          <w:p w14:paraId="3FAACED8">
            <w:pPr>
              <w:spacing w:line="300" w:lineRule="exact"/>
              <w:jc w:val="center"/>
              <w:rPr>
                <w:rFonts w:ascii="仿宋_GB2312" w:hAnsi="宋体" w:eastAsia="仿宋_GB2312" w:cs="宋体"/>
                <w:b/>
                <w:szCs w:val="21"/>
              </w:rPr>
            </w:pPr>
          </w:p>
        </w:tc>
        <w:tc>
          <w:tcPr>
            <w:tcW w:w="1276" w:type="dxa"/>
            <w:vAlign w:val="center"/>
          </w:tcPr>
          <w:p w14:paraId="79D4C524">
            <w:pPr>
              <w:spacing w:line="300" w:lineRule="exact"/>
              <w:jc w:val="center"/>
              <w:rPr>
                <w:rFonts w:ascii="仿宋_GB2312" w:hAnsi="宋体" w:eastAsia="仿宋_GB2312" w:cs="宋体"/>
                <w:b/>
                <w:szCs w:val="21"/>
              </w:rPr>
            </w:pPr>
            <w:r>
              <w:rPr>
                <w:rFonts w:hint="eastAsia" w:ascii="仿宋_GB2312" w:hAnsi="宋体" w:eastAsia="仿宋_GB2312" w:cs="宋体"/>
                <w:b/>
                <w:szCs w:val="21"/>
              </w:rPr>
              <w:t>单位</w:t>
            </w:r>
          </w:p>
          <w:p w14:paraId="0F0ED246">
            <w:pPr>
              <w:spacing w:line="300" w:lineRule="exact"/>
              <w:jc w:val="center"/>
              <w:rPr>
                <w:rFonts w:ascii="仿宋_GB2312" w:hAnsi="宋体" w:eastAsia="仿宋_GB2312" w:cs="宋体"/>
                <w:b/>
                <w:szCs w:val="21"/>
              </w:rPr>
            </w:pPr>
            <w:r>
              <w:rPr>
                <w:rFonts w:hint="eastAsia" w:ascii="仿宋_GB2312" w:hAnsi="宋体" w:eastAsia="仿宋_GB2312" w:cs="宋体"/>
                <w:b/>
                <w:szCs w:val="21"/>
              </w:rPr>
              <w:t>基本</w:t>
            </w:r>
          </w:p>
          <w:p w14:paraId="143B0A4E">
            <w:pPr>
              <w:spacing w:line="300" w:lineRule="exact"/>
              <w:jc w:val="center"/>
              <w:rPr>
                <w:rFonts w:ascii="仿宋_GB2312" w:hAnsi="宋体" w:eastAsia="仿宋_GB2312" w:cs="宋体"/>
                <w:b/>
                <w:szCs w:val="21"/>
              </w:rPr>
            </w:pPr>
            <w:r>
              <w:rPr>
                <w:rFonts w:hint="eastAsia" w:ascii="仿宋_GB2312" w:hAnsi="宋体" w:eastAsia="仿宋_GB2312" w:cs="宋体"/>
                <w:b/>
                <w:szCs w:val="21"/>
              </w:rPr>
              <w:t>职能</w:t>
            </w:r>
          </w:p>
        </w:tc>
        <w:tc>
          <w:tcPr>
            <w:tcW w:w="6946" w:type="dxa"/>
            <w:gridSpan w:val="2"/>
            <w:vAlign w:val="center"/>
          </w:tcPr>
          <w:p w14:paraId="02EB584F">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1、贯彻执行国家、省、市人力资源和社会保障方针政策和法律法规，拟定具体实施方案；编制全县人力资源和社会保障事业发展规划和年度工作计划并组织实施；对全县人力资源和社会保障工作进行综合管理、监督指导、协调服务。</w:t>
            </w:r>
          </w:p>
          <w:p w14:paraId="61EFA42B">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2、负责全县人力资源开发综合管理。组织实施人力资源市场发展规划和人力资源流动政策；负责建立和管理人力资源市场。</w:t>
            </w:r>
          </w:p>
          <w:p w14:paraId="4E1F0D94">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3、负责促进就业工作。执行统筹城乡的就业发展规划和政策，完善公共就业服务体系；负责全县就业、预测预警和信息报送，拟定应对预案；组织落实就业援助制度；组织落实职业资格制度相关政策，统筹建立面向城乡劳动者的职业培训制度；贯彻执行高校毕业生就业政策，技能人才培养和激励政策。</w:t>
            </w:r>
          </w:p>
          <w:p w14:paraId="69FCFA6D">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4、统筹建立覆盖城乡的社会保障体系，贯彻实施城乡社会保险政策。</w:t>
            </w:r>
          </w:p>
          <w:p w14:paraId="124CA166">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5、负责全县社会保险基金管理，实施监督和内部审计；编制全县社会保险基金预决算草案；负责全县社会保险基金预测预警和信息报送。</w:t>
            </w:r>
          </w:p>
          <w:p w14:paraId="18424227">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6、负责全县机关事业单位工资收入分配综合管理。贯彻执行机关、企事业单位人员工资收入分配政策；建立机关企事业单位人员工资正常增长和支付保障机制；负责审核纳入县级财政统一发放工资范围的同级政府机关、事业单位及人员的工资、奖金、津补贴标准和离退休费；执行机关企事业单位人员和离退休政策。</w:t>
            </w:r>
          </w:p>
          <w:p w14:paraId="3211B6F5">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7、负责指导事业单位人事制度改革，实施事业单位人员和机关工勤人员的管理；参与人才管理工作，综合管理全县专业技术队伍建设和专业技术人员工作，承担全县专业技术人员和机关事业单位工勤人员的培训和继续教育工作；归口管理专业技术人员的职称工作。</w:t>
            </w:r>
          </w:p>
          <w:p w14:paraId="362E0FA2">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8、负责全县外国专家综合管理和会同有关部门做好引进国外智力工作。</w:t>
            </w:r>
          </w:p>
          <w:p w14:paraId="2AF7495D">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9、贯彻执行农村居民进城务工综合性政策，会同有关部门做好进城务工农村居民的维权工作。</w:t>
            </w:r>
          </w:p>
          <w:p w14:paraId="2A9F0269">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10、实施劳动、人事争议调解仲裁制度；执行劳动关系法律、法规，完善劳动关系协调机制；负责依法打击非法使用童工和监督落实女工、未成年工的特殊劳动保护政策；组织实施劳动监察，协调劳动者维权工作，依法查处违法侵权案件。</w:t>
            </w:r>
          </w:p>
          <w:p w14:paraId="75123ADB">
            <w:pPr>
              <w:spacing w:line="260" w:lineRule="exact"/>
              <w:ind w:firstLine="420" w:firstLineChars="200"/>
              <w:rPr>
                <w:rFonts w:ascii="仿宋_GB2312" w:hAnsi="宋体" w:eastAsia="仿宋_GB2312" w:cs="宋体"/>
                <w:szCs w:val="21"/>
              </w:rPr>
            </w:pPr>
            <w:r>
              <w:rPr>
                <w:rFonts w:hint="eastAsia" w:ascii="仿宋_GB2312" w:hAnsi="仿宋_GB2312" w:eastAsia="仿宋_GB2312" w:cs="仿宋_GB2312"/>
                <w:szCs w:val="21"/>
              </w:rPr>
              <w:t>11、承办县人民政府交办的其他事项。</w:t>
            </w:r>
          </w:p>
        </w:tc>
      </w:tr>
      <w:tr w14:paraId="37600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8" w:hRule="atLeast"/>
        </w:trPr>
        <w:tc>
          <w:tcPr>
            <w:tcW w:w="817" w:type="dxa"/>
            <w:vMerge w:val="restart"/>
            <w:vAlign w:val="center"/>
          </w:tcPr>
          <w:p w14:paraId="391C7414">
            <w:pPr>
              <w:spacing w:line="300" w:lineRule="exact"/>
              <w:jc w:val="center"/>
              <w:rPr>
                <w:rFonts w:ascii="仿宋_GB2312" w:hAnsi="宋体" w:eastAsia="仿宋_GB2312" w:cs="宋体"/>
                <w:b/>
                <w:szCs w:val="21"/>
              </w:rPr>
            </w:pPr>
            <w:r>
              <w:rPr>
                <w:rFonts w:hint="eastAsia" w:ascii="仿宋_GB2312" w:hAnsi="宋体" w:eastAsia="仿宋_GB2312" w:cs="宋体"/>
                <w:b/>
                <w:szCs w:val="21"/>
              </w:rPr>
              <w:t>绩效</w:t>
            </w:r>
          </w:p>
          <w:p w14:paraId="5A543AC3">
            <w:pPr>
              <w:spacing w:line="300" w:lineRule="exact"/>
              <w:jc w:val="center"/>
              <w:rPr>
                <w:rFonts w:ascii="仿宋_GB2312" w:hAnsi="宋体" w:eastAsia="仿宋_GB2312" w:cs="宋体"/>
                <w:b/>
                <w:szCs w:val="21"/>
              </w:rPr>
            </w:pPr>
            <w:r>
              <w:rPr>
                <w:rFonts w:hint="eastAsia" w:ascii="仿宋_GB2312" w:hAnsi="宋体" w:eastAsia="仿宋_GB2312" w:cs="宋体"/>
                <w:b/>
                <w:szCs w:val="21"/>
              </w:rPr>
              <w:t>完成</w:t>
            </w:r>
          </w:p>
          <w:p w14:paraId="0C3A9987">
            <w:pPr>
              <w:spacing w:line="300" w:lineRule="exact"/>
              <w:jc w:val="center"/>
              <w:rPr>
                <w:rFonts w:ascii="仿宋_GB2312" w:hAnsi="宋体" w:eastAsia="仿宋_GB2312" w:cs="宋体"/>
                <w:b/>
                <w:szCs w:val="21"/>
              </w:rPr>
            </w:pPr>
            <w:r>
              <w:rPr>
                <w:rFonts w:hint="eastAsia" w:ascii="仿宋_GB2312" w:hAnsi="宋体" w:eastAsia="仿宋_GB2312" w:cs="宋体"/>
                <w:b/>
                <w:szCs w:val="21"/>
              </w:rPr>
              <w:t>情况</w:t>
            </w:r>
          </w:p>
        </w:tc>
        <w:tc>
          <w:tcPr>
            <w:tcW w:w="1276" w:type="dxa"/>
            <w:vAlign w:val="center"/>
          </w:tcPr>
          <w:p w14:paraId="14C8D89C">
            <w:pPr>
              <w:spacing w:line="300" w:lineRule="exact"/>
              <w:jc w:val="center"/>
              <w:rPr>
                <w:rFonts w:ascii="仿宋_GB2312" w:hAnsi="宋体" w:eastAsia="仿宋_GB2312" w:cs="宋体"/>
                <w:b/>
                <w:szCs w:val="21"/>
              </w:rPr>
            </w:pPr>
            <w:r>
              <w:rPr>
                <w:rFonts w:hint="eastAsia" w:ascii="仿宋_GB2312" w:hAnsi="宋体" w:eastAsia="仿宋_GB2312" w:cs="宋体"/>
                <w:b/>
                <w:szCs w:val="21"/>
              </w:rPr>
              <w:t>部门整体</w:t>
            </w:r>
          </w:p>
          <w:p w14:paraId="09B223EB">
            <w:pPr>
              <w:spacing w:line="300" w:lineRule="exact"/>
              <w:jc w:val="center"/>
              <w:rPr>
                <w:rFonts w:ascii="仿宋_GB2312" w:hAnsi="宋体" w:eastAsia="仿宋_GB2312" w:cs="宋体"/>
                <w:b/>
                <w:szCs w:val="21"/>
              </w:rPr>
            </w:pPr>
            <w:r>
              <w:rPr>
                <w:rFonts w:hint="eastAsia" w:ascii="仿宋_GB2312" w:hAnsi="宋体" w:eastAsia="仿宋_GB2312" w:cs="宋体"/>
                <w:b/>
                <w:szCs w:val="21"/>
              </w:rPr>
              <w:t>支出管理</w:t>
            </w:r>
          </w:p>
          <w:p w14:paraId="04E29026">
            <w:pPr>
              <w:spacing w:line="300" w:lineRule="exact"/>
              <w:jc w:val="center"/>
              <w:rPr>
                <w:rFonts w:ascii="仿宋_GB2312" w:hAnsi="宋体" w:eastAsia="仿宋_GB2312" w:cs="宋体"/>
                <w:b/>
                <w:szCs w:val="21"/>
              </w:rPr>
            </w:pPr>
            <w:r>
              <w:rPr>
                <w:rFonts w:hint="eastAsia" w:ascii="仿宋_GB2312" w:hAnsi="宋体" w:eastAsia="仿宋_GB2312" w:cs="宋体"/>
                <w:b/>
                <w:szCs w:val="21"/>
              </w:rPr>
              <w:t>和使用</w:t>
            </w:r>
          </w:p>
          <w:p w14:paraId="48AD88EB">
            <w:pPr>
              <w:spacing w:line="300" w:lineRule="exact"/>
              <w:jc w:val="center"/>
              <w:rPr>
                <w:rFonts w:ascii="仿宋_GB2312" w:hAnsi="宋体" w:eastAsia="仿宋_GB2312" w:cs="宋体"/>
                <w:b/>
                <w:szCs w:val="21"/>
              </w:rPr>
            </w:pPr>
            <w:r>
              <w:rPr>
                <w:rFonts w:hint="eastAsia" w:ascii="仿宋_GB2312" w:hAnsi="宋体" w:eastAsia="仿宋_GB2312" w:cs="宋体"/>
                <w:b/>
                <w:szCs w:val="21"/>
              </w:rPr>
              <w:t>基本情况</w:t>
            </w:r>
          </w:p>
        </w:tc>
        <w:tc>
          <w:tcPr>
            <w:tcW w:w="6946" w:type="dxa"/>
            <w:gridSpan w:val="2"/>
            <w:vAlign w:val="center"/>
          </w:tcPr>
          <w:p w14:paraId="2AA919C3">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1、全年预算情况： 全年预算安排 2345.59万元（年初预算1783.72万元），其中年度财政拨款收入2080.83万元。</w:t>
            </w:r>
          </w:p>
          <w:p w14:paraId="3F8434B2">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2、预算执行情况：1、全年支出合计2345.59万元，其中，基本支出1733.58万元，项目支出612.01万元。从经济分类支出上看，工资福利支出1679.70万元，商品和服务支出465.09万元，对个人和家庭的补助支出200.80万元。年末无余额。</w:t>
            </w:r>
          </w:p>
          <w:p w14:paraId="24879D3A">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3、“三公经费”年初预算10.8万元，支出合计3.44万元，严格控制在财政年初预算内。其中：公务接待费2.30万元，公务用车购置及运行维护费1.14万元，无因公出国（境）费。</w:t>
            </w:r>
          </w:p>
        </w:tc>
      </w:tr>
      <w:tr w14:paraId="4AA46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trPr>
        <w:tc>
          <w:tcPr>
            <w:tcW w:w="817" w:type="dxa"/>
            <w:vMerge w:val="continue"/>
            <w:vAlign w:val="center"/>
          </w:tcPr>
          <w:p w14:paraId="114BD948">
            <w:pPr>
              <w:spacing w:line="300" w:lineRule="exact"/>
              <w:jc w:val="center"/>
              <w:rPr>
                <w:rFonts w:ascii="仿宋_GB2312" w:hAnsi="宋体" w:eastAsia="仿宋_GB2312" w:cs="宋体"/>
                <w:b/>
                <w:szCs w:val="21"/>
              </w:rPr>
            </w:pPr>
          </w:p>
        </w:tc>
        <w:tc>
          <w:tcPr>
            <w:tcW w:w="1276" w:type="dxa"/>
            <w:vAlign w:val="center"/>
          </w:tcPr>
          <w:p w14:paraId="126DE7C1">
            <w:pPr>
              <w:spacing w:line="300" w:lineRule="exact"/>
              <w:jc w:val="center"/>
              <w:rPr>
                <w:rFonts w:ascii="仿宋_GB2312" w:hAnsi="宋体" w:eastAsia="仿宋_GB2312" w:cs="宋体"/>
                <w:b/>
                <w:szCs w:val="21"/>
              </w:rPr>
            </w:pPr>
            <w:r>
              <w:rPr>
                <w:rFonts w:hint="eastAsia" w:ascii="仿宋_GB2312" w:hAnsi="宋体" w:eastAsia="仿宋_GB2312" w:cs="宋体"/>
                <w:b/>
                <w:szCs w:val="21"/>
              </w:rPr>
              <w:t>绩效目标</w:t>
            </w:r>
          </w:p>
          <w:p w14:paraId="735836BB">
            <w:pPr>
              <w:spacing w:line="300" w:lineRule="exact"/>
              <w:jc w:val="center"/>
              <w:rPr>
                <w:rFonts w:ascii="仿宋_GB2312" w:hAnsi="宋体" w:eastAsia="仿宋_GB2312" w:cs="宋体"/>
                <w:b/>
                <w:szCs w:val="21"/>
              </w:rPr>
            </w:pPr>
            <w:r>
              <w:rPr>
                <w:rFonts w:hint="eastAsia" w:ascii="仿宋_GB2312" w:hAnsi="宋体" w:eastAsia="仿宋_GB2312" w:cs="宋体"/>
                <w:b/>
                <w:szCs w:val="21"/>
              </w:rPr>
              <w:t>完成情况</w:t>
            </w:r>
          </w:p>
        </w:tc>
        <w:tc>
          <w:tcPr>
            <w:tcW w:w="6946" w:type="dxa"/>
            <w:gridSpan w:val="2"/>
            <w:vAlign w:val="center"/>
          </w:tcPr>
          <w:p w14:paraId="2FFABB37">
            <w:pPr>
              <w:spacing w:line="260" w:lineRule="exact"/>
              <w:ind w:firstLine="361" w:firstLineChars="200"/>
              <w:rPr>
                <w:rFonts w:ascii="仿宋_GB2312" w:eastAsia="仿宋_GB2312"/>
                <w:b/>
                <w:bCs/>
                <w:color w:val="000000"/>
                <w:sz w:val="18"/>
                <w:szCs w:val="18"/>
              </w:rPr>
            </w:pPr>
            <w:r>
              <w:rPr>
                <w:rFonts w:hint="eastAsia" w:ascii="仿宋_GB2312" w:eastAsia="仿宋_GB2312"/>
                <w:b/>
                <w:bCs/>
                <w:color w:val="000000"/>
                <w:sz w:val="18"/>
                <w:szCs w:val="18"/>
              </w:rPr>
              <w:t>1.千方百计稳就业，凝心聚力保民生。</w:t>
            </w:r>
            <w:r>
              <w:rPr>
                <w:rFonts w:hint="eastAsia" w:ascii="仿宋_GB2312" w:eastAsia="仿宋_GB2312"/>
                <w:color w:val="000000"/>
                <w:sz w:val="18"/>
                <w:szCs w:val="18"/>
              </w:rPr>
              <w:t>始终坚持就业优先战略，围绕“双找双拓”（人找岗、岗找人，人拓能、岗拓量）核心问题，开展稳就业“五送五促”百日攻坚为重点的公共就业服务活动。全年开展“春风行动”“莲城夜市”“青春20”等线上线下专项招聘活动63场次，提供空岗信息3.1万余个，帮助6005人上岗就业。全年城镇新增就业6854人，失业人员再就业3540人，就业困难人员再就业560人，新增农村劳动力转移就业4474人，分别完成目标任务的111.45%、118%、140%、124.28%。建设乡镇“零工驿站”5个、返乡就业创业服务站”18个。组织开展首届“耀动三湘”网络创业直播大赛湘潭县选拔赛，评选获奖项目18个。20个创业带动就业项目被评为市、县级典型。现有就业帮扶车间48家、乡村公益性岗位337个，帮扶车间吸纳脱贫人员就业339人。全面建设12个省级充分就业社区（村）创建点、339个市级充分就业社区（村）创建点，引领带动全县实现更充分更高质量就业。</w:t>
            </w:r>
          </w:p>
          <w:p w14:paraId="1A9C5713">
            <w:pPr>
              <w:spacing w:line="260" w:lineRule="exact"/>
              <w:ind w:firstLine="361" w:firstLineChars="200"/>
              <w:rPr>
                <w:rFonts w:ascii="仿宋_GB2312" w:eastAsia="仿宋_GB2312"/>
                <w:color w:val="000000"/>
                <w:sz w:val="18"/>
                <w:szCs w:val="18"/>
              </w:rPr>
            </w:pPr>
            <w:r>
              <w:rPr>
                <w:rFonts w:hint="eastAsia" w:ascii="仿宋_GB2312" w:eastAsia="仿宋_GB2312"/>
                <w:b/>
                <w:bCs/>
                <w:color w:val="000000"/>
                <w:sz w:val="18"/>
                <w:szCs w:val="18"/>
              </w:rPr>
              <w:t>2.千方百计强保障，持之以恒惠民生。</w:t>
            </w:r>
            <w:r>
              <w:rPr>
                <w:rFonts w:hint="eastAsia" w:ascii="仿宋_GB2312" w:eastAsia="仿宋_GB2312"/>
                <w:color w:val="000000"/>
                <w:sz w:val="18"/>
                <w:szCs w:val="18"/>
              </w:rPr>
              <w:t>打好“社保全覆盖民生保障仗”，开展“温暖社保·社保服务进万家”活动。城镇职工基本养老保险参保14.37万人（其中，企业职工基本养老保险参保12万人，完成目标任务的100.48%（企业职工基本养老保险 100.33%），城乡居民养老保险、失业保险、工伤保险分别参保49.34万人、3.84万人、7.23万人，分别完成目标任务的100.45%、100%、103.29%。新开工工程建设项目41个，参保39个，参保率达95％，高于目标任务5个百分点。社保卡持卡70.7万人，新增退休入卡率为100％。严格常态化基金监管，2023年基金收入20.5亿元，支出20.4亿元，当期结余0.1亿元，基金累计结余9.01亿元(城乡居保暂付省中心做实个人账户资金7.96亿元，基金银行存款1.04亿元)，预算完成情况良好，基金整体运行平稳。</w:t>
            </w:r>
          </w:p>
          <w:p w14:paraId="20496C05">
            <w:pPr>
              <w:spacing w:line="260" w:lineRule="exact"/>
              <w:ind w:firstLine="361" w:firstLineChars="200"/>
              <w:rPr>
                <w:rFonts w:ascii="仿宋_GB2312" w:eastAsia="仿宋_GB2312"/>
                <w:color w:val="000000"/>
                <w:sz w:val="18"/>
                <w:szCs w:val="18"/>
              </w:rPr>
            </w:pPr>
            <w:r>
              <w:rPr>
                <w:rFonts w:hint="eastAsia" w:ascii="仿宋_GB2312" w:eastAsia="仿宋_GB2312"/>
                <w:b/>
                <w:bCs/>
                <w:color w:val="000000"/>
                <w:sz w:val="18"/>
                <w:szCs w:val="18"/>
              </w:rPr>
              <w:t>3.千方百计聚人才，齐心协力增活力。指</w:t>
            </w:r>
            <w:r>
              <w:rPr>
                <w:rFonts w:hint="eastAsia" w:ascii="仿宋_GB2312" w:eastAsia="仿宋_GB2312"/>
                <w:color w:val="000000"/>
                <w:sz w:val="18"/>
                <w:szCs w:val="18"/>
              </w:rPr>
              <w:t>导和组织事业单位公开招聘工作6批次，补充县直事业单位、医院、学校等工作人员226人。出台《关于进一步激励事业单位工作人员干事创业的若干措施》，从政治上激励、工作上支持、待遇上保障、生活上关怀，激励事业人员干事创业。开展补贴性职业技能培训4461人，完成目标任务的100.93%。办理事业单位工作人员新进、人事调动735人。表彰2022年度先进集体30个，先进个人52名。督促全县所有事业单位完成岗位首聘工作，审核岗位异动4116人次。稳步推进事业单位工作人员线上培训，参培1.08万人。接收人事档案资料并整理归档1.58万份。清退编外劳动用工1359人，卫健系统约200名编外人员清理通过正在开展的公开招聘解决，预计共能清退编外劳动用工1559人，能超额完成1489人的清退任务，县编外用工清理工作被省人民政府办公厅《政务要情与交流》推介。起草《湘潭县深化县直公立医院薪酬制度改革实施方案》《规范乡镇机关事业单位工作人员乡镇工作补贴实施方案》，待通过后落实。认真开展工资异动审批、津贴补贴、福利、退休审核等工作，落实各项工资福利待遇，切实规范工资收入分配秩序。</w:t>
            </w:r>
          </w:p>
          <w:p w14:paraId="53680273">
            <w:pPr>
              <w:spacing w:line="260" w:lineRule="exact"/>
              <w:ind w:firstLine="361" w:firstLineChars="200"/>
              <w:rPr>
                <w:rFonts w:ascii="仿宋_GB2312" w:hAnsi="宋体" w:eastAsia="仿宋_GB2312" w:cs="宋体"/>
                <w:sz w:val="18"/>
                <w:szCs w:val="18"/>
              </w:rPr>
            </w:pPr>
            <w:r>
              <w:rPr>
                <w:rFonts w:hint="eastAsia" w:ascii="仿宋_GB2312" w:eastAsia="仿宋_GB2312"/>
                <w:b/>
                <w:bCs/>
                <w:color w:val="000000"/>
                <w:sz w:val="18"/>
                <w:szCs w:val="18"/>
              </w:rPr>
              <w:t>4.千方百计保稳定，劳动关系更和谐。</w:t>
            </w:r>
            <w:r>
              <w:rPr>
                <w:rFonts w:hint="eastAsia" w:ascii="仿宋_GB2312" w:eastAsia="仿宋_GB2312"/>
                <w:color w:val="000000"/>
                <w:sz w:val="18"/>
                <w:szCs w:val="18"/>
              </w:rPr>
              <w:t>积极开展法治宣传教育，发放《</w:t>
            </w:r>
            <w:r>
              <w:rPr>
                <w:rFonts w:hint="eastAsia" w:ascii="仿宋_GB2312" w:eastAsia="仿宋_GB2312"/>
                <w:color w:val="000000"/>
                <w:sz w:val="18"/>
                <w:szCs w:val="18"/>
                <w:lang w:eastAsia="zh-CN"/>
              </w:rPr>
              <w:t>中华人民共和国</w:t>
            </w:r>
            <w:r>
              <w:rPr>
                <w:rFonts w:hint="eastAsia" w:ascii="仿宋_GB2312" w:eastAsia="仿宋_GB2312"/>
                <w:color w:val="000000"/>
                <w:sz w:val="18"/>
                <w:szCs w:val="18"/>
              </w:rPr>
              <w:t>劳动合同法》《</w:t>
            </w:r>
            <w:r>
              <w:rPr>
                <w:rFonts w:hint="eastAsia" w:ascii="仿宋_GB2312" w:eastAsia="仿宋_GB2312"/>
                <w:color w:val="000000"/>
                <w:sz w:val="18"/>
                <w:szCs w:val="18"/>
                <w:lang w:eastAsia="zh-CN"/>
              </w:rPr>
              <w:t>中华人民共和国</w:t>
            </w:r>
            <w:bookmarkStart w:id="0" w:name="_GoBack"/>
            <w:bookmarkEnd w:id="0"/>
            <w:r>
              <w:rPr>
                <w:rFonts w:hint="eastAsia" w:ascii="仿宋_GB2312" w:eastAsia="仿宋_GB2312"/>
                <w:color w:val="000000"/>
                <w:sz w:val="18"/>
                <w:szCs w:val="18"/>
              </w:rPr>
              <w:t>社会保险法》《工伤保险条例》等法律法规政策宣传资料1.2万余册，服务群众及解答各类法律政策咨询5700余人次。扎实推进“无欠薪县”创建，全面落实农民工工资保证金、农民工实名制管理等工程建设领域制度。劳动保障监察举报投诉案件结案率、劳动保障监察监管信息上线率均为100%。推进工资集体协商工作，签订工资集体协议132份，覆盖企业488家，覆盖职工1.44万人。认定工伤442起，不予认定工伤22起，向湘潭市劳动能力鉴定委员会申报劳动能力鉴定338起。抓好劳动关系协商协调，共处理各类劳动人事争议案件355件。其中，仲裁立案受理195件，结案195件，结案率100%，高于90%的目标任务值。仲裁调解结案160件，调解率82%，高于60%的目标任务值；调解立案受理160件，调解结案160件。通过仲裁和调解共为劳动争议双方当事人挽回经济损2800余万元。</w:t>
            </w:r>
          </w:p>
        </w:tc>
      </w:tr>
      <w:tr w14:paraId="11A24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5" w:hRule="atLeast"/>
        </w:trPr>
        <w:tc>
          <w:tcPr>
            <w:tcW w:w="817" w:type="dxa"/>
            <w:vMerge w:val="restart"/>
            <w:vAlign w:val="center"/>
          </w:tcPr>
          <w:p w14:paraId="1B9F76A2">
            <w:pPr>
              <w:spacing w:line="300" w:lineRule="exact"/>
              <w:jc w:val="center"/>
              <w:rPr>
                <w:rFonts w:ascii="仿宋_GB2312" w:hAnsi="宋体" w:eastAsia="仿宋_GB2312" w:cs="宋体"/>
                <w:b/>
                <w:szCs w:val="21"/>
              </w:rPr>
            </w:pPr>
            <w:r>
              <w:rPr>
                <w:rFonts w:hint="eastAsia" w:ascii="仿宋_GB2312" w:hAnsi="宋体" w:eastAsia="仿宋_GB2312" w:cs="宋体"/>
                <w:b/>
                <w:szCs w:val="21"/>
              </w:rPr>
              <w:t>存在的问题分析及改进措施</w:t>
            </w:r>
          </w:p>
        </w:tc>
        <w:tc>
          <w:tcPr>
            <w:tcW w:w="1276" w:type="dxa"/>
            <w:vAlign w:val="center"/>
          </w:tcPr>
          <w:p w14:paraId="5026DCB8">
            <w:pPr>
              <w:spacing w:line="300" w:lineRule="exact"/>
              <w:jc w:val="center"/>
              <w:rPr>
                <w:rFonts w:ascii="仿宋_GB2312" w:hAnsi="宋体" w:eastAsia="仿宋_GB2312" w:cs="宋体"/>
                <w:b/>
                <w:szCs w:val="21"/>
              </w:rPr>
            </w:pPr>
            <w:r>
              <w:rPr>
                <w:rFonts w:hint="eastAsia" w:ascii="仿宋_GB2312" w:hAnsi="宋体" w:eastAsia="仿宋_GB2312" w:cs="宋体"/>
                <w:b/>
                <w:szCs w:val="21"/>
              </w:rPr>
              <w:t>存在的</w:t>
            </w:r>
          </w:p>
          <w:p w14:paraId="0BF5C9B0">
            <w:pPr>
              <w:spacing w:line="300" w:lineRule="exact"/>
              <w:jc w:val="center"/>
              <w:rPr>
                <w:rFonts w:ascii="仿宋_GB2312" w:hAnsi="宋体" w:eastAsia="仿宋_GB2312" w:cs="宋体"/>
                <w:b/>
                <w:szCs w:val="21"/>
              </w:rPr>
            </w:pPr>
            <w:r>
              <w:rPr>
                <w:rFonts w:hint="eastAsia" w:ascii="仿宋_GB2312" w:hAnsi="宋体" w:eastAsia="仿宋_GB2312" w:cs="宋体"/>
                <w:b/>
                <w:szCs w:val="21"/>
              </w:rPr>
              <w:t>问题</w:t>
            </w:r>
          </w:p>
        </w:tc>
        <w:tc>
          <w:tcPr>
            <w:tcW w:w="6946" w:type="dxa"/>
            <w:gridSpan w:val="2"/>
            <w:vAlign w:val="center"/>
          </w:tcPr>
          <w:p w14:paraId="2608CBDB">
            <w:pPr>
              <w:spacing w:line="260" w:lineRule="exact"/>
              <w:ind w:firstLine="420" w:firstLineChars="200"/>
              <w:rPr>
                <w:rFonts w:ascii="仿宋_GB2312" w:eastAsia="仿宋_GB2312"/>
                <w:szCs w:val="21"/>
              </w:rPr>
            </w:pPr>
            <w:r>
              <w:rPr>
                <w:rFonts w:hint="eastAsia" w:ascii="仿宋_GB2312" w:eastAsia="仿宋_GB2312"/>
                <w:szCs w:val="21"/>
              </w:rPr>
              <w:t>1、预算控制有待加强：由于不可预见性政策调整人员经费、单位新增业务性专项资金等各项因素，经费预算在年初预算的基础上，调整幅度较大。</w:t>
            </w:r>
          </w:p>
          <w:p w14:paraId="0BF4F36A">
            <w:pPr>
              <w:spacing w:line="260" w:lineRule="exact"/>
              <w:ind w:firstLine="420" w:firstLineChars="200"/>
              <w:rPr>
                <w:rFonts w:ascii="仿宋_GB2312" w:eastAsia="仿宋_GB2312"/>
                <w:sz w:val="32"/>
                <w:szCs w:val="32"/>
              </w:rPr>
            </w:pPr>
            <w:r>
              <w:rPr>
                <w:rFonts w:hint="eastAsia" w:ascii="仿宋_GB2312" w:eastAsia="仿宋_GB2312"/>
                <w:szCs w:val="21"/>
              </w:rPr>
              <w:t>2、部分功能性科目规范使用有待加强。因财政资金紧张，所需资金指标很难按时到位，而单位有些必要支出项目不得已使用其他功能指标进行支付。</w:t>
            </w:r>
          </w:p>
          <w:p w14:paraId="7068595A">
            <w:pPr>
              <w:pStyle w:val="19"/>
              <w:spacing w:line="260" w:lineRule="exact"/>
              <w:ind w:firstLine="420" w:firstLineChars="200"/>
              <w:rPr>
                <w:rFonts w:ascii="仿宋_GB2312" w:hAnsi="宋体" w:eastAsia="仿宋_GB2312" w:cs="宋体"/>
                <w:szCs w:val="21"/>
              </w:rPr>
            </w:pPr>
            <w:r>
              <w:rPr>
                <w:rFonts w:hint="eastAsia" w:ascii="仿宋_GB2312" w:eastAsia="仿宋_GB2312"/>
                <w:szCs w:val="21"/>
              </w:rPr>
              <w:t>3、财务管理存在一定的风险：由于我局机构较多，人员较多，各项支出及各部门的上级政策口径难于把握，特别是认真贯彻执行中央八项规定后，原有的政策制度跟不上来，造成在实际执行中尺度把握不准。且我局业务性专项资金种类繁多，涉及面广，财务整体监管难度偏大。</w:t>
            </w:r>
          </w:p>
        </w:tc>
      </w:tr>
      <w:tr w14:paraId="38C18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4" w:hRule="atLeast"/>
        </w:trPr>
        <w:tc>
          <w:tcPr>
            <w:tcW w:w="817" w:type="dxa"/>
            <w:vMerge w:val="continue"/>
            <w:vAlign w:val="center"/>
          </w:tcPr>
          <w:p w14:paraId="52F5FE5A">
            <w:pPr>
              <w:spacing w:line="300" w:lineRule="exact"/>
              <w:rPr>
                <w:rFonts w:ascii="仿宋_GB2312" w:hAnsi="宋体" w:eastAsia="仿宋_GB2312" w:cs="宋体"/>
                <w:b/>
                <w:szCs w:val="21"/>
              </w:rPr>
            </w:pPr>
          </w:p>
        </w:tc>
        <w:tc>
          <w:tcPr>
            <w:tcW w:w="1276" w:type="dxa"/>
            <w:vAlign w:val="center"/>
          </w:tcPr>
          <w:p w14:paraId="4AF2610F">
            <w:pPr>
              <w:spacing w:line="300" w:lineRule="exact"/>
              <w:jc w:val="center"/>
              <w:rPr>
                <w:rFonts w:ascii="仿宋_GB2312" w:hAnsi="宋体" w:eastAsia="仿宋_GB2312" w:cs="宋体"/>
                <w:b/>
                <w:szCs w:val="21"/>
              </w:rPr>
            </w:pPr>
            <w:r>
              <w:rPr>
                <w:rFonts w:hint="eastAsia" w:ascii="仿宋_GB2312" w:hAnsi="宋体" w:eastAsia="仿宋_GB2312" w:cs="宋体"/>
                <w:b/>
                <w:szCs w:val="21"/>
              </w:rPr>
              <w:t>改进措施</w:t>
            </w:r>
          </w:p>
        </w:tc>
        <w:tc>
          <w:tcPr>
            <w:tcW w:w="6946" w:type="dxa"/>
            <w:gridSpan w:val="2"/>
            <w:vAlign w:val="center"/>
          </w:tcPr>
          <w:p w14:paraId="7E8960EE">
            <w:pPr>
              <w:pStyle w:val="19"/>
              <w:spacing w:line="300" w:lineRule="exact"/>
              <w:ind w:firstLine="420" w:firstLineChars="200"/>
              <w:rPr>
                <w:rFonts w:ascii="仿宋_GB2312" w:eastAsia="仿宋_GB2312"/>
                <w:szCs w:val="21"/>
              </w:rPr>
            </w:pPr>
            <w:r>
              <w:rPr>
                <w:rFonts w:hint="eastAsia" w:ascii="仿宋_GB2312" w:eastAsia="仿宋_GB2312"/>
                <w:szCs w:val="21"/>
              </w:rPr>
              <w:t>1、加强预算的科学性、计划性。坚守“先有预算，后有支出”的底线，无预算不得支出，且严格要求在预算范围内开支；优化预算编制的合理性，强化内部控制制度。预算的合理性是行政事业单位内部控制的精髓，应重视部门预算，增强预算业务控制，充分发挥预算控制在内部控制中的重要作用。本单位在部门预算编制环节，均采用“二上二下”的形式进行编制。</w:t>
            </w:r>
          </w:p>
          <w:p w14:paraId="199A9367">
            <w:pPr>
              <w:pStyle w:val="19"/>
              <w:spacing w:line="300" w:lineRule="exact"/>
              <w:ind w:firstLine="420" w:firstLineChars="200"/>
              <w:rPr>
                <w:rFonts w:ascii="仿宋_GB2312" w:eastAsia="仿宋_GB2312"/>
                <w:szCs w:val="21"/>
              </w:rPr>
            </w:pPr>
            <w:r>
              <w:rPr>
                <w:rFonts w:hint="eastAsia" w:ascii="仿宋_GB2312" w:eastAsia="仿宋_GB2312"/>
                <w:szCs w:val="21"/>
              </w:rPr>
              <w:t>2、加强财务监督和管理，不断健全和完善内控制度。对各业务股室和二级机构的专项经济活动实施必要的预算控制和过程监督，加强财务管理力度。部门整体预算根据单位发展规划和年度计划，结合财政部门预算安排情况，科学细化项目，优化预算执行的可操作性，不断健全和完善内控制度，提高资金使用效益。</w:t>
            </w:r>
          </w:p>
          <w:p w14:paraId="7A1F595F">
            <w:pPr>
              <w:pStyle w:val="19"/>
              <w:spacing w:line="300" w:lineRule="exact"/>
              <w:ind w:firstLine="420" w:firstLineChars="200"/>
              <w:rPr>
                <w:rFonts w:ascii="仿宋_GB2312" w:hAnsi="宋体" w:eastAsia="仿宋_GB2312" w:cs="宋体"/>
                <w:szCs w:val="21"/>
              </w:rPr>
            </w:pPr>
            <w:r>
              <w:rPr>
                <w:rFonts w:hint="eastAsia" w:ascii="仿宋_GB2312" w:eastAsia="仿宋_GB2312"/>
                <w:szCs w:val="21"/>
              </w:rPr>
              <w:t>3、强化日常管理工作。一是及时掌握资金使用动态情况，了解资金使用过程中产生的效果以及满意度情况；二是加强资金使用各环节的管理，严格按政策、制度的规定用好每一笔资金。</w:t>
            </w:r>
          </w:p>
        </w:tc>
      </w:tr>
      <w:tr w14:paraId="78289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3" w:hRule="atLeast"/>
        </w:trPr>
        <w:tc>
          <w:tcPr>
            <w:tcW w:w="817" w:type="dxa"/>
            <w:vMerge w:val="continue"/>
            <w:vAlign w:val="center"/>
          </w:tcPr>
          <w:p w14:paraId="54AAE4B3">
            <w:pPr>
              <w:spacing w:line="300" w:lineRule="exact"/>
              <w:rPr>
                <w:rFonts w:ascii="仿宋_GB2312" w:hAnsi="宋体" w:eastAsia="仿宋_GB2312" w:cs="宋体"/>
                <w:szCs w:val="21"/>
              </w:rPr>
            </w:pPr>
          </w:p>
        </w:tc>
        <w:tc>
          <w:tcPr>
            <w:tcW w:w="1276" w:type="dxa"/>
            <w:vAlign w:val="center"/>
          </w:tcPr>
          <w:p w14:paraId="6B8F0E37">
            <w:pPr>
              <w:spacing w:line="300" w:lineRule="exact"/>
              <w:jc w:val="center"/>
              <w:rPr>
                <w:rFonts w:ascii="仿宋_GB2312" w:hAnsi="宋体" w:eastAsia="仿宋_GB2312" w:cs="宋体"/>
                <w:b/>
                <w:szCs w:val="21"/>
              </w:rPr>
            </w:pPr>
            <w:r>
              <w:rPr>
                <w:rFonts w:hint="eastAsia" w:ascii="仿宋_GB2312" w:hAnsi="宋体" w:eastAsia="仿宋_GB2312" w:cs="宋体"/>
                <w:b/>
                <w:szCs w:val="21"/>
              </w:rPr>
              <w:t>其他需要</w:t>
            </w:r>
          </w:p>
          <w:p w14:paraId="0261413B">
            <w:pPr>
              <w:spacing w:line="300" w:lineRule="exact"/>
              <w:jc w:val="center"/>
              <w:rPr>
                <w:rFonts w:ascii="仿宋_GB2312" w:hAnsi="宋体" w:eastAsia="仿宋_GB2312" w:cs="宋体"/>
                <w:b/>
                <w:szCs w:val="21"/>
              </w:rPr>
            </w:pPr>
            <w:r>
              <w:rPr>
                <w:rFonts w:hint="eastAsia" w:ascii="仿宋_GB2312" w:hAnsi="宋体" w:eastAsia="仿宋_GB2312" w:cs="宋体"/>
                <w:b/>
                <w:szCs w:val="21"/>
              </w:rPr>
              <w:t>说明问题</w:t>
            </w:r>
          </w:p>
        </w:tc>
        <w:tc>
          <w:tcPr>
            <w:tcW w:w="6946" w:type="dxa"/>
            <w:gridSpan w:val="2"/>
            <w:vAlign w:val="center"/>
          </w:tcPr>
          <w:p w14:paraId="2E5338C3">
            <w:pPr>
              <w:pStyle w:val="19"/>
              <w:spacing w:line="300" w:lineRule="exact"/>
              <w:ind w:firstLine="420" w:firstLineChars="200"/>
              <w:rPr>
                <w:rFonts w:ascii="仿宋_GB2312" w:hAnsi="宋体" w:eastAsia="仿宋_GB2312" w:cs="宋体"/>
                <w:szCs w:val="21"/>
              </w:rPr>
            </w:pPr>
            <w:r>
              <w:rPr>
                <w:rFonts w:hint="eastAsia" w:ascii="仿宋_GB2312" w:eastAsia="仿宋_GB2312"/>
                <w:szCs w:val="21"/>
              </w:rPr>
              <w:t>因我局职能部门较多，业务性专项资金种类繁多，涉及面广，预算资金追加项目多，政策调整幅度大，很难准确对各项资金进行预算，故与年初预算相比执行偏差较大</w:t>
            </w:r>
            <w:r>
              <w:rPr>
                <w:rFonts w:hint="eastAsia" w:ascii="宋体" w:hAnsi="宋体" w:cs="宋体"/>
                <w:color w:val="000000"/>
                <w:kern w:val="0"/>
                <w:szCs w:val="21"/>
              </w:rPr>
              <w:t>。</w:t>
            </w:r>
          </w:p>
        </w:tc>
      </w:tr>
    </w:tbl>
    <w:p w14:paraId="6036A4F0">
      <w:pPr>
        <w:rPr>
          <w:szCs w:val="18"/>
        </w:rPr>
      </w:pPr>
    </w:p>
    <w:sectPr>
      <w:pgSz w:w="11906" w:h="16838"/>
      <w:pgMar w:top="2098" w:right="1588" w:bottom="209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A5Nzk3NWQxM2Q1MTUzN2I5Mjk4ZDBjNGI1NDY5MTkifQ=="/>
  </w:docVars>
  <w:rsids>
    <w:rsidRoot w:val="00172A27"/>
    <w:rsid w:val="0000733A"/>
    <w:rsid w:val="00042F88"/>
    <w:rsid w:val="000A6B2C"/>
    <w:rsid w:val="000C18CF"/>
    <w:rsid w:val="000E3B0A"/>
    <w:rsid w:val="000F367D"/>
    <w:rsid w:val="000F69D5"/>
    <w:rsid w:val="00111F33"/>
    <w:rsid w:val="001126AF"/>
    <w:rsid w:val="00123DA2"/>
    <w:rsid w:val="001263B0"/>
    <w:rsid w:val="00144CE0"/>
    <w:rsid w:val="00162CCC"/>
    <w:rsid w:val="00172A27"/>
    <w:rsid w:val="001807D1"/>
    <w:rsid w:val="00184A13"/>
    <w:rsid w:val="001A60AE"/>
    <w:rsid w:val="001F2021"/>
    <w:rsid w:val="00204F40"/>
    <w:rsid w:val="00222272"/>
    <w:rsid w:val="00231F0B"/>
    <w:rsid w:val="0024710E"/>
    <w:rsid w:val="002525CC"/>
    <w:rsid w:val="00294FE1"/>
    <w:rsid w:val="002A5979"/>
    <w:rsid w:val="002B0ED5"/>
    <w:rsid w:val="002B6596"/>
    <w:rsid w:val="002B6CBB"/>
    <w:rsid w:val="002B721B"/>
    <w:rsid w:val="002D36E7"/>
    <w:rsid w:val="002D470D"/>
    <w:rsid w:val="00312140"/>
    <w:rsid w:val="003138CD"/>
    <w:rsid w:val="00316F8D"/>
    <w:rsid w:val="00323C53"/>
    <w:rsid w:val="00340FB5"/>
    <w:rsid w:val="00344E35"/>
    <w:rsid w:val="00346C56"/>
    <w:rsid w:val="00376702"/>
    <w:rsid w:val="003E3853"/>
    <w:rsid w:val="003F4B85"/>
    <w:rsid w:val="00403DF7"/>
    <w:rsid w:val="004722FA"/>
    <w:rsid w:val="00473158"/>
    <w:rsid w:val="004F2598"/>
    <w:rsid w:val="005226F2"/>
    <w:rsid w:val="0053772C"/>
    <w:rsid w:val="005918DB"/>
    <w:rsid w:val="005C4481"/>
    <w:rsid w:val="005D4BC1"/>
    <w:rsid w:val="005F2F49"/>
    <w:rsid w:val="006223FD"/>
    <w:rsid w:val="0066751D"/>
    <w:rsid w:val="006944FD"/>
    <w:rsid w:val="00696C4A"/>
    <w:rsid w:val="006C2EA8"/>
    <w:rsid w:val="006C6FB1"/>
    <w:rsid w:val="006E116C"/>
    <w:rsid w:val="006E3CE2"/>
    <w:rsid w:val="0070093C"/>
    <w:rsid w:val="00755086"/>
    <w:rsid w:val="007606B8"/>
    <w:rsid w:val="00772694"/>
    <w:rsid w:val="007B78DF"/>
    <w:rsid w:val="007C2262"/>
    <w:rsid w:val="007D743D"/>
    <w:rsid w:val="007E0B9E"/>
    <w:rsid w:val="007E2E01"/>
    <w:rsid w:val="007E7DFD"/>
    <w:rsid w:val="00811274"/>
    <w:rsid w:val="00814D56"/>
    <w:rsid w:val="00821295"/>
    <w:rsid w:val="00861A92"/>
    <w:rsid w:val="0089793E"/>
    <w:rsid w:val="008D04D1"/>
    <w:rsid w:val="008D30F3"/>
    <w:rsid w:val="008F7363"/>
    <w:rsid w:val="009112E6"/>
    <w:rsid w:val="00922C3E"/>
    <w:rsid w:val="00930E37"/>
    <w:rsid w:val="00933F56"/>
    <w:rsid w:val="00946E4B"/>
    <w:rsid w:val="0098129E"/>
    <w:rsid w:val="00987842"/>
    <w:rsid w:val="00993991"/>
    <w:rsid w:val="009A63A1"/>
    <w:rsid w:val="009E4A97"/>
    <w:rsid w:val="009E74D3"/>
    <w:rsid w:val="00A0307F"/>
    <w:rsid w:val="00A4521C"/>
    <w:rsid w:val="00A71E5C"/>
    <w:rsid w:val="00A74EE3"/>
    <w:rsid w:val="00A75DC3"/>
    <w:rsid w:val="00A8248D"/>
    <w:rsid w:val="00A87CF2"/>
    <w:rsid w:val="00A961F1"/>
    <w:rsid w:val="00B07787"/>
    <w:rsid w:val="00B245F0"/>
    <w:rsid w:val="00B27957"/>
    <w:rsid w:val="00B34AC3"/>
    <w:rsid w:val="00B7444B"/>
    <w:rsid w:val="00BB7F52"/>
    <w:rsid w:val="00BE231B"/>
    <w:rsid w:val="00C54B5A"/>
    <w:rsid w:val="00C6157B"/>
    <w:rsid w:val="00C71072"/>
    <w:rsid w:val="00C84494"/>
    <w:rsid w:val="00CA0D69"/>
    <w:rsid w:val="00CC114D"/>
    <w:rsid w:val="00CE756C"/>
    <w:rsid w:val="00D46EE8"/>
    <w:rsid w:val="00D63B12"/>
    <w:rsid w:val="00D64DFD"/>
    <w:rsid w:val="00D834E8"/>
    <w:rsid w:val="00DB370D"/>
    <w:rsid w:val="00DB5573"/>
    <w:rsid w:val="00DE0BDD"/>
    <w:rsid w:val="00E40E7D"/>
    <w:rsid w:val="00E54B4B"/>
    <w:rsid w:val="00E7773D"/>
    <w:rsid w:val="00E92A23"/>
    <w:rsid w:val="00EB5852"/>
    <w:rsid w:val="00EB6C4B"/>
    <w:rsid w:val="00ED2D54"/>
    <w:rsid w:val="00EF7E03"/>
    <w:rsid w:val="00F10959"/>
    <w:rsid w:val="00F2121E"/>
    <w:rsid w:val="00F64354"/>
    <w:rsid w:val="00FC19EA"/>
    <w:rsid w:val="00FD15F2"/>
    <w:rsid w:val="00FE0582"/>
    <w:rsid w:val="00FF2D20"/>
    <w:rsid w:val="03745E83"/>
    <w:rsid w:val="05B66C8F"/>
    <w:rsid w:val="0A5A66A3"/>
    <w:rsid w:val="0BDD0E18"/>
    <w:rsid w:val="0D18022F"/>
    <w:rsid w:val="0D9B4FA9"/>
    <w:rsid w:val="2A0D2ACA"/>
    <w:rsid w:val="2BE45A54"/>
    <w:rsid w:val="304231F8"/>
    <w:rsid w:val="3049232A"/>
    <w:rsid w:val="33CA6491"/>
    <w:rsid w:val="34702190"/>
    <w:rsid w:val="36C30D04"/>
    <w:rsid w:val="44AD0C81"/>
    <w:rsid w:val="4E2D4BE1"/>
    <w:rsid w:val="550F7D3E"/>
    <w:rsid w:val="5B954368"/>
    <w:rsid w:val="5C540613"/>
    <w:rsid w:val="6146003C"/>
    <w:rsid w:val="691D5B26"/>
    <w:rsid w:val="708E44BF"/>
    <w:rsid w:val="71CC00E9"/>
    <w:rsid w:val="74122000"/>
    <w:rsid w:val="78AB3106"/>
    <w:rsid w:val="79404ABB"/>
    <w:rsid w:val="7A2B5BC9"/>
    <w:rsid w:val="7AF661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8"/>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7"/>
    <w:semiHidden/>
    <w:unhideWhenUsed/>
    <w:qFormat/>
    <w:uiPriority w:val="99"/>
    <w:pPr>
      <w:ind w:left="100" w:leftChars="2500"/>
    </w:pPr>
  </w:style>
  <w:style w:type="paragraph" w:styleId="4">
    <w:name w:val="footer"/>
    <w:basedOn w:val="1"/>
    <w:link w:val="13"/>
    <w:autoRedefine/>
    <w:unhideWhenUsed/>
    <w:qFormat/>
    <w:uiPriority w:val="99"/>
    <w:pPr>
      <w:tabs>
        <w:tab w:val="center" w:pos="4153"/>
        <w:tab w:val="right" w:pos="8306"/>
      </w:tabs>
      <w:snapToGrid w:val="0"/>
      <w:jc w:val="left"/>
    </w:pPr>
    <w:rPr>
      <w:sz w:val="18"/>
      <w:szCs w:val="18"/>
    </w:rPr>
  </w:style>
  <w:style w:type="paragraph" w:styleId="5">
    <w:name w:val="header"/>
    <w:basedOn w:val="1"/>
    <w:link w:val="1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99"/>
    <w:pPr>
      <w:spacing w:beforeAutospacing="1" w:afterAutospacing="1"/>
      <w:jc w:val="left"/>
    </w:pPr>
    <w:rPr>
      <w:rFonts w:ascii="Times New Roman" w:hAnsi="Times New Roman" w:eastAsia="宋体" w:cs="Times New Roman"/>
      <w:kern w:val="0"/>
      <w:sz w:val="24"/>
    </w:rPr>
  </w:style>
  <w:style w:type="table" w:styleId="8">
    <w:name w:val="Table Grid"/>
    <w:basedOn w:val="7"/>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autoRedefine/>
    <w:qFormat/>
    <w:uiPriority w:val="22"/>
    <w:rPr>
      <w:b/>
    </w:rPr>
  </w:style>
  <w:style w:type="character" w:styleId="11">
    <w:name w:val="Hyperlink"/>
    <w:basedOn w:val="9"/>
    <w:autoRedefine/>
    <w:qFormat/>
    <w:uiPriority w:val="0"/>
    <w:rPr>
      <w:color w:val="0000FF"/>
      <w:u w:val="single"/>
    </w:rPr>
  </w:style>
  <w:style w:type="paragraph" w:styleId="12">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character" w:customStyle="1" w:styleId="13">
    <w:name w:val="页脚 Char"/>
    <w:basedOn w:val="9"/>
    <w:link w:val="4"/>
    <w:qFormat/>
    <w:uiPriority w:val="99"/>
    <w:rPr>
      <w:sz w:val="18"/>
      <w:szCs w:val="18"/>
    </w:rPr>
  </w:style>
  <w:style w:type="character" w:customStyle="1" w:styleId="14">
    <w:name w:val="页眉 Char"/>
    <w:basedOn w:val="9"/>
    <w:link w:val="5"/>
    <w:autoRedefine/>
    <w:semiHidden/>
    <w:qFormat/>
    <w:uiPriority w:val="99"/>
    <w:rPr>
      <w:sz w:val="18"/>
      <w:szCs w:val="18"/>
    </w:rPr>
  </w:style>
  <w:style w:type="paragraph" w:styleId="15">
    <w:name w:val="List Paragraph"/>
    <w:basedOn w:val="1"/>
    <w:autoRedefine/>
    <w:qFormat/>
    <w:uiPriority w:val="34"/>
    <w:pPr>
      <w:ind w:firstLine="420" w:firstLineChars="200"/>
    </w:pPr>
  </w:style>
  <w:style w:type="character" w:customStyle="1" w:styleId="16">
    <w:name w:val="a22"/>
    <w:basedOn w:val="9"/>
    <w:autoRedefine/>
    <w:qFormat/>
    <w:uiPriority w:val="0"/>
  </w:style>
  <w:style w:type="character" w:customStyle="1" w:styleId="17">
    <w:name w:val="日期 Char"/>
    <w:basedOn w:val="9"/>
    <w:link w:val="3"/>
    <w:autoRedefine/>
    <w:semiHidden/>
    <w:qFormat/>
    <w:uiPriority w:val="99"/>
    <w:rPr>
      <w:szCs w:val="24"/>
    </w:rPr>
  </w:style>
  <w:style w:type="character" w:customStyle="1" w:styleId="18">
    <w:name w:val="标题 1 Char"/>
    <w:basedOn w:val="9"/>
    <w:link w:val="2"/>
    <w:autoRedefine/>
    <w:qFormat/>
    <w:uiPriority w:val="0"/>
    <w:rPr>
      <w:rFonts w:ascii="宋体" w:hAnsi="宋体" w:eastAsia="宋体" w:cs="Times New Roman"/>
      <w:b/>
      <w:kern w:val="44"/>
      <w:sz w:val="48"/>
      <w:szCs w:val="48"/>
    </w:rPr>
  </w:style>
  <w:style w:type="paragraph" w:customStyle="1" w:styleId="19">
    <w:name w:val="无间隔1"/>
    <w:autoRedefine/>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1E1FB44-F318-4515-BB82-D55ADFC901FC}">
  <ds:schemaRefs/>
</ds:datastoreItem>
</file>

<file path=docProps/app.xml><?xml version="1.0" encoding="utf-8"?>
<Properties xmlns="http://schemas.openxmlformats.org/officeDocument/2006/extended-properties" xmlns:vt="http://schemas.openxmlformats.org/officeDocument/2006/docPropsVTypes">
  <Template>Normal</Template>
  <Pages>3</Pages>
  <Words>3403</Words>
  <Characters>3677</Characters>
  <Lines>26</Lines>
  <Paragraphs>7</Paragraphs>
  <TotalTime>31</TotalTime>
  <ScaleCrop>false</ScaleCrop>
  <LinksUpToDate>false</LinksUpToDate>
  <CharactersWithSpaces>3680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2023-05-16T03:37:00Z</dcterms:created>
  <dc:creator>Administrator</dc:creator>
  <cp:lastModifiedBy>小强</cp:lastModifiedBy>
  <dcterms:modified xsi:type="dcterms:W3CDTF">2025-03-20T07:28:48Z</dcterms:modified>
  <cp:revision>148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6349E0A444374913903B8E0AE3820A69_12</vt:lpwstr>
  </property>
  <property fmtid="{D5CDD505-2E9C-101B-9397-08002B2CF9AE}" pid="4" name="KSOTemplateDocerSaveRecord">
    <vt:lpwstr>eyJoZGlkIjoiNDA2ZGIxZTY3OGJhYjUwMjg1OTA1NmJjN2UwMmI5NGIiLCJ1c2VySWQiOiIyODIwODA2ODcifQ==</vt:lpwstr>
  </property>
</Properties>
</file>