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C4A91">
      <w:pPr>
        <w:widowControl/>
        <w:ind w:firstLine="643" w:firstLineChars="200"/>
        <w:rPr>
          <w:rFonts w:ascii="仿宋" w:hAnsi="仿宋" w:eastAsia="仿宋"/>
          <w:b/>
          <w:bCs/>
          <w:kern w:val="0"/>
          <w:sz w:val="32"/>
          <w:szCs w:val="32"/>
        </w:rPr>
      </w:pPr>
    </w:p>
    <w:p w14:paraId="172FAA93">
      <w:pPr>
        <w:widowControl/>
        <w:ind w:firstLine="643" w:firstLineChars="200"/>
        <w:rPr>
          <w:rFonts w:ascii="仿宋" w:hAnsi="仿宋" w:eastAsia="仿宋"/>
          <w:b/>
          <w:bCs/>
          <w:kern w:val="0"/>
          <w:sz w:val="32"/>
          <w:szCs w:val="32"/>
        </w:rPr>
      </w:pPr>
    </w:p>
    <w:p w14:paraId="2D226D65">
      <w:pPr>
        <w:pStyle w:val="20"/>
        <w:jc w:val="center"/>
        <w:rPr>
          <w:sz w:val="84"/>
          <w:szCs w:val="84"/>
        </w:rPr>
      </w:pPr>
    </w:p>
    <w:p w14:paraId="45F03F25">
      <w:pPr>
        <w:pStyle w:val="20"/>
        <w:jc w:val="center"/>
        <w:rPr>
          <w:sz w:val="84"/>
          <w:szCs w:val="84"/>
        </w:rPr>
      </w:pPr>
    </w:p>
    <w:p w14:paraId="5D2FD1E0">
      <w:pPr>
        <w:pStyle w:val="20"/>
        <w:jc w:val="center"/>
        <w:rPr>
          <w:sz w:val="84"/>
          <w:szCs w:val="84"/>
        </w:rPr>
      </w:pPr>
    </w:p>
    <w:p w14:paraId="3F872755">
      <w:pPr>
        <w:pStyle w:val="20"/>
        <w:jc w:val="center"/>
        <w:rPr>
          <w:sz w:val="84"/>
          <w:szCs w:val="84"/>
        </w:rPr>
      </w:pPr>
    </w:p>
    <w:p w14:paraId="452A3BAC">
      <w:pPr>
        <w:pStyle w:val="20"/>
        <w:jc w:val="center"/>
        <w:rPr>
          <w:rFonts w:ascii="仿宋" w:hAnsi="仿宋" w:eastAsia="仿宋"/>
          <w:sz w:val="84"/>
          <w:szCs w:val="84"/>
        </w:rPr>
      </w:pPr>
      <w:r>
        <w:rPr>
          <w:rFonts w:ascii="仿宋" w:hAnsi="仿宋" w:eastAsia="仿宋"/>
          <w:sz w:val="84"/>
          <w:szCs w:val="84"/>
        </w:rPr>
        <w:t>2019</w:t>
      </w:r>
      <w:r>
        <w:rPr>
          <w:rFonts w:hint="eastAsia" w:ascii="仿宋" w:hAnsi="仿宋" w:eastAsia="仿宋"/>
          <w:sz w:val="84"/>
          <w:szCs w:val="84"/>
        </w:rPr>
        <w:t>年度</w:t>
      </w:r>
    </w:p>
    <w:p w14:paraId="2A9A4153">
      <w:pPr>
        <w:pStyle w:val="20"/>
        <w:jc w:val="center"/>
        <w:rPr>
          <w:rFonts w:hint="eastAsia" w:ascii="仿宋" w:hAnsi="仿宋" w:eastAsia="仿宋"/>
          <w:sz w:val="84"/>
          <w:szCs w:val="84"/>
          <w:lang w:eastAsia="zh-CN"/>
        </w:rPr>
      </w:pPr>
      <w:r>
        <w:rPr>
          <w:rFonts w:hint="eastAsia" w:ascii="仿宋" w:hAnsi="仿宋" w:eastAsia="仿宋"/>
          <w:sz w:val="84"/>
          <w:szCs w:val="84"/>
        </w:rPr>
        <w:t>湘潭县司法局单位部门决算</w:t>
      </w:r>
      <w:r>
        <w:rPr>
          <w:rFonts w:hint="eastAsia" w:ascii="仿宋" w:hAnsi="仿宋" w:eastAsia="仿宋"/>
          <w:sz w:val="84"/>
          <w:szCs w:val="84"/>
          <w:lang w:eastAsia="zh-CN"/>
        </w:rPr>
        <w:t>公开</w:t>
      </w:r>
    </w:p>
    <w:p w14:paraId="40045D75">
      <w:pPr>
        <w:pStyle w:val="20"/>
        <w:spacing w:line="520" w:lineRule="exact"/>
        <w:rPr>
          <w:sz w:val="56"/>
          <w:szCs w:val="56"/>
        </w:rPr>
      </w:pPr>
    </w:p>
    <w:p w14:paraId="136C93D9">
      <w:pPr>
        <w:pStyle w:val="20"/>
        <w:spacing w:line="520" w:lineRule="exact"/>
        <w:rPr>
          <w:sz w:val="56"/>
          <w:szCs w:val="56"/>
        </w:rPr>
      </w:pPr>
    </w:p>
    <w:p w14:paraId="053D7525">
      <w:pPr>
        <w:pStyle w:val="20"/>
        <w:spacing w:line="520" w:lineRule="exact"/>
        <w:rPr>
          <w:sz w:val="56"/>
          <w:szCs w:val="56"/>
        </w:rPr>
      </w:pPr>
    </w:p>
    <w:p w14:paraId="02F95F06">
      <w:pPr>
        <w:pStyle w:val="20"/>
        <w:spacing w:line="520" w:lineRule="exact"/>
        <w:rPr>
          <w:sz w:val="56"/>
          <w:szCs w:val="56"/>
        </w:rPr>
      </w:pPr>
    </w:p>
    <w:p w14:paraId="4CB62458">
      <w:pPr>
        <w:pStyle w:val="20"/>
        <w:spacing w:line="520" w:lineRule="exact"/>
        <w:rPr>
          <w:sz w:val="56"/>
          <w:szCs w:val="56"/>
        </w:rPr>
      </w:pPr>
    </w:p>
    <w:p w14:paraId="311A8376">
      <w:pPr>
        <w:pStyle w:val="20"/>
        <w:spacing w:line="520" w:lineRule="exact"/>
        <w:rPr>
          <w:sz w:val="56"/>
          <w:szCs w:val="56"/>
        </w:rPr>
      </w:pPr>
    </w:p>
    <w:p w14:paraId="060CD70B">
      <w:pPr>
        <w:pStyle w:val="20"/>
        <w:spacing w:line="520" w:lineRule="exact"/>
        <w:rPr>
          <w:sz w:val="56"/>
          <w:szCs w:val="56"/>
        </w:rPr>
      </w:pPr>
    </w:p>
    <w:p w14:paraId="7D961A55">
      <w:pPr>
        <w:pStyle w:val="20"/>
        <w:spacing w:line="520" w:lineRule="exact"/>
        <w:rPr>
          <w:sz w:val="56"/>
          <w:szCs w:val="56"/>
        </w:rPr>
      </w:pPr>
    </w:p>
    <w:p w14:paraId="101E8601">
      <w:pPr>
        <w:pStyle w:val="20"/>
        <w:spacing w:line="520" w:lineRule="exact"/>
        <w:rPr>
          <w:sz w:val="56"/>
          <w:szCs w:val="56"/>
        </w:rPr>
      </w:pPr>
    </w:p>
    <w:p w14:paraId="74C617A0">
      <w:pPr>
        <w:pStyle w:val="20"/>
        <w:spacing w:line="520" w:lineRule="exact"/>
        <w:ind w:firstLine="3640" w:firstLineChars="650"/>
        <w:rPr>
          <w:rFonts w:ascii="仿宋" w:hAnsi="仿宋" w:eastAsia="仿宋"/>
          <w:sz w:val="56"/>
          <w:szCs w:val="56"/>
        </w:rPr>
      </w:pPr>
      <w:r>
        <w:rPr>
          <w:rFonts w:hint="eastAsia" w:ascii="仿宋" w:hAnsi="仿宋" w:eastAsia="仿宋"/>
          <w:sz w:val="56"/>
          <w:szCs w:val="56"/>
        </w:rPr>
        <w:t>目录</w:t>
      </w:r>
    </w:p>
    <w:p w14:paraId="61A557EC">
      <w:pPr>
        <w:pStyle w:val="20"/>
        <w:spacing w:line="520" w:lineRule="exact"/>
        <w:rPr>
          <w:rFonts w:ascii="仿宋" w:hAnsi="仿宋" w:eastAsia="仿宋" w:cs="仿宋_GB2312"/>
          <w:b/>
          <w:sz w:val="28"/>
          <w:szCs w:val="28"/>
        </w:rPr>
      </w:pPr>
      <w:r>
        <w:rPr>
          <w:rFonts w:hint="eastAsia" w:ascii="仿宋" w:hAnsi="仿宋" w:eastAsia="仿宋"/>
          <w:b/>
          <w:sz w:val="28"/>
          <w:szCs w:val="28"/>
        </w:rPr>
        <w:t>第一部分湘潭县司法局单位概况</w:t>
      </w:r>
    </w:p>
    <w:p w14:paraId="089BC1F7">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一、部门职责</w:t>
      </w:r>
    </w:p>
    <w:p w14:paraId="2C002BB8">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二、机构设置</w:t>
      </w:r>
    </w:p>
    <w:p w14:paraId="66058259">
      <w:pPr>
        <w:pStyle w:val="20"/>
        <w:spacing w:line="520" w:lineRule="exact"/>
        <w:rPr>
          <w:rFonts w:ascii="仿宋" w:hAnsi="仿宋" w:eastAsia="仿宋" w:cs="仿宋_GB2312"/>
          <w:b/>
          <w:sz w:val="28"/>
          <w:szCs w:val="28"/>
        </w:rPr>
      </w:pPr>
      <w:r>
        <w:rPr>
          <w:rFonts w:hint="eastAsia" w:ascii="仿宋" w:hAnsi="仿宋" w:eastAsia="仿宋"/>
          <w:b/>
          <w:sz w:val="28"/>
          <w:szCs w:val="28"/>
        </w:rPr>
        <w:t>第二部分</w:t>
      </w:r>
      <w:r>
        <w:rPr>
          <w:rFonts w:ascii="仿宋" w:hAnsi="仿宋" w:eastAsia="仿宋"/>
          <w:b/>
          <w:sz w:val="28"/>
          <w:szCs w:val="28"/>
        </w:rPr>
        <w:t>2019</w:t>
      </w:r>
      <w:r>
        <w:rPr>
          <w:rFonts w:hint="eastAsia" w:ascii="仿宋" w:hAnsi="仿宋" w:eastAsia="仿宋"/>
          <w:b/>
          <w:sz w:val="28"/>
          <w:szCs w:val="28"/>
        </w:rPr>
        <w:t>年度部门决算表</w:t>
      </w:r>
    </w:p>
    <w:p w14:paraId="3AECE73A">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一、收入支出决算总表</w:t>
      </w:r>
    </w:p>
    <w:p w14:paraId="65F5723E">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二、收入决算表</w:t>
      </w:r>
    </w:p>
    <w:p w14:paraId="581997E6">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三、支出决算表</w:t>
      </w:r>
    </w:p>
    <w:p w14:paraId="0CA7FF7E">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四、财政拨款收入支出决算总表</w:t>
      </w:r>
    </w:p>
    <w:p w14:paraId="07515FBC">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五、一般公共预算财政拨款支出决算表</w:t>
      </w:r>
    </w:p>
    <w:p w14:paraId="31EAA083">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六、一般公共预算财政拨款基本支出决算表</w:t>
      </w:r>
    </w:p>
    <w:p w14:paraId="6F3B645B">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七、一般公共预算财政拨款“三公”经费支出决算表</w:t>
      </w:r>
    </w:p>
    <w:p w14:paraId="61F9F079">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八、政府性基金预算财政拨款收入支出决算表</w:t>
      </w:r>
    </w:p>
    <w:p w14:paraId="4B304167">
      <w:pPr>
        <w:pStyle w:val="20"/>
        <w:spacing w:line="520" w:lineRule="exact"/>
        <w:rPr>
          <w:rFonts w:ascii="仿宋" w:hAnsi="仿宋" w:eastAsia="仿宋" w:cs="仿宋_GB2312"/>
          <w:b/>
          <w:sz w:val="28"/>
          <w:szCs w:val="28"/>
        </w:rPr>
      </w:pPr>
      <w:r>
        <w:rPr>
          <w:rFonts w:hint="eastAsia" w:ascii="仿宋" w:hAnsi="仿宋" w:eastAsia="仿宋"/>
          <w:b/>
          <w:sz w:val="28"/>
          <w:szCs w:val="28"/>
        </w:rPr>
        <w:t>第三部分</w:t>
      </w:r>
      <w:r>
        <w:rPr>
          <w:rFonts w:ascii="仿宋" w:hAnsi="仿宋" w:eastAsia="仿宋"/>
          <w:b/>
          <w:sz w:val="28"/>
          <w:szCs w:val="28"/>
        </w:rPr>
        <w:t>2019</w:t>
      </w:r>
      <w:r>
        <w:rPr>
          <w:rFonts w:hint="eastAsia" w:ascii="仿宋" w:hAnsi="仿宋" w:eastAsia="仿宋"/>
          <w:b/>
          <w:sz w:val="28"/>
          <w:szCs w:val="28"/>
        </w:rPr>
        <w:t>年度部门决算情况说明</w:t>
      </w:r>
    </w:p>
    <w:p w14:paraId="13491BCC">
      <w:pPr>
        <w:pStyle w:val="20"/>
        <w:spacing w:line="520" w:lineRule="exact"/>
        <w:ind w:firstLine="700" w:firstLineChars="250"/>
        <w:rPr>
          <w:rFonts w:ascii="仿宋" w:hAnsi="仿宋" w:eastAsia="仿宋" w:cs="仿宋_GB2312"/>
          <w:sz w:val="28"/>
          <w:szCs w:val="28"/>
        </w:rPr>
      </w:pPr>
      <w:r>
        <w:rPr>
          <w:rFonts w:hint="eastAsia" w:ascii="仿宋" w:hAnsi="仿宋" w:eastAsia="仿宋" w:cs="仿宋_GB2312"/>
          <w:sz w:val="28"/>
          <w:szCs w:val="28"/>
        </w:rPr>
        <w:t>一、收入支出决算总体情况说明</w:t>
      </w:r>
    </w:p>
    <w:p w14:paraId="279422AE">
      <w:pPr>
        <w:spacing w:line="520" w:lineRule="exact"/>
        <w:ind w:firstLine="700" w:firstLineChars="250"/>
        <w:jc w:val="left"/>
        <w:rPr>
          <w:rFonts w:ascii="仿宋" w:hAnsi="仿宋" w:eastAsia="仿宋" w:cs="仿宋_GB2312"/>
          <w:sz w:val="28"/>
          <w:szCs w:val="28"/>
        </w:rPr>
      </w:pPr>
      <w:r>
        <w:rPr>
          <w:rFonts w:hint="eastAsia" w:ascii="仿宋" w:hAnsi="仿宋" w:eastAsia="仿宋" w:cs="仿宋_GB2312"/>
          <w:sz w:val="28"/>
          <w:szCs w:val="28"/>
        </w:rPr>
        <w:t>二、收入决算情况说明</w:t>
      </w:r>
    </w:p>
    <w:p w14:paraId="219FEAEC">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三、支出决算情况说明</w:t>
      </w:r>
    </w:p>
    <w:p w14:paraId="377201B3">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四、财政拨款收入支出决算总体情况说明</w:t>
      </w:r>
    </w:p>
    <w:p w14:paraId="3ABFE28D">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五、一般公共预算财政拨款支出决算情况说明</w:t>
      </w:r>
    </w:p>
    <w:p w14:paraId="3661F6FF">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六、一般公共预算财政拨款基本支出决算情况说明</w:t>
      </w:r>
    </w:p>
    <w:p w14:paraId="29757F19">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七、一般公共预算财政拨款三公经费支出决算情况说明</w:t>
      </w:r>
    </w:p>
    <w:p w14:paraId="5C23E9D2">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八、政府性基金预算收入支出决算情况</w:t>
      </w:r>
    </w:p>
    <w:p w14:paraId="112C763B">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九、预算绩效情况说明</w:t>
      </w:r>
    </w:p>
    <w:p w14:paraId="50D39EAC">
      <w:pPr>
        <w:autoSpaceDE w:val="0"/>
        <w:autoSpaceDN w:val="0"/>
        <w:adjustRightInd w:val="0"/>
        <w:spacing w:line="520" w:lineRule="exact"/>
        <w:ind w:firstLine="700" w:firstLineChars="250"/>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十、其他重要事项情况说明</w:t>
      </w:r>
    </w:p>
    <w:p w14:paraId="1035C40B">
      <w:pPr>
        <w:autoSpaceDE w:val="0"/>
        <w:autoSpaceDN w:val="0"/>
        <w:adjustRightInd w:val="0"/>
        <w:spacing w:line="520" w:lineRule="exact"/>
        <w:jc w:val="left"/>
        <w:rPr>
          <w:rFonts w:ascii="仿宋" w:hAnsi="仿宋" w:eastAsia="仿宋" w:cs="仿宋_GB2312"/>
          <w:b/>
          <w:color w:val="000000"/>
          <w:kern w:val="0"/>
          <w:sz w:val="28"/>
          <w:szCs w:val="28"/>
        </w:rPr>
      </w:pPr>
      <w:r>
        <w:rPr>
          <w:rFonts w:hint="eastAsia" w:ascii="仿宋" w:hAnsi="仿宋" w:eastAsia="仿宋" w:cs="黑体"/>
          <w:b/>
          <w:color w:val="000000"/>
          <w:kern w:val="0"/>
          <w:sz w:val="28"/>
          <w:szCs w:val="28"/>
        </w:rPr>
        <w:t>第四部分 名词解释</w:t>
      </w:r>
    </w:p>
    <w:p w14:paraId="132A0784">
      <w:pPr>
        <w:spacing w:line="520" w:lineRule="exact"/>
        <w:jc w:val="left"/>
        <w:rPr>
          <w:rFonts w:ascii="仿宋" w:hAnsi="仿宋" w:eastAsia="仿宋" w:cs="仿宋_GB2312"/>
          <w:b/>
          <w:color w:val="000000"/>
          <w:kern w:val="0"/>
          <w:sz w:val="28"/>
          <w:szCs w:val="28"/>
        </w:rPr>
      </w:pPr>
      <w:r>
        <w:rPr>
          <w:rFonts w:hint="eastAsia" w:ascii="仿宋" w:hAnsi="仿宋" w:eastAsia="仿宋" w:cs="黑体"/>
          <w:b/>
          <w:color w:val="000000"/>
          <w:kern w:val="0"/>
          <w:sz w:val="28"/>
          <w:szCs w:val="28"/>
        </w:rPr>
        <w:t>第五部分 附件</w:t>
      </w:r>
    </w:p>
    <w:p w14:paraId="58919CE6">
      <w:pPr>
        <w:pStyle w:val="20"/>
        <w:jc w:val="center"/>
        <w:rPr>
          <w:rFonts w:ascii="仿宋" w:hAnsi="仿宋" w:eastAsia="仿宋"/>
          <w:sz w:val="84"/>
          <w:szCs w:val="84"/>
        </w:rPr>
      </w:pPr>
    </w:p>
    <w:p w14:paraId="68B39CA5">
      <w:pPr>
        <w:pStyle w:val="20"/>
        <w:jc w:val="center"/>
        <w:rPr>
          <w:rFonts w:ascii="仿宋" w:hAnsi="仿宋" w:eastAsia="仿宋"/>
          <w:sz w:val="84"/>
          <w:szCs w:val="84"/>
        </w:rPr>
      </w:pPr>
    </w:p>
    <w:p w14:paraId="57E24CCE">
      <w:pPr>
        <w:pStyle w:val="20"/>
        <w:jc w:val="center"/>
        <w:rPr>
          <w:rFonts w:ascii="仿宋" w:hAnsi="仿宋" w:eastAsia="仿宋"/>
          <w:sz w:val="84"/>
          <w:szCs w:val="84"/>
        </w:rPr>
      </w:pPr>
    </w:p>
    <w:p w14:paraId="0900B0A7">
      <w:pPr>
        <w:pStyle w:val="20"/>
        <w:jc w:val="center"/>
        <w:rPr>
          <w:rFonts w:ascii="仿宋" w:hAnsi="仿宋" w:eastAsia="仿宋"/>
          <w:sz w:val="84"/>
          <w:szCs w:val="84"/>
        </w:rPr>
      </w:pPr>
      <w:r>
        <w:rPr>
          <w:rFonts w:hint="eastAsia" w:ascii="仿宋" w:hAnsi="仿宋" w:eastAsia="仿宋"/>
          <w:sz w:val="84"/>
          <w:szCs w:val="84"/>
        </w:rPr>
        <w:t>第一部分</w:t>
      </w:r>
    </w:p>
    <w:p w14:paraId="3DDA16EA">
      <w:pPr>
        <w:pStyle w:val="20"/>
        <w:jc w:val="center"/>
        <w:rPr>
          <w:rFonts w:ascii="仿宋" w:hAnsi="仿宋" w:eastAsia="仿宋"/>
          <w:sz w:val="84"/>
          <w:szCs w:val="84"/>
        </w:rPr>
      </w:pPr>
    </w:p>
    <w:p w14:paraId="2DCCFBD6">
      <w:pPr>
        <w:pStyle w:val="20"/>
        <w:jc w:val="center"/>
        <w:rPr>
          <w:rFonts w:ascii="仿宋" w:hAnsi="仿宋" w:eastAsia="仿宋"/>
          <w:sz w:val="84"/>
          <w:szCs w:val="84"/>
        </w:rPr>
      </w:pPr>
      <w:r>
        <w:rPr>
          <w:rFonts w:hint="eastAsia" w:ascii="仿宋" w:hAnsi="仿宋" w:eastAsia="仿宋"/>
          <w:sz w:val="84"/>
          <w:szCs w:val="84"/>
        </w:rPr>
        <w:t>湘潭县司法局单位概况</w:t>
      </w:r>
    </w:p>
    <w:p w14:paraId="65A51F26">
      <w:pPr>
        <w:jc w:val="center"/>
        <w:rPr>
          <w:sz w:val="72"/>
          <w:szCs w:val="72"/>
        </w:rPr>
      </w:pPr>
    </w:p>
    <w:p w14:paraId="715D1BF6">
      <w:pPr>
        <w:pStyle w:val="21"/>
        <w:ind w:left="720" w:firstLine="0" w:firstLineChars="0"/>
        <w:jc w:val="left"/>
        <w:rPr>
          <w:rFonts w:ascii="黑体" w:hAnsi="黑体" w:eastAsia="黑体"/>
          <w:sz w:val="32"/>
          <w:szCs w:val="32"/>
        </w:rPr>
      </w:pPr>
    </w:p>
    <w:p w14:paraId="32DF1518">
      <w:pPr>
        <w:pStyle w:val="21"/>
        <w:ind w:left="720" w:firstLine="0" w:firstLineChars="0"/>
        <w:jc w:val="left"/>
        <w:rPr>
          <w:rFonts w:ascii="黑体" w:hAnsi="黑体" w:eastAsia="黑体"/>
          <w:sz w:val="32"/>
          <w:szCs w:val="32"/>
        </w:rPr>
      </w:pPr>
    </w:p>
    <w:p w14:paraId="280BAF2D">
      <w:pPr>
        <w:pStyle w:val="21"/>
        <w:ind w:left="720" w:firstLine="0" w:firstLineChars="0"/>
        <w:jc w:val="left"/>
        <w:rPr>
          <w:rFonts w:ascii="黑体" w:hAnsi="黑体" w:eastAsia="黑体"/>
          <w:sz w:val="32"/>
          <w:szCs w:val="32"/>
        </w:rPr>
      </w:pPr>
    </w:p>
    <w:p w14:paraId="23975845">
      <w:pPr>
        <w:pStyle w:val="21"/>
        <w:numPr>
          <w:ilvl w:val="0"/>
          <w:numId w:val="1"/>
        </w:numPr>
        <w:ind w:firstLineChars="0"/>
        <w:jc w:val="left"/>
        <w:rPr>
          <w:rFonts w:ascii="仿宋" w:hAnsi="仿宋" w:eastAsia="仿宋"/>
          <w:sz w:val="32"/>
          <w:szCs w:val="32"/>
        </w:rPr>
      </w:pPr>
      <w:r>
        <w:rPr>
          <w:rFonts w:hint="eastAsia" w:ascii="仿宋" w:hAnsi="仿宋" w:eastAsia="仿宋"/>
          <w:sz w:val="32"/>
          <w:szCs w:val="32"/>
        </w:rPr>
        <w:t>部门职责</w:t>
      </w:r>
    </w:p>
    <w:p w14:paraId="3D8074D3">
      <w:pPr>
        <w:pStyle w:val="22"/>
        <w:ind w:left="720"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1．主要职能</w:t>
      </w:r>
    </w:p>
    <w:p w14:paraId="650E9C8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w:t>
      </w:r>
      <w:r>
        <w:rPr>
          <w:rFonts w:hint="eastAsia" w:ascii="仿宋_GB2312" w:hAnsi="仿宋_GB2312" w:eastAsia="仿宋_GB2312" w:cs="仿宋_GB2312"/>
          <w:sz w:val="32"/>
          <w:szCs w:val="32"/>
          <w:lang w:eastAsia="zh-CN"/>
        </w:rPr>
        <w:t>法制办</w:t>
      </w:r>
      <w:r>
        <w:rPr>
          <w:rFonts w:hint="eastAsia" w:ascii="仿宋_GB2312" w:hAnsi="仿宋_GB2312" w:eastAsia="仿宋_GB2312" w:cs="仿宋_GB2312"/>
          <w:sz w:val="32"/>
          <w:szCs w:val="32"/>
        </w:rPr>
        <w:t>合并，重新组建了新的司法局，为县人民政府工作部门，县</w:t>
      </w:r>
      <w:r>
        <w:rPr>
          <w:rFonts w:hint="eastAsia" w:ascii="宋体" w:hAnsi="宋体" w:cs="宋体"/>
          <w:sz w:val="32"/>
          <w:szCs w:val="32"/>
        </w:rPr>
        <w:t>属</w:t>
      </w:r>
      <w:r>
        <w:rPr>
          <w:rFonts w:hint="eastAsia" w:ascii="仿宋_GB2312" w:hAnsi="仿宋_GB2312" w:eastAsia="仿宋_GB2312" w:cs="仿宋_GB2312"/>
          <w:sz w:val="32"/>
          <w:szCs w:val="32"/>
        </w:rPr>
        <w:t>正科级单位。</w:t>
      </w:r>
    </w:p>
    <w:p w14:paraId="7350010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2.工作主要职责：</w:t>
      </w:r>
    </w:p>
    <w:p w14:paraId="4ED83879">
      <w:pPr>
        <w:ind w:firstLine="640" w:firstLineChars="200"/>
        <w:rPr>
          <w:rFonts w:ascii="仿宋_GB2312" w:hAnsi="仿宋_GB2312" w:eastAsia="仿宋_GB2312" w:cs="仿宋_GB2312"/>
          <w:sz w:val="32"/>
          <w:szCs w:val="32"/>
        </w:rPr>
      </w:pPr>
      <w:r>
        <w:rPr>
          <w:rFonts w:hint="eastAsia" w:ascii="Calibri" w:hAnsi="Calibri" w:eastAsia="仿宋_GB2312" w:cs="Calibri"/>
          <w:sz w:val="32"/>
          <w:szCs w:val="32"/>
        </w:rPr>
        <w:t>1）</w:t>
      </w:r>
      <w:r>
        <w:rPr>
          <w:rFonts w:hint="eastAsia" w:ascii="仿宋_GB2312" w:hAnsi="仿宋_GB2312" w:eastAsia="仿宋_GB2312" w:cs="仿宋_GB2312"/>
          <w:sz w:val="32"/>
          <w:szCs w:val="32"/>
        </w:rPr>
        <w:t>承担全面依法治县重大问题的政策研究，协调有关方面提出全面依法治县中长期规划建议，负责有关重大政策部署督察工作。负责开展依法治县和法治政府建设考核工作。</w:t>
      </w:r>
    </w:p>
    <w:p w14:paraId="69F7DAF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2）贯彻执行国家、省、市有关司法行政的方针、政策和法律法规；拟定全县司法行政工作发展中、长期规划和年度计划并监督实施。</w:t>
      </w:r>
    </w:p>
    <w:p w14:paraId="7D9021E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050C0AD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4E16F10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5）督促指导县直有关单位规范政府合同管理，负责县政府重大投资项目合同的起草或审核。</w:t>
      </w:r>
    </w:p>
    <w:p w14:paraId="42D26C0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6）承担统筹规划全县法治社会建设的责任。负责拟订法治宣传教育规划，组织实施普法宣传工作，组织对外</w:t>
      </w:r>
      <w:r>
        <w:rPr>
          <w:rFonts w:hint="eastAsia" w:ascii="仿宋_GB2312" w:hAnsi="仿宋_GB2312" w:eastAsia="仿宋_GB2312" w:cs="仿宋_GB2312"/>
          <w:sz w:val="32"/>
          <w:szCs w:val="32"/>
          <w:lang w:eastAsia="zh-CN"/>
        </w:rPr>
        <w:t>法治</w:t>
      </w:r>
      <w:r>
        <w:rPr>
          <w:rFonts w:hint="eastAsia" w:ascii="仿宋_GB2312" w:hAnsi="仿宋_GB2312" w:eastAsia="仿宋_GB2312" w:cs="仿宋_GB2312"/>
          <w:sz w:val="32"/>
          <w:szCs w:val="32"/>
        </w:rPr>
        <w:t>宣传。组织县政府常务会议学法活动。推动人民参与和促进法治建设。指导依法治理和法治创建工作。指导监督人民调解工作和人民陪审员、人民监督员选任管理工作，推进司法所建设。</w:t>
      </w:r>
    </w:p>
    <w:p w14:paraId="1B56641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7）指导管理全县社区矫正工作；指导全县刑满释放人员的安置帮教工作。</w:t>
      </w:r>
    </w:p>
    <w:p w14:paraId="616DAA9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8）负责拟订公共法律服务体系建设规划并指导实施，统筹和布局城乡、区域法律服务资源。指导、监督、管理律师、法律援助、司法鉴定、公证、仲裁和基层法律服务工作。</w:t>
      </w:r>
    </w:p>
    <w:p w14:paraId="63620B7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9）负责全县法治对外合作工作。组织开展法治对外合作交流。</w:t>
      </w:r>
    </w:p>
    <w:p w14:paraId="65F2E2B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10）负责本系统服装和警车管理工作，指导、监督本系统财务、装备、设施、场所等保障工作。</w:t>
      </w:r>
    </w:p>
    <w:p w14:paraId="392846B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11）规划、协调、指导法治人才队伍建设相关工作。指导、监督本系统队伍建设。</w:t>
      </w:r>
    </w:p>
    <w:p w14:paraId="3D8C468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12）完成县委、县人民政府交办的其他事项。</w:t>
      </w:r>
    </w:p>
    <w:p w14:paraId="423660A8">
      <w:pPr>
        <w:pStyle w:val="22"/>
        <w:widowControl/>
        <w:numPr>
          <w:ilvl w:val="0"/>
          <w:numId w:val="2"/>
        </w:numPr>
        <w:spacing w:line="600" w:lineRule="exact"/>
        <w:ind w:firstLineChars="0"/>
        <w:rPr>
          <w:rFonts w:ascii="仿宋" w:hAnsi="仿宋" w:eastAsia="仿宋"/>
          <w:bCs/>
          <w:kern w:val="0"/>
          <w:sz w:val="32"/>
          <w:szCs w:val="32"/>
        </w:rPr>
      </w:pPr>
      <w:r>
        <w:rPr>
          <w:rFonts w:hint="eastAsia" w:ascii="仿宋" w:hAnsi="仿宋" w:eastAsia="仿宋"/>
          <w:bCs/>
          <w:kern w:val="0"/>
          <w:sz w:val="32"/>
          <w:szCs w:val="32"/>
        </w:rPr>
        <w:t>机构设置及决算单位构成</w:t>
      </w:r>
    </w:p>
    <w:p w14:paraId="782250DE">
      <w:pPr>
        <w:snapToGrid w:val="0"/>
        <w:spacing w:line="520" w:lineRule="exact"/>
        <w:rPr>
          <w:rFonts w:ascii="仿宋_GB2312" w:hAnsi="仿宋_GB2312" w:eastAsia="仿宋_GB2312" w:cs="仿宋_GB2312"/>
          <w:sz w:val="32"/>
          <w:szCs w:val="32"/>
        </w:rPr>
      </w:pPr>
      <w:r>
        <w:rPr>
          <w:rFonts w:hint="eastAsia" w:ascii="仿宋" w:hAnsi="仿宋" w:eastAsia="仿宋"/>
          <w:bCs/>
          <w:kern w:val="0"/>
          <w:sz w:val="32"/>
          <w:szCs w:val="32"/>
        </w:rPr>
        <w:t xml:space="preserve">  （一）内设机构设置。</w:t>
      </w:r>
      <w:r>
        <w:rPr>
          <w:rFonts w:hint="eastAsia" w:ascii="仿宋_GB2312" w:hAnsi="仿宋_GB2312" w:eastAsia="仿宋_GB2312" w:cs="仿宋_GB2312"/>
          <w:sz w:val="32"/>
          <w:szCs w:val="32"/>
        </w:rPr>
        <w:t>经湘潭县机构编制委员会办公室审核，湘潭县委、县政府批准，湘潭县司法局内设机构13个，即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分乡镇派驻设立17个基层司法所（副科级）；所辖2个下属单位即湘潭县人民政府法律顾问工作室（公益一类、副科级、全额拨款）和湖南省湘潭县公证处（经营性事业单位、自收自支）。</w:t>
      </w:r>
    </w:p>
    <w:p w14:paraId="6F888C63">
      <w:pPr>
        <w:widowControl/>
        <w:spacing w:line="600" w:lineRule="exact"/>
        <w:ind w:firstLine="480" w:firstLineChars="150"/>
        <w:rPr>
          <w:rFonts w:ascii="黑体" w:hAnsi="黑体" w:eastAsia="黑体"/>
          <w:sz w:val="28"/>
          <w:szCs w:val="28"/>
        </w:rPr>
      </w:pPr>
      <w:r>
        <w:rPr>
          <w:rFonts w:hint="eastAsia" w:ascii="仿宋" w:hAnsi="仿宋" w:eastAsia="仿宋"/>
          <w:bCs/>
          <w:kern w:val="0"/>
          <w:sz w:val="32"/>
          <w:szCs w:val="32"/>
        </w:rPr>
        <w:t>（二）决算单位构成。湘潭县司法局单位</w:t>
      </w:r>
      <w:r>
        <w:rPr>
          <w:rFonts w:ascii="仿宋" w:hAnsi="仿宋" w:eastAsia="仿宋"/>
          <w:bCs/>
          <w:kern w:val="0"/>
          <w:sz w:val="32"/>
          <w:szCs w:val="32"/>
        </w:rPr>
        <w:t>2019</w:t>
      </w:r>
      <w:r>
        <w:rPr>
          <w:rFonts w:hint="eastAsia" w:ascii="仿宋" w:hAnsi="仿宋" w:eastAsia="仿宋"/>
          <w:bCs/>
          <w:kern w:val="0"/>
          <w:sz w:val="32"/>
          <w:szCs w:val="32"/>
        </w:rPr>
        <w:t>年部门决算汇总公开单位构成包括：</w:t>
      </w:r>
      <w:r>
        <w:rPr>
          <w:rFonts w:hint="eastAsia" w:ascii="仿宋_GB2312" w:hAnsi="仿宋_GB2312" w:eastAsia="仿宋_GB2312" w:cs="仿宋_GB2312"/>
          <w:sz w:val="32"/>
          <w:szCs w:val="32"/>
        </w:rPr>
        <w:t>司法局13个内设机构和法律顾问工作室及17个基层司法所，不包括公证处。</w:t>
      </w:r>
    </w:p>
    <w:p w14:paraId="2A46EE5D">
      <w:pPr>
        <w:jc w:val="center"/>
        <w:rPr>
          <w:rFonts w:ascii="黑体" w:hAnsi="黑体" w:eastAsia="黑体"/>
          <w:sz w:val="28"/>
          <w:szCs w:val="28"/>
        </w:rPr>
      </w:pPr>
    </w:p>
    <w:p w14:paraId="14CD9BBA">
      <w:pPr>
        <w:jc w:val="center"/>
        <w:rPr>
          <w:rFonts w:ascii="黑体" w:hAnsi="黑体" w:eastAsia="黑体"/>
          <w:sz w:val="28"/>
          <w:szCs w:val="28"/>
        </w:rPr>
      </w:pPr>
    </w:p>
    <w:p w14:paraId="14EDF917">
      <w:pPr>
        <w:jc w:val="center"/>
        <w:rPr>
          <w:rFonts w:ascii="黑体" w:hAnsi="黑体" w:eastAsia="黑体"/>
          <w:sz w:val="28"/>
          <w:szCs w:val="28"/>
        </w:rPr>
      </w:pPr>
    </w:p>
    <w:p w14:paraId="06ACBF6F">
      <w:pPr>
        <w:ind w:firstLine="2520" w:firstLineChars="350"/>
        <w:rPr>
          <w:sz w:val="72"/>
          <w:szCs w:val="72"/>
        </w:rPr>
      </w:pPr>
    </w:p>
    <w:p w14:paraId="0EB63BD4">
      <w:pPr>
        <w:ind w:firstLine="2520" w:firstLineChars="350"/>
        <w:rPr>
          <w:sz w:val="72"/>
          <w:szCs w:val="72"/>
        </w:rPr>
      </w:pPr>
    </w:p>
    <w:p w14:paraId="305A75DE">
      <w:pPr>
        <w:ind w:firstLine="2520" w:firstLineChars="350"/>
        <w:rPr>
          <w:sz w:val="72"/>
          <w:szCs w:val="72"/>
        </w:rPr>
      </w:pPr>
    </w:p>
    <w:p w14:paraId="747A5A03">
      <w:pPr>
        <w:ind w:firstLine="2520" w:firstLineChars="350"/>
        <w:rPr>
          <w:sz w:val="72"/>
          <w:szCs w:val="72"/>
        </w:rPr>
      </w:pPr>
    </w:p>
    <w:p w14:paraId="1B631EA1">
      <w:pPr>
        <w:ind w:firstLine="2520" w:firstLineChars="350"/>
        <w:rPr>
          <w:sz w:val="72"/>
          <w:szCs w:val="72"/>
        </w:rPr>
      </w:pPr>
    </w:p>
    <w:p w14:paraId="69834199">
      <w:pPr>
        <w:ind w:firstLine="2520" w:firstLineChars="350"/>
        <w:rPr>
          <w:sz w:val="72"/>
          <w:szCs w:val="72"/>
        </w:rPr>
      </w:pPr>
      <w:r>
        <w:rPr>
          <w:rFonts w:hint="eastAsia"/>
          <w:sz w:val="72"/>
          <w:szCs w:val="72"/>
        </w:rPr>
        <w:t xml:space="preserve">第二部分 </w:t>
      </w:r>
    </w:p>
    <w:p w14:paraId="5A6D7187">
      <w:pPr>
        <w:jc w:val="center"/>
        <w:rPr>
          <w:sz w:val="72"/>
          <w:szCs w:val="72"/>
        </w:rPr>
      </w:pPr>
    </w:p>
    <w:p w14:paraId="79345198">
      <w:pPr>
        <w:jc w:val="center"/>
        <w:rPr>
          <w:sz w:val="72"/>
          <w:szCs w:val="72"/>
        </w:rPr>
      </w:pPr>
      <w:r>
        <w:rPr>
          <w:rFonts w:hint="eastAsia"/>
          <w:sz w:val="72"/>
          <w:szCs w:val="72"/>
        </w:rPr>
        <w:t>部门决算表</w:t>
      </w:r>
    </w:p>
    <w:p w14:paraId="2550FF20">
      <w:pPr>
        <w:jc w:val="left"/>
        <w:rPr>
          <w:rFonts w:ascii="宋体"/>
          <w:sz w:val="32"/>
          <w:szCs w:val="32"/>
        </w:rPr>
        <w:sectPr>
          <w:pgSz w:w="11906" w:h="16838"/>
          <w:pgMar w:top="1440" w:right="1800" w:bottom="1440" w:left="1800" w:header="851" w:footer="992" w:gutter="0"/>
          <w:cols w:space="425" w:num="1"/>
          <w:docGrid w:type="lines" w:linePitch="312" w:charSpace="0"/>
        </w:sectPr>
      </w:pPr>
    </w:p>
    <w:p w14:paraId="42CD8AA1">
      <w:pP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r>
        <w:rPr>
          <w:rFonts w:ascii="黑体" w:hAnsi="黑体" w:eastAsia="黑体"/>
          <w:sz w:val="28"/>
          <w:szCs w:val="28"/>
        </w:rPr>
        <w:object>
          <v:shape id="_x0000_i1025" o:spt="75" type="#_x0000_t75" style="height:403.95pt;width:713.45pt;" o:ole="t" filled="f" o:preferrelative="t" stroked="f" coordsize="21600,21600">
            <v:path/>
            <v:fill on="f" focussize="0,0"/>
            <v:stroke on="f" joinstyle="miter"/>
            <v:imagedata r:id="rId7" o:title=""/>
            <o:lock v:ext="edit" aspectratio="t"/>
            <w10:wrap type="none"/>
            <w10:anchorlock/>
          </v:shape>
          <o:OLEObject Type="Embed" ProgID="Excel.Sheet.8" ShapeID="_x0000_i1025" DrawAspect="Content" ObjectID="_1468075725" r:id="rId6">
            <o:LockedField>false</o:LockedField>
          </o:OLEObject>
        </w:object>
      </w:r>
    </w:p>
    <w:tbl>
      <w:tblPr>
        <w:tblStyle w:val="9"/>
        <w:tblW w:w="7696" w:type="dxa"/>
        <w:tblInd w:w="93" w:type="dxa"/>
        <w:tblLayout w:type="autofit"/>
        <w:tblCellMar>
          <w:top w:w="0" w:type="dxa"/>
          <w:left w:w="108" w:type="dxa"/>
          <w:bottom w:w="0" w:type="dxa"/>
          <w:right w:w="108" w:type="dxa"/>
        </w:tblCellMar>
      </w:tblPr>
      <w:tblGrid>
        <w:gridCol w:w="1275"/>
        <w:gridCol w:w="1134"/>
        <w:gridCol w:w="1134"/>
        <w:gridCol w:w="4153"/>
      </w:tblGrid>
      <w:tr w14:paraId="314D0093">
        <w:tblPrEx>
          <w:tblCellMar>
            <w:top w:w="0" w:type="dxa"/>
            <w:left w:w="108" w:type="dxa"/>
            <w:bottom w:w="0" w:type="dxa"/>
            <w:right w:w="108" w:type="dxa"/>
          </w:tblCellMar>
        </w:tblPrEx>
        <w:trPr>
          <w:trHeight w:val="390" w:hRule="atLeast"/>
        </w:trPr>
        <w:tc>
          <w:tcPr>
            <w:tcW w:w="1275" w:type="dxa"/>
            <w:tcBorders>
              <w:top w:val="nil"/>
              <w:left w:val="nil"/>
              <w:bottom w:val="nil"/>
              <w:right w:val="nil"/>
            </w:tcBorders>
            <w:shd w:val="clear" w:color="auto" w:fill="auto"/>
            <w:noWrap/>
            <w:vAlign w:val="bottom"/>
          </w:tcPr>
          <w:p w14:paraId="2A5385A5">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14:paraId="51FFE569">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14:paraId="70FF92D3">
            <w:pPr>
              <w:widowControl/>
              <w:jc w:val="left"/>
              <w:rPr>
                <w:rFonts w:ascii="Arial" w:hAnsi="Arial" w:cs="Arial"/>
                <w:color w:val="000000"/>
                <w:kern w:val="0"/>
                <w:sz w:val="20"/>
                <w:szCs w:val="20"/>
              </w:rPr>
            </w:pPr>
          </w:p>
        </w:tc>
        <w:tc>
          <w:tcPr>
            <w:tcW w:w="4153" w:type="dxa"/>
            <w:tcBorders>
              <w:top w:val="nil"/>
              <w:left w:val="nil"/>
              <w:bottom w:val="nil"/>
              <w:right w:val="nil"/>
            </w:tcBorders>
            <w:shd w:val="clear" w:color="auto" w:fill="auto"/>
            <w:noWrap/>
            <w:vAlign w:val="bottom"/>
          </w:tcPr>
          <w:p w14:paraId="6E934FF7">
            <w:pPr>
              <w:widowControl/>
              <w:jc w:val="left"/>
              <w:rPr>
                <w:rFonts w:ascii="Arial" w:hAnsi="Arial" w:cs="Arial"/>
                <w:color w:val="000000"/>
                <w:kern w:val="0"/>
                <w:sz w:val="20"/>
                <w:szCs w:val="20"/>
              </w:rPr>
            </w:pPr>
          </w:p>
        </w:tc>
      </w:tr>
    </w:tbl>
    <w:p w14:paraId="285146E2">
      <w:pPr>
        <w:widowControl/>
        <w:jc w:val="left"/>
        <w:rPr>
          <w:rFonts w:eastAsia="黑体"/>
          <w:bCs/>
          <w:kern w:val="0"/>
          <w:sz w:val="32"/>
          <w:szCs w:val="32"/>
        </w:rPr>
      </w:pPr>
      <w:r>
        <w:rPr>
          <w:rFonts w:eastAsia="黑体"/>
          <w:bCs/>
          <w:kern w:val="0"/>
          <w:sz w:val="32"/>
          <w:szCs w:val="32"/>
        </w:rPr>
        <w:object>
          <v:shape id="_x0000_i1026" o:spt="75" type="#_x0000_t75" style="height:470.35pt;width:761.15pt;" o:ole="t" filled="f" o:preferrelative="t" stroked="f" coordsize="21600,21600">
            <v:path/>
            <v:fill on="f" focussize="0,0"/>
            <v:stroke on="f" joinstyle="miter"/>
            <v:imagedata r:id="rId9" o:title=""/>
            <o:lock v:ext="edit" aspectratio="t"/>
            <w10:wrap type="none"/>
            <w10:anchorlock/>
          </v:shape>
          <o:OLEObject Type="Embed" ProgID="Excel.Sheet.8" ShapeID="_x0000_i1026" DrawAspect="Content" ObjectID="_1468075726" r:id="rId8">
            <o:LockedField>false</o:LockedField>
          </o:OLEObject>
        </w:object>
      </w:r>
    </w:p>
    <w:p w14:paraId="69E0EA1C">
      <w:pPr>
        <w:widowControl/>
        <w:jc w:val="left"/>
        <w:rPr>
          <w:rFonts w:eastAsia="黑体"/>
          <w:bCs/>
          <w:kern w:val="0"/>
          <w:sz w:val="32"/>
          <w:szCs w:val="32"/>
        </w:rPr>
      </w:pPr>
      <w:r>
        <w:rPr>
          <w:rFonts w:eastAsia="黑体"/>
          <w:bCs/>
          <w:kern w:val="0"/>
          <w:sz w:val="32"/>
          <w:szCs w:val="32"/>
        </w:rPr>
        <w:br w:type="page"/>
      </w:r>
    </w:p>
    <w:p w14:paraId="0B9BBD93">
      <w:pPr>
        <w:widowControl/>
        <w:jc w:val="left"/>
        <w:rPr>
          <w:rFonts w:eastAsia="仿宋_GB2312"/>
          <w:bCs/>
          <w:kern w:val="0"/>
        </w:rPr>
      </w:pPr>
    </w:p>
    <w:p w14:paraId="3CE07F30">
      <w:pPr>
        <w:widowControl/>
        <w:jc w:val="left"/>
        <w:rPr>
          <w:rFonts w:eastAsia="仿宋_GB2312"/>
          <w:bCs/>
          <w:kern w:val="0"/>
        </w:rPr>
      </w:pPr>
    </w:p>
    <w:p w14:paraId="62C20A04">
      <w:pPr>
        <w:widowControl/>
        <w:jc w:val="left"/>
        <w:rPr>
          <w:rFonts w:eastAsia="仿宋_GB2312"/>
          <w:bCs/>
          <w:kern w:val="0"/>
        </w:rPr>
      </w:pPr>
      <w:r>
        <w:rPr>
          <w:rFonts w:eastAsia="仿宋_GB2312"/>
          <w:bCs/>
          <w:kern w:val="0"/>
        </w:rPr>
        <w:drawing>
          <wp:inline distT="0" distB="0" distL="114300" distR="114300">
            <wp:extent cx="9939655" cy="5628640"/>
            <wp:effectExtent l="0" t="0" r="4445" b="1016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0"/>
                    <a:stretch>
                      <a:fillRect/>
                    </a:stretch>
                  </pic:blipFill>
                  <pic:spPr>
                    <a:xfrm>
                      <a:off x="0" y="0"/>
                      <a:ext cx="9939655" cy="5628640"/>
                    </a:xfrm>
                    <a:prstGeom prst="rect">
                      <a:avLst/>
                    </a:prstGeom>
                    <a:noFill/>
                    <a:ln>
                      <a:noFill/>
                    </a:ln>
                  </pic:spPr>
                </pic:pic>
              </a:graphicData>
            </a:graphic>
          </wp:inline>
        </w:drawing>
      </w:r>
      <w:r>
        <w:rPr>
          <w:rFonts w:eastAsia="仿宋_GB2312"/>
          <w:bCs/>
          <w:kern w:val="0"/>
        </w:rPr>
        <w:br w:type="page"/>
      </w:r>
    </w:p>
    <w:p w14:paraId="35983624">
      <w:pPr>
        <w:widowControl/>
        <w:jc w:val="left"/>
        <w:rPr>
          <w:rFonts w:eastAsia="仿宋_GB2312"/>
          <w:kern w:val="0"/>
        </w:rPr>
      </w:pPr>
      <w:r>
        <w:rPr>
          <w:rFonts w:eastAsia="仿宋_GB2312"/>
          <w:kern w:val="0"/>
        </w:rPr>
        <w:object>
          <v:shape id="_x0000_i1027" o:spt="75" type="#_x0000_t75" style="height:505.85pt;width:762.1pt;" o:ole="t" filled="f" o:preferrelative="t" stroked="f" coordsize="21600,21600">
            <v:path/>
            <v:fill on="f" focussize="0,0"/>
            <v:stroke on="f" joinstyle="miter"/>
            <v:imagedata r:id="rId12" o:title=""/>
            <o:lock v:ext="edit" aspectratio="t"/>
            <w10:wrap type="none"/>
            <w10:anchorlock/>
          </v:shape>
          <o:OLEObject Type="Embed" ProgID="Excel.Sheet.8" ShapeID="_x0000_i1027" DrawAspect="Content" ObjectID="_1468075727" r:id="rId11">
            <o:LockedField>false</o:LockedField>
          </o:OLEObject>
        </w:object>
      </w:r>
      <w:r>
        <w:rPr>
          <w:rFonts w:eastAsia="仿宋_GB2312"/>
          <w:kern w:val="0"/>
        </w:rPr>
        <w:br w:type="page"/>
      </w:r>
    </w:p>
    <w:p w14:paraId="36F3648A">
      <w:pPr>
        <w:widowControl/>
        <w:jc w:val="left"/>
        <w:rPr>
          <w:rFonts w:eastAsia="仿宋_GB2312"/>
          <w:bCs/>
          <w:kern w:val="0"/>
        </w:rPr>
      </w:pPr>
    </w:p>
    <w:p w14:paraId="33DF040E">
      <w:pPr>
        <w:widowControl/>
        <w:jc w:val="left"/>
        <w:rPr>
          <w:rFonts w:eastAsia="仿宋_GB2312"/>
          <w:bCs/>
          <w:kern w:val="0"/>
        </w:rPr>
      </w:pPr>
      <w:r>
        <w:rPr>
          <w:rFonts w:eastAsia="仿宋_GB2312"/>
          <w:bCs/>
          <w:kern w:val="0"/>
        </w:rPr>
        <w:object>
          <v:shape id="_x0000_i1028" o:spt="75" type="#_x0000_t75" style="height:449.75pt;width:700.35pt;" o:ole="t" filled="f" o:preferrelative="t" stroked="f" coordsize="21600,21600">
            <v:path/>
            <v:fill on="f" focussize="0,0"/>
            <v:stroke on="f" joinstyle="miter"/>
            <v:imagedata r:id="rId14" o:title=""/>
            <o:lock v:ext="edit" aspectratio="t"/>
            <w10:wrap type="none"/>
            <w10:anchorlock/>
          </v:shape>
          <o:OLEObject Type="Embed" ProgID="Excel.Sheet.8" ShapeID="_x0000_i1028" DrawAspect="Content" ObjectID="_1468075728" r:id="rId13">
            <o:LockedField>false</o:LockedField>
          </o:OLEObject>
        </w:object>
      </w:r>
      <w:r>
        <w:rPr>
          <w:rFonts w:eastAsia="仿宋_GB2312"/>
          <w:bCs/>
          <w:kern w:val="0"/>
        </w:rPr>
        <w:br w:type="page"/>
      </w:r>
    </w:p>
    <w:p w14:paraId="4E1A1960">
      <w:pPr>
        <w:widowControl/>
        <w:jc w:val="left"/>
        <w:rPr>
          <w:rFonts w:ascii="黑体" w:hAnsi="黑体" w:eastAsia="黑体"/>
        </w:rPr>
      </w:pPr>
      <w:r>
        <w:rPr>
          <w:rFonts w:ascii="黑体" w:hAnsi="黑体" w:eastAsia="黑体"/>
        </w:rPr>
        <w:object>
          <v:shape id="_x0000_i1029" o:spt="75" type="#_x0000_t75" style="height:488.1pt;width:779.85pt;" o:ole="t" filled="f" o:preferrelative="t" stroked="f" coordsize="21600,21600">
            <v:path/>
            <v:fill on="f" focussize="0,0"/>
            <v:stroke on="f" joinstyle="miter"/>
            <v:imagedata r:id="rId16" o:title=""/>
            <o:lock v:ext="edit" aspectratio="t"/>
            <w10:wrap type="none"/>
            <w10:anchorlock/>
          </v:shape>
          <o:OLEObject Type="Embed" ProgID="Excel.Sheet.8" ShapeID="_x0000_i1029" DrawAspect="Content" ObjectID="_1468075729" r:id="rId15">
            <o:LockedField>false</o:LockedField>
          </o:OLEObject>
        </w:object>
      </w:r>
      <w:r>
        <w:rPr>
          <w:rFonts w:ascii="黑体" w:hAnsi="黑体" w:eastAsia="黑体"/>
        </w:rPr>
        <w:br w:type="page"/>
      </w:r>
    </w:p>
    <w:p w14:paraId="66FFA4A3">
      <w:pPr>
        <w:widowControl/>
        <w:jc w:val="left"/>
        <w:rPr>
          <w:rFonts w:ascii="宋体" w:cs="宋体"/>
          <w:kern w:val="0"/>
          <w:sz w:val="24"/>
          <w:szCs w:val="24"/>
        </w:rPr>
      </w:pPr>
      <w:r>
        <w:rPr>
          <w:szCs w:val="24"/>
        </w:rPr>
        <w:drawing>
          <wp:inline distT="0" distB="0" distL="0" distR="0">
            <wp:extent cx="9777730" cy="2098675"/>
            <wp:effectExtent l="0" t="0" r="13970" b="158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7" cstate="print"/>
                    <a:srcRect/>
                    <a:stretch>
                      <a:fillRect/>
                    </a:stretch>
                  </pic:blipFill>
                  <pic:spPr>
                    <a:xfrm>
                      <a:off x="0" y="0"/>
                      <a:ext cx="9777730" cy="2098675"/>
                    </a:xfrm>
                    <a:prstGeom prst="rect">
                      <a:avLst/>
                    </a:prstGeom>
                    <a:noFill/>
                    <a:ln w="9525">
                      <a:noFill/>
                      <a:miter lim="800000"/>
                      <a:headEnd/>
                      <a:tailEnd/>
                    </a:ln>
                  </pic:spPr>
                </pic:pic>
              </a:graphicData>
            </a:graphic>
          </wp:inline>
        </w:drawing>
      </w:r>
    </w:p>
    <w:p w14:paraId="7B107DF6">
      <w:pPr>
        <w:widowControl/>
        <w:jc w:val="left"/>
        <w:rPr>
          <w:rFonts w:ascii="宋体" w:cs="宋体"/>
          <w:kern w:val="0"/>
          <w:sz w:val="24"/>
          <w:szCs w:val="24"/>
        </w:rPr>
      </w:pPr>
    </w:p>
    <w:p w14:paraId="1C319F8A">
      <w:pPr>
        <w:autoSpaceDE w:val="0"/>
        <w:autoSpaceDN w:val="0"/>
        <w:adjustRightInd w:val="0"/>
        <w:ind w:left="315" w:leftChars="150"/>
        <w:jc w:val="left"/>
        <w:rPr>
          <w:rFonts w:ascii="宋体" w:cs="宋体"/>
          <w:kern w:val="0"/>
          <w:sz w:val="24"/>
          <w:szCs w:val="24"/>
        </w:rPr>
      </w:pPr>
    </w:p>
    <w:p w14:paraId="645BEB1E">
      <w:pPr>
        <w:widowControl/>
        <w:jc w:val="left"/>
        <w:rPr>
          <w:rFonts w:eastAsia="仿宋_GB2312"/>
          <w:kern w:val="0"/>
        </w:rPr>
      </w:pPr>
      <w:r>
        <w:rPr>
          <w:rFonts w:eastAsia="仿宋_GB2312"/>
          <w:kern w:val="0"/>
        </w:rPr>
        <w:object>
          <v:shape id="_x0000_i1030" o:spt="75" type="#_x0000_t75" style="height:252.45pt;width:769.55pt;" o:ole="t" filled="f" o:preferrelative="t" stroked="f" coordsize="21600,21600">
            <v:path/>
            <v:fill on="f" focussize="0,0"/>
            <v:stroke on="f" joinstyle="miter"/>
            <v:imagedata r:id="rId19" o:title=""/>
            <o:lock v:ext="edit" aspectratio="t"/>
            <w10:wrap type="none"/>
            <w10:anchorlock/>
          </v:shape>
          <o:OLEObject Type="Embed" ProgID="Excel.Sheet.8" ShapeID="_x0000_i1030" DrawAspect="Content" ObjectID="_1468075730" r:id="rId18">
            <o:LockedField>false</o:LockedField>
          </o:OLEObject>
        </w:object>
      </w:r>
    </w:p>
    <w:p w14:paraId="52177E9C">
      <w:pPr>
        <w:widowControl/>
        <w:jc w:val="left"/>
        <w:rPr>
          <w:rFonts w:ascii="黑体" w:hAnsi="黑体" w:eastAsia="黑体"/>
        </w:rPr>
      </w:pPr>
    </w:p>
    <w:p w14:paraId="40ECA3E7">
      <w:pPr>
        <w:pStyle w:val="20"/>
        <w:rPr>
          <w:sz w:val="72"/>
          <w:szCs w:val="72"/>
        </w:rPr>
        <w:sectPr>
          <w:pgSz w:w="16838" w:h="11906" w:orient="landscape"/>
          <w:pgMar w:top="720" w:right="720" w:bottom="720" w:left="720" w:header="851" w:footer="992" w:gutter="0"/>
          <w:cols w:space="425" w:num="1"/>
          <w:docGrid w:type="lines" w:linePitch="312" w:charSpace="0"/>
        </w:sectPr>
      </w:pPr>
      <w:r>
        <w:rPr>
          <w:rFonts w:hint="eastAsia" w:eastAsia="仿宋_GB2312"/>
        </w:rPr>
        <w:t>本单位没有政府性基金收入，也没有使用政府性基金安排的支出，故本表无数据</w:t>
      </w:r>
    </w:p>
    <w:p w14:paraId="4CE1B1D5">
      <w:pPr>
        <w:pStyle w:val="20"/>
        <w:rPr>
          <w:sz w:val="72"/>
          <w:szCs w:val="72"/>
        </w:rPr>
      </w:pPr>
    </w:p>
    <w:p w14:paraId="36F2420D">
      <w:pPr>
        <w:pStyle w:val="20"/>
        <w:rPr>
          <w:sz w:val="72"/>
          <w:szCs w:val="72"/>
        </w:rPr>
      </w:pPr>
    </w:p>
    <w:p w14:paraId="010D7E12">
      <w:pPr>
        <w:pStyle w:val="20"/>
        <w:rPr>
          <w:sz w:val="72"/>
          <w:szCs w:val="72"/>
        </w:rPr>
      </w:pPr>
    </w:p>
    <w:p w14:paraId="2FF20598">
      <w:pPr>
        <w:pStyle w:val="20"/>
        <w:rPr>
          <w:sz w:val="72"/>
          <w:szCs w:val="72"/>
        </w:rPr>
      </w:pPr>
    </w:p>
    <w:p w14:paraId="178F9BBE">
      <w:pPr>
        <w:pStyle w:val="20"/>
        <w:jc w:val="center"/>
        <w:rPr>
          <w:sz w:val="72"/>
          <w:szCs w:val="72"/>
        </w:rPr>
      </w:pPr>
    </w:p>
    <w:p w14:paraId="6F7BBAB8">
      <w:pPr>
        <w:pStyle w:val="20"/>
        <w:jc w:val="center"/>
        <w:rPr>
          <w:sz w:val="72"/>
          <w:szCs w:val="72"/>
        </w:rPr>
      </w:pPr>
    </w:p>
    <w:p w14:paraId="6688F207">
      <w:pPr>
        <w:pStyle w:val="20"/>
        <w:jc w:val="center"/>
        <w:rPr>
          <w:rFonts w:ascii="仿宋" w:hAnsi="仿宋" w:eastAsia="仿宋"/>
          <w:sz w:val="72"/>
          <w:szCs w:val="72"/>
        </w:rPr>
      </w:pPr>
      <w:r>
        <w:rPr>
          <w:rFonts w:hint="eastAsia" w:ascii="仿宋" w:hAnsi="仿宋" w:eastAsia="仿宋"/>
          <w:sz w:val="72"/>
          <w:szCs w:val="72"/>
        </w:rPr>
        <w:t>第三部分</w:t>
      </w:r>
    </w:p>
    <w:p w14:paraId="26AE16BF">
      <w:pPr>
        <w:pStyle w:val="20"/>
        <w:jc w:val="center"/>
        <w:rPr>
          <w:rFonts w:ascii="仿宋" w:hAnsi="仿宋" w:eastAsia="仿宋"/>
          <w:sz w:val="70"/>
          <w:szCs w:val="70"/>
        </w:rPr>
      </w:pPr>
    </w:p>
    <w:p w14:paraId="4296D4B4">
      <w:pPr>
        <w:pStyle w:val="20"/>
        <w:jc w:val="center"/>
        <w:rPr>
          <w:rFonts w:ascii="仿宋" w:hAnsi="仿宋" w:eastAsia="仿宋"/>
          <w:sz w:val="70"/>
          <w:szCs w:val="70"/>
        </w:rPr>
      </w:pPr>
      <w:r>
        <w:rPr>
          <w:rFonts w:ascii="仿宋" w:hAnsi="仿宋" w:eastAsia="仿宋"/>
          <w:sz w:val="70"/>
          <w:szCs w:val="70"/>
        </w:rPr>
        <w:t>2019</w:t>
      </w:r>
      <w:r>
        <w:rPr>
          <w:rFonts w:hint="eastAsia" w:ascii="仿宋" w:hAnsi="仿宋" w:eastAsia="仿宋"/>
          <w:sz w:val="70"/>
          <w:szCs w:val="70"/>
        </w:rPr>
        <w:t>年度部门决算情况</w:t>
      </w:r>
    </w:p>
    <w:p w14:paraId="69667F80">
      <w:pPr>
        <w:pStyle w:val="20"/>
        <w:jc w:val="center"/>
        <w:rPr>
          <w:rFonts w:ascii="仿宋" w:hAnsi="仿宋" w:eastAsia="仿宋"/>
          <w:sz w:val="70"/>
          <w:szCs w:val="70"/>
        </w:rPr>
      </w:pPr>
      <w:r>
        <w:rPr>
          <w:rFonts w:hint="eastAsia" w:ascii="仿宋" w:hAnsi="仿宋" w:eastAsia="仿宋"/>
          <w:sz w:val="70"/>
          <w:szCs w:val="70"/>
        </w:rPr>
        <w:t>说明</w:t>
      </w:r>
    </w:p>
    <w:p w14:paraId="24818796">
      <w:pPr>
        <w:widowControl/>
        <w:jc w:val="left"/>
        <w:rPr>
          <w:rFonts w:ascii="黑体" w:eastAsia="黑体" w:cs="黑体"/>
          <w:color w:val="000000"/>
          <w:kern w:val="0"/>
          <w:sz w:val="70"/>
          <w:szCs w:val="70"/>
        </w:rPr>
      </w:pPr>
      <w:r>
        <w:br w:type="page"/>
      </w:r>
    </w:p>
    <w:p w14:paraId="0CDD649E">
      <w:pPr>
        <w:pStyle w:val="20"/>
        <w:rPr>
          <w:rFonts w:ascii="仿宋" w:hAnsi="仿宋" w:eastAsia="仿宋"/>
          <w:b/>
          <w:sz w:val="32"/>
          <w:szCs w:val="32"/>
        </w:rPr>
      </w:pPr>
      <w:r>
        <w:rPr>
          <w:rFonts w:hint="eastAsia" w:ascii="仿宋" w:hAnsi="仿宋" w:eastAsia="仿宋"/>
          <w:b/>
          <w:sz w:val="32"/>
          <w:szCs w:val="32"/>
        </w:rPr>
        <w:t>一、收入支出决算总体情况说明</w:t>
      </w:r>
    </w:p>
    <w:p w14:paraId="0A33A68C">
      <w:pPr>
        <w:pStyle w:val="20"/>
        <w:ind w:firstLine="640" w:firstLineChars="200"/>
        <w:rPr>
          <w:rFonts w:ascii="仿宋_GB2312" w:hAnsi="仿宋_GB2312" w:eastAsia="仿宋_GB2312" w:cs="仿宋_GB2312"/>
          <w:sz w:val="32"/>
          <w:szCs w:val="32"/>
        </w:rPr>
      </w:pPr>
      <w:r>
        <w:rPr>
          <w:rFonts w:ascii="仿宋" w:hAnsi="仿宋" w:eastAsia="仿宋"/>
          <w:sz w:val="32"/>
          <w:szCs w:val="32"/>
        </w:rPr>
        <w:t xml:space="preserve">2019 </w:t>
      </w:r>
      <w:r>
        <w:rPr>
          <w:rFonts w:hint="eastAsia" w:ascii="仿宋" w:hAnsi="仿宋" w:eastAsia="仿宋"/>
          <w:sz w:val="32"/>
          <w:szCs w:val="32"/>
        </w:rPr>
        <w:t>年度收、支总计1877.36万元。与</w:t>
      </w:r>
      <w:r>
        <w:rPr>
          <w:rFonts w:ascii="仿宋" w:hAnsi="仿宋" w:eastAsia="仿宋"/>
          <w:sz w:val="32"/>
          <w:szCs w:val="32"/>
        </w:rPr>
        <w:t>2018</w:t>
      </w:r>
      <w:r>
        <w:rPr>
          <w:rFonts w:hint="eastAsia" w:ascii="仿宋" w:hAnsi="仿宋" w:eastAsia="仿宋"/>
          <w:sz w:val="32"/>
          <w:szCs w:val="32"/>
        </w:rPr>
        <w:t>年相比，增加154.22万元</w:t>
      </w:r>
      <w:r>
        <w:rPr>
          <w:rFonts w:ascii="仿宋" w:hAnsi="仿宋" w:eastAsia="仿宋"/>
          <w:sz w:val="32"/>
          <w:szCs w:val="32"/>
        </w:rPr>
        <w:t>,</w:t>
      </w:r>
      <w:r>
        <w:rPr>
          <w:rFonts w:hint="eastAsia" w:ascii="仿宋" w:hAnsi="仿宋" w:eastAsia="仿宋"/>
          <w:sz w:val="32"/>
          <w:szCs w:val="32"/>
        </w:rPr>
        <w:t>增长8.95</w:t>
      </w:r>
      <w:r>
        <w:rPr>
          <w:rFonts w:ascii="仿宋" w:hAnsi="仿宋" w:eastAsia="仿宋"/>
          <w:sz w:val="32"/>
          <w:szCs w:val="32"/>
        </w:rPr>
        <w:t>%</w:t>
      </w:r>
      <w:r>
        <w:rPr>
          <w:rFonts w:hint="eastAsia" w:ascii="仿宋" w:hAnsi="仿宋" w:eastAsia="仿宋"/>
          <w:sz w:val="32"/>
          <w:szCs w:val="32"/>
        </w:rPr>
        <w:t>，主要是因为</w:t>
      </w:r>
      <w:r>
        <w:rPr>
          <w:rFonts w:hint="eastAsia" w:ascii="仿宋_GB2312" w:hAnsi="仿宋_GB2312" w:eastAsia="仿宋_GB2312" w:cs="仿宋_GB2312"/>
          <w:sz w:val="32"/>
          <w:szCs w:val="32"/>
        </w:rPr>
        <w:t>人员经费的增加。</w:t>
      </w:r>
    </w:p>
    <w:p w14:paraId="0583321A">
      <w:pPr>
        <w:pStyle w:val="20"/>
        <w:rPr>
          <w:rFonts w:ascii="仿宋" w:hAnsi="仿宋" w:eastAsia="仿宋"/>
          <w:b/>
          <w:sz w:val="32"/>
          <w:szCs w:val="32"/>
        </w:rPr>
      </w:pPr>
      <w:r>
        <w:rPr>
          <w:rFonts w:hint="eastAsia" w:ascii="仿宋" w:hAnsi="仿宋" w:eastAsia="仿宋"/>
          <w:b/>
          <w:sz w:val="32"/>
          <w:szCs w:val="32"/>
        </w:rPr>
        <w:t>二、收入决算情况说明</w:t>
      </w:r>
    </w:p>
    <w:p w14:paraId="61BD5B1D">
      <w:pPr>
        <w:pStyle w:val="20"/>
        <w:ind w:firstLine="640" w:firstLineChars="200"/>
        <w:rPr>
          <w:rFonts w:ascii="仿宋" w:hAnsi="仿宋" w:eastAsia="仿宋"/>
          <w:color w:val="0D0D0D" w:themeColor="text1" w:themeTint="F2"/>
          <w:sz w:val="32"/>
          <w:szCs w:val="32"/>
          <w14:textFill>
            <w14:solidFill>
              <w14:schemeClr w14:val="tx1">
                <w14:lumMod w14:val="95000"/>
                <w14:lumOff w14:val="5000"/>
              </w14:schemeClr>
            </w14:solidFill>
          </w14:textFill>
        </w:rPr>
      </w:pPr>
      <w:r>
        <w:rPr>
          <w:rFonts w:hint="eastAsia" w:ascii="仿宋" w:hAnsi="仿宋" w:eastAsia="仿宋"/>
          <w:sz w:val="32"/>
          <w:szCs w:val="32"/>
        </w:rPr>
        <w:t>本年收入合计1877.36万元，其中：财政拨款收入1877.36万元</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，占100</w:t>
      </w:r>
      <w:r>
        <w:rPr>
          <w:rFonts w:ascii="仿宋" w:hAnsi="仿宋" w:eastAsia="仿宋"/>
          <w:color w:val="0D0D0D" w:themeColor="text1" w:themeTint="F2"/>
          <w:sz w:val="32"/>
          <w:szCs w:val="32"/>
          <w14:textFill>
            <w14:solidFill>
              <w14:schemeClr w14:val="tx1">
                <w14:lumMod w14:val="95000"/>
                <w14:lumOff w14:val="5000"/>
              </w14:schemeClr>
            </w14:solidFill>
          </w14:textFill>
        </w:rPr>
        <w:t>%</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w:t>
      </w:r>
    </w:p>
    <w:p w14:paraId="20778921">
      <w:pPr>
        <w:pStyle w:val="20"/>
        <w:rPr>
          <w:rFonts w:ascii="仿宋" w:hAnsi="仿宋" w:eastAsia="仿宋"/>
          <w:b/>
          <w:sz w:val="32"/>
          <w:szCs w:val="32"/>
        </w:rPr>
      </w:pPr>
      <w:r>
        <w:rPr>
          <w:rFonts w:hint="eastAsia" w:ascii="仿宋" w:hAnsi="仿宋" w:eastAsia="仿宋"/>
          <w:b/>
          <w:sz w:val="32"/>
          <w:szCs w:val="32"/>
        </w:rPr>
        <w:t>三、支出决算情况说明</w:t>
      </w:r>
    </w:p>
    <w:p w14:paraId="425242D8">
      <w:pPr>
        <w:pStyle w:val="20"/>
        <w:ind w:firstLine="640" w:firstLineChars="200"/>
        <w:rPr>
          <w:rFonts w:ascii="仿宋" w:hAnsi="仿宋" w:eastAsia="仿宋"/>
          <w:sz w:val="32"/>
          <w:szCs w:val="32"/>
        </w:rPr>
      </w:pPr>
      <w:r>
        <w:rPr>
          <w:rFonts w:hint="eastAsia" w:ascii="仿宋" w:hAnsi="仿宋" w:eastAsia="仿宋"/>
          <w:sz w:val="32"/>
          <w:szCs w:val="32"/>
        </w:rPr>
        <w:t>本年支出合计1877.36万元，其中：基本支出1586.56万元，占84.5</w:t>
      </w:r>
      <w:r>
        <w:rPr>
          <w:rFonts w:ascii="仿宋" w:hAnsi="仿宋" w:eastAsia="仿宋"/>
          <w:sz w:val="32"/>
          <w:szCs w:val="32"/>
        </w:rPr>
        <w:t>%</w:t>
      </w:r>
      <w:r>
        <w:rPr>
          <w:rFonts w:hint="eastAsia" w:ascii="仿宋" w:hAnsi="仿宋" w:eastAsia="仿宋"/>
          <w:sz w:val="32"/>
          <w:szCs w:val="32"/>
        </w:rPr>
        <w:t>；项目支出290.8万元，占15.5</w:t>
      </w:r>
      <w:r>
        <w:rPr>
          <w:rFonts w:ascii="仿宋" w:hAnsi="仿宋" w:eastAsia="仿宋"/>
          <w:sz w:val="32"/>
          <w:szCs w:val="32"/>
        </w:rPr>
        <w:t>%</w:t>
      </w:r>
      <w:r>
        <w:rPr>
          <w:rFonts w:hint="eastAsia" w:ascii="仿宋" w:hAnsi="仿宋" w:eastAsia="仿宋"/>
          <w:sz w:val="32"/>
          <w:szCs w:val="32"/>
        </w:rPr>
        <w:t>。</w:t>
      </w:r>
    </w:p>
    <w:p w14:paraId="3B5305D6">
      <w:pPr>
        <w:pStyle w:val="20"/>
        <w:rPr>
          <w:rFonts w:ascii="仿宋" w:hAnsi="仿宋" w:eastAsia="仿宋"/>
          <w:b/>
          <w:sz w:val="32"/>
          <w:szCs w:val="32"/>
        </w:rPr>
      </w:pPr>
      <w:r>
        <w:rPr>
          <w:rFonts w:hint="eastAsia" w:ascii="仿宋" w:hAnsi="仿宋" w:eastAsia="仿宋"/>
          <w:b/>
          <w:sz w:val="32"/>
          <w:szCs w:val="32"/>
        </w:rPr>
        <w:t>四、财政拨款收入支出决算总体情况说明</w:t>
      </w:r>
    </w:p>
    <w:p w14:paraId="0EC43309">
      <w:pPr>
        <w:pStyle w:val="20"/>
        <w:ind w:firstLine="630"/>
        <w:rPr>
          <w:rFonts w:ascii="仿宋_GB2312" w:hAnsi="仿宋_GB2312" w:eastAsia="仿宋_GB2312" w:cs="仿宋_GB2312"/>
          <w:sz w:val="32"/>
          <w:szCs w:val="32"/>
        </w:rPr>
      </w:pPr>
      <w:r>
        <w:rPr>
          <w:rFonts w:ascii="仿宋" w:hAnsi="仿宋" w:eastAsia="仿宋"/>
          <w:sz w:val="32"/>
          <w:szCs w:val="32"/>
        </w:rPr>
        <w:t>2019</w:t>
      </w:r>
      <w:r>
        <w:rPr>
          <w:rFonts w:hint="eastAsia" w:ascii="仿宋" w:hAnsi="仿宋" w:eastAsia="仿宋"/>
          <w:sz w:val="32"/>
          <w:szCs w:val="32"/>
        </w:rPr>
        <w:t>年度财政拨款收、支总计1877.36万元，与</w:t>
      </w:r>
      <w:r>
        <w:rPr>
          <w:rFonts w:ascii="仿宋" w:hAnsi="仿宋" w:eastAsia="仿宋"/>
          <w:sz w:val="32"/>
          <w:szCs w:val="32"/>
        </w:rPr>
        <w:t>2018</w:t>
      </w:r>
      <w:r>
        <w:rPr>
          <w:rFonts w:hint="eastAsia" w:ascii="仿宋" w:hAnsi="仿宋" w:eastAsia="仿宋"/>
          <w:sz w:val="32"/>
          <w:szCs w:val="32"/>
        </w:rPr>
        <w:t>年相比，增加154.23万元</w:t>
      </w:r>
      <w:r>
        <w:rPr>
          <w:rFonts w:ascii="仿宋" w:hAnsi="仿宋" w:eastAsia="仿宋"/>
          <w:sz w:val="32"/>
          <w:szCs w:val="32"/>
        </w:rPr>
        <w:t>,</w:t>
      </w:r>
      <w:r>
        <w:rPr>
          <w:rFonts w:hint="eastAsia" w:ascii="仿宋" w:hAnsi="仿宋" w:eastAsia="仿宋"/>
          <w:sz w:val="32"/>
          <w:szCs w:val="32"/>
        </w:rPr>
        <w:t>增长8.95</w:t>
      </w:r>
      <w:r>
        <w:rPr>
          <w:rFonts w:ascii="仿宋" w:hAnsi="仿宋" w:eastAsia="仿宋"/>
          <w:sz w:val="32"/>
          <w:szCs w:val="32"/>
        </w:rPr>
        <w:t>%</w:t>
      </w:r>
      <w:r>
        <w:rPr>
          <w:rFonts w:hint="eastAsia" w:ascii="仿宋" w:hAnsi="仿宋" w:eastAsia="仿宋"/>
          <w:sz w:val="32"/>
          <w:szCs w:val="32"/>
        </w:rPr>
        <w:t>，主要是因为</w:t>
      </w:r>
      <w:r>
        <w:rPr>
          <w:rFonts w:hint="eastAsia" w:ascii="仿宋_GB2312" w:hAnsi="仿宋_GB2312" w:eastAsia="仿宋_GB2312" w:cs="仿宋_GB2312"/>
          <w:sz w:val="32"/>
          <w:szCs w:val="32"/>
        </w:rPr>
        <w:t>人员经费的增加。</w:t>
      </w:r>
    </w:p>
    <w:p w14:paraId="407CD440">
      <w:pPr>
        <w:pStyle w:val="20"/>
        <w:rPr>
          <w:rFonts w:ascii="仿宋" w:hAnsi="仿宋" w:eastAsia="仿宋"/>
          <w:b/>
          <w:sz w:val="32"/>
          <w:szCs w:val="32"/>
        </w:rPr>
      </w:pPr>
      <w:r>
        <w:rPr>
          <w:rFonts w:hint="eastAsia" w:ascii="仿宋" w:hAnsi="仿宋" w:eastAsia="仿宋"/>
          <w:b/>
          <w:sz w:val="32"/>
          <w:szCs w:val="32"/>
        </w:rPr>
        <w:t>五、结余情况</w:t>
      </w:r>
    </w:p>
    <w:p w14:paraId="26FD253A">
      <w:pPr>
        <w:pStyle w:val="20"/>
        <w:rPr>
          <w:rFonts w:ascii="仿宋" w:hAnsi="仿宋" w:eastAsia="仿宋"/>
          <w:sz w:val="32"/>
          <w:szCs w:val="32"/>
        </w:rPr>
      </w:pPr>
      <w:r>
        <w:rPr>
          <w:rFonts w:hint="eastAsia" w:ascii="仿宋_GB2312" w:hAnsi="仿宋_GB2312" w:eastAsia="仿宋_GB2312" w:cs="仿宋_GB2312"/>
          <w:sz w:val="32"/>
          <w:szCs w:val="32"/>
        </w:rPr>
        <w:t xml:space="preserve">    2018年结余资金28.2万元，2019年收支平衡，2019年年末结余28.2万元。</w:t>
      </w:r>
    </w:p>
    <w:p w14:paraId="1D14F531">
      <w:pPr>
        <w:pStyle w:val="20"/>
        <w:rPr>
          <w:rFonts w:ascii="仿宋" w:hAnsi="仿宋" w:eastAsia="仿宋"/>
          <w:b/>
          <w:sz w:val="32"/>
          <w:szCs w:val="32"/>
        </w:rPr>
      </w:pPr>
      <w:r>
        <w:rPr>
          <w:rFonts w:hint="eastAsia" w:ascii="仿宋" w:hAnsi="仿宋" w:eastAsia="仿宋"/>
          <w:b/>
          <w:sz w:val="32"/>
          <w:szCs w:val="32"/>
        </w:rPr>
        <w:t>六、一般公共预算财政拨款支出决算情况说明</w:t>
      </w:r>
    </w:p>
    <w:p w14:paraId="2A3DAECD">
      <w:pPr>
        <w:pStyle w:val="20"/>
        <w:rPr>
          <w:rFonts w:ascii="仿宋" w:hAnsi="仿宋" w:eastAsia="仿宋"/>
          <w:b/>
          <w:sz w:val="32"/>
          <w:szCs w:val="32"/>
        </w:rPr>
      </w:pPr>
      <w:r>
        <w:rPr>
          <w:rFonts w:hint="eastAsia" w:ascii="仿宋" w:hAnsi="仿宋" w:eastAsia="仿宋"/>
          <w:b/>
          <w:sz w:val="32"/>
          <w:szCs w:val="32"/>
        </w:rPr>
        <w:t>（一）财政拨款支出决算总体情况</w:t>
      </w:r>
    </w:p>
    <w:p w14:paraId="6EA64ACD">
      <w:pPr>
        <w:pStyle w:val="20"/>
        <w:ind w:firstLine="800" w:firstLineChars="250"/>
        <w:rPr>
          <w:rFonts w:ascii="仿宋_GB2312" w:hAnsi="仿宋_GB2312" w:eastAsia="仿宋_GB2312" w:cs="仿宋_GB2312"/>
          <w:sz w:val="32"/>
          <w:szCs w:val="32"/>
        </w:rPr>
      </w:pPr>
      <w:r>
        <w:rPr>
          <w:rFonts w:ascii="仿宋" w:hAnsi="仿宋" w:eastAsia="仿宋"/>
          <w:sz w:val="32"/>
          <w:szCs w:val="32"/>
        </w:rPr>
        <w:t>2019</w:t>
      </w:r>
      <w:r>
        <w:rPr>
          <w:rFonts w:hint="eastAsia" w:ascii="仿宋" w:hAnsi="仿宋" w:eastAsia="仿宋"/>
          <w:sz w:val="32"/>
          <w:szCs w:val="32"/>
        </w:rPr>
        <w:t>年度财政拨款支出1877.36万元，占本年支出合计的</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98.5%，</w:t>
      </w:r>
      <w:r>
        <w:rPr>
          <w:rFonts w:hint="eastAsia" w:ascii="仿宋" w:hAnsi="仿宋" w:eastAsia="仿宋"/>
          <w:sz w:val="32"/>
          <w:szCs w:val="32"/>
        </w:rPr>
        <w:t>与</w:t>
      </w:r>
      <w:r>
        <w:rPr>
          <w:rFonts w:ascii="仿宋" w:hAnsi="仿宋" w:eastAsia="仿宋"/>
          <w:sz w:val="32"/>
          <w:szCs w:val="32"/>
        </w:rPr>
        <w:t>2018</w:t>
      </w:r>
      <w:r>
        <w:rPr>
          <w:rFonts w:hint="eastAsia" w:ascii="仿宋" w:hAnsi="仿宋" w:eastAsia="仿宋"/>
          <w:sz w:val="32"/>
          <w:szCs w:val="32"/>
        </w:rPr>
        <w:t>年相比，财政拨款支出增加165.54万元，增长9.67%，主要是因为</w:t>
      </w:r>
      <w:r>
        <w:rPr>
          <w:rFonts w:hint="eastAsia" w:ascii="仿宋_GB2312" w:hAnsi="仿宋_GB2312" w:eastAsia="仿宋_GB2312" w:cs="仿宋_GB2312"/>
          <w:sz w:val="32"/>
          <w:szCs w:val="32"/>
        </w:rPr>
        <w:t>人员经费的增加。</w:t>
      </w:r>
    </w:p>
    <w:p w14:paraId="188B9F1A">
      <w:pPr>
        <w:pStyle w:val="20"/>
        <w:rPr>
          <w:rFonts w:ascii="仿宋" w:hAnsi="仿宋" w:eastAsia="仿宋"/>
          <w:b/>
          <w:sz w:val="32"/>
          <w:szCs w:val="32"/>
        </w:rPr>
      </w:pPr>
      <w:r>
        <w:rPr>
          <w:rFonts w:hint="eastAsia" w:ascii="仿宋" w:hAnsi="仿宋" w:eastAsia="仿宋"/>
          <w:b/>
          <w:sz w:val="32"/>
          <w:szCs w:val="32"/>
        </w:rPr>
        <w:t>（二）财政拨款支出决算结构情况</w:t>
      </w:r>
    </w:p>
    <w:p w14:paraId="76A675ED">
      <w:pPr>
        <w:ind w:firstLine="640" w:firstLineChars="200"/>
        <w:rPr>
          <w:rFonts w:ascii="仿宋" w:hAnsi="仿宋" w:eastAsia="仿宋"/>
          <w:color w:val="0D0D0D" w:themeColor="text1" w:themeTint="F2"/>
          <w:sz w:val="32"/>
          <w:szCs w:val="32"/>
          <w14:textFill>
            <w14:solidFill>
              <w14:schemeClr w14:val="tx1">
                <w14:lumMod w14:val="95000"/>
                <w14:lumOff w14:val="5000"/>
              </w14:schemeClr>
            </w14:solidFill>
          </w14:textFill>
        </w:rPr>
      </w:pPr>
      <w:r>
        <w:rPr>
          <w:rFonts w:ascii="仿宋" w:hAnsi="仿宋" w:eastAsia="仿宋"/>
          <w:color w:val="0D0D0D" w:themeColor="text1" w:themeTint="F2"/>
          <w:sz w:val="32"/>
          <w:szCs w:val="32"/>
          <w14:textFill>
            <w14:solidFill>
              <w14:schemeClr w14:val="tx1">
                <w14:lumMod w14:val="95000"/>
                <w14:lumOff w14:val="5000"/>
              </w14:schemeClr>
            </w14:solidFill>
          </w14:textFill>
        </w:rPr>
        <w:t>2019</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年度财政拨款支出1877.36万元，主要用于以下方面：一般公共服务（类）支出607.9万元，占32.4</w:t>
      </w:r>
      <w:r>
        <w:rPr>
          <w:rFonts w:ascii="仿宋" w:hAnsi="仿宋" w:eastAsia="仿宋"/>
          <w:color w:val="0D0D0D" w:themeColor="text1" w:themeTint="F2"/>
          <w:sz w:val="32"/>
          <w:szCs w:val="32"/>
          <w14:textFill>
            <w14:solidFill>
              <w14:schemeClr w14:val="tx1">
                <w14:lumMod w14:val="95000"/>
                <w14:lumOff w14:val="5000"/>
              </w14:schemeClr>
            </w14:solidFill>
          </w14:textFill>
        </w:rPr>
        <w:t>%</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；公共安全支出1246.94万元，占66.4</w:t>
      </w:r>
      <w:r>
        <w:rPr>
          <w:rFonts w:ascii="仿宋" w:hAnsi="仿宋" w:eastAsia="仿宋"/>
          <w:color w:val="0D0D0D" w:themeColor="text1" w:themeTint="F2"/>
          <w:sz w:val="32"/>
          <w:szCs w:val="32"/>
          <w14:textFill>
            <w14:solidFill>
              <w14:schemeClr w14:val="tx1">
                <w14:lumMod w14:val="95000"/>
                <w14:lumOff w14:val="5000"/>
              </w14:schemeClr>
            </w14:solidFill>
          </w14:textFill>
        </w:rPr>
        <w:t>%;社会保障和就业支出</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22.52万元，占1.2%。</w:t>
      </w:r>
    </w:p>
    <w:p w14:paraId="20E0FDC0">
      <w:pPr>
        <w:pStyle w:val="7"/>
        <w:widowControl w:val="0"/>
        <w:numPr>
          <w:ilvl w:val="0"/>
          <w:numId w:val="3"/>
        </w:numPr>
        <w:autoSpaceDE w:val="0"/>
        <w:autoSpaceDN w:val="0"/>
        <w:adjustRightInd w:val="0"/>
        <w:spacing w:before="0" w:beforeAutospacing="0" w:after="0" w:afterAutospacing="0"/>
        <w:ind w:left="-111" w:leftChars="0" w:firstLine="321" w:firstLineChars="0"/>
        <w:rPr>
          <w:rFonts w:ascii="仿宋" w:hAnsi="仿宋" w:eastAsia="仿宋" w:cs="黑体"/>
          <w:b/>
          <w:color w:val="auto"/>
          <w:sz w:val="32"/>
          <w:szCs w:val="32"/>
        </w:rPr>
      </w:pPr>
      <w:r>
        <w:rPr>
          <w:rFonts w:hint="eastAsia" w:ascii="仿宋" w:hAnsi="仿宋" w:eastAsia="仿宋" w:cs="黑体"/>
          <w:b/>
          <w:color w:val="auto"/>
          <w:sz w:val="32"/>
          <w:szCs w:val="32"/>
        </w:rPr>
        <w:t>财政拨款支出决算具体情况</w:t>
      </w:r>
    </w:p>
    <w:p w14:paraId="537655EE">
      <w:pPr>
        <w:pStyle w:val="7"/>
        <w:widowControl w:val="0"/>
        <w:autoSpaceDE w:val="0"/>
        <w:autoSpaceDN w:val="0"/>
        <w:adjustRightInd w:val="0"/>
        <w:spacing w:before="0" w:beforeAutospacing="0" w:after="0" w:afterAutospacing="0"/>
        <w:rPr>
          <w:rFonts w:ascii="仿宋" w:hAnsi="仿宋" w:eastAsia="仿宋" w:cs="黑体"/>
          <w:b/>
          <w:color w:val="00B0F0"/>
          <w:sz w:val="32"/>
          <w:szCs w:val="32"/>
        </w:rPr>
      </w:pPr>
    </w:p>
    <w:p w14:paraId="0D02309C">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2019年度财政拨款支出年初预算数为1522.96万元，支出决算数为1877.36万元，完成年初预算的123%，主要原因是人员经费预算追加，本级项目资金追加，上级项目资金拨付。其中：</w:t>
      </w:r>
    </w:p>
    <w:p w14:paraId="0462F6AA">
      <w:pPr>
        <w:pStyle w:val="7"/>
        <w:widowControl w:val="0"/>
        <w:numPr>
          <w:ilvl w:val="0"/>
          <w:numId w:val="4"/>
        </w:numPr>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（2010301）一般公共服务支出（类）政府办公厅（室）及相关机构事务（款）行政运行（项）。年初预算为  0万元，支出决算为 607.9015万元，决算数大于年初预算数的主要原因是决算数大于年初预算数的主要原因是一是人员政策性增资</w:t>
      </w:r>
      <w:r>
        <w:rPr>
          <w:rFonts w:ascii="仿宋" w:hAnsi="仿宋" w:eastAsia="仿宋" w:cs="黑体"/>
          <w:color w:val="auto"/>
          <w:sz w:val="32"/>
          <w:szCs w:val="32"/>
        </w:rPr>
        <w:t>;</w:t>
      </w:r>
      <w:r>
        <w:rPr>
          <w:rFonts w:hint="eastAsia" w:ascii="仿宋" w:hAnsi="仿宋" w:eastAsia="仿宋" w:cs="黑体"/>
          <w:color w:val="auto"/>
          <w:sz w:val="32"/>
          <w:szCs w:val="32"/>
        </w:rPr>
        <w:t>二是机构改革原湘潭县人民政府</w:t>
      </w:r>
      <w:r>
        <w:rPr>
          <w:rFonts w:hint="eastAsia" w:ascii="仿宋" w:hAnsi="仿宋" w:eastAsia="仿宋" w:cs="黑体"/>
          <w:color w:val="auto"/>
          <w:sz w:val="32"/>
          <w:szCs w:val="32"/>
          <w:lang w:eastAsia="zh-CN"/>
        </w:rPr>
        <w:t>法制办</w:t>
      </w:r>
      <w:r>
        <w:rPr>
          <w:rFonts w:hint="eastAsia" w:ascii="仿宋" w:hAnsi="仿宋" w:eastAsia="仿宋" w:cs="黑体"/>
          <w:color w:val="auto"/>
          <w:sz w:val="32"/>
          <w:szCs w:val="32"/>
        </w:rPr>
        <w:t>公室撤并到湘潭县司法局，人员经费支出相应增加。</w:t>
      </w:r>
    </w:p>
    <w:p w14:paraId="4F78E701">
      <w:pPr>
        <w:pStyle w:val="7"/>
        <w:spacing w:after="225" w:afterAutospacing="0" w:line="30" w:lineRule="atLeast"/>
        <w:ind w:firstLine="960" w:firstLineChars="300"/>
        <w:rPr>
          <w:rFonts w:ascii="仿宋" w:hAnsi="仿宋" w:eastAsia="仿宋" w:cs="黑体"/>
          <w:color w:val="auto"/>
          <w:sz w:val="32"/>
          <w:szCs w:val="32"/>
        </w:rPr>
      </w:pPr>
      <w:r>
        <w:rPr>
          <w:rFonts w:hint="eastAsia" w:ascii="仿宋" w:hAnsi="仿宋" w:eastAsia="仿宋" w:cs="黑体"/>
          <w:color w:val="auto"/>
          <w:sz w:val="32"/>
          <w:szCs w:val="32"/>
        </w:rPr>
        <w:t>2、（2040601）公共安全支出（类）司法（款）行政运行（项）。年初预算为  1178.9607万元，支出决算为  796.6485万元，完成年初预算的 67.57 %。决算数小于预算数的主要原因是存在部门之间资金划拨（预算指标划拨）。</w:t>
      </w:r>
    </w:p>
    <w:p w14:paraId="01DB92C6">
      <w:pPr>
        <w:pStyle w:val="7"/>
        <w:widowControl w:val="0"/>
        <w:autoSpaceDE w:val="0"/>
        <w:autoSpaceDN w:val="0"/>
        <w:adjustRightInd w:val="0"/>
        <w:spacing w:before="0" w:beforeAutospacing="0" w:after="0" w:afterAutospacing="0"/>
        <w:ind w:firstLine="960" w:firstLineChars="300"/>
        <w:rPr>
          <w:rFonts w:ascii="仿宋" w:hAnsi="仿宋" w:eastAsia="仿宋" w:cs="黑体"/>
          <w:color w:val="auto"/>
          <w:sz w:val="32"/>
          <w:szCs w:val="32"/>
        </w:rPr>
      </w:pPr>
    </w:p>
    <w:p w14:paraId="59BBDA41">
      <w:pPr>
        <w:pStyle w:val="7"/>
        <w:spacing w:after="225" w:afterAutospacing="0" w:line="30" w:lineRule="atLeast"/>
        <w:ind w:firstLine="420"/>
        <w:rPr>
          <w:rFonts w:ascii="仿宋" w:hAnsi="仿宋" w:eastAsia="仿宋" w:cs="黑体"/>
          <w:color w:val="auto"/>
          <w:sz w:val="32"/>
          <w:szCs w:val="32"/>
        </w:rPr>
      </w:pPr>
      <w:r>
        <w:rPr>
          <w:rFonts w:hint="eastAsia" w:ascii="仿宋" w:hAnsi="仿宋" w:eastAsia="仿宋" w:cs="黑体"/>
          <w:color w:val="auto"/>
          <w:sz w:val="32"/>
          <w:szCs w:val="32"/>
        </w:rPr>
        <w:t>3、公共安全支出（类）司法（款）一般行政管理事务（项）。年初预算为0万元，支出决算为57.4906万元，决算数大于预算数的主要原因是政法转移支付资金拨付。</w:t>
      </w:r>
    </w:p>
    <w:p w14:paraId="0F68E585">
      <w:pPr>
        <w:pStyle w:val="7"/>
        <w:widowControl w:val="0"/>
        <w:autoSpaceDE w:val="0"/>
        <w:autoSpaceDN w:val="0"/>
        <w:adjustRightInd w:val="0"/>
        <w:spacing w:before="0" w:beforeAutospacing="0" w:after="0" w:afterAutospacing="0"/>
        <w:ind w:left="525" w:leftChars="250"/>
        <w:rPr>
          <w:rFonts w:ascii="仿宋" w:hAnsi="仿宋" w:eastAsia="仿宋" w:cs="黑体"/>
          <w:color w:val="auto"/>
          <w:sz w:val="32"/>
          <w:szCs w:val="32"/>
        </w:rPr>
      </w:pPr>
    </w:p>
    <w:p w14:paraId="7AE83384">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4、（2040604）公共安全支出（类）司法（款）基层司法业务（项）年初预算为  47.0000万元，支出决算为 47.0000万元，预算与决算支出平衡。</w:t>
      </w:r>
    </w:p>
    <w:p w14:paraId="209956C3">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5、（2040605）公共安全支出（类）司法（款）普法宣传（项）年初预算为  55.00000万元，支出决算为  55.0000万元，预算与决算支出平衡。</w:t>
      </w:r>
    </w:p>
    <w:p w14:paraId="74408D42">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6、（2040607）公共安全支出（类）司法（款）法律援助（项）。年初预算为  70.0000万元，支出决算为  83.5430万元，完成年初预算的 119.35 %，决算数大于年初预算数的主要原因是年中追加。</w:t>
      </w:r>
    </w:p>
    <w:p w14:paraId="5E41B605">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7、（2040610）公共安全支出（类）司法（款）社区矫正（项）。年初预算为 125.0000 万元，支出决算为  105.0705万元，完成年初预算的 84.0564 %，决算数小于年初预算数的主要原因是智慧矫正建设经费因未验收而未进行支付。</w:t>
      </w:r>
    </w:p>
    <w:p w14:paraId="4631142F">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8、（2040613）公共安全支出（类）司法（款）信息化建设（项）。年初预算为 0万元，支出决算为 12.0000万元，决算数大于年初预算数的主要原因是司法行政指名系统的建设。</w:t>
      </w:r>
    </w:p>
    <w:p w14:paraId="08CAD17E">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9、（2040699）公共安全支出（类）司法（款）其他司法支出（项）年初预算为 31.0000 万元，支出决算为 90.1850 万元，完成年初预算的  %，决算数大于年初预算数的主要原因是年中追加县政府办划拨的</w:t>
      </w:r>
      <w:r>
        <w:rPr>
          <w:rFonts w:hint="eastAsia" w:ascii="仿宋" w:hAnsi="仿宋" w:eastAsia="仿宋" w:cs="黑体"/>
          <w:color w:val="auto"/>
          <w:sz w:val="32"/>
          <w:szCs w:val="32"/>
          <w:lang w:eastAsia="zh-CN"/>
        </w:rPr>
        <w:t>法制办</w:t>
      </w:r>
      <w:r>
        <w:rPr>
          <w:rFonts w:hint="eastAsia" w:ascii="仿宋" w:hAnsi="仿宋" w:eastAsia="仿宋" w:cs="黑体"/>
          <w:color w:val="auto"/>
          <w:sz w:val="32"/>
          <w:szCs w:val="32"/>
        </w:rPr>
        <w:t>经费。</w:t>
      </w:r>
    </w:p>
    <w:p w14:paraId="35E61A31">
      <w:pPr>
        <w:pStyle w:val="7"/>
        <w:widowControl w:val="0"/>
        <w:autoSpaceDE w:val="0"/>
        <w:autoSpaceDN w:val="0"/>
        <w:adjustRightInd w:val="0"/>
        <w:spacing w:before="0" w:beforeAutospacing="0" w:after="0" w:afterAutospacing="0"/>
        <w:ind w:firstLine="800" w:firstLineChars="250"/>
        <w:rPr>
          <w:rFonts w:ascii="仿宋" w:hAnsi="仿宋" w:eastAsia="仿宋" w:cs="黑体"/>
          <w:color w:val="auto"/>
          <w:sz w:val="32"/>
          <w:szCs w:val="32"/>
        </w:rPr>
      </w:pPr>
      <w:r>
        <w:rPr>
          <w:rFonts w:hint="eastAsia" w:ascii="仿宋" w:hAnsi="仿宋" w:eastAsia="仿宋" w:cs="黑体"/>
          <w:color w:val="auto"/>
          <w:sz w:val="32"/>
          <w:szCs w:val="32"/>
        </w:rPr>
        <w:t>10、（2080801）死亡抚恤年初预算为  0万元，支出决算为  22.5222万元，决算数大于年初预算数的原因是退休干部死亡1人。</w:t>
      </w:r>
    </w:p>
    <w:p w14:paraId="4CD3A8F1">
      <w:pPr>
        <w:pStyle w:val="20"/>
        <w:rPr>
          <w:rFonts w:ascii="仿宋" w:hAnsi="仿宋" w:eastAsia="仿宋"/>
          <w:b/>
          <w:sz w:val="32"/>
          <w:szCs w:val="32"/>
        </w:rPr>
      </w:pP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 xml:space="preserve">  </w:t>
      </w:r>
      <w:r>
        <w:rPr>
          <w:rFonts w:hint="eastAsia" w:ascii="仿宋" w:hAnsi="仿宋" w:eastAsia="仿宋"/>
          <w:b/>
          <w:sz w:val="32"/>
          <w:szCs w:val="32"/>
        </w:rPr>
        <w:t>七、一般公共预算财政拨款基本支出决算情况说明</w:t>
      </w:r>
    </w:p>
    <w:p w14:paraId="55EAF2D8">
      <w:pPr>
        <w:pStyle w:val="20"/>
        <w:ind w:firstLine="640" w:firstLineChars="200"/>
        <w:rPr>
          <w:rFonts w:ascii="仿宋" w:hAnsi="仿宋" w:eastAsia="仿宋"/>
          <w:sz w:val="32"/>
          <w:szCs w:val="32"/>
        </w:rPr>
      </w:pPr>
      <w:r>
        <w:rPr>
          <w:rFonts w:ascii="仿宋" w:hAnsi="仿宋" w:eastAsia="仿宋"/>
          <w:sz w:val="32"/>
          <w:szCs w:val="32"/>
        </w:rPr>
        <w:t>2019</w:t>
      </w:r>
      <w:r>
        <w:rPr>
          <w:rFonts w:hint="eastAsia" w:ascii="仿宋" w:hAnsi="仿宋" w:eastAsia="仿宋"/>
          <w:sz w:val="32"/>
          <w:szCs w:val="32"/>
        </w:rPr>
        <w:t>年度财政拨款基本支出1586.56万元，其中：人员经费1274.95万元，占基本支出的80.4</w:t>
      </w:r>
      <w:r>
        <w:rPr>
          <w:rFonts w:ascii="仿宋" w:hAnsi="仿宋" w:eastAsia="仿宋"/>
          <w:sz w:val="32"/>
          <w:szCs w:val="32"/>
        </w:rPr>
        <w:t>%,</w:t>
      </w:r>
      <w:r>
        <w:rPr>
          <w:rFonts w:hint="eastAsia" w:ascii="仿宋" w:hAnsi="仿宋" w:eastAsia="仿宋"/>
          <w:sz w:val="32"/>
          <w:szCs w:val="32"/>
        </w:rPr>
        <w:t>主要包括基本工资、津贴补贴、奖金、伙食补助费；公用经费311.61万元，占基本支出的19.6</w:t>
      </w:r>
      <w:r>
        <w:rPr>
          <w:rFonts w:ascii="仿宋" w:hAnsi="仿宋" w:eastAsia="仿宋"/>
          <w:sz w:val="32"/>
          <w:szCs w:val="32"/>
        </w:rPr>
        <w:t>%</w:t>
      </w:r>
      <w:r>
        <w:rPr>
          <w:rFonts w:hint="eastAsia" w:ascii="仿宋" w:hAnsi="仿宋" w:eastAsia="仿宋"/>
          <w:sz w:val="32"/>
          <w:szCs w:val="32"/>
        </w:rPr>
        <w:t>，主要包括办公费、印刷费、咨询费、手续费。</w:t>
      </w:r>
    </w:p>
    <w:p w14:paraId="7E968CC3">
      <w:pPr>
        <w:pStyle w:val="20"/>
        <w:rPr>
          <w:rFonts w:ascii="仿宋" w:hAnsi="仿宋" w:eastAsia="仿宋"/>
          <w:b/>
          <w:sz w:val="32"/>
          <w:szCs w:val="32"/>
        </w:rPr>
      </w:pPr>
      <w:r>
        <w:rPr>
          <w:rFonts w:hint="eastAsia" w:ascii="仿宋" w:hAnsi="仿宋" w:eastAsia="仿宋"/>
          <w:b/>
          <w:sz w:val="32"/>
          <w:szCs w:val="32"/>
        </w:rPr>
        <w:t>八、一般公共预算财政拨款三公经费支出决算情况说明</w:t>
      </w:r>
    </w:p>
    <w:p w14:paraId="56245DE2">
      <w:pPr>
        <w:pStyle w:val="20"/>
        <w:rPr>
          <w:rFonts w:ascii="仿宋" w:hAnsi="仿宋" w:eastAsia="仿宋"/>
          <w:b/>
          <w:sz w:val="32"/>
          <w:szCs w:val="32"/>
        </w:rPr>
      </w:pPr>
      <w:r>
        <w:rPr>
          <w:rFonts w:hint="eastAsia" w:ascii="仿宋" w:hAnsi="仿宋" w:eastAsia="仿宋"/>
          <w:b/>
          <w:sz w:val="32"/>
          <w:szCs w:val="32"/>
        </w:rPr>
        <w:t>（一）“三公”经费财政拨款支出决算总体情况说明</w:t>
      </w:r>
    </w:p>
    <w:p w14:paraId="2FA17315">
      <w:pPr>
        <w:pStyle w:val="20"/>
        <w:ind w:firstLine="800" w:firstLineChars="250"/>
        <w:rPr>
          <w:rFonts w:ascii="仿宋" w:hAnsi="仿宋" w:eastAsia="仿宋"/>
          <w:sz w:val="32"/>
          <w:szCs w:val="32"/>
        </w:rPr>
      </w:pPr>
      <w:r>
        <w:rPr>
          <w:rFonts w:hint="eastAsia" w:ascii="仿宋" w:hAnsi="仿宋" w:eastAsia="仿宋"/>
          <w:sz w:val="32"/>
          <w:szCs w:val="32"/>
        </w:rPr>
        <w:t>“三公”经费财政拨款支出预算为28.29万元，支出决算为20.18万元，完成预算的71.33</w:t>
      </w:r>
      <w:r>
        <w:rPr>
          <w:rFonts w:ascii="仿宋" w:hAnsi="仿宋" w:eastAsia="仿宋"/>
          <w:sz w:val="32"/>
          <w:szCs w:val="32"/>
        </w:rPr>
        <w:t>%</w:t>
      </w:r>
      <w:r>
        <w:rPr>
          <w:rFonts w:hint="eastAsia" w:ascii="仿宋" w:hAnsi="仿宋" w:eastAsia="仿宋"/>
          <w:sz w:val="32"/>
          <w:szCs w:val="32"/>
        </w:rPr>
        <w:t>，其中：</w:t>
      </w:r>
    </w:p>
    <w:p w14:paraId="3DAFC4B3">
      <w:pPr>
        <w:pStyle w:val="20"/>
        <w:ind w:firstLine="800" w:firstLineChars="250"/>
        <w:rPr>
          <w:rFonts w:ascii="仿宋" w:hAnsi="仿宋" w:eastAsia="仿宋"/>
          <w:sz w:val="32"/>
          <w:szCs w:val="32"/>
        </w:rPr>
      </w:pPr>
      <w:r>
        <w:rPr>
          <w:rFonts w:hint="eastAsia" w:ascii="仿宋" w:hAnsi="仿宋" w:eastAsia="仿宋"/>
          <w:sz w:val="32"/>
          <w:szCs w:val="32"/>
        </w:rPr>
        <w:t>公务接待费支出预算为10.29万元，支出决算为8.56万元，</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完成预算的83.2</w:t>
      </w:r>
      <w:r>
        <w:rPr>
          <w:rFonts w:ascii="仿宋" w:hAnsi="仿宋" w:eastAsia="仿宋"/>
          <w:color w:val="0D0D0D" w:themeColor="text1" w:themeTint="F2"/>
          <w:sz w:val="32"/>
          <w:szCs w:val="32"/>
          <w14:textFill>
            <w14:solidFill>
              <w14:schemeClr w14:val="tx1">
                <w14:lumMod w14:val="95000"/>
                <w14:lumOff w14:val="5000"/>
              </w14:schemeClr>
            </w14:solidFill>
          </w14:textFill>
        </w:rPr>
        <w:t>%</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，决算数小于年初预算数的主要原因是按照中央要求，厉行节约，</w:t>
      </w:r>
      <w:r>
        <w:rPr>
          <w:rFonts w:hint="eastAsia" w:ascii="仿宋" w:hAnsi="仿宋" w:eastAsia="仿宋"/>
          <w:sz w:val="32"/>
          <w:szCs w:val="32"/>
        </w:rPr>
        <w:t>降低行政成本。与上年相比增加1.96万元，增长29.87</w:t>
      </w:r>
      <w:r>
        <w:rPr>
          <w:rFonts w:ascii="仿宋" w:hAnsi="仿宋" w:eastAsia="仿宋"/>
          <w:sz w:val="32"/>
          <w:szCs w:val="32"/>
        </w:rPr>
        <w:t>%,</w:t>
      </w:r>
      <w:r>
        <w:rPr>
          <w:rFonts w:hint="eastAsia" w:ascii="仿宋" w:hAnsi="仿宋" w:eastAsia="仿宋"/>
          <w:sz w:val="32"/>
          <w:szCs w:val="32"/>
        </w:rPr>
        <w:t>增长的主要原因是</w:t>
      </w:r>
      <w:r>
        <w:rPr>
          <w:rFonts w:hint="eastAsia" w:ascii="仿宋_GB2312" w:hAnsi="仿宋_GB2312" w:eastAsia="仿宋_GB2312" w:cs="仿宋_GB2312"/>
          <w:sz w:val="32"/>
          <w:szCs w:val="32"/>
          <w:shd w:val="clear" w:color="auto" w:fill="FFFFFF"/>
        </w:rPr>
        <w:t>2019年由于与县政府</w:t>
      </w:r>
      <w:r>
        <w:rPr>
          <w:rFonts w:hint="eastAsia" w:ascii="仿宋_GB2312" w:hAnsi="仿宋_GB2312" w:eastAsia="仿宋_GB2312" w:cs="仿宋_GB2312"/>
          <w:sz w:val="32"/>
          <w:szCs w:val="32"/>
          <w:shd w:val="clear" w:color="auto" w:fill="FFFFFF"/>
          <w:lang w:eastAsia="zh-CN"/>
        </w:rPr>
        <w:t>法制办</w:t>
      </w:r>
      <w:r>
        <w:rPr>
          <w:rFonts w:hint="eastAsia" w:ascii="仿宋_GB2312" w:hAnsi="仿宋_GB2312" w:eastAsia="仿宋_GB2312" w:cs="仿宋_GB2312"/>
          <w:sz w:val="32"/>
          <w:szCs w:val="32"/>
          <w:shd w:val="clear" w:color="auto" w:fill="FFFFFF"/>
        </w:rPr>
        <w:t>合并，接待上级部门和各地信访部门到我局检查、指导、交流的批次增加，基层部门、群众来访等事项支出增加</w:t>
      </w:r>
      <w:r>
        <w:rPr>
          <w:rFonts w:hint="eastAsia" w:ascii="仿宋" w:hAnsi="仿宋" w:eastAsia="仿宋"/>
          <w:sz w:val="32"/>
          <w:szCs w:val="32"/>
        </w:rPr>
        <w:t>。</w:t>
      </w:r>
    </w:p>
    <w:p w14:paraId="6767A8A9">
      <w:pPr>
        <w:pStyle w:val="20"/>
        <w:ind w:firstLine="640" w:firstLineChars="200"/>
        <w:rPr>
          <w:rFonts w:ascii="仿宋" w:hAnsi="仿宋" w:eastAsia="仿宋"/>
          <w:sz w:val="32"/>
          <w:szCs w:val="32"/>
        </w:rPr>
      </w:pPr>
      <w:r>
        <w:rPr>
          <w:rFonts w:hint="eastAsia" w:ascii="仿宋" w:hAnsi="仿宋" w:eastAsia="仿宋"/>
          <w:sz w:val="32"/>
          <w:szCs w:val="32"/>
        </w:rPr>
        <w:t>公务用车购置费及运行维护费支出预算为18万元，支出决算为11.62万元，完成预算的64.5</w:t>
      </w:r>
      <w:r>
        <w:rPr>
          <w:rFonts w:ascii="仿宋" w:hAnsi="仿宋" w:eastAsia="仿宋"/>
          <w:sz w:val="32"/>
          <w:szCs w:val="32"/>
        </w:rPr>
        <w:t>%</w:t>
      </w:r>
      <w:r>
        <w:rPr>
          <w:rFonts w:hint="eastAsia" w:ascii="仿宋" w:hAnsi="仿宋" w:eastAsia="仿宋"/>
          <w:sz w:val="32"/>
          <w:szCs w:val="32"/>
        </w:rPr>
        <w:t>，决算数小于年初预算数的主要原因是</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按照中央要求，厉行节约，</w:t>
      </w:r>
      <w:r>
        <w:rPr>
          <w:rFonts w:hint="eastAsia" w:ascii="仿宋" w:hAnsi="仿宋" w:eastAsia="仿宋"/>
          <w:sz w:val="32"/>
          <w:szCs w:val="32"/>
        </w:rPr>
        <w:t>降低行政成本。与上年相比减少5.51万元，减少32.19%</w:t>
      </w:r>
      <w:r>
        <w:rPr>
          <w:rFonts w:ascii="仿宋" w:hAnsi="仿宋" w:eastAsia="仿宋"/>
          <w:sz w:val="32"/>
          <w:szCs w:val="32"/>
        </w:rPr>
        <w:t>,</w:t>
      </w:r>
      <w:r>
        <w:rPr>
          <w:rFonts w:hint="eastAsia" w:ascii="仿宋" w:hAnsi="仿宋" w:eastAsia="仿宋"/>
          <w:sz w:val="32"/>
          <w:szCs w:val="32"/>
        </w:rPr>
        <w:t>减少的主要原因是执行中央压减各项支出要求，尽量节约资源。</w:t>
      </w:r>
    </w:p>
    <w:p w14:paraId="043D18BC">
      <w:pPr>
        <w:pStyle w:val="20"/>
        <w:ind w:firstLine="640" w:firstLineChars="200"/>
        <w:rPr>
          <w:rFonts w:ascii="仿宋" w:hAnsi="仿宋" w:eastAsia="仿宋"/>
          <w:sz w:val="32"/>
          <w:szCs w:val="32"/>
        </w:rPr>
      </w:pPr>
      <w:r>
        <w:rPr>
          <w:rFonts w:hint="eastAsia" w:ascii="仿宋" w:hAnsi="仿宋" w:eastAsia="仿宋"/>
          <w:sz w:val="32"/>
          <w:szCs w:val="32"/>
        </w:rPr>
        <w:t>无因公出国（境）费支出。</w:t>
      </w:r>
    </w:p>
    <w:p w14:paraId="65C0BC4E">
      <w:pPr>
        <w:pStyle w:val="20"/>
        <w:rPr>
          <w:rFonts w:ascii="仿宋" w:hAnsi="仿宋" w:eastAsia="仿宋"/>
          <w:b/>
          <w:sz w:val="32"/>
          <w:szCs w:val="32"/>
        </w:rPr>
      </w:pPr>
      <w:r>
        <w:rPr>
          <w:rFonts w:hint="eastAsia" w:ascii="仿宋" w:hAnsi="仿宋" w:eastAsia="仿宋"/>
          <w:b/>
          <w:sz w:val="32"/>
          <w:szCs w:val="32"/>
        </w:rPr>
        <w:t>（二）“三公”经费财政拨款支出决算具体情况说明</w:t>
      </w:r>
    </w:p>
    <w:p w14:paraId="6E0D4C1A">
      <w:pPr>
        <w:pStyle w:val="20"/>
        <w:ind w:firstLine="640" w:firstLineChars="200"/>
        <w:rPr>
          <w:rFonts w:ascii="仿宋" w:hAnsi="仿宋" w:eastAsia="仿宋"/>
          <w:sz w:val="32"/>
          <w:szCs w:val="32"/>
        </w:rPr>
      </w:pPr>
      <w:r>
        <w:rPr>
          <w:rFonts w:ascii="仿宋" w:hAnsi="仿宋" w:eastAsia="仿宋"/>
          <w:sz w:val="32"/>
          <w:szCs w:val="32"/>
        </w:rPr>
        <w:t>2019</w:t>
      </w:r>
      <w:r>
        <w:rPr>
          <w:rFonts w:hint="eastAsia" w:ascii="仿宋" w:hAnsi="仿宋" w:eastAsia="仿宋"/>
          <w:sz w:val="32"/>
          <w:szCs w:val="32"/>
        </w:rPr>
        <w:t>年度“三公”经费财政拨款支出决算中，公务接待费支出决算8.56万元，占42.4</w:t>
      </w:r>
      <w:r>
        <w:rPr>
          <w:rFonts w:ascii="仿宋" w:hAnsi="仿宋" w:eastAsia="仿宋"/>
          <w:sz w:val="32"/>
          <w:szCs w:val="32"/>
        </w:rPr>
        <w:t>%,无</w:t>
      </w:r>
      <w:r>
        <w:rPr>
          <w:rFonts w:hint="eastAsia" w:ascii="仿宋" w:hAnsi="仿宋" w:eastAsia="仿宋"/>
          <w:sz w:val="32"/>
          <w:szCs w:val="32"/>
        </w:rPr>
        <w:t>因公出国（境）费支出</w:t>
      </w:r>
      <w:r>
        <w:rPr>
          <w:rFonts w:ascii="仿宋" w:hAnsi="仿宋" w:eastAsia="仿宋"/>
          <w:sz w:val="32"/>
          <w:szCs w:val="32"/>
        </w:rPr>
        <w:t>,</w:t>
      </w:r>
      <w:r>
        <w:rPr>
          <w:rFonts w:hint="eastAsia" w:ascii="仿宋" w:hAnsi="仿宋" w:eastAsia="仿宋"/>
          <w:sz w:val="32"/>
          <w:szCs w:val="32"/>
        </w:rPr>
        <w:t>公务用车购置费及运行维护费支出决算11.62万元，占57.6</w:t>
      </w:r>
      <w:r>
        <w:rPr>
          <w:rFonts w:ascii="仿宋" w:hAnsi="仿宋" w:eastAsia="仿宋"/>
          <w:sz w:val="32"/>
          <w:szCs w:val="32"/>
        </w:rPr>
        <w:t>%</w:t>
      </w:r>
      <w:r>
        <w:rPr>
          <w:rFonts w:hint="eastAsia" w:ascii="仿宋" w:hAnsi="仿宋" w:eastAsia="仿宋"/>
          <w:sz w:val="32"/>
          <w:szCs w:val="32"/>
        </w:rPr>
        <w:t>。其中：</w:t>
      </w:r>
    </w:p>
    <w:p w14:paraId="3E6919A6">
      <w:pPr>
        <w:pStyle w:val="20"/>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、无因公出国（境）费支出</w:t>
      </w:r>
    </w:p>
    <w:p w14:paraId="41B11556">
      <w:pPr>
        <w:pStyle w:val="20"/>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、公务接待费支出决算为8.56万元，</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全年共接待来访100批次、来宾856人次，主要是上级司法部门工作调研、督查、兄弟单位考察交流工作经验发生的接待支出。</w:t>
      </w:r>
    </w:p>
    <w:p w14:paraId="5A2CBBAE">
      <w:pPr>
        <w:ind w:firstLine="640" w:firstLineChars="200"/>
        <w:rPr>
          <w:rFonts w:ascii="仿宋" w:hAnsi="仿宋" w:eastAsia="仿宋" w:cs="黑体"/>
          <w:color w:val="000000"/>
          <w:kern w:val="0"/>
          <w:sz w:val="32"/>
          <w:szCs w:val="32"/>
        </w:rPr>
      </w:pPr>
      <w:r>
        <w:rPr>
          <w:rFonts w:ascii="仿宋" w:hAnsi="仿宋" w:eastAsia="仿宋"/>
          <w:sz w:val="32"/>
          <w:szCs w:val="32"/>
        </w:rPr>
        <w:t>3</w:t>
      </w:r>
      <w:r>
        <w:rPr>
          <w:rFonts w:hint="eastAsia" w:ascii="仿宋" w:hAnsi="仿宋" w:eastAsia="仿宋"/>
          <w:sz w:val="32"/>
          <w:szCs w:val="32"/>
        </w:rPr>
        <w:t>、公务用车购置费及运行维护费支出决算为11.62万元，其中：公务用车运行维护费11.62万元，主要是公车燃油、维修、保险费用支出，截止</w:t>
      </w:r>
      <w:r>
        <w:rPr>
          <w:rFonts w:ascii="仿宋" w:hAnsi="仿宋" w:eastAsia="仿宋"/>
          <w:sz w:val="32"/>
          <w:szCs w:val="32"/>
        </w:rPr>
        <w:t>2019</w:t>
      </w:r>
      <w:r>
        <w:rPr>
          <w:rFonts w:hint="eastAsia" w:ascii="仿宋" w:hAnsi="仿宋" w:eastAsia="仿宋"/>
          <w:sz w:val="32"/>
          <w:szCs w:val="32"/>
        </w:rPr>
        <w:t>年</w:t>
      </w:r>
      <w:r>
        <w:rPr>
          <w:rFonts w:ascii="仿宋" w:hAnsi="仿宋" w:eastAsia="仿宋"/>
          <w:sz w:val="32"/>
          <w:szCs w:val="32"/>
        </w:rPr>
        <w:t>12</w:t>
      </w:r>
      <w:r>
        <w:rPr>
          <w:rFonts w:hint="eastAsia" w:ascii="仿宋" w:hAnsi="仿宋" w:eastAsia="仿宋"/>
          <w:sz w:val="32"/>
          <w:szCs w:val="32"/>
        </w:rPr>
        <w:t>月</w:t>
      </w:r>
      <w:r>
        <w:rPr>
          <w:rFonts w:ascii="仿宋" w:hAnsi="仿宋" w:eastAsia="仿宋"/>
          <w:sz w:val="32"/>
          <w:szCs w:val="32"/>
        </w:rPr>
        <w:t>31</w:t>
      </w:r>
      <w:r>
        <w:rPr>
          <w:rFonts w:hint="eastAsia" w:ascii="仿宋" w:hAnsi="仿宋" w:eastAsia="仿宋"/>
          <w:sz w:val="32"/>
          <w:szCs w:val="32"/>
        </w:rPr>
        <w:t>日，我单位开支财政拨款的公务用车保有量为</w:t>
      </w:r>
      <w:r>
        <w:rPr>
          <w:rFonts w:hint="eastAsia" w:ascii="仿宋" w:hAnsi="仿宋" w:eastAsia="仿宋"/>
          <w:color w:val="0D0D0D" w:themeColor="text1" w:themeTint="F2"/>
          <w:sz w:val="32"/>
          <w:szCs w:val="32"/>
          <w14:textFill>
            <w14:solidFill>
              <w14:schemeClr w14:val="tx1">
                <w14:lumMod w14:val="95000"/>
                <w14:lumOff w14:val="5000"/>
              </w14:schemeClr>
            </w14:solidFill>
          </w14:textFill>
        </w:rPr>
        <w:t>3</w:t>
      </w:r>
      <w:r>
        <w:rPr>
          <w:rFonts w:hint="eastAsia" w:ascii="仿宋" w:hAnsi="仿宋" w:eastAsia="仿宋"/>
          <w:sz w:val="32"/>
          <w:szCs w:val="32"/>
        </w:rPr>
        <w:t>辆。</w:t>
      </w:r>
    </w:p>
    <w:p w14:paraId="3EB9522D">
      <w:pPr>
        <w:pStyle w:val="20"/>
        <w:rPr>
          <w:rFonts w:ascii="仿宋" w:hAnsi="仿宋" w:eastAsia="仿宋"/>
          <w:b/>
          <w:sz w:val="32"/>
          <w:szCs w:val="32"/>
        </w:rPr>
      </w:pPr>
      <w:r>
        <w:rPr>
          <w:rFonts w:hint="eastAsia" w:ascii="仿宋" w:hAnsi="仿宋" w:eastAsia="仿宋"/>
          <w:b/>
          <w:sz w:val="32"/>
          <w:szCs w:val="32"/>
        </w:rPr>
        <w:t>九、政府性基金预算收入支出决算情况</w:t>
      </w:r>
    </w:p>
    <w:p w14:paraId="68C6D40F">
      <w:pPr>
        <w:pStyle w:val="20"/>
        <w:ind w:firstLine="640" w:firstLineChars="200"/>
        <w:rPr>
          <w:rFonts w:ascii="仿宋" w:hAnsi="仿宋" w:eastAsia="仿宋" w:cs="Times New Roman"/>
          <w:color w:val="auto"/>
          <w:kern w:val="2"/>
          <w:sz w:val="32"/>
          <w:szCs w:val="32"/>
        </w:rPr>
      </w:pPr>
      <w:r>
        <w:rPr>
          <w:rFonts w:hint="eastAsia" w:ascii="仿宋" w:hAnsi="仿宋" w:eastAsia="仿宋" w:cs="Times New Roman"/>
          <w:color w:val="auto"/>
          <w:kern w:val="2"/>
          <w:sz w:val="32"/>
          <w:szCs w:val="32"/>
        </w:rPr>
        <w:t>本单位无政府性基金收支。</w:t>
      </w:r>
    </w:p>
    <w:p w14:paraId="38F370A1">
      <w:pPr>
        <w:pStyle w:val="20"/>
        <w:rPr>
          <w:rFonts w:ascii="仿宋" w:hAnsi="仿宋" w:eastAsia="仿宋"/>
          <w:b/>
          <w:sz w:val="32"/>
          <w:szCs w:val="32"/>
        </w:rPr>
      </w:pPr>
      <w:r>
        <w:rPr>
          <w:rFonts w:hint="eastAsia" w:ascii="仿宋" w:hAnsi="仿宋" w:eastAsia="仿宋"/>
          <w:b/>
          <w:sz w:val="32"/>
          <w:szCs w:val="32"/>
        </w:rPr>
        <w:t>十、关于</w:t>
      </w:r>
      <w:r>
        <w:rPr>
          <w:rFonts w:ascii="仿宋" w:hAnsi="仿宋" w:eastAsia="仿宋"/>
          <w:b/>
          <w:sz w:val="32"/>
          <w:szCs w:val="32"/>
        </w:rPr>
        <w:t>2019</w:t>
      </w:r>
      <w:r>
        <w:rPr>
          <w:rFonts w:hint="eastAsia" w:ascii="仿宋" w:hAnsi="仿宋" w:eastAsia="仿宋"/>
          <w:b/>
          <w:sz w:val="32"/>
          <w:szCs w:val="32"/>
        </w:rPr>
        <w:t>年度预算绩效情况说明</w:t>
      </w:r>
    </w:p>
    <w:p w14:paraId="585E97F5">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1.项目绩效目标完成情况</w:t>
      </w:r>
    </w:p>
    <w:p w14:paraId="17D4D016">
      <w:pPr>
        <w:spacing w:line="2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2019年项目绩效目标已完成100%。</w:t>
      </w:r>
    </w:p>
    <w:p w14:paraId="62F56171">
      <w:pPr>
        <w:spacing w:line="2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2.本单位整体支出绩效目标实现情况</w:t>
      </w:r>
    </w:p>
    <w:p w14:paraId="2907913C">
      <w:pPr>
        <w:spacing w:line="2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2019年部门整体支出绩效情况：本年度发生基本支出1586.56万元，及时足额支付人员工资、福利、五险一金，人员经费到位；项目支出290.8万元，确保项目资金专款专用</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t>使工作做得有声有色。依法依规及时进行了人民调解，将矛盾化解在基层，充分发挥了第一道防线的作用。切实做好普法了工作，提升公民的整体</w:t>
      </w:r>
      <w:r>
        <w:rPr>
          <w:rFonts w:hint="eastAsia" w:ascii="仿宋_GB2312" w:hAnsi="仿宋_GB2312" w:eastAsia="仿宋_GB2312" w:cs="仿宋_GB2312"/>
          <w:sz w:val="32"/>
          <w:szCs w:val="32"/>
          <w:lang w:eastAsia="zh-CN"/>
        </w:rPr>
        <w:t>法治</w:t>
      </w:r>
      <w:r>
        <w:rPr>
          <w:rFonts w:hint="eastAsia" w:ascii="仿宋_GB2312" w:hAnsi="仿宋_GB2312" w:eastAsia="仿宋_GB2312" w:cs="仿宋_GB2312"/>
          <w:sz w:val="32"/>
          <w:szCs w:val="32"/>
        </w:rPr>
        <w:t>意识和法律素养。做好为民办实事工作，法律援助做到应援尽援，维护弱势群体合法权益。确保社区矫正人员无脱管、漏管及重新犯罪现象发生。同时做到资金管理规范，分配合理，按年初预算执行，三公经费控制在标准范围内。</w:t>
      </w:r>
    </w:p>
    <w:p w14:paraId="7C61897A">
      <w:pPr>
        <w:spacing w:line="560" w:lineRule="exact"/>
        <w:ind w:firstLine="640" w:firstLineChars="200"/>
        <w:rPr>
          <w:rFonts w:ascii="楷体_GB2312" w:hAnsi="仿宋" w:eastAsia="楷体_GB2312"/>
          <w:bCs/>
          <w:sz w:val="32"/>
          <w:szCs w:val="32"/>
        </w:rPr>
      </w:pPr>
      <w:r>
        <w:rPr>
          <w:rFonts w:hint="eastAsia" w:ascii="仿宋_GB2312" w:hAnsi="仿宋_GB2312" w:eastAsia="仿宋_GB2312" w:cs="仿宋_GB2312"/>
          <w:sz w:val="32"/>
          <w:szCs w:val="32"/>
        </w:rPr>
        <w:t>2019年严格按预算进度及项目要求执行预算，如期按预算要求完成了全年预算，本年度无结余。</w:t>
      </w:r>
    </w:p>
    <w:p w14:paraId="6BAED8F3">
      <w:pPr>
        <w:pStyle w:val="20"/>
        <w:rPr>
          <w:rFonts w:ascii="仿宋" w:hAnsi="仿宋" w:eastAsia="仿宋"/>
          <w:b/>
          <w:sz w:val="32"/>
          <w:szCs w:val="32"/>
        </w:rPr>
      </w:pPr>
      <w:r>
        <w:rPr>
          <w:rFonts w:hint="eastAsia" w:ascii="仿宋" w:hAnsi="仿宋" w:eastAsia="仿宋"/>
          <w:b/>
          <w:sz w:val="32"/>
          <w:szCs w:val="32"/>
        </w:rPr>
        <w:t>十一、其他重要事项情况说明</w:t>
      </w:r>
    </w:p>
    <w:p w14:paraId="6DDD60AA">
      <w:pPr>
        <w:ind w:firstLine="482" w:firstLineChars="150"/>
        <w:rPr>
          <w:rFonts w:ascii="仿宋" w:hAnsi="仿宋" w:eastAsia="仿宋" w:cs="黑体"/>
          <w:b/>
          <w:color w:val="000000"/>
          <w:kern w:val="0"/>
          <w:sz w:val="32"/>
          <w:szCs w:val="32"/>
        </w:rPr>
      </w:pPr>
      <w:r>
        <w:rPr>
          <w:rFonts w:hint="eastAsia" w:ascii="仿宋" w:hAnsi="仿宋" w:eastAsia="仿宋" w:cs="黑体"/>
          <w:b/>
          <w:color w:val="000000"/>
          <w:kern w:val="0"/>
          <w:sz w:val="32"/>
          <w:szCs w:val="32"/>
        </w:rPr>
        <w:t>（一）机关运行经费支出情况</w:t>
      </w:r>
    </w:p>
    <w:p w14:paraId="365EE606">
      <w:pPr>
        <w:ind w:firstLine="640" w:firstLineChars="200"/>
        <w:rPr>
          <w:rFonts w:ascii="仿宋" w:hAnsi="仿宋" w:eastAsia="仿宋" w:cs="黑体"/>
          <w:color w:val="000000"/>
          <w:kern w:val="0"/>
          <w:sz w:val="32"/>
          <w:szCs w:val="32"/>
        </w:rPr>
      </w:pPr>
      <w:r>
        <w:rPr>
          <w:rFonts w:hint="eastAsia" w:ascii="仿宋" w:hAnsi="仿宋" w:eastAsia="仿宋" w:cs="黑体"/>
          <w:color w:val="000000"/>
          <w:kern w:val="0"/>
          <w:sz w:val="32"/>
          <w:szCs w:val="32"/>
        </w:rPr>
        <w:t>本部门</w:t>
      </w:r>
      <w:r>
        <w:rPr>
          <w:rFonts w:ascii="仿宋" w:hAnsi="仿宋" w:eastAsia="仿宋" w:cs="黑体"/>
          <w:color w:val="000000"/>
          <w:kern w:val="0"/>
          <w:sz w:val="32"/>
          <w:szCs w:val="32"/>
        </w:rPr>
        <w:t xml:space="preserve">2019 </w:t>
      </w:r>
      <w:r>
        <w:rPr>
          <w:rFonts w:hint="eastAsia" w:ascii="仿宋" w:hAnsi="仿宋" w:eastAsia="仿宋" w:cs="黑体"/>
          <w:color w:val="000000"/>
          <w:kern w:val="0"/>
          <w:sz w:val="32"/>
          <w:szCs w:val="32"/>
        </w:rPr>
        <w:t>年度机关运行经费支出311.61万元，比年初预算数减少147.15万元，降低32.08</w:t>
      </w:r>
      <w:r>
        <w:rPr>
          <w:rFonts w:ascii="仿宋" w:hAnsi="仿宋" w:eastAsia="仿宋" w:cs="黑体"/>
          <w:color w:val="000000"/>
          <w:kern w:val="0"/>
          <w:sz w:val="32"/>
          <w:szCs w:val="32"/>
        </w:rPr>
        <w:t>%</w:t>
      </w:r>
      <w:r>
        <w:rPr>
          <w:rFonts w:hint="eastAsia" w:ascii="仿宋" w:hAnsi="仿宋" w:eastAsia="仿宋" w:cs="黑体"/>
          <w:color w:val="000000"/>
          <w:kern w:val="0"/>
          <w:sz w:val="32"/>
          <w:szCs w:val="32"/>
        </w:rPr>
        <w:t>。主要原因是：按照中央要求，厉行节约，降低行政成本。</w:t>
      </w:r>
    </w:p>
    <w:p w14:paraId="70587623">
      <w:pPr>
        <w:ind w:firstLine="643" w:firstLineChars="200"/>
        <w:rPr>
          <w:rFonts w:ascii="仿宋" w:hAnsi="仿宋" w:eastAsia="仿宋" w:cs="黑体"/>
          <w:b/>
          <w:color w:val="FF0000"/>
          <w:kern w:val="0"/>
          <w:sz w:val="32"/>
          <w:szCs w:val="32"/>
        </w:rPr>
      </w:pPr>
      <w:r>
        <w:rPr>
          <w:rFonts w:hint="eastAsia" w:ascii="仿宋" w:hAnsi="仿宋" w:eastAsia="仿宋" w:cs="黑体"/>
          <w:b/>
          <w:color w:val="000000"/>
          <w:kern w:val="0"/>
          <w:sz w:val="32"/>
          <w:szCs w:val="32"/>
        </w:rPr>
        <w:t>（二）</w:t>
      </w:r>
      <w:r>
        <w:rPr>
          <w:rFonts w:hint="eastAsia" w:ascii="仿宋" w:hAnsi="仿宋" w:eastAsia="仿宋" w:cs="黑体"/>
          <w:b/>
          <w:color w:val="0D0D0D" w:themeColor="text1" w:themeTint="F2"/>
          <w:kern w:val="0"/>
          <w:sz w:val="32"/>
          <w:szCs w:val="32"/>
          <w14:textFill>
            <w14:solidFill>
              <w14:schemeClr w14:val="tx1">
                <w14:lumMod w14:val="95000"/>
                <w14:lumOff w14:val="5000"/>
              </w14:schemeClr>
            </w14:solidFill>
          </w14:textFill>
        </w:rPr>
        <w:t>一般性支出情况</w:t>
      </w:r>
    </w:p>
    <w:p w14:paraId="0732A4FE">
      <w:pPr>
        <w:ind w:firstLine="640" w:firstLineChars="200"/>
        <w:rPr>
          <w:rFonts w:ascii="仿宋" w:hAnsi="仿宋" w:eastAsia="仿宋" w:cs="黑体"/>
          <w:kern w:val="0"/>
          <w:sz w:val="32"/>
          <w:szCs w:val="32"/>
        </w:rPr>
      </w:pPr>
      <w:r>
        <w:rPr>
          <w:rFonts w:ascii="仿宋" w:hAnsi="仿宋" w:eastAsia="仿宋" w:cs="黑体"/>
          <w:kern w:val="0"/>
          <w:sz w:val="32"/>
          <w:szCs w:val="32"/>
        </w:rPr>
        <w:t>2019</w:t>
      </w:r>
      <w:r>
        <w:rPr>
          <w:rFonts w:hint="eastAsia" w:ascii="仿宋" w:hAnsi="仿宋" w:eastAsia="仿宋" w:cs="黑体"/>
          <w:kern w:val="0"/>
          <w:sz w:val="32"/>
          <w:szCs w:val="32"/>
        </w:rPr>
        <w:t>年本部门一般性支出360.26万元，其中开支会议费5.98万元，用于召开</w:t>
      </w:r>
      <w:r>
        <w:rPr>
          <w:rFonts w:ascii="仿宋" w:hAnsi="仿宋" w:eastAsia="仿宋" w:cs="黑体"/>
          <w:kern w:val="0"/>
          <w:sz w:val="32"/>
          <w:szCs w:val="32"/>
        </w:rPr>
        <w:t>行政执法竞赛推进会暨司法行政工作会议</w:t>
      </w:r>
      <w:r>
        <w:rPr>
          <w:rFonts w:hint="eastAsia" w:ascii="仿宋" w:hAnsi="仿宋" w:eastAsia="仿宋" w:cs="黑体"/>
          <w:kern w:val="0"/>
          <w:sz w:val="32"/>
          <w:szCs w:val="32"/>
        </w:rPr>
        <w:t>、扫黑除恶专项斗争等会议，人数300人，内容为以执法竞赛活动为载体，坚定不移地深化全县行政执法体制改革、加强司法行政干警政治和业务培训，严防“涉黑涉恶”保护伞等内容。开支培训费3.82万元，用于开展人民调解、行政执法综合等培训，人数200人，内容为提升人民调解员调解技能、</w:t>
      </w:r>
      <w:r>
        <w:rPr>
          <w:rFonts w:ascii="仿宋" w:hAnsi="仿宋" w:eastAsia="仿宋" w:cs="黑体"/>
          <w:kern w:val="0"/>
          <w:sz w:val="32"/>
          <w:szCs w:val="32"/>
        </w:rPr>
        <w:t>拓展全体执法人员法律知识，提高执法水平等方面。</w:t>
      </w:r>
    </w:p>
    <w:p w14:paraId="7E1F949D">
      <w:pPr>
        <w:ind w:firstLine="643" w:firstLineChars="200"/>
        <w:rPr>
          <w:rFonts w:ascii="仿宋" w:hAnsi="仿宋" w:eastAsia="仿宋" w:cs="黑体"/>
          <w:b/>
          <w:color w:val="000000"/>
          <w:kern w:val="0"/>
          <w:sz w:val="32"/>
          <w:szCs w:val="32"/>
        </w:rPr>
      </w:pPr>
      <w:r>
        <w:rPr>
          <w:rFonts w:hint="eastAsia" w:ascii="仿宋" w:hAnsi="仿宋" w:eastAsia="仿宋" w:cs="黑体"/>
          <w:b/>
          <w:color w:val="000000"/>
          <w:kern w:val="0"/>
          <w:sz w:val="32"/>
          <w:szCs w:val="32"/>
        </w:rPr>
        <w:t>（三）政府采购支出情况</w:t>
      </w:r>
    </w:p>
    <w:p w14:paraId="5BDFA1D4">
      <w:pPr>
        <w:ind w:firstLine="480" w:firstLineChars="150"/>
        <w:rPr>
          <w:rFonts w:ascii="仿宋" w:hAnsi="仿宋" w:eastAsia="仿宋" w:cs="黑体"/>
          <w:color w:val="000000"/>
          <w:kern w:val="0"/>
          <w:sz w:val="32"/>
          <w:szCs w:val="32"/>
        </w:rPr>
      </w:pPr>
      <w:r>
        <w:rPr>
          <w:rFonts w:hint="eastAsia" w:ascii="仿宋" w:hAnsi="仿宋" w:eastAsia="仿宋" w:cs="黑体"/>
          <w:color w:val="000000"/>
          <w:kern w:val="0"/>
          <w:sz w:val="32"/>
          <w:szCs w:val="32"/>
        </w:rPr>
        <w:t>本部门</w:t>
      </w:r>
      <w:r>
        <w:rPr>
          <w:rFonts w:ascii="仿宋" w:hAnsi="仿宋" w:eastAsia="仿宋" w:cs="黑体"/>
          <w:color w:val="000000"/>
          <w:kern w:val="0"/>
          <w:sz w:val="32"/>
          <w:szCs w:val="32"/>
        </w:rPr>
        <w:t>2019</w:t>
      </w:r>
      <w:r>
        <w:rPr>
          <w:rFonts w:hint="eastAsia" w:ascii="仿宋" w:hAnsi="仿宋" w:eastAsia="仿宋" w:cs="黑体"/>
          <w:color w:val="000000"/>
          <w:kern w:val="0"/>
          <w:sz w:val="32"/>
          <w:szCs w:val="32"/>
        </w:rPr>
        <w:t>年度政府采购支出总额198.69万元，其中：政府采购货物支出133.16万元、政府采购工程支出20万元、政府采购服务支出45.53万元。授予中小企业合同金额198.69万元，占政府采购支出总额的100</w:t>
      </w:r>
      <w:r>
        <w:rPr>
          <w:rFonts w:ascii="仿宋" w:hAnsi="仿宋" w:eastAsia="仿宋" w:cs="黑体"/>
          <w:color w:val="000000"/>
          <w:kern w:val="0"/>
          <w:sz w:val="32"/>
          <w:szCs w:val="32"/>
        </w:rPr>
        <w:t>%</w:t>
      </w:r>
      <w:r>
        <w:rPr>
          <w:rFonts w:hint="eastAsia" w:ascii="仿宋" w:hAnsi="仿宋" w:eastAsia="仿宋" w:cs="黑体"/>
          <w:color w:val="000000"/>
          <w:kern w:val="0"/>
          <w:sz w:val="32"/>
          <w:szCs w:val="32"/>
        </w:rPr>
        <w:t>，其中：授予小微企业合同金额150.78万元，占政府采购支出总额的75.89</w:t>
      </w:r>
      <w:r>
        <w:rPr>
          <w:rFonts w:ascii="仿宋" w:hAnsi="仿宋" w:eastAsia="仿宋" w:cs="黑体"/>
          <w:color w:val="000000"/>
          <w:kern w:val="0"/>
          <w:sz w:val="32"/>
          <w:szCs w:val="32"/>
        </w:rPr>
        <w:t>%</w:t>
      </w:r>
      <w:r>
        <w:rPr>
          <w:rFonts w:hint="eastAsia" w:ascii="仿宋" w:hAnsi="仿宋" w:eastAsia="仿宋" w:cs="黑体"/>
          <w:color w:val="000000"/>
          <w:kern w:val="0"/>
          <w:sz w:val="32"/>
          <w:szCs w:val="32"/>
        </w:rPr>
        <w:t>。</w:t>
      </w:r>
    </w:p>
    <w:p w14:paraId="2FA9826F">
      <w:pPr>
        <w:ind w:firstLine="482" w:firstLineChars="150"/>
        <w:rPr>
          <w:rFonts w:ascii="仿宋" w:hAnsi="仿宋" w:eastAsia="仿宋" w:cs="黑体"/>
          <w:b/>
          <w:color w:val="000000"/>
          <w:kern w:val="0"/>
          <w:sz w:val="32"/>
          <w:szCs w:val="32"/>
        </w:rPr>
      </w:pPr>
      <w:r>
        <w:rPr>
          <w:rFonts w:hint="eastAsia" w:ascii="仿宋" w:hAnsi="仿宋" w:eastAsia="仿宋" w:cs="黑体"/>
          <w:b/>
          <w:color w:val="000000"/>
          <w:kern w:val="0"/>
          <w:sz w:val="32"/>
          <w:szCs w:val="32"/>
        </w:rPr>
        <w:t>（四）国有资产占用情况</w:t>
      </w:r>
    </w:p>
    <w:p w14:paraId="7A2DE3EB">
      <w:pPr>
        <w:widowControl/>
        <w:ind w:firstLine="640" w:firstLineChars="200"/>
        <w:jc w:val="left"/>
        <w:rPr>
          <w:rFonts w:ascii="仿宋" w:hAnsi="仿宋" w:eastAsia="仿宋" w:cs="黑体"/>
          <w:color w:val="000000"/>
          <w:kern w:val="0"/>
          <w:sz w:val="32"/>
          <w:szCs w:val="32"/>
        </w:rPr>
      </w:pPr>
      <w:r>
        <w:rPr>
          <w:rFonts w:hint="eastAsia" w:ascii="仿宋_GB2312" w:eastAsia="仿宋_GB2312"/>
          <w:sz w:val="32"/>
          <w:szCs w:val="32"/>
        </w:rPr>
        <w:t>截至2019年12 月31 日，本部门共有车辆3 辆，其中一般执法执勤用车3 辆。单位价值50 万元以上通用设备无，单价100 万元以上专用设备无。</w:t>
      </w:r>
      <w:r>
        <w:rPr>
          <w:rFonts w:ascii="宋体" w:cs="黑体"/>
          <w:color w:val="000000"/>
          <w:kern w:val="0"/>
          <w:sz w:val="32"/>
          <w:szCs w:val="32"/>
        </w:rPr>
        <w:br w:type="page"/>
      </w:r>
    </w:p>
    <w:p w14:paraId="0C2F4614">
      <w:pPr>
        <w:pStyle w:val="20"/>
        <w:jc w:val="center"/>
        <w:rPr>
          <w:rFonts w:ascii="仿宋" w:hAnsi="仿宋" w:eastAsia="仿宋"/>
          <w:sz w:val="72"/>
          <w:szCs w:val="72"/>
        </w:rPr>
      </w:pPr>
      <w:r>
        <w:rPr>
          <w:rFonts w:hint="eastAsia" w:ascii="仿宋" w:hAnsi="仿宋" w:eastAsia="仿宋"/>
          <w:sz w:val="72"/>
          <w:szCs w:val="72"/>
        </w:rPr>
        <w:t>第四部分</w:t>
      </w:r>
    </w:p>
    <w:p w14:paraId="07DF9959">
      <w:pPr>
        <w:jc w:val="center"/>
        <w:rPr>
          <w:rFonts w:ascii="仿宋" w:hAnsi="仿宋" w:eastAsia="仿宋" w:cs="黑体"/>
          <w:color w:val="000000"/>
          <w:kern w:val="0"/>
          <w:sz w:val="70"/>
          <w:szCs w:val="70"/>
        </w:rPr>
      </w:pPr>
    </w:p>
    <w:p w14:paraId="087B4AA2">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14:paraId="1197F05A">
      <w:pPr>
        <w:widowControl/>
        <w:jc w:val="left"/>
        <w:rPr>
          <w:rFonts w:ascii="黑体" w:eastAsia="黑体" w:cs="黑体"/>
          <w:color w:val="000000"/>
          <w:kern w:val="0"/>
          <w:sz w:val="70"/>
          <w:szCs w:val="70"/>
        </w:rPr>
      </w:pPr>
    </w:p>
    <w:p w14:paraId="4B07DBE7">
      <w:pPr>
        <w:ind w:firstLine="640" w:firstLineChars="200"/>
        <w:jc w:val="left"/>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三公经费是指财政拨款支出安排的因公出国（境）费、车辆购置及运行费、公务接待费这三项经费。</w:t>
      </w:r>
    </w:p>
    <w:p w14:paraId="29AE6A5F">
      <w:pPr>
        <w:ind w:firstLine="640" w:firstLineChars="200"/>
        <w:jc w:val="left"/>
        <w:rPr>
          <w:rFonts w:ascii="仿宋_GB2312" w:eastAsia="仿宋_GB2312"/>
          <w:sz w:val="32"/>
          <w:szCs w:val="32"/>
        </w:rPr>
      </w:pPr>
      <w:r>
        <w:rPr>
          <w:rFonts w:hint="eastAsia" w:ascii="仿宋_GB2312" w:eastAsia="仿宋_GB2312"/>
          <w:sz w:val="32"/>
          <w:szCs w:val="32"/>
        </w:rPr>
        <w:t>二、</w:t>
      </w:r>
      <w:r>
        <w:rPr>
          <w:rFonts w:ascii="仿宋_GB2312" w:eastAsia="仿宋_GB2312"/>
          <w:sz w:val="32"/>
          <w:szCs w:val="32"/>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3D06FC7">
      <w:pPr>
        <w:ind w:firstLine="640" w:firstLineChars="200"/>
        <w:jc w:val="left"/>
        <w:rPr>
          <w:rFonts w:ascii="仿宋_GB2312" w:eastAsia="仿宋_GB2312"/>
          <w:sz w:val="32"/>
          <w:szCs w:val="32"/>
        </w:rPr>
      </w:pPr>
      <w:r>
        <w:rPr>
          <w:rFonts w:hint="eastAsia" w:ascii="仿宋_GB2312" w:eastAsia="仿宋_GB2312"/>
          <w:sz w:val="32"/>
          <w:szCs w:val="32"/>
        </w:rPr>
        <w:t>三、政府采购金额的计算口径为：本部门纳入</w:t>
      </w:r>
      <w:r>
        <w:rPr>
          <w:rFonts w:ascii="仿宋_GB2312" w:eastAsia="仿宋_GB2312"/>
          <w:sz w:val="32"/>
          <w:szCs w:val="32"/>
        </w:rPr>
        <w:t>2019</w:t>
      </w:r>
      <w:r>
        <w:rPr>
          <w:rFonts w:hint="eastAsia" w:ascii="仿宋_GB2312" w:eastAsia="仿宋_GB2312"/>
          <w:sz w:val="32"/>
          <w:szCs w:val="32"/>
        </w:rPr>
        <w:t>年度部门预算范围的各项政府采购支出金额之和，不包括涉密采购项目的支出金额。</w:t>
      </w:r>
    </w:p>
    <w:p w14:paraId="64510FBF">
      <w:pPr>
        <w:widowControl/>
        <w:jc w:val="left"/>
        <w:rPr>
          <w:rFonts w:ascii="宋体"/>
          <w:i/>
          <w:color w:val="FF0000"/>
          <w:sz w:val="32"/>
          <w:szCs w:val="32"/>
        </w:rPr>
      </w:pPr>
      <w:r>
        <w:rPr>
          <w:rFonts w:ascii="宋体"/>
          <w:i/>
          <w:color w:val="FF0000"/>
          <w:sz w:val="32"/>
          <w:szCs w:val="32"/>
        </w:rPr>
        <w:br w:type="page"/>
      </w:r>
    </w:p>
    <w:p w14:paraId="15BE339B">
      <w:pPr>
        <w:pStyle w:val="20"/>
        <w:jc w:val="center"/>
        <w:rPr>
          <w:rFonts w:ascii="仿宋" w:hAnsi="仿宋" w:eastAsia="仿宋"/>
          <w:sz w:val="72"/>
          <w:szCs w:val="72"/>
        </w:rPr>
      </w:pPr>
      <w:r>
        <w:rPr>
          <w:rFonts w:hint="eastAsia" w:ascii="仿宋" w:hAnsi="仿宋" w:eastAsia="仿宋"/>
          <w:sz w:val="72"/>
          <w:szCs w:val="72"/>
        </w:rPr>
        <w:t>第五部分</w:t>
      </w:r>
    </w:p>
    <w:p w14:paraId="331E46AD">
      <w:pPr>
        <w:jc w:val="center"/>
        <w:rPr>
          <w:rFonts w:ascii="仿宋" w:hAnsi="仿宋" w:eastAsia="仿宋" w:cs="黑体"/>
          <w:color w:val="000000"/>
          <w:kern w:val="0"/>
          <w:sz w:val="70"/>
          <w:szCs w:val="70"/>
        </w:rPr>
      </w:pPr>
    </w:p>
    <w:p w14:paraId="414E176B">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14:paraId="14413E4F">
      <w:pPr>
        <w:widowControl/>
        <w:jc w:val="left"/>
        <w:rPr>
          <w:rFonts w:ascii="仿宋" w:hAnsi="仿宋" w:eastAsia="仿宋" w:cs="黑体"/>
          <w:b/>
          <w:color w:val="000000"/>
          <w:kern w:val="0"/>
          <w:sz w:val="32"/>
          <w:szCs w:val="32"/>
        </w:rPr>
      </w:pPr>
    </w:p>
    <w:p w14:paraId="606152C9">
      <w:pPr>
        <w:widowControl/>
        <w:jc w:val="left"/>
        <w:rPr>
          <w:rFonts w:ascii="仿宋" w:hAnsi="仿宋" w:eastAsia="仿宋" w:cs="黑体"/>
          <w:b/>
          <w:color w:val="000000"/>
          <w:kern w:val="0"/>
          <w:sz w:val="32"/>
          <w:szCs w:val="32"/>
        </w:rPr>
      </w:pPr>
    </w:p>
    <w:p w14:paraId="20958E55">
      <w:pPr>
        <w:widowControl/>
        <w:ind w:firstLine="420" w:firstLineChars="200"/>
        <w:jc w:val="center"/>
      </w:pPr>
    </w:p>
    <w:p w14:paraId="143A184B">
      <w:pPr>
        <w:spacing w:line="520" w:lineRule="exact"/>
        <w:jc w:val="center"/>
        <w:rPr>
          <w:rFonts w:asciiTheme="majorEastAsia" w:hAnsiTheme="majorEastAsia" w:eastAsiaTheme="majorEastAsia"/>
          <w:sz w:val="44"/>
          <w:szCs w:val="44"/>
        </w:rPr>
      </w:pPr>
    </w:p>
    <w:p w14:paraId="0F841595">
      <w:pPr>
        <w:spacing w:line="520" w:lineRule="exact"/>
        <w:jc w:val="center"/>
        <w:rPr>
          <w:rFonts w:asciiTheme="majorEastAsia" w:hAnsiTheme="majorEastAsia" w:eastAsiaTheme="majorEastAsia"/>
          <w:sz w:val="44"/>
          <w:szCs w:val="44"/>
        </w:rPr>
      </w:pPr>
    </w:p>
    <w:p w14:paraId="6A991D0F">
      <w:pPr>
        <w:spacing w:line="560" w:lineRule="exact"/>
        <w:jc w:val="center"/>
        <w:rPr>
          <w:rFonts w:asciiTheme="majorEastAsia" w:hAnsiTheme="majorEastAsia" w:eastAsiaTheme="majorEastAsia"/>
          <w:b/>
          <w:sz w:val="44"/>
          <w:szCs w:val="44"/>
        </w:rPr>
      </w:pPr>
    </w:p>
    <w:p w14:paraId="019A8D7D">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湘潭县司法局</w:t>
      </w:r>
    </w:p>
    <w:p w14:paraId="50B0C7BC">
      <w:pPr>
        <w:spacing w:line="52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2019年部门整体支出绩效自评报告</w:t>
      </w:r>
    </w:p>
    <w:p w14:paraId="0E4EF28D">
      <w:pPr>
        <w:spacing w:line="520" w:lineRule="exact"/>
        <w:jc w:val="left"/>
        <w:rPr>
          <w:rFonts w:ascii="仿宋_GB2312" w:hAnsi="微软雅黑"/>
          <w:color w:val="333333"/>
          <w:szCs w:val="32"/>
        </w:rPr>
      </w:pPr>
    </w:p>
    <w:p w14:paraId="6A8ACA9F">
      <w:pPr>
        <w:tabs>
          <w:tab w:val="center" w:pos="4535"/>
        </w:tabs>
        <w:spacing w:line="520" w:lineRule="exact"/>
        <w:ind w:firstLine="800" w:firstLineChars="250"/>
        <w:jc w:val="left"/>
        <w:rPr>
          <w:rFonts w:ascii="仿宋" w:hAnsi="仿宋" w:eastAsia="仿宋"/>
          <w:b/>
          <w:sz w:val="32"/>
          <w:szCs w:val="32"/>
        </w:rPr>
      </w:pPr>
      <w:r>
        <w:rPr>
          <w:rFonts w:hint="eastAsia" w:ascii="仿宋" w:hAnsi="仿宋" w:eastAsia="仿宋"/>
          <w:color w:val="333333"/>
          <w:sz w:val="32"/>
          <w:szCs w:val="32"/>
        </w:rPr>
        <w:t>根据湘潭县财政局《关于做好2020年度财政支出绩效自评工作的通知》精神，我局对2019年度部门整体支出绩效进行了全面综合评价。整体支出分基本支出和项目支出两部分，基本支出的评价重点是厉行节约保运转，降低行政成本，项目支出的评价重点是规范专项业务的管理促发展，提高资金绩效。现将有关情况报告如下：</w:t>
      </w:r>
    </w:p>
    <w:p w14:paraId="3575668A">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一、部门概况</w:t>
      </w:r>
    </w:p>
    <w:p w14:paraId="391DD186">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（一）部门基本情况</w:t>
      </w:r>
    </w:p>
    <w:p w14:paraId="22A5CF21">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湘潭县司法局主要承担全面依法治县办公室日常工作、指导全县规范性文件管理、承担县人民政府法律顾问工作、承法治政府建设、规划全县法治社会建设、行政复议事项、社区矫正、公共法律服务管理等职能。根据“三定”方案，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职能股室。核定编制42人，即24个政法专项编制，12个县编委集中管理编制,法律顾问工作室事业编制6人，年末实有人数42人。设置云湖、石潭、乌石、杨嘉桥、河口、射埠、锦石、排头、花石、分水、石鼓、青山、易俗河、中路铺、谭家山、白石、茶恩17个乡镇司法所，为县司法局的派出机构，核定政法专项编制58名，实有58人。退休人员25人，遗属5人，现有公车3辆。</w:t>
      </w:r>
    </w:p>
    <w:p w14:paraId="03CE8B22">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（二）部门整体支出总体情况</w:t>
      </w:r>
    </w:p>
    <w:p w14:paraId="55C41F33">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2019年年初预算收入数为1522.96万元。其中：财政一般预算拨款1522.96万元。较去年（2018年年初预算收入为15315430元）减少8.58万元，减少了0.56%，减少的主要原因是一般公共预算拨款的压减。年中财政追加了354.40万元，部门决算总收入1877.36万元。</w:t>
      </w:r>
    </w:p>
    <w:p w14:paraId="3BF68973">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部门整体支出1877.36万元，其中基本支出1586.56万元，项目支出290.8万元 。部门整体支出比上年增加154.23万元，主要原因是政府机构改革，原</w:t>
      </w:r>
      <w:r>
        <w:rPr>
          <w:rFonts w:hint="eastAsia" w:ascii="仿宋" w:hAnsi="仿宋" w:eastAsia="仿宋"/>
          <w:color w:val="333333"/>
          <w:sz w:val="32"/>
          <w:szCs w:val="32"/>
          <w:lang w:eastAsia="zh-CN"/>
        </w:rPr>
        <w:t>法制办</w:t>
      </w:r>
      <w:r>
        <w:rPr>
          <w:rFonts w:hint="eastAsia" w:ascii="仿宋" w:hAnsi="仿宋" w:eastAsia="仿宋"/>
          <w:color w:val="333333"/>
          <w:sz w:val="32"/>
          <w:szCs w:val="32"/>
        </w:rPr>
        <w:t>并入司法局，增人增资，工资晋级晋档等。</w:t>
      </w:r>
    </w:p>
    <w:p w14:paraId="77287109">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二、部门整体支出管理及使用情况</w:t>
      </w:r>
    </w:p>
    <w:p w14:paraId="2B6CFCF2">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（一）基本支出</w:t>
      </w:r>
    </w:p>
    <w:p w14:paraId="6B275054">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2019年基本支出1586.56万元，主要包括：1、工资福利支出1251.53万元。主要为行政事业在职人员基本工资、津贴补贴、社会保障缴费、年终绩效奖和其他工资福利支出等。2、商品和服务支出311.61万元。主要是办公费、印刷费、水电费、邮电费、物业管理费、差旅费、会议费、培训费、劳务费、公务接待费、公务用车运行维护费、其他商品和服务支出等支出。3、对个人和家庭补助支出23.42万元。</w:t>
      </w:r>
    </w:p>
    <w:p w14:paraId="56BD4E89">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“三公”经费年初预算28.29万元，支出20.18万元，同比上年减少14.96%，其中公务接待费8.56万元，同比上年增加增长29.87%，增长的主要原因是2019年由于与县政府</w:t>
      </w:r>
      <w:r>
        <w:rPr>
          <w:rFonts w:hint="eastAsia" w:ascii="仿宋" w:hAnsi="仿宋" w:eastAsia="仿宋"/>
          <w:color w:val="333333"/>
          <w:sz w:val="32"/>
          <w:szCs w:val="32"/>
          <w:lang w:eastAsia="zh-CN"/>
        </w:rPr>
        <w:t>法制办</w:t>
      </w:r>
      <w:r>
        <w:rPr>
          <w:rFonts w:hint="eastAsia" w:ascii="仿宋" w:hAnsi="仿宋" w:eastAsia="仿宋"/>
          <w:color w:val="333333"/>
          <w:sz w:val="32"/>
          <w:szCs w:val="32"/>
        </w:rPr>
        <w:t>合并，接待上级部门和各地信访部门到我局检查、指导、交流的批次增加，基层部门、群众来访等事项支出增加。，公务用车运行维护费11.62万元，比上年减少32.2%。无公务用车购置费。</w:t>
      </w:r>
    </w:p>
    <w:p w14:paraId="5939ED90">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（二）项目支出</w:t>
      </w:r>
    </w:p>
    <w:p w14:paraId="06BE0B6E">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2019年项目支出290.80万元，项目支出主要用于社区矫正与安置帮教、人民调解和三调联动、法律援助、医疗纠纷调处、普法宣传、装备购置等支出。</w:t>
      </w:r>
    </w:p>
    <w:p w14:paraId="4943E925">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（三）项目资金管理情况</w:t>
      </w:r>
    </w:p>
    <w:p w14:paraId="29D05E97">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1.管理制度健全性。为规范机关财务管理，建立健全财务管理制度，我局制定了《湘潭县司法局政府采购工作规范》（潭司发〔2019〕9号）、《湘潭县司法局关于下达2019年基层司法所工作经费预算指标的通知》（潭司函〔2019〕3 号）等一系列财务管理制度。</w:t>
      </w:r>
    </w:p>
    <w:p w14:paraId="625486EA">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2.资金使用合规性。资金的支付严格按照国家财经法规和财务管理制度规定支付；资金拨付有完整的审批程序和手续；经费支出符合部门预算批复的用途；资金使用无截留、挪用、虚列支出等情况。</w:t>
      </w:r>
    </w:p>
    <w:p w14:paraId="3151ADFA">
      <w:pPr>
        <w:tabs>
          <w:tab w:val="center" w:pos="4535"/>
        </w:tabs>
        <w:spacing w:line="520" w:lineRule="exact"/>
        <w:ind w:firstLine="800" w:firstLineChars="250"/>
        <w:jc w:val="left"/>
        <w:rPr>
          <w:rFonts w:ascii="仿宋" w:hAnsi="仿宋" w:eastAsia="仿宋"/>
          <w:color w:val="333333"/>
          <w:sz w:val="32"/>
          <w:szCs w:val="32"/>
        </w:rPr>
      </w:pPr>
      <w:r>
        <w:rPr>
          <w:rFonts w:hint="eastAsia" w:ascii="仿宋" w:hAnsi="仿宋" w:eastAsia="仿宋"/>
          <w:color w:val="333333"/>
          <w:sz w:val="32"/>
          <w:szCs w:val="32"/>
        </w:rPr>
        <w:t>3.会计核算规范性。我局各项财务工作能按照财政的有关规章制度严格执行，能做到准确核算业务，规范管理财务资料。</w:t>
      </w:r>
    </w:p>
    <w:p w14:paraId="4C053986">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三、资产管理情况</w:t>
      </w:r>
    </w:p>
    <w:p w14:paraId="7A1F41A9">
      <w:pPr>
        <w:tabs>
          <w:tab w:val="center" w:pos="4535"/>
        </w:tabs>
        <w:spacing w:line="520" w:lineRule="exact"/>
        <w:ind w:firstLine="800" w:firstLineChars="250"/>
        <w:jc w:val="left"/>
        <w:rPr>
          <w:rFonts w:ascii="仿宋_GB2312" w:hAnsi="微软雅黑" w:eastAsia="仿宋_GB2312"/>
          <w:color w:val="333333"/>
          <w:sz w:val="32"/>
          <w:szCs w:val="32"/>
        </w:rPr>
      </w:pPr>
      <w:r>
        <w:rPr>
          <w:rFonts w:hint="eastAsia" w:ascii="仿宋_GB2312" w:hAnsi="微软雅黑" w:eastAsia="仿宋_GB2312"/>
          <w:color w:val="333333"/>
          <w:sz w:val="32"/>
          <w:szCs w:val="32"/>
        </w:rPr>
        <w:t>截至2019年12月31日我局资产总计851.07万元，负债合计34.54万元，净资产合计817.61万元，固定资产净值549.67万元。我局综合办公室负责固定资产的申报、购买、登记和处置。购买固定资产时需明确购买资产的原因、数量和用途，经领导审批后交计财装备室，计财装备室履行政府购买手续按规定流程购买，经验货后送达资产申报人。同时及时登记固定资产明细表及资产系统，并将资产发票进行入账处理。</w:t>
      </w:r>
    </w:p>
    <w:p w14:paraId="38B5650A">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四、部门整体支出绩效情况</w:t>
      </w:r>
    </w:p>
    <w:p w14:paraId="16AB2112">
      <w:pPr>
        <w:pStyle w:val="7"/>
        <w:spacing w:before="0" w:beforeAutospacing="0" w:after="0" w:afterAutospacing="0" w:line="520" w:lineRule="exact"/>
        <w:ind w:firstLine="48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一年来，在县委、县政府的坚强领导下，全县司法行政系统以习近平新时代中国特色社会主义思想为指导，增强“四个意识”、坚定“四个自信”、做到“两个维护”，紧紧围绕服务保障全县经济社会发展大局，忠实履行党章和宪法赋予的职责，积极协助县委深化全面从严治党，坚持稳中求进、实事求是、依规依纪依法，持之以恒正风肃纪，一体推进不敢腐、不能腐、不想腐，巩固发展反腐败斗争压倒性胜利，努力推动司法工作高质量发展，各项工作取得了新成效。部门整体支出绩效情况如下：</w:t>
      </w:r>
    </w:p>
    <w:p w14:paraId="1411C980">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（一）经济性评价</w:t>
      </w:r>
    </w:p>
    <w:p w14:paraId="0DA6A26F">
      <w:pPr>
        <w:pStyle w:val="7"/>
        <w:spacing w:before="0" w:beforeAutospacing="0" w:after="0" w:afterAutospacing="0" w:line="520" w:lineRule="exact"/>
        <w:ind w:firstLine="48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1、预算配置评价。2019年，因机构改革，人数增加而核定编制100人，其中政法专项编制82人，集中管理编制12人，事业编制6人，实有在职人员90名，其中政法专项编制74人，集中管理人员编制12人，事业编制4人。人员控制率为90%。</w:t>
      </w:r>
    </w:p>
    <w:p w14:paraId="05C6E357">
      <w:pPr>
        <w:pStyle w:val="7"/>
        <w:spacing w:before="0" w:beforeAutospacing="0" w:after="0" w:afterAutospacing="0" w:line="520" w:lineRule="exact"/>
        <w:ind w:firstLine="48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2、预算执行评价。支出总额控制在预算总额内，没有超支情况。全年可用预算指标1900.25万元，但考虑中央和省级政法转移支付指标下达较晚，指标实际执行1877.36万元，预算完成率为98.79%；2019年度没有新建楼堂馆所。</w:t>
      </w:r>
    </w:p>
    <w:p w14:paraId="6F6FE54E">
      <w:pPr>
        <w:pStyle w:val="7"/>
        <w:spacing w:before="0" w:beforeAutospacing="0" w:after="0" w:afterAutospacing="0" w:line="520" w:lineRule="exact"/>
        <w:ind w:firstLine="48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3、预算管理评价。一是为规范部门整体支出，贯彻厉行节约反对浪费条例，加强国有资产管理，完善内部财务管理，提高资金使用效率，建立节约型机关，我局在强化业务管理、财务管理、内部控制和厉行节约等方面开展了大量工作，预算管理水平提高显著。二是完善预算、内控、财务管理制度，我局根据县财政局要求，在上年的基础上修订了《湘潭县司法局内部控制手册》和《湘潭县司法局内部控制制度汇编》，并已按时报县财政局，2019年全面实施，为规范单位内部控制，健全内控体系，提升风险防范能力，提高运行效率和管理水平打开了局面。全年来，我局一般行政性经费开支合理、规范，且未超预算；政府采购流程、资产管理、合同管理逐步完善；项目资金的使用更加科学合理。</w:t>
      </w:r>
    </w:p>
    <w:p w14:paraId="7185F92A">
      <w:pPr>
        <w:pStyle w:val="7"/>
        <w:spacing w:before="0" w:beforeAutospacing="0" w:after="0" w:afterAutospacing="0" w:line="520" w:lineRule="exact"/>
        <w:ind w:firstLine="48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（二）社会效益评价</w:t>
      </w:r>
    </w:p>
    <w:p w14:paraId="2901F7F9">
      <w:pPr>
        <w:pStyle w:val="7"/>
        <w:spacing w:before="0" w:beforeAutospacing="0" w:after="0" w:afterAutospacing="0" w:line="520" w:lineRule="exact"/>
        <w:ind w:firstLine="48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2019年，司法局通过助推司法行政改革、推动重点民生项目建设、狠抓重点工作，并改进文风会风，加强经费及资产管理，推动网上办事，提高行政效率，较好地完成了各项工作目标，取得了显著的社会效益，行政效能明显提升。</w:t>
      </w:r>
    </w:p>
    <w:p w14:paraId="5F823AFA">
      <w:pPr>
        <w:pStyle w:val="7"/>
        <w:numPr>
          <w:ilvl w:val="0"/>
          <w:numId w:val="5"/>
        </w:numPr>
        <w:spacing w:before="0" w:beforeAutospacing="0" w:after="0" w:afterAutospacing="0" w:line="520" w:lineRule="exact"/>
        <w:jc w:val="both"/>
        <w:rPr>
          <w:rFonts w:ascii="仿宋_GB2312" w:hAnsi="楷体_GB2312" w:eastAsia="仿宋_GB2312" w:cs="楷体_GB2312"/>
          <w:sz w:val="32"/>
          <w:szCs w:val="32"/>
        </w:rPr>
      </w:pPr>
      <w:r>
        <w:rPr>
          <w:rFonts w:hint="eastAsia" w:ascii="仿宋_GB2312" w:hAnsi="楷体_GB2312" w:eastAsia="仿宋_GB2312" w:cs="楷体_GB2312"/>
          <w:sz w:val="32"/>
          <w:szCs w:val="32"/>
        </w:rPr>
        <w:t>加快推进法治政府建设。</w:t>
      </w:r>
    </w:p>
    <w:p w14:paraId="3E835DF7">
      <w:pPr>
        <w:pStyle w:val="7"/>
        <w:spacing w:before="0" w:beforeAutospacing="0" w:after="0" w:afterAutospacing="0" w:line="52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sz w:val="32"/>
          <w:szCs w:val="32"/>
        </w:rPr>
        <w:t>一是继续</w:t>
      </w:r>
      <w:r>
        <w:rPr>
          <w:rFonts w:hint="eastAsia" w:ascii="仿宋_GB2312" w:hAnsi="仿宋_GB2312" w:eastAsia="仿宋_GB2312" w:cs="仿宋_GB2312"/>
          <w:kern w:val="2"/>
          <w:sz w:val="32"/>
          <w:szCs w:val="32"/>
        </w:rPr>
        <w:t>加大委托乡镇执法改革力度，重新修订出台《关于委托乡镇行使县人民政府工作部门部分行政处罚权的实施意见》，将部分单位部分行政处罚权委托乡镇行使，推动执法重心下移。二是不断加强执法队伍建设。11月初，由司法局牵头在县委党校举办了为期一周的全县乡镇综合执法人员培训班，来自全县各乡镇的150余名执法队员参加了此次培训。通过培训，乡镇综合执法人员的业务水平和素质得到明显提高。三是加强行政裁决和规范性文件、合同管理，全年我局共为县政府处理行政复议23件、行政诉讼33件，审查政府规范性文件的文稿25件，合同16件，三定方案37件，并做好了县政府17件规范性文件报送市政府、县人大的备案工作</w:t>
      </w:r>
      <w:r>
        <w:rPr>
          <w:rFonts w:hint="eastAsia" w:ascii="仿宋_GB2312" w:hAnsi="仿宋_GB2312" w:eastAsia="仿宋_GB2312" w:cs="仿宋_GB2312"/>
          <w:color w:val="000000"/>
          <w:kern w:val="2"/>
          <w:sz w:val="32"/>
          <w:szCs w:val="32"/>
        </w:rPr>
        <w:t>。</w:t>
      </w:r>
    </w:p>
    <w:p w14:paraId="40D1CD6B">
      <w:pPr>
        <w:spacing w:line="520" w:lineRule="exact"/>
        <w:ind w:firstLine="640" w:firstLineChars="200"/>
        <w:rPr>
          <w:rFonts w:ascii="仿宋" w:hAnsi="仿宋" w:eastAsia="仿宋" w:cs="楷体_GB2312"/>
          <w:sz w:val="32"/>
          <w:szCs w:val="32"/>
        </w:rPr>
      </w:pPr>
      <w:r>
        <w:rPr>
          <w:rFonts w:hint="eastAsia" w:ascii="仿宋" w:hAnsi="仿宋" w:eastAsia="仿宋" w:cs="楷体_GB2312"/>
          <w:sz w:val="32"/>
          <w:szCs w:val="32"/>
        </w:rPr>
        <w:t>（二）深入推进行政执法竞赛活动。</w:t>
      </w:r>
    </w:p>
    <w:p w14:paraId="331E251F">
      <w:pPr>
        <w:spacing w:line="520" w:lineRule="exact"/>
        <w:ind w:firstLine="640" w:firstLineChars="200"/>
        <w:rPr>
          <w:rFonts w:ascii="仿宋" w:hAnsi="仿宋" w:eastAsia="仿宋" w:cs="仿宋_GB2312"/>
          <w:color w:val="000000"/>
          <w:sz w:val="32"/>
          <w:szCs w:val="32"/>
        </w:rPr>
      </w:pPr>
      <w:r>
        <w:rPr>
          <w:rFonts w:hint="eastAsia" w:ascii="仿宋" w:hAnsi="仿宋" w:eastAsia="仿宋" w:cs="仿宋_GB2312"/>
          <w:sz w:val="32"/>
          <w:szCs w:val="32"/>
        </w:rPr>
        <w:t>2019年，我局继续牵头全县行政执法竞赛活动，年初我们制定并报县人民政府通过了《2019年行政执法竞赛实施方案》，将“比执法质量，比执法数量，比执法效果，比服务县域经济发展贡献”明确为主要评分考核内容，并进一步扩大参赛单位范围，将各乡镇人民政府也纳入到参赛单位范围，促使行政执法竞赛的参赛单位基本涵盖了全县行政执法实施主体。经统计，全年县直机关执法单位行政处罚案件总计86546件，与去年同期相比下降20.6%；到位罚没款3767.13万，与去年同期相比增长10.57%。乡镇执法方面，全年各乡镇共计查处违法行为170件，行政处罚146件，到位罚没款123.13万。</w:t>
      </w:r>
    </w:p>
    <w:p w14:paraId="1E8CC935">
      <w:pPr>
        <w:pStyle w:val="7"/>
        <w:spacing w:before="0" w:beforeAutospacing="0" w:after="0" w:afterAutospacing="0" w:line="520" w:lineRule="exact"/>
        <w:ind w:firstLine="640" w:firstLineChars="20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（三）公共法律服务工作成绩显著。</w:t>
      </w:r>
    </w:p>
    <w:p w14:paraId="61FEF578">
      <w:pPr>
        <w:pStyle w:val="7"/>
        <w:spacing w:before="0" w:beforeAutospacing="0" w:after="0" w:afterAutospacing="0" w:line="520" w:lineRule="exact"/>
        <w:ind w:firstLine="640" w:firstLineChars="200"/>
        <w:jc w:val="both"/>
        <w:rPr>
          <w:rFonts w:ascii="仿宋_GB2312" w:hAnsi="微软雅黑" w:eastAsia="仿宋_GB2312"/>
          <w:color w:val="333333"/>
          <w:sz w:val="32"/>
          <w:szCs w:val="32"/>
        </w:rPr>
      </w:pPr>
      <w:r>
        <w:rPr>
          <w:rFonts w:hint="eastAsia" w:ascii="仿宋" w:hAnsi="仿宋" w:eastAsia="仿宋" w:cs="仿宋_GB2312"/>
          <w:sz w:val="32"/>
          <w:szCs w:val="32"/>
        </w:rPr>
        <w:t>一是深入推行“一村一法律顾问”工作。目前，全县355个村（社区）与16家律师事务所114名律师签订了法律顾问合同。一年来，村级法律顾问通过定期走访、按时坐班、微信联系、电话交流等方式，积极为基层群众解答法律问题，宣传政策法规，为村民排忧解难。二是通过在县级设立公共法律服务中心、在乡镇设立公共法律服务站、在村设立公共法律服务点以及如法网、12348热线等网络平台，积极探索适合湘潭县县情的公共法律服务新模式。三是广泛开展“法润三湘”志愿者活动。活动中，我们充分发扬志愿者精神，调动和培育社会力量，组织广大志愿者深入基层、深入群众，通过以案说法、现场咨询等方式免费为广大人民群众法律服务，获得人民群众的一致好评。</w:t>
      </w:r>
    </w:p>
    <w:p w14:paraId="02787B9A">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（四）努力提供优质高效的法律服务。</w:t>
      </w:r>
    </w:p>
    <w:p w14:paraId="0DC723F6">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一方面，围绕县内重点工程项目、民营企业发展、群众合法权益维护等焦点、热点问题，引导律师、公证员、司法鉴定人员和法律服务工作者主动提供优质高效的法律服务，并不断扩大法律援助的覆盖面。全年，全县共办理法律援助案件435件，其中刑事132件，民事303件；公证事项1159件，其中民事934件，涉外225件；金额115.16万元。另一方面，积极开展法律服务“双随机</w:t>
      </w:r>
      <w:r>
        <w:rPr>
          <w:rFonts w:hint="eastAsia" w:ascii="仿宋" w:hAnsi="仿宋" w:eastAsia="仿宋" w:cs="仿宋_GB2312"/>
          <w:sz w:val="32"/>
          <w:szCs w:val="32"/>
          <w:lang w:eastAsia="zh-CN"/>
        </w:rPr>
        <w:t>、</w:t>
      </w:r>
      <w:r>
        <w:rPr>
          <w:rFonts w:hint="eastAsia" w:ascii="仿宋" w:hAnsi="仿宋" w:eastAsia="仿宋" w:cs="仿宋_GB2312"/>
          <w:sz w:val="32"/>
          <w:szCs w:val="32"/>
        </w:rPr>
        <w:t>一公开”监管工作，加大对法律服务机构的监督指导力度，规范县内各类法律服务机构的执业行为。2019年，湖南锦程司法鉴定中心荣获“全国公共法律服务工作先进集体”，莲城司法鉴定所主任左巨能被评为“全国公共法律服务工作先进个人”。</w:t>
      </w:r>
    </w:p>
    <w:p w14:paraId="3512050A">
      <w:pPr>
        <w:pStyle w:val="7"/>
        <w:spacing w:before="0" w:beforeAutospacing="0" w:after="0" w:afterAutospacing="0" w:line="520" w:lineRule="exact"/>
        <w:ind w:firstLine="480" w:firstLineChars="15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（五）社区矫正工作安全稳定。</w:t>
      </w:r>
    </w:p>
    <w:p w14:paraId="326659DC">
      <w:pPr>
        <w:pStyle w:val="7"/>
        <w:spacing w:before="0" w:beforeAutospacing="0" w:after="0" w:afterAutospacing="0" w:line="520" w:lineRule="exact"/>
        <w:ind w:firstLine="640" w:firstLineChars="200"/>
        <w:jc w:val="both"/>
        <w:rPr>
          <w:rFonts w:ascii="仿宋_GB2312" w:hAnsi="微软雅黑" w:eastAsia="仿宋_GB2312"/>
          <w:color w:val="333333"/>
          <w:sz w:val="32"/>
          <w:szCs w:val="32"/>
        </w:rPr>
      </w:pPr>
      <w:r>
        <w:rPr>
          <w:rFonts w:hint="eastAsia" w:ascii="仿宋_GB2312" w:eastAsia="仿宋_GB2312"/>
          <w:sz w:val="32"/>
          <w:szCs w:val="32"/>
        </w:rPr>
        <w:t>到2019年12月底，全县在矫社区服刑人员共260  人，当年接收入矫277人，入矫率99 %；当年期满解矫312人；因病死亡0人，撤销缓刑 0人。累计接收矫正人员2504 人，累计解除矫正2244人。2019年12月，手机定位197人，定位率达 %；除8 名保外就医无劳动能力对象外，其余252人全部按规定参加了集中教育学习和公益性劳动，人员参加率达100 %；全年开展集中教育学习831人次，开展社区公益性劳动806人次；指导就业就学192人次，社区服刑人员就业率达 80%以上；无重新犯罪。</w:t>
      </w:r>
    </w:p>
    <w:p w14:paraId="1DFEBBEF">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同时，从2019年1月份开始至2019年12月底止，我局接受各地人民法院和监狱委托，共对315例拟适用非监禁刑罚的刑事案件被告人（罪犯）进行了适用社区矫正社会调查评估，召开局长办公会议42次，采信率90％，全县五年内接收刑释人员2621人，全年无脱管漏管，无重新犯罪为“法治湘潭县”的建设</w:t>
      </w:r>
      <w:r>
        <w:rPr>
          <w:rFonts w:hint="eastAsia" w:ascii="仿宋" w:hAnsi="仿宋" w:eastAsia="仿宋" w:cs="仿宋_GB2312"/>
          <w:sz w:val="32"/>
          <w:szCs w:val="32"/>
          <w:lang w:eastAsia="zh-CN"/>
        </w:rPr>
        <w:t>作</w:t>
      </w:r>
      <w:bookmarkStart w:id="0" w:name="_GoBack"/>
      <w:bookmarkEnd w:id="0"/>
      <w:r>
        <w:rPr>
          <w:rFonts w:hint="eastAsia" w:ascii="仿宋" w:hAnsi="仿宋" w:eastAsia="仿宋" w:cs="仿宋_GB2312"/>
          <w:sz w:val="32"/>
          <w:szCs w:val="32"/>
        </w:rPr>
        <w:t>出了积极贡献。</w:t>
      </w:r>
    </w:p>
    <w:p w14:paraId="30BCA917">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（六）基层工作夯实有序</w:t>
      </w:r>
    </w:p>
    <w:p w14:paraId="102929C7">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随着县域经济的不断快速发展，人民维权意识的不断提高，社会治安形势越来越严峻，2019年我县通过有效运用矛盾纠纷多元化解机制和“五调联动”机制，化解了一批重大矛盾纠纷，使群众最关心、最直接、最现实的利益得到维护，确保了社会的稳定和谐。根据统计全年各调解机构共排查矛盾纠纷3637起，受理3637起，调解成功3252起，运用联动机制化解矛盾纠纷1090起（其中以人民调解联合调处为主的纠纷530起；以司法联合调处为主的纠纷329起；以治安行政联合调处的纠纷231起），运用矛盾纠纷多元化解机制化解2162起，避免了纠纷激化升级，有力地保障了我县的社会稳定。</w:t>
      </w:r>
    </w:p>
    <w:p w14:paraId="7DD9F15D">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2019年以来共排查各类医疗纠纷94起，调处成功93起，一起正在调处中，共赔补总金额4646680元。无因调处不当或调处不及时引发的面对激化、群体性械斗及越级上访事件的发生，有效的维护了全县社会稳定，保障了人民群众的合法权益。</w:t>
      </w:r>
    </w:p>
    <w:p w14:paraId="3327E5C0">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（七）法治宣传工作形式多样。</w:t>
      </w:r>
    </w:p>
    <w:p w14:paraId="7C569083">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一是培育普法品牌。目前，我县共有省级(国家级）民主法治示范村14个，诚信守法企业4个。二是开展形式多样、各具特色的法治宣传教育活动。开展了“送法下乡”“农村法治宣传教育月”等活动。开展集中宣传教育24余场次，悬挂横幅120余条，接受群众咨询20000余人次，结合“送法入户”发放各类法律宣传资料8万余份。</w:t>
      </w:r>
    </w:p>
    <w:p w14:paraId="67F7F9EE">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三是营造法治氛围，实现依法治县全覆盖。四是加强与各单位（部门）沟通联系，确保年度学法考试工作的顺利开展。2019年，我县共有13657名国家机关工作人员通过如法网参加了国家工作人员学法用法考试，参考率100%，合格率99.91%。</w:t>
      </w:r>
      <w:r>
        <w:rPr>
          <w:rFonts w:hint="eastAsia" w:ascii="仿宋" w:hAnsi="仿宋" w:eastAsia="仿宋" w:cs="仿宋_GB2312"/>
          <w:sz w:val="32"/>
          <w:szCs w:val="32"/>
        </w:rPr>
        <w:br w:type="textWrapping"/>
      </w:r>
      <w:r>
        <w:rPr>
          <w:rFonts w:hint="eastAsia" w:ascii="仿宋" w:hAnsi="仿宋" w:eastAsia="仿宋" w:cs="仿宋_GB2312"/>
          <w:sz w:val="32"/>
          <w:szCs w:val="32"/>
        </w:rPr>
        <w:t xml:space="preserve">   （八）扫黑除恶工作持续推进。</w:t>
      </w:r>
    </w:p>
    <w:p w14:paraId="0D07B8A1">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自扫黑除恶专项斗争开展以来，我局按照市局、县扫黑办部署要求，提高政治站位，强化组织领导，压实工作责任，深挖线索来源，主动进攻、全面发力，积极发挥司法行政职能，全力推进扫黑除恶专项斗争工作，切实履行在扫黑除恶专项斗争中的职责任务，持续推进扫黑除恶专项斗争工作向纵深发展。</w:t>
      </w:r>
    </w:p>
    <w:p w14:paraId="55D6FDD6">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五、存在的主要问题</w:t>
      </w:r>
    </w:p>
    <w:p w14:paraId="2D4F31FC">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（1）对于绩效评价的认识不够深入，把预算绩效简单等同于工作目标、工作考核和业务管理。</w:t>
      </w:r>
    </w:p>
    <w:p w14:paraId="2EA74802">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（2）绩效目标和指标往往根据项目实际完成情况制定，对项目执行过程有效约束不够，存在一定的偏差。</w:t>
      </w:r>
    </w:p>
    <w:p w14:paraId="3919BCEB">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（3）在绩效考评指标的设计上，部分特色指标缺乏数据支持和可行的分析测评，绩效指标体系有待完善。</w:t>
      </w:r>
    </w:p>
    <w:p w14:paraId="2C34F6EC">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六、改进措施和有关建议</w:t>
      </w:r>
    </w:p>
    <w:p w14:paraId="2EA58F3C">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加强绩效评价管理制度和流程的建设，进一步深化、完善绩效管理体系，建立全过程的预算绩效管理机制，促进绩效管理工作向广度和深度延伸。</w:t>
      </w:r>
    </w:p>
    <w:p w14:paraId="0FE3E31F">
      <w:pPr>
        <w:spacing w:line="520" w:lineRule="exact"/>
        <w:ind w:firstLine="640"/>
        <w:rPr>
          <w:rFonts w:ascii="仿宋" w:hAnsi="仿宋" w:eastAsia="仿宋" w:cs="仿宋_GB2312"/>
          <w:sz w:val="32"/>
          <w:szCs w:val="32"/>
        </w:rPr>
      </w:pPr>
      <w:r>
        <w:rPr>
          <w:rFonts w:hint="eastAsia" w:ascii="仿宋" w:hAnsi="仿宋" w:eastAsia="仿宋" w:cs="仿宋_GB2312"/>
          <w:sz w:val="32"/>
          <w:szCs w:val="32"/>
        </w:rPr>
        <w:t>规范绩效评价管理资料的收集整理，确保相关信息完整、可靠，客观公正地反映项目资金实际使用和产生的绩效状况，为今后该项目实施方向及管理方式的改进提供指导。</w:t>
      </w:r>
    </w:p>
    <w:p w14:paraId="11F29E3A">
      <w:pPr>
        <w:spacing w:line="520" w:lineRule="exact"/>
        <w:ind w:firstLine="640"/>
        <w:rPr>
          <w:rFonts w:ascii="仿宋" w:hAnsi="仿宋" w:eastAsia="仿宋" w:cs="仿宋_GB2312"/>
          <w:sz w:val="32"/>
          <w:szCs w:val="32"/>
        </w:rPr>
      </w:pPr>
    </w:p>
    <w:p w14:paraId="5AAB281E">
      <w:pPr>
        <w:pStyle w:val="7"/>
        <w:spacing w:before="0" w:beforeAutospacing="0" w:after="0" w:afterAutospacing="0" w:line="520" w:lineRule="exact"/>
        <w:ind w:firstLine="6080" w:firstLineChars="190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湘潭县司法局</w:t>
      </w:r>
    </w:p>
    <w:p w14:paraId="240624CD">
      <w:pPr>
        <w:pStyle w:val="7"/>
        <w:spacing w:before="0" w:beforeAutospacing="0" w:after="0" w:afterAutospacing="0" w:line="520" w:lineRule="exact"/>
        <w:ind w:firstLine="5920" w:firstLineChars="185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2020年8月18日</w:t>
      </w:r>
    </w:p>
    <w:p w14:paraId="1F9DC538">
      <w:pPr>
        <w:spacing w:line="520" w:lineRule="exact"/>
        <w:rPr>
          <w:rFonts w:ascii="仿宋_GB2312" w:hAnsi="仿宋"/>
          <w:b/>
          <w:kern w:val="0"/>
          <w:szCs w:val="32"/>
        </w:rPr>
      </w:pPr>
    </w:p>
    <w:p w14:paraId="7CC87CDB">
      <w:pPr>
        <w:spacing w:line="520" w:lineRule="exact"/>
        <w:rPr>
          <w:rFonts w:ascii="仿宋_GB2312" w:hAnsi="仿宋"/>
          <w:b/>
          <w:kern w:val="0"/>
          <w:szCs w:val="32"/>
        </w:rPr>
      </w:pPr>
    </w:p>
    <w:p w14:paraId="42D7D876">
      <w:pPr>
        <w:spacing w:line="520" w:lineRule="exact"/>
        <w:rPr>
          <w:rFonts w:ascii="仿宋_GB2312" w:hAnsi="仿宋"/>
          <w:b/>
          <w:kern w:val="0"/>
          <w:szCs w:val="32"/>
        </w:rPr>
      </w:pPr>
    </w:p>
    <w:p w14:paraId="76F79EBD">
      <w:pPr>
        <w:spacing w:line="520" w:lineRule="exact"/>
        <w:rPr>
          <w:rFonts w:ascii="仿宋_GB2312" w:hAnsi="仿宋"/>
          <w:b/>
          <w:kern w:val="0"/>
          <w:szCs w:val="32"/>
        </w:rPr>
      </w:pPr>
    </w:p>
    <w:p w14:paraId="7DD45CC8">
      <w:pPr>
        <w:spacing w:line="520" w:lineRule="exact"/>
        <w:rPr>
          <w:rFonts w:ascii="仿宋_GB2312" w:hAnsi="仿宋"/>
          <w:b/>
          <w:kern w:val="0"/>
          <w:szCs w:val="32"/>
        </w:rPr>
      </w:pPr>
    </w:p>
    <w:p w14:paraId="4EC94C1B">
      <w:pPr>
        <w:spacing w:line="520" w:lineRule="exact"/>
        <w:rPr>
          <w:rFonts w:ascii="仿宋_GB2312" w:hAnsi="仿宋"/>
          <w:b/>
          <w:kern w:val="0"/>
          <w:szCs w:val="32"/>
        </w:rPr>
      </w:pPr>
    </w:p>
    <w:p w14:paraId="08B29E22">
      <w:pPr>
        <w:spacing w:line="520" w:lineRule="exact"/>
        <w:rPr>
          <w:rFonts w:ascii="仿宋_GB2312" w:hAnsi="仿宋"/>
          <w:b/>
          <w:kern w:val="0"/>
          <w:szCs w:val="32"/>
        </w:rPr>
      </w:pPr>
    </w:p>
    <w:p w14:paraId="78F76442">
      <w:pPr>
        <w:spacing w:line="520" w:lineRule="exact"/>
        <w:rPr>
          <w:rFonts w:ascii="仿宋_GB2312" w:hAnsi="仿宋"/>
          <w:b/>
          <w:kern w:val="0"/>
          <w:szCs w:val="32"/>
        </w:rPr>
      </w:pPr>
    </w:p>
    <w:p w14:paraId="390A2AE5">
      <w:pPr>
        <w:spacing w:line="520" w:lineRule="exact"/>
        <w:rPr>
          <w:rFonts w:ascii="仿宋_GB2312" w:hAnsi="仿宋"/>
          <w:b/>
          <w:kern w:val="0"/>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A996D">
    <w:pPr>
      <w:pStyle w:val="5"/>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34</w:t>
    </w:r>
    <w:r>
      <w:rPr>
        <w:rStyle w:val="12"/>
      </w:rPr>
      <w:fldChar w:fldCharType="end"/>
    </w:r>
  </w:p>
  <w:p w14:paraId="4F5D8471">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F79EE">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F2D1CB"/>
    <w:multiLevelType w:val="singleLevel"/>
    <w:tmpl w:val="A5F2D1CB"/>
    <w:lvl w:ilvl="0" w:tentative="0">
      <w:start w:val="3"/>
      <w:numFmt w:val="chineseCounting"/>
      <w:suff w:val="nothing"/>
      <w:lvlText w:val="（%1）"/>
      <w:lvlJc w:val="left"/>
      <w:pPr>
        <w:ind w:left="-111"/>
      </w:pPr>
      <w:rPr>
        <w:rFonts w:hint="eastAsia"/>
      </w:rPr>
    </w:lvl>
  </w:abstractNum>
  <w:abstractNum w:abstractNumId="1">
    <w:nsid w:val="1D4E717B"/>
    <w:multiLevelType w:val="multilevel"/>
    <w:tmpl w:val="1D4E717B"/>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2DE2BCD"/>
    <w:multiLevelType w:val="multilevel"/>
    <w:tmpl w:val="32DE2BCD"/>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73518C1"/>
    <w:multiLevelType w:val="multilevel"/>
    <w:tmpl w:val="373518C1"/>
    <w:lvl w:ilvl="0" w:tentative="0">
      <w:start w:val="1"/>
      <w:numFmt w:val="none"/>
      <w:lvlText w:val="一、"/>
      <w:lvlJc w:val="left"/>
      <w:pPr>
        <w:ind w:left="720" w:hanging="720"/>
      </w:pPr>
      <w:rPr>
        <w:rFonts w:hint="default" w:cs="Times New Roman"/>
        <w:lang w:val="en-US"/>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573CA79B"/>
    <w:multiLevelType w:val="singleLevel"/>
    <w:tmpl w:val="573CA79B"/>
    <w:lvl w:ilvl="0" w:tentative="0">
      <w:start w:val="1"/>
      <w:numFmt w:val="decimal"/>
      <w:suff w:val="nothing"/>
      <w:lvlText w:val="%1、"/>
      <w:lvlJc w:val="left"/>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626E2430"/>
    <w:rsid w:val="000111BE"/>
    <w:rsid w:val="000140CD"/>
    <w:rsid w:val="00020B41"/>
    <w:rsid w:val="00032F7A"/>
    <w:rsid w:val="00042A42"/>
    <w:rsid w:val="00053F7B"/>
    <w:rsid w:val="000579F9"/>
    <w:rsid w:val="0006386F"/>
    <w:rsid w:val="000709B8"/>
    <w:rsid w:val="00096095"/>
    <w:rsid w:val="000A2A57"/>
    <w:rsid w:val="000A6BEA"/>
    <w:rsid w:val="000B65DD"/>
    <w:rsid w:val="000C2820"/>
    <w:rsid w:val="000C478D"/>
    <w:rsid w:val="000D782E"/>
    <w:rsid w:val="000E4DB6"/>
    <w:rsid w:val="000F0047"/>
    <w:rsid w:val="000F0441"/>
    <w:rsid w:val="000F3B50"/>
    <w:rsid w:val="0012438F"/>
    <w:rsid w:val="00130350"/>
    <w:rsid w:val="00130738"/>
    <w:rsid w:val="00134B4D"/>
    <w:rsid w:val="0014361E"/>
    <w:rsid w:val="00154A6A"/>
    <w:rsid w:val="00155A66"/>
    <w:rsid w:val="00156AC4"/>
    <w:rsid w:val="001663F6"/>
    <w:rsid w:val="001762C7"/>
    <w:rsid w:val="00184F0E"/>
    <w:rsid w:val="00193D68"/>
    <w:rsid w:val="001A2FCF"/>
    <w:rsid w:val="001B5C4E"/>
    <w:rsid w:val="001E18E7"/>
    <w:rsid w:val="001E56B1"/>
    <w:rsid w:val="001F24C3"/>
    <w:rsid w:val="0021763A"/>
    <w:rsid w:val="0024781B"/>
    <w:rsid w:val="0026060E"/>
    <w:rsid w:val="00262A0D"/>
    <w:rsid w:val="0027391B"/>
    <w:rsid w:val="00291AB9"/>
    <w:rsid w:val="002938F0"/>
    <w:rsid w:val="00294355"/>
    <w:rsid w:val="00295321"/>
    <w:rsid w:val="002B0BD3"/>
    <w:rsid w:val="002B2AD6"/>
    <w:rsid w:val="002B5228"/>
    <w:rsid w:val="002B67E3"/>
    <w:rsid w:val="002C14F2"/>
    <w:rsid w:val="002C7920"/>
    <w:rsid w:val="002D28CD"/>
    <w:rsid w:val="002D62D3"/>
    <w:rsid w:val="002E16A0"/>
    <w:rsid w:val="002E2243"/>
    <w:rsid w:val="002F5E6C"/>
    <w:rsid w:val="002F747C"/>
    <w:rsid w:val="0030403E"/>
    <w:rsid w:val="003061D3"/>
    <w:rsid w:val="00320E83"/>
    <w:rsid w:val="00325E1F"/>
    <w:rsid w:val="00332F6E"/>
    <w:rsid w:val="00335E19"/>
    <w:rsid w:val="0035762A"/>
    <w:rsid w:val="00357E30"/>
    <w:rsid w:val="00363907"/>
    <w:rsid w:val="003759DC"/>
    <w:rsid w:val="003917E2"/>
    <w:rsid w:val="00396CF6"/>
    <w:rsid w:val="003C3B52"/>
    <w:rsid w:val="003C6E78"/>
    <w:rsid w:val="003D35E2"/>
    <w:rsid w:val="003D6733"/>
    <w:rsid w:val="003D7A63"/>
    <w:rsid w:val="003E66C4"/>
    <w:rsid w:val="00403686"/>
    <w:rsid w:val="00407D2E"/>
    <w:rsid w:val="00410AE2"/>
    <w:rsid w:val="00413F20"/>
    <w:rsid w:val="00424D73"/>
    <w:rsid w:val="00430547"/>
    <w:rsid w:val="00430997"/>
    <w:rsid w:val="00431521"/>
    <w:rsid w:val="00453361"/>
    <w:rsid w:val="00454B4F"/>
    <w:rsid w:val="00461A9D"/>
    <w:rsid w:val="00465ED2"/>
    <w:rsid w:val="00472BEC"/>
    <w:rsid w:val="00473CA2"/>
    <w:rsid w:val="00477618"/>
    <w:rsid w:val="004832CA"/>
    <w:rsid w:val="00491FB2"/>
    <w:rsid w:val="004961B4"/>
    <w:rsid w:val="00496D17"/>
    <w:rsid w:val="004C1A4B"/>
    <w:rsid w:val="004C464F"/>
    <w:rsid w:val="004C4A1C"/>
    <w:rsid w:val="004C5D29"/>
    <w:rsid w:val="004E5C85"/>
    <w:rsid w:val="004E6E3D"/>
    <w:rsid w:val="004F323E"/>
    <w:rsid w:val="00507BB3"/>
    <w:rsid w:val="00515803"/>
    <w:rsid w:val="00531B32"/>
    <w:rsid w:val="0054169E"/>
    <w:rsid w:val="00563792"/>
    <w:rsid w:val="00573398"/>
    <w:rsid w:val="005939DB"/>
    <w:rsid w:val="005A3D60"/>
    <w:rsid w:val="005A7C48"/>
    <w:rsid w:val="005D08E2"/>
    <w:rsid w:val="005E32EA"/>
    <w:rsid w:val="005E5CFB"/>
    <w:rsid w:val="006013CE"/>
    <w:rsid w:val="00610CBC"/>
    <w:rsid w:val="00620A53"/>
    <w:rsid w:val="00630FEF"/>
    <w:rsid w:val="0063197B"/>
    <w:rsid w:val="00652314"/>
    <w:rsid w:val="00665D17"/>
    <w:rsid w:val="00671D60"/>
    <w:rsid w:val="00672AC2"/>
    <w:rsid w:val="006A29F5"/>
    <w:rsid w:val="006B2772"/>
    <w:rsid w:val="006B5626"/>
    <w:rsid w:val="006C247F"/>
    <w:rsid w:val="006C69F3"/>
    <w:rsid w:val="006D1223"/>
    <w:rsid w:val="006D1249"/>
    <w:rsid w:val="006D22C1"/>
    <w:rsid w:val="006E0937"/>
    <w:rsid w:val="006E1FC0"/>
    <w:rsid w:val="006F1C72"/>
    <w:rsid w:val="006F7651"/>
    <w:rsid w:val="00706DF5"/>
    <w:rsid w:val="0071088B"/>
    <w:rsid w:val="00716FEE"/>
    <w:rsid w:val="007218F7"/>
    <w:rsid w:val="0074221B"/>
    <w:rsid w:val="00751DC4"/>
    <w:rsid w:val="00755B2A"/>
    <w:rsid w:val="00756423"/>
    <w:rsid w:val="00757A03"/>
    <w:rsid w:val="007655D0"/>
    <w:rsid w:val="00767F59"/>
    <w:rsid w:val="00787596"/>
    <w:rsid w:val="007A3129"/>
    <w:rsid w:val="007A370F"/>
    <w:rsid w:val="007A7631"/>
    <w:rsid w:val="007D0F29"/>
    <w:rsid w:val="007D2991"/>
    <w:rsid w:val="007F1C2E"/>
    <w:rsid w:val="00810F14"/>
    <w:rsid w:val="00812569"/>
    <w:rsid w:val="00823364"/>
    <w:rsid w:val="00826E0A"/>
    <w:rsid w:val="0083222A"/>
    <w:rsid w:val="00840620"/>
    <w:rsid w:val="0084255E"/>
    <w:rsid w:val="00847C8A"/>
    <w:rsid w:val="00860218"/>
    <w:rsid w:val="0086037D"/>
    <w:rsid w:val="008606BF"/>
    <w:rsid w:val="00861771"/>
    <w:rsid w:val="00863C9E"/>
    <w:rsid w:val="008660A6"/>
    <w:rsid w:val="008673D3"/>
    <w:rsid w:val="00874C4E"/>
    <w:rsid w:val="0088383A"/>
    <w:rsid w:val="008844A1"/>
    <w:rsid w:val="00886732"/>
    <w:rsid w:val="008B205B"/>
    <w:rsid w:val="008B51C5"/>
    <w:rsid w:val="008B697C"/>
    <w:rsid w:val="008D123D"/>
    <w:rsid w:val="008E178D"/>
    <w:rsid w:val="008F1AE1"/>
    <w:rsid w:val="008F4F9B"/>
    <w:rsid w:val="00914439"/>
    <w:rsid w:val="009217B4"/>
    <w:rsid w:val="00924370"/>
    <w:rsid w:val="00925210"/>
    <w:rsid w:val="00932271"/>
    <w:rsid w:val="00940041"/>
    <w:rsid w:val="00941878"/>
    <w:rsid w:val="00946BE2"/>
    <w:rsid w:val="00952933"/>
    <w:rsid w:val="009612F3"/>
    <w:rsid w:val="009614F8"/>
    <w:rsid w:val="00974877"/>
    <w:rsid w:val="00981130"/>
    <w:rsid w:val="0098211D"/>
    <w:rsid w:val="00986AB1"/>
    <w:rsid w:val="00992A98"/>
    <w:rsid w:val="009A70B8"/>
    <w:rsid w:val="009B451D"/>
    <w:rsid w:val="009C50F5"/>
    <w:rsid w:val="009D09F6"/>
    <w:rsid w:val="009E0F2D"/>
    <w:rsid w:val="00A2384D"/>
    <w:rsid w:val="00A30E0E"/>
    <w:rsid w:val="00A33539"/>
    <w:rsid w:val="00A3401E"/>
    <w:rsid w:val="00A35D93"/>
    <w:rsid w:val="00A5041C"/>
    <w:rsid w:val="00A5053B"/>
    <w:rsid w:val="00A51D80"/>
    <w:rsid w:val="00A55628"/>
    <w:rsid w:val="00A76CC7"/>
    <w:rsid w:val="00A91DF5"/>
    <w:rsid w:val="00AB0787"/>
    <w:rsid w:val="00AC0E29"/>
    <w:rsid w:val="00AF73EE"/>
    <w:rsid w:val="00B00F82"/>
    <w:rsid w:val="00B04646"/>
    <w:rsid w:val="00B1071B"/>
    <w:rsid w:val="00B14CD2"/>
    <w:rsid w:val="00B25490"/>
    <w:rsid w:val="00B309EE"/>
    <w:rsid w:val="00B4330C"/>
    <w:rsid w:val="00B4766C"/>
    <w:rsid w:val="00B651E1"/>
    <w:rsid w:val="00B67D0E"/>
    <w:rsid w:val="00B741AE"/>
    <w:rsid w:val="00B75DAB"/>
    <w:rsid w:val="00B8521E"/>
    <w:rsid w:val="00BA0C68"/>
    <w:rsid w:val="00BE74BC"/>
    <w:rsid w:val="00C001DB"/>
    <w:rsid w:val="00C017A7"/>
    <w:rsid w:val="00C025B3"/>
    <w:rsid w:val="00C06AF9"/>
    <w:rsid w:val="00C13697"/>
    <w:rsid w:val="00C53E69"/>
    <w:rsid w:val="00C73AB1"/>
    <w:rsid w:val="00C758E0"/>
    <w:rsid w:val="00C824FE"/>
    <w:rsid w:val="00C91C64"/>
    <w:rsid w:val="00CA1873"/>
    <w:rsid w:val="00CA2128"/>
    <w:rsid w:val="00CC038C"/>
    <w:rsid w:val="00CE08D7"/>
    <w:rsid w:val="00CF3ADF"/>
    <w:rsid w:val="00CF6432"/>
    <w:rsid w:val="00D03D92"/>
    <w:rsid w:val="00D11962"/>
    <w:rsid w:val="00D370AC"/>
    <w:rsid w:val="00D379BE"/>
    <w:rsid w:val="00D51E3B"/>
    <w:rsid w:val="00D726BF"/>
    <w:rsid w:val="00D8413F"/>
    <w:rsid w:val="00D96745"/>
    <w:rsid w:val="00D97D4A"/>
    <w:rsid w:val="00DA3C84"/>
    <w:rsid w:val="00DD0699"/>
    <w:rsid w:val="00DD1040"/>
    <w:rsid w:val="00DD2A2F"/>
    <w:rsid w:val="00DD4B1E"/>
    <w:rsid w:val="00DE5531"/>
    <w:rsid w:val="00DF17BC"/>
    <w:rsid w:val="00DF4C51"/>
    <w:rsid w:val="00DF6513"/>
    <w:rsid w:val="00E12750"/>
    <w:rsid w:val="00E25DA7"/>
    <w:rsid w:val="00E25DF9"/>
    <w:rsid w:val="00E35DCA"/>
    <w:rsid w:val="00E36226"/>
    <w:rsid w:val="00E850E6"/>
    <w:rsid w:val="00EA011D"/>
    <w:rsid w:val="00EA26BB"/>
    <w:rsid w:val="00EA6D0B"/>
    <w:rsid w:val="00EB1DBD"/>
    <w:rsid w:val="00EC5E32"/>
    <w:rsid w:val="00EC64BB"/>
    <w:rsid w:val="00F1464E"/>
    <w:rsid w:val="00F2416F"/>
    <w:rsid w:val="00F270D1"/>
    <w:rsid w:val="00F271D2"/>
    <w:rsid w:val="00F36F5E"/>
    <w:rsid w:val="00F60B1E"/>
    <w:rsid w:val="00F72DA8"/>
    <w:rsid w:val="00F74D42"/>
    <w:rsid w:val="00F7583C"/>
    <w:rsid w:val="00F808F6"/>
    <w:rsid w:val="00F86662"/>
    <w:rsid w:val="00F90C23"/>
    <w:rsid w:val="00FA3C53"/>
    <w:rsid w:val="00FB01D1"/>
    <w:rsid w:val="00FB447B"/>
    <w:rsid w:val="00FB5D5C"/>
    <w:rsid w:val="00FC0FB8"/>
    <w:rsid w:val="00FD3215"/>
    <w:rsid w:val="00FD5F2B"/>
    <w:rsid w:val="00FE3E60"/>
    <w:rsid w:val="00FE4540"/>
    <w:rsid w:val="00FE49BB"/>
    <w:rsid w:val="00FF4BD1"/>
    <w:rsid w:val="011D7A7C"/>
    <w:rsid w:val="01F36052"/>
    <w:rsid w:val="02795CED"/>
    <w:rsid w:val="02C13854"/>
    <w:rsid w:val="044665F1"/>
    <w:rsid w:val="0454164D"/>
    <w:rsid w:val="045564F8"/>
    <w:rsid w:val="06B92675"/>
    <w:rsid w:val="08337159"/>
    <w:rsid w:val="08B8700B"/>
    <w:rsid w:val="0D6E0981"/>
    <w:rsid w:val="0E723B26"/>
    <w:rsid w:val="137279D1"/>
    <w:rsid w:val="15AA69D5"/>
    <w:rsid w:val="18082DBA"/>
    <w:rsid w:val="19461EE0"/>
    <w:rsid w:val="195A2E9E"/>
    <w:rsid w:val="197C065E"/>
    <w:rsid w:val="1B103CA7"/>
    <w:rsid w:val="1D436FFC"/>
    <w:rsid w:val="1F20425A"/>
    <w:rsid w:val="206C51D1"/>
    <w:rsid w:val="20D46C32"/>
    <w:rsid w:val="26FE09C8"/>
    <w:rsid w:val="27B8100C"/>
    <w:rsid w:val="28EE3125"/>
    <w:rsid w:val="294861AC"/>
    <w:rsid w:val="2B8B113F"/>
    <w:rsid w:val="2C94662C"/>
    <w:rsid w:val="2D0E6C21"/>
    <w:rsid w:val="2DD673AA"/>
    <w:rsid w:val="2F871E43"/>
    <w:rsid w:val="30297965"/>
    <w:rsid w:val="359B6202"/>
    <w:rsid w:val="381B2B51"/>
    <w:rsid w:val="382275CC"/>
    <w:rsid w:val="38AB3F3A"/>
    <w:rsid w:val="3CDA777C"/>
    <w:rsid w:val="3D68549D"/>
    <w:rsid w:val="3EC42F93"/>
    <w:rsid w:val="3F4A19AB"/>
    <w:rsid w:val="3FC85556"/>
    <w:rsid w:val="40C46932"/>
    <w:rsid w:val="416B4FDB"/>
    <w:rsid w:val="41DE7B68"/>
    <w:rsid w:val="42001BDC"/>
    <w:rsid w:val="43F67939"/>
    <w:rsid w:val="44FF0DE8"/>
    <w:rsid w:val="45622530"/>
    <w:rsid w:val="47482416"/>
    <w:rsid w:val="497F30A9"/>
    <w:rsid w:val="4ADD1A4D"/>
    <w:rsid w:val="4BAD0F5D"/>
    <w:rsid w:val="50EC591C"/>
    <w:rsid w:val="57715A40"/>
    <w:rsid w:val="58262DF2"/>
    <w:rsid w:val="5868762D"/>
    <w:rsid w:val="58A70B6D"/>
    <w:rsid w:val="5EDD6F39"/>
    <w:rsid w:val="622B757F"/>
    <w:rsid w:val="626E2430"/>
    <w:rsid w:val="639D6AA9"/>
    <w:rsid w:val="654F05EF"/>
    <w:rsid w:val="66214CA2"/>
    <w:rsid w:val="675A2FF4"/>
    <w:rsid w:val="6866669C"/>
    <w:rsid w:val="6DDA2501"/>
    <w:rsid w:val="6DDF76FC"/>
    <w:rsid w:val="72550FEA"/>
    <w:rsid w:val="74920497"/>
    <w:rsid w:val="78FC1C65"/>
    <w:rsid w:val="79130903"/>
    <w:rsid w:val="7BAD2038"/>
    <w:rsid w:val="7C1C4C1D"/>
    <w:rsid w:val="7C1E1106"/>
    <w:rsid w:val="7D0D2686"/>
    <w:rsid w:val="7ED658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ocked="1"/>
    <w:lsdException w:unhideWhenUsed="0" w:uiPriority="0" w:semiHidden="0" w:name="line number" w:locked="1"/>
    <w:lsdException w:qFormat="1" w:unhideWhenUsed="0" w:uiPriority="0" w:semiHidden="0" w:name="page number"/>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23"/>
    <w:semiHidden/>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locked/>
    <w:uiPriority w:val="0"/>
    <w:pPr>
      <w:jc w:val="left"/>
    </w:pPr>
  </w:style>
  <w:style w:type="paragraph" w:styleId="4">
    <w:name w:val="Balloon Text"/>
    <w:basedOn w:val="1"/>
    <w:link w:val="16"/>
    <w:semiHidden/>
    <w:qFormat/>
    <w:uiPriority w:val="0"/>
    <w:rPr>
      <w:sz w:val="18"/>
      <w:szCs w:val="18"/>
    </w:rPr>
  </w:style>
  <w:style w:type="paragraph" w:styleId="5">
    <w:name w:val="footer"/>
    <w:basedOn w:val="1"/>
    <w:link w:val="17"/>
    <w:qFormat/>
    <w:uiPriority w:val="0"/>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25"/>
    <w:qFormat/>
    <w:locked/>
    <w:uiPriority w:val="0"/>
    <w:rPr>
      <w:b/>
      <w:bCs/>
    </w:rPr>
  </w:style>
  <w:style w:type="character" w:styleId="11">
    <w:name w:val="Strong"/>
    <w:basedOn w:val="10"/>
    <w:qFormat/>
    <w:uiPriority w:val="0"/>
    <w:rPr>
      <w:rFonts w:cs="Times New Roman"/>
      <w:b/>
      <w:bCs/>
    </w:rPr>
  </w:style>
  <w:style w:type="character" w:styleId="12">
    <w:name w:val="page number"/>
    <w:basedOn w:val="10"/>
    <w:qFormat/>
    <w:uiPriority w:val="0"/>
    <w:rPr>
      <w:rFonts w:cs="Times New Roman"/>
    </w:rPr>
  </w:style>
  <w:style w:type="character" w:styleId="13">
    <w:name w:val="FollowedHyperlink"/>
    <w:basedOn w:val="10"/>
    <w:qFormat/>
    <w:locked/>
    <w:uiPriority w:val="0"/>
    <w:rPr>
      <w:color w:val="333333"/>
      <w:u w:val="none"/>
    </w:rPr>
  </w:style>
  <w:style w:type="character" w:styleId="14">
    <w:name w:val="Hyperlink"/>
    <w:basedOn w:val="10"/>
    <w:qFormat/>
    <w:locked/>
    <w:uiPriority w:val="0"/>
    <w:rPr>
      <w:color w:val="333333"/>
      <w:u w:val="none"/>
    </w:rPr>
  </w:style>
  <w:style w:type="character" w:styleId="15">
    <w:name w:val="annotation reference"/>
    <w:basedOn w:val="10"/>
    <w:qFormat/>
    <w:locked/>
    <w:uiPriority w:val="0"/>
    <w:rPr>
      <w:sz w:val="21"/>
      <w:szCs w:val="21"/>
    </w:rPr>
  </w:style>
  <w:style w:type="character" w:customStyle="1" w:styleId="16">
    <w:name w:val="批注框文本 Char"/>
    <w:basedOn w:val="10"/>
    <w:link w:val="4"/>
    <w:qFormat/>
    <w:locked/>
    <w:uiPriority w:val="0"/>
    <w:rPr>
      <w:rFonts w:cs="Times New Roman"/>
      <w:kern w:val="2"/>
      <w:sz w:val="18"/>
      <w:szCs w:val="18"/>
    </w:rPr>
  </w:style>
  <w:style w:type="character" w:customStyle="1" w:styleId="17">
    <w:name w:val="页脚 Char"/>
    <w:basedOn w:val="10"/>
    <w:link w:val="5"/>
    <w:semiHidden/>
    <w:qFormat/>
    <w:locked/>
    <w:uiPriority w:val="0"/>
    <w:rPr>
      <w:rFonts w:cs="Times New Roman"/>
      <w:sz w:val="18"/>
      <w:szCs w:val="18"/>
    </w:rPr>
  </w:style>
  <w:style w:type="character" w:customStyle="1" w:styleId="18">
    <w:name w:val="页眉 Char"/>
    <w:basedOn w:val="10"/>
    <w:link w:val="6"/>
    <w:qFormat/>
    <w:locked/>
    <w:uiPriority w:val="0"/>
    <w:rPr>
      <w:rFonts w:cs="Times New Roman"/>
      <w:kern w:val="2"/>
      <w:sz w:val="18"/>
      <w:szCs w:val="18"/>
    </w:rPr>
  </w:style>
  <w:style w:type="paragraph" w:customStyle="1" w:styleId="19">
    <w:name w:val="List Paragraph1"/>
    <w:basedOn w:val="1"/>
    <w:qFormat/>
    <w:uiPriority w:val="0"/>
    <w:pPr>
      <w:ind w:firstLine="420" w:firstLineChars="200"/>
    </w:pPr>
    <w:rPr>
      <w:rFonts w:ascii="Calibri" w:hAnsi="Calibri" w:cs="Calibri"/>
    </w:rPr>
  </w:style>
  <w:style w:type="paragraph" w:customStyle="1" w:styleId="2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21">
    <w:name w:val="列出段落1"/>
    <w:basedOn w:val="1"/>
    <w:qFormat/>
    <w:uiPriority w:val="0"/>
    <w:pPr>
      <w:ind w:firstLine="420" w:firstLineChars="200"/>
    </w:pPr>
    <w:rPr>
      <w:rFonts w:ascii="Calibri" w:hAnsi="Calibri"/>
      <w:szCs w:val="22"/>
    </w:rPr>
  </w:style>
  <w:style w:type="paragraph" w:styleId="22">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23">
    <w:name w:val="标题 2 Char"/>
    <w:basedOn w:val="10"/>
    <w:link w:val="2"/>
    <w:semiHidden/>
    <w:qFormat/>
    <w:uiPriority w:val="0"/>
    <w:rPr>
      <w:rFonts w:asciiTheme="majorHAnsi" w:hAnsiTheme="majorHAnsi" w:eastAsiaTheme="majorEastAsia" w:cstheme="majorBidi"/>
      <w:b/>
      <w:bCs/>
      <w:kern w:val="2"/>
      <w:sz w:val="32"/>
      <w:szCs w:val="32"/>
    </w:rPr>
  </w:style>
  <w:style w:type="character" w:customStyle="1" w:styleId="24">
    <w:name w:val="批注文字 Char"/>
    <w:basedOn w:val="10"/>
    <w:link w:val="3"/>
    <w:qFormat/>
    <w:uiPriority w:val="0"/>
    <w:rPr>
      <w:kern w:val="2"/>
      <w:sz w:val="21"/>
      <w:szCs w:val="21"/>
    </w:rPr>
  </w:style>
  <w:style w:type="character" w:customStyle="1" w:styleId="25">
    <w:name w:val="批注主题 Char"/>
    <w:basedOn w:val="24"/>
    <w:link w:val="8"/>
    <w:qFormat/>
    <w:uiPriority w:val="0"/>
    <w:rPr>
      <w:b/>
      <w:bCs/>
    </w:rPr>
  </w:style>
  <w:style w:type="character" w:customStyle="1" w:styleId="26">
    <w:name w:val="15"/>
    <w:basedOn w:val="10"/>
    <w:qFormat/>
    <w:uiPriority w:val="0"/>
    <w:rPr>
      <w:rFonts w:hint="default" w:ascii="Times New Roman" w:hAnsi="Times New Roman" w:cs="Times New Roman"/>
      <w:sz w:val="21"/>
      <w:szCs w:val="21"/>
    </w:rPr>
  </w:style>
  <w:style w:type="character" w:customStyle="1" w:styleId="27">
    <w:name w:val="active1"/>
    <w:basedOn w:val="10"/>
    <w:qFormat/>
    <w:uiPriority w:val="0"/>
    <w:rPr>
      <w:color w:val="0466BC"/>
    </w:rPr>
  </w:style>
  <w:style w:type="character" w:customStyle="1" w:styleId="28">
    <w:name w:val="bsharetext"/>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6.bin"/><Relationship Id="rId17" Type="http://schemas.openxmlformats.org/officeDocument/2006/relationships/image" Target="media/image7.emf"/><Relationship Id="rId16" Type="http://schemas.openxmlformats.org/officeDocument/2006/relationships/image" Target="media/image6.emf"/><Relationship Id="rId15" Type="http://schemas.openxmlformats.org/officeDocument/2006/relationships/oleObject" Target="embeddings/oleObject5.bin"/><Relationship Id="rId14" Type="http://schemas.openxmlformats.org/officeDocument/2006/relationships/image" Target="media/image5.emf"/><Relationship Id="rId13" Type="http://schemas.openxmlformats.org/officeDocument/2006/relationships/oleObject" Target="embeddings/oleObject4.bin"/><Relationship Id="rId12" Type="http://schemas.openxmlformats.org/officeDocument/2006/relationships/image" Target="media/image4.emf"/><Relationship Id="rId11" Type="http://schemas.openxmlformats.org/officeDocument/2006/relationships/oleObject" Target="embeddings/oleObject3.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B02353-2B4D-4880-9A89-00926682201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10033</Words>
  <Characters>11055</Characters>
  <Lines>81</Lines>
  <Paragraphs>23</Paragraphs>
  <TotalTime>11</TotalTime>
  <ScaleCrop>false</ScaleCrop>
  <LinksUpToDate>false</LinksUpToDate>
  <CharactersWithSpaces>11131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2020-08-25T08:18:00Z</dcterms:created>
  <dc:creator>Administrator</dc:creator>
  <cp:lastModifiedBy>大旭子专用号～</cp:lastModifiedBy>
  <cp:lastPrinted>2019-08-01T01:26:00Z</cp:lastPrinted>
  <dcterms:modified xsi:type="dcterms:W3CDTF">2025-03-17T09:16:24Z</dcterms:modified>
  <dc:title>科学技术部2012年部门预算</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C3F82831B5314E47A9F48898B77F3239</vt:lpwstr>
  </property>
  <property fmtid="{D5CDD505-2E9C-101B-9397-08002B2CF9AE}" pid="4" name="KSOTemplateDocerSaveRecord">
    <vt:lpwstr>eyJoZGlkIjoiYWJiZjBhZWVjNDRlNGEyNzkzZjJkOWQxM2UwZGJiYjciLCJ1c2VySWQiOiIzMDQzOTM1OTkifQ==</vt:lpwstr>
  </property>
</Properties>
</file>