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97316F">
      <w:pPr>
        <w:pStyle w:val="10"/>
        <w:jc w:val="center"/>
        <w:rPr>
          <w:color w:val="auto"/>
          <w:sz w:val="56"/>
          <w:szCs w:val="56"/>
        </w:rPr>
      </w:pPr>
    </w:p>
    <w:p w14:paraId="7561C7DB">
      <w:pPr>
        <w:pStyle w:val="10"/>
        <w:jc w:val="center"/>
        <w:rPr>
          <w:color w:val="auto"/>
          <w:sz w:val="56"/>
          <w:szCs w:val="56"/>
        </w:rPr>
      </w:pPr>
    </w:p>
    <w:p w14:paraId="03E7B033">
      <w:pPr>
        <w:pStyle w:val="10"/>
        <w:jc w:val="center"/>
        <w:rPr>
          <w:color w:val="auto"/>
          <w:sz w:val="84"/>
          <w:szCs w:val="84"/>
        </w:rPr>
      </w:pPr>
    </w:p>
    <w:p w14:paraId="6187F30E">
      <w:pPr>
        <w:pStyle w:val="10"/>
        <w:jc w:val="center"/>
        <w:rPr>
          <w:color w:val="auto"/>
          <w:sz w:val="84"/>
          <w:szCs w:val="84"/>
        </w:rPr>
      </w:pPr>
    </w:p>
    <w:p w14:paraId="2CAC9A32">
      <w:pPr>
        <w:pStyle w:val="10"/>
        <w:jc w:val="center"/>
        <w:rPr>
          <w:color w:val="auto"/>
          <w:sz w:val="84"/>
          <w:szCs w:val="84"/>
        </w:rPr>
      </w:pPr>
      <w:r>
        <w:rPr>
          <w:rFonts w:hint="eastAsia"/>
          <w:color w:val="auto"/>
          <w:sz w:val="84"/>
          <w:szCs w:val="84"/>
        </w:rPr>
        <w:t>2020年度</w:t>
      </w:r>
    </w:p>
    <w:p w14:paraId="5F261D57">
      <w:pPr>
        <w:pStyle w:val="10"/>
        <w:jc w:val="center"/>
        <w:rPr>
          <w:color w:val="auto"/>
          <w:sz w:val="84"/>
          <w:szCs w:val="84"/>
        </w:rPr>
      </w:pPr>
      <w:r>
        <w:rPr>
          <w:rFonts w:hint="eastAsia"/>
          <w:color w:val="auto"/>
          <w:sz w:val="84"/>
          <w:szCs w:val="84"/>
        </w:rPr>
        <w:t>湘潭县司法局部门决算</w:t>
      </w:r>
    </w:p>
    <w:p w14:paraId="6AA90429">
      <w:pPr>
        <w:pStyle w:val="10"/>
        <w:jc w:val="center"/>
        <w:rPr>
          <w:color w:val="auto"/>
          <w:sz w:val="56"/>
          <w:szCs w:val="56"/>
        </w:rPr>
      </w:pPr>
    </w:p>
    <w:p w14:paraId="4FA99E50">
      <w:pPr>
        <w:pStyle w:val="10"/>
        <w:jc w:val="center"/>
        <w:rPr>
          <w:color w:val="auto"/>
          <w:sz w:val="56"/>
          <w:szCs w:val="56"/>
        </w:rPr>
      </w:pPr>
    </w:p>
    <w:p w14:paraId="41ECC39B">
      <w:pPr>
        <w:pStyle w:val="10"/>
        <w:jc w:val="center"/>
        <w:rPr>
          <w:color w:val="auto"/>
          <w:sz w:val="56"/>
          <w:szCs w:val="56"/>
        </w:rPr>
      </w:pPr>
    </w:p>
    <w:p w14:paraId="07F5FD84">
      <w:pPr>
        <w:pStyle w:val="10"/>
        <w:jc w:val="center"/>
        <w:rPr>
          <w:color w:val="auto"/>
          <w:sz w:val="56"/>
          <w:szCs w:val="56"/>
        </w:rPr>
      </w:pPr>
    </w:p>
    <w:p w14:paraId="46F43874">
      <w:pPr>
        <w:pStyle w:val="10"/>
        <w:jc w:val="center"/>
        <w:rPr>
          <w:color w:val="auto"/>
          <w:sz w:val="32"/>
          <w:szCs w:val="32"/>
        </w:rPr>
      </w:pPr>
    </w:p>
    <w:p w14:paraId="35E6E9F6">
      <w:pPr>
        <w:pStyle w:val="10"/>
        <w:jc w:val="center"/>
        <w:rPr>
          <w:color w:val="auto"/>
          <w:sz w:val="32"/>
          <w:szCs w:val="32"/>
        </w:rPr>
      </w:pPr>
    </w:p>
    <w:p w14:paraId="645D546A">
      <w:pPr>
        <w:pStyle w:val="10"/>
        <w:jc w:val="center"/>
        <w:rPr>
          <w:color w:val="auto"/>
          <w:sz w:val="32"/>
          <w:szCs w:val="32"/>
        </w:rPr>
      </w:pPr>
    </w:p>
    <w:p w14:paraId="37E2D7AB">
      <w:pPr>
        <w:pStyle w:val="10"/>
        <w:jc w:val="center"/>
        <w:rPr>
          <w:color w:val="auto"/>
          <w:sz w:val="32"/>
          <w:szCs w:val="32"/>
        </w:rPr>
      </w:pPr>
    </w:p>
    <w:p w14:paraId="698E28AC">
      <w:pPr>
        <w:pStyle w:val="10"/>
        <w:jc w:val="center"/>
        <w:rPr>
          <w:color w:val="auto"/>
          <w:sz w:val="32"/>
          <w:szCs w:val="32"/>
        </w:rPr>
      </w:pPr>
    </w:p>
    <w:p w14:paraId="486A3536">
      <w:pPr>
        <w:pStyle w:val="10"/>
        <w:spacing w:line="540" w:lineRule="exact"/>
        <w:jc w:val="center"/>
        <w:rPr>
          <w:color w:val="auto"/>
          <w:sz w:val="56"/>
          <w:szCs w:val="56"/>
        </w:rPr>
      </w:pPr>
    </w:p>
    <w:p w14:paraId="71F56F85">
      <w:pPr>
        <w:pStyle w:val="10"/>
        <w:spacing w:line="500" w:lineRule="exact"/>
        <w:jc w:val="center"/>
        <w:rPr>
          <w:b/>
          <w:color w:val="auto"/>
          <w:sz w:val="36"/>
          <w:szCs w:val="28"/>
        </w:rPr>
      </w:pPr>
    </w:p>
    <w:p w14:paraId="698576B0">
      <w:pPr>
        <w:pStyle w:val="10"/>
        <w:spacing w:line="500" w:lineRule="exact"/>
        <w:jc w:val="center"/>
        <w:rPr>
          <w:b/>
          <w:color w:val="auto"/>
          <w:sz w:val="36"/>
          <w:szCs w:val="28"/>
        </w:rPr>
      </w:pPr>
    </w:p>
    <w:p w14:paraId="3AE1E0CE">
      <w:pPr>
        <w:pStyle w:val="10"/>
        <w:spacing w:line="500" w:lineRule="exact"/>
        <w:jc w:val="center"/>
        <w:rPr>
          <w:b/>
          <w:color w:val="auto"/>
          <w:sz w:val="36"/>
          <w:szCs w:val="28"/>
        </w:rPr>
      </w:pPr>
      <w:r>
        <w:rPr>
          <w:rFonts w:hint="eastAsia"/>
          <w:b/>
          <w:color w:val="auto"/>
          <w:sz w:val="36"/>
          <w:szCs w:val="28"/>
        </w:rPr>
        <w:t>目录</w:t>
      </w:r>
    </w:p>
    <w:p w14:paraId="3E5A056B">
      <w:pPr>
        <w:pStyle w:val="10"/>
        <w:spacing w:line="500" w:lineRule="exact"/>
        <w:rPr>
          <w:rFonts w:ascii="仿宋_GB2312" w:hAnsi="仿宋_GB2312" w:cs="仿宋_GB2312"/>
          <w:b/>
          <w:color w:val="auto"/>
          <w:sz w:val="28"/>
          <w:szCs w:val="28"/>
        </w:rPr>
      </w:pPr>
      <w:r>
        <w:rPr>
          <w:rFonts w:hint="eastAsia"/>
          <w:b/>
          <w:color w:val="auto"/>
          <w:sz w:val="28"/>
          <w:szCs w:val="28"/>
        </w:rPr>
        <w:t>第一部分湘潭县司法局单位概况</w:t>
      </w:r>
    </w:p>
    <w:p w14:paraId="621089B9">
      <w:pPr>
        <w:pStyle w:val="10"/>
        <w:spacing w:line="50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一、部门职责</w:t>
      </w:r>
    </w:p>
    <w:p w14:paraId="70DC7FB1">
      <w:pPr>
        <w:pStyle w:val="10"/>
        <w:spacing w:line="50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二、机构设置</w:t>
      </w:r>
    </w:p>
    <w:p w14:paraId="21A1C0E4">
      <w:pPr>
        <w:pStyle w:val="10"/>
        <w:spacing w:line="500" w:lineRule="exact"/>
        <w:rPr>
          <w:rFonts w:ascii="仿宋_GB2312" w:hAnsi="仿宋_GB2312" w:cs="仿宋_GB2312"/>
          <w:b/>
          <w:color w:val="auto"/>
          <w:sz w:val="28"/>
          <w:szCs w:val="28"/>
        </w:rPr>
      </w:pPr>
      <w:r>
        <w:rPr>
          <w:rFonts w:hint="eastAsia" w:hAnsi="仿宋_GB2312"/>
          <w:b/>
          <w:color w:val="auto"/>
          <w:sz w:val="28"/>
          <w:szCs w:val="28"/>
        </w:rPr>
        <w:t>第二部分</w:t>
      </w:r>
      <w:r>
        <w:rPr>
          <w:rFonts w:hAnsi="仿宋_GB2312"/>
          <w:b/>
          <w:color w:val="auto"/>
          <w:sz w:val="28"/>
          <w:szCs w:val="28"/>
        </w:rPr>
        <w:t>20</w:t>
      </w:r>
      <w:r>
        <w:rPr>
          <w:rFonts w:hint="eastAsia" w:hAnsi="仿宋_GB2312"/>
          <w:b/>
          <w:color w:val="auto"/>
          <w:sz w:val="28"/>
          <w:szCs w:val="28"/>
        </w:rPr>
        <w:t>20年度部门决算表</w:t>
      </w:r>
    </w:p>
    <w:p w14:paraId="02189052">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一、部门收支决算总表</w:t>
      </w:r>
    </w:p>
    <w:p w14:paraId="7F228D75">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二、部门收入决算表</w:t>
      </w:r>
    </w:p>
    <w:p w14:paraId="2F0B8212">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三、部门支出决算表</w:t>
      </w:r>
    </w:p>
    <w:p w14:paraId="0BE89EF3">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四、财政拨款收支决算总表</w:t>
      </w:r>
    </w:p>
    <w:p w14:paraId="23718290">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五、一般公共预算财政拨款支出决算表</w:t>
      </w:r>
    </w:p>
    <w:p w14:paraId="207A6F03">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六、一般公共预算财政拨款基本支出决算表</w:t>
      </w:r>
    </w:p>
    <w:p w14:paraId="0471AE90">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七、一般公共预算财政拨款</w:t>
      </w:r>
      <w:r>
        <w:rPr>
          <w:rFonts w:hint="default" w:ascii="仿宋_GB2312" w:hAnsi="仿宋_GB2312" w:cs="仿宋_GB2312"/>
          <w:color w:val="auto"/>
          <w:sz w:val="28"/>
          <w:szCs w:val="28"/>
          <w:lang w:val="en-US" w:eastAsia="zh-CN"/>
        </w:rPr>
        <w:t>“</w:t>
      </w:r>
      <w:r>
        <w:rPr>
          <w:rFonts w:hint="eastAsia" w:ascii="仿宋_GB2312" w:hAnsi="仿宋_GB2312" w:cs="仿宋_GB2312"/>
          <w:color w:val="auto"/>
          <w:sz w:val="28"/>
          <w:szCs w:val="28"/>
          <w:lang w:val="en-US" w:eastAsia="zh-CN"/>
        </w:rPr>
        <w:t>三公</w:t>
      </w:r>
      <w:r>
        <w:rPr>
          <w:rFonts w:hint="default" w:ascii="仿宋_GB2312" w:hAnsi="仿宋_GB2312" w:cs="仿宋_GB2312"/>
          <w:color w:val="auto"/>
          <w:sz w:val="28"/>
          <w:szCs w:val="28"/>
          <w:lang w:val="en-US" w:eastAsia="zh-CN"/>
        </w:rPr>
        <w:t>”</w:t>
      </w:r>
      <w:r>
        <w:rPr>
          <w:rFonts w:hint="eastAsia" w:ascii="仿宋_GB2312" w:hAnsi="仿宋_GB2312" w:cs="仿宋_GB2312"/>
          <w:color w:val="auto"/>
          <w:sz w:val="28"/>
          <w:szCs w:val="28"/>
          <w:lang w:val="en-US" w:eastAsia="zh-CN"/>
        </w:rPr>
        <w:t>经费支出决算表</w:t>
      </w:r>
    </w:p>
    <w:p w14:paraId="3AED3C2E">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八、政府性基金预算财政拨款收入支出决算表</w:t>
      </w:r>
    </w:p>
    <w:p w14:paraId="4C2B1AE3">
      <w:pPr>
        <w:spacing w:line="500" w:lineRule="exact"/>
        <w:ind w:firstLine="700" w:firstLineChars="250"/>
        <w:jc w:val="left"/>
        <w:rPr>
          <w:rFonts w:hint="default" w:ascii="仿宋_GB2312" w:hAnsi="仿宋_GB2312" w:cs="仿宋_GB2312"/>
          <w:color w:val="auto"/>
          <w:sz w:val="28"/>
          <w:szCs w:val="28"/>
          <w:lang w:val="en-US"/>
        </w:rPr>
      </w:pPr>
      <w:r>
        <w:rPr>
          <w:rFonts w:hint="eastAsia" w:ascii="仿宋_GB2312" w:hAnsi="仿宋_GB2312" w:cs="仿宋_GB2312"/>
          <w:color w:val="auto"/>
          <w:sz w:val="28"/>
          <w:szCs w:val="28"/>
          <w:lang w:val="en-US" w:eastAsia="zh-CN"/>
        </w:rPr>
        <w:t>九、国有资本经营预算财政拨款支出决算表</w:t>
      </w:r>
    </w:p>
    <w:p w14:paraId="7C3D9A48">
      <w:pPr>
        <w:pStyle w:val="10"/>
        <w:spacing w:line="500" w:lineRule="exact"/>
        <w:rPr>
          <w:rFonts w:ascii="仿宋_GB2312" w:hAnsi="仿宋_GB2312" w:cs="仿宋_GB2312"/>
          <w:b/>
          <w:color w:val="auto"/>
          <w:sz w:val="28"/>
          <w:szCs w:val="28"/>
        </w:rPr>
      </w:pPr>
      <w:r>
        <w:rPr>
          <w:rFonts w:hint="eastAsia" w:hAnsi="仿宋_GB2312"/>
          <w:b/>
          <w:color w:val="auto"/>
          <w:sz w:val="28"/>
          <w:szCs w:val="28"/>
        </w:rPr>
        <w:t>第三部分</w:t>
      </w:r>
      <w:r>
        <w:rPr>
          <w:rFonts w:hAnsi="仿宋_GB2312"/>
          <w:b/>
          <w:color w:val="auto"/>
          <w:sz w:val="28"/>
          <w:szCs w:val="28"/>
        </w:rPr>
        <w:t>20</w:t>
      </w:r>
      <w:r>
        <w:rPr>
          <w:rFonts w:hint="eastAsia" w:hAnsi="仿宋_GB2312"/>
          <w:b/>
          <w:color w:val="auto"/>
          <w:sz w:val="28"/>
          <w:szCs w:val="28"/>
        </w:rPr>
        <w:t>20年度部门决算情况说明</w:t>
      </w:r>
    </w:p>
    <w:p w14:paraId="3C457277">
      <w:pPr>
        <w:pStyle w:val="10"/>
        <w:spacing w:line="50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一、收入支出决算总体情况说明</w:t>
      </w:r>
    </w:p>
    <w:p w14:paraId="2479F048">
      <w:pPr>
        <w:spacing w:line="500" w:lineRule="exact"/>
        <w:ind w:firstLine="700" w:firstLineChars="250"/>
        <w:jc w:val="left"/>
        <w:rPr>
          <w:rFonts w:ascii="仿宋_GB2312" w:hAnsi="仿宋_GB2312" w:cs="仿宋_GB2312"/>
          <w:color w:val="auto"/>
          <w:sz w:val="28"/>
          <w:szCs w:val="28"/>
        </w:rPr>
      </w:pPr>
      <w:r>
        <w:rPr>
          <w:rFonts w:ascii="仿宋_GB2312" w:hAnsi="仿宋_GB2312" w:cs="仿宋_GB2312"/>
          <w:color w:val="auto"/>
          <w:sz w:val="28"/>
          <w:szCs w:val="28"/>
        </w:rPr>
        <w:t>二、收入决算情况说明</w:t>
      </w:r>
    </w:p>
    <w:p w14:paraId="5FC226D0">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三、支出决算情况说明</w:t>
      </w:r>
    </w:p>
    <w:p w14:paraId="53EFE7E6">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四、财政拨款收入支出决算总体情况说明</w:t>
      </w:r>
    </w:p>
    <w:p w14:paraId="42A1049A">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五、一般公共预算财政拨款支出决算情况说明</w:t>
      </w:r>
    </w:p>
    <w:p w14:paraId="2268EF40">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六、一般公共预算财政拨款基本支出决算情况说明</w:t>
      </w:r>
    </w:p>
    <w:p w14:paraId="5FB934E4">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七、一般公共预算财政拨款三公经费支出决算情况说明</w:t>
      </w:r>
    </w:p>
    <w:p w14:paraId="483D7235">
      <w:pPr>
        <w:autoSpaceDE w:val="0"/>
        <w:autoSpaceDN w:val="0"/>
        <w:adjustRightInd w:val="0"/>
        <w:spacing w:line="500" w:lineRule="exact"/>
        <w:ind w:firstLine="700" w:firstLineChars="250"/>
        <w:jc w:val="left"/>
        <w:rPr>
          <w:rFonts w:ascii="仿宋_GB2312" w:hAnsi="仿宋_GB2312" w:cs="仿宋_GB2312"/>
          <w:color w:val="auto"/>
          <w:kern w:val="0"/>
          <w:sz w:val="28"/>
          <w:szCs w:val="28"/>
        </w:rPr>
      </w:pPr>
      <w:r>
        <w:rPr>
          <w:rFonts w:hint="eastAsia" w:ascii="仿宋_GB2312" w:hAnsi="仿宋_GB2312" w:cs="仿宋_GB2312"/>
          <w:color w:val="auto"/>
          <w:kern w:val="0"/>
          <w:sz w:val="28"/>
          <w:szCs w:val="28"/>
        </w:rPr>
        <w:t>八</w:t>
      </w:r>
      <w:r>
        <w:rPr>
          <w:rFonts w:ascii="仿宋_GB2312" w:hAnsi="仿宋_GB2312" w:cs="仿宋_GB2312"/>
          <w:color w:val="auto"/>
          <w:kern w:val="0"/>
          <w:sz w:val="28"/>
          <w:szCs w:val="28"/>
        </w:rPr>
        <w:t>、</w:t>
      </w:r>
      <w:r>
        <w:rPr>
          <w:rFonts w:hint="eastAsia" w:ascii="仿宋_GB2312" w:hAnsi="仿宋_GB2312" w:cs="仿宋_GB2312"/>
          <w:color w:val="auto"/>
          <w:kern w:val="0"/>
          <w:sz w:val="28"/>
          <w:szCs w:val="28"/>
        </w:rPr>
        <w:t>政府性基金预算收入支出决算情况</w:t>
      </w:r>
    </w:p>
    <w:p w14:paraId="417BF50A">
      <w:pPr>
        <w:autoSpaceDE w:val="0"/>
        <w:autoSpaceDN w:val="0"/>
        <w:adjustRightInd w:val="0"/>
        <w:spacing w:line="500" w:lineRule="exact"/>
        <w:ind w:firstLine="700" w:firstLineChars="250"/>
        <w:jc w:val="left"/>
        <w:rPr>
          <w:rFonts w:ascii="仿宋_GB2312" w:hAnsi="仿宋_GB2312" w:cs="仿宋_GB2312"/>
          <w:color w:val="auto"/>
          <w:kern w:val="0"/>
          <w:sz w:val="28"/>
          <w:szCs w:val="28"/>
          <w:lang w:val="en-US"/>
        </w:rPr>
      </w:pPr>
      <w:r>
        <w:rPr>
          <w:rFonts w:hint="eastAsia" w:ascii="仿宋_GB2312" w:hAnsi="仿宋_GB2312" w:cs="仿宋_GB2312"/>
          <w:color w:val="auto"/>
          <w:kern w:val="0"/>
          <w:sz w:val="28"/>
          <w:szCs w:val="28"/>
          <w:lang w:val="en-US" w:eastAsia="zh-CN"/>
        </w:rPr>
        <w:t>九、国有资本经营预算财政拨款支出决算情况</w:t>
      </w:r>
    </w:p>
    <w:p w14:paraId="4DBD1D4F">
      <w:pPr>
        <w:autoSpaceDE w:val="0"/>
        <w:autoSpaceDN w:val="0"/>
        <w:adjustRightInd w:val="0"/>
        <w:spacing w:line="500" w:lineRule="exact"/>
        <w:ind w:firstLine="700" w:firstLineChars="250"/>
        <w:jc w:val="left"/>
        <w:rPr>
          <w:rFonts w:ascii="仿宋_GB2312" w:hAnsi="仿宋_GB2312" w:cs="仿宋_GB2312"/>
          <w:color w:val="auto"/>
          <w:kern w:val="0"/>
          <w:sz w:val="28"/>
          <w:szCs w:val="28"/>
          <w:lang w:val="en-US"/>
        </w:rPr>
      </w:pPr>
      <w:r>
        <w:rPr>
          <w:rFonts w:hint="eastAsia" w:ascii="仿宋_GB2312" w:hAnsi="仿宋_GB2312" w:cs="仿宋_GB2312"/>
          <w:color w:val="auto"/>
          <w:kern w:val="0"/>
          <w:sz w:val="28"/>
          <w:szCs w:val="28"/>
          <w:lang w:val="en-US" w:eastAsia="zh-CN"/>
        </w:rPr>
        <w:t>十、预算绩效情况说明</w:t>
      </w:r>
    </w:p>
    <w:p w14:paraId="5D1017C7">
      <w:pPr>
        <w:autoSpaceDE w:val="0"/>
        <w:autoSpaceDN w:val="0"/>
        <w:adjustRightInd w:val="0"/>
        <w:spacing w:line="500" w:lineRule="exact"/>
        <w:ind w:firstLine="700" w:firstLineChars="250"/>
        <w:jc w:val="left"/>
        <w:rPr>
          <w:rFonts w:ascii="仿宋_GB2312" w:hAnsi="仿宋_GB2312" w:cs="仿宋_GB2312"/>
          <w:color w:val="auto"/>
          <w:kern w:val="0"/>
          <w:sz w:val="28"/>
          <w:szCs w:val="28"/>
          <w:lang w:val="en-US"/>
        </w:rPr>
      </w:pPr>
      <w:r>
        <w:rPr>
          <w:rFonts w:hint="eastAsia" w:ascii="仿宋_GB2312" w:hAnsi="仿宋_GB2312" w:cs="仿宋_GB2312"/>
          <w:color w:val="auto"/>
          <w:kern w:val="0"/>
          <w:sz w:val="28"/>
          <w:szCs w:val="28"/>
          <w:lang w:val="en-US" w:eastAsia="zh-CN"/>
        </w:rPr>
        <w:t>十一、其他重要事项情况说明</w:t>
      </w:r>
    </w:p>
    <w:p w14:paraId="01DCFEF6">
      <w:pPr>
        <w:autoSpaceDE w:val="0"/>
        <w:autoSpaceDN w:val="0"/>
        <w:adjustRightInd w:val="0"/>
        <w:spacing w:line="500" w:lineRule="exact"/>
        <w:jc w:val="left"/>
        <w:rPr>
          <w:rFonts w:ascii="黑体" w:hAnsi="黑体" w:eastAsia="黑体" w:cs="黑体"/>
          <w:b/>
          <w:color w:val="auto"/>
          <w:kern w:val="0"/>
          <w:sz w:val="28"/>
          <w:szCs w:val="28"/>
        </w:rPr>
      </w:pPr>
      <w:r>
        <w:rPr>
          <w:rFonts w:ascii="黑体" w:hAnsi="黑体" w:eastAsia="黑体" w:cs="黑体"/>
          <w:b/>
          <w:color w:val="auto"/>
          <w:kern w:val="0"/>
          <w:sz w:val="28"/>
          <w:szCs w:val="28"/>
        </w:rPr>
        <w:t>第四部分名词解释</w:t>
      </w:r>
    </w:p>
    <w:p w14:paraId="5ABFA459">
      <w:pPr>
        <w:autoSpaceDE w:val="0"/>
        <w:autoSpaceDN w:val="0"/>
        <w:adjustRightInd w:val="0"/>
        <w:spacing w:line="500" w:lineRule="exact"/>
        <w:jc w:val="left"/>
        <w:rPr>
          <w:rFonts w:ascii="黑体" w:hAnsi="黑体" w:eastAsia="黑体" w:cs="仿宋_GB2312"/>
          <w:b/>
          <w:color w:val="auto"/>
          <w:kern w:val="0"/>
          <w:sz w:val="28"/>
          <w:szCs w:val="28"/>
        </w:rPr>
      </w:pPr>
      <w:r>
        <w:rPr>
          <w:rFonts w:hint="eastAsia" w:ascii="黑体" w:hAnsi="黑体" w:eastAsia="黑体" w:cs="黑体"/>
          <w:b/>
          <w:color w:val="auto"/>
          <w:kern w:val="0"/>
          <w:sz w:val="28"/>
          <w:szCs w:val="28"/>
        </w:rPr>
        <w:t>第五部分附件</w:t>
      </w:r>
    </w:p>
    <w:p w14:paraId="3A3B2DA7">
      <w:pPr>
        <w:jc w:val="center"/>
        <w:rPr>
          <w:color w:val="auto"/>
          <w:sz w:val="72"/>
          <w:szCs w:val="72"/>
        </w:rPr>
      </w:pPr>
    </w:p>
    <w:p w14:paraId="7245AD57">
      <w:pPr>
        <w:jc w:val="center"/>
        <w:rPr>
          <w:color w:val="auto"/>
          <w:sz w:val="72"/>
          <w:szCs w:val="72"/>
        </w:rPr>
      </w:pPr>
    </w:p>
    <w:p w14:paraId="2BDF88E6">
      <w:pPr>
        <w:jc w:val="center"/>
        <w:rPr>
          <w:color w:val="auto"/>
          <w:sz w:val="72"/>
          <w:szCs w:val="72"/>
        </w:rPr>
      </w:pPr>
    </w:p>
    <w:p w14:paraId="15E19F4E">
      <w:pPr>
        <w:jc w:val="center"/>
        <w:rPr>
          <w:color w:val="auto"/>
          <w:sz w:val="72"/>
          <w:szCs w:val="72"/>
        </w:rPr>
      </w:pPr>
    </w:p>
    <w:p w14:paraId="038FBBE2">
      <w:pPr>
        <w:rPr>
          <w:color w:val="auto"/>
          <w:sz w:val="72"/>
          <w:szCs w:val="72"/>
        </w:rPr>
      </w:pPr>
    </w:p>
    <w:p w14:paraId="22CBD5F7">
      <w:pPr>
        <w:pStyle w:val="10"/>
        <w:jc w:val="center"/>
        <w:rPr>
          <w:color w:val="auto"/>
          <w:sz w:val="84"/>
          <w:szCs w:val="84"/>
        </w:rPr>
      </w:pPr>
      <w:r>
        <w:rPr>
          <w:rFonts w:hint="eastAsia"/>
          <w:color w:val="auto"/>
          <w:sz w:val="84"/>
          <w:szCs w:val="84"/>
        </w:rPr>
        <w:t>第一部分</w:t>
      </w:r>
    </w:p>
    <w:p w14:paraId="37D4D72B">
      <w:pPr>
        <w:pStyle w:val="10"/>
        <w:jc w:val="center"/>
        <w:rPr>
          <w:color w:val="auto"/>
          <w:sz w:val="84"/>
          <w:szCs w:val="84"/>
        </w:rPr>
      </w:pPr>
    </w:p>
    <w:p w14:paraId="09AE8AC8">
      <w:pPr>
        <w:pStyle w:val="10"/>
        <w:jc w:val="center"/>
        <w:rPr>
          <w:color w:val="auto"/>
          <w:sz w:val="84"/>
          <w:szCs w:val="84"/>
        </w:rPr>
      </w:pPr>
      <w:r>
        <w:rPr>
          <w:rFonts w:hint="eastAsia"/>
          <w:color w:val="auto"/>
          <w:sz w:val="84"/>
          <w:szCs w:val="84"/>
        </w:rPr>
        <w:t>湘潭县司法局概况</w:t>
      </w:r>
    </w:p>
    <w:p w14:paraId="68CBE8CA">
      <w:pPr>
        <w:jc w:val="center"/>
        <w:rPr>
          <w:color w:val="auto"/>
          <w:sz w:val="72"/>
          <w:szCs w:val="72"/>
        </w:rPr>
      </w:pPr>
    </w:p>
    <w:p w14:paraId="374DC848">
      <w:pPr>
        <w:jc w:val="center"/>
        <w:rPr>
          <w:color w:val="auto"/>
          <w:sz w:val="72"/>
          <w:szCs w:val="72"/>
        </w:rPr>
      </w:pPr>
    </w:p>
    <w:p w14:paraId="605D5026">
      <w:pPr>
        <w:jc w:val="center"/>
        <w:rPr>
          <w:color w:val="auto"/>
          <w:sz w:val="72"/>
          <w:szCs w:val="72"/>
        </w:rPr>
      </w:pPr>
    </w:p>
    <w:p w14:paraId="0328B46C">
      <w:pPr>
        <w:jc w:val="center"/>
        <w:rPr>
          <w:color w:val="auto"/>
          <w:sz w:val="72"/>
          <w:szCs w:val="72"/>
        </w:rPr>
      </w:pPr>
    </w:p>
    <w:p w14:paraId="73C54404">
      <w:pPr>
        <w:jc w:val="center"/>
        <w:rPr>
          <w:color w:val="auto"/>
          <w:sz w:val="72"/>
          <w:szCs w:val="72"/>
        </w:rPr>
      </w:pPr>
    </w:p>
    <w:p w14:paraId="60C55E3D">
      <w:pPr>
        <w:jc w:val="center"/>
        <w:rPr>
          <w:color w:val="auto"/>
          <w:sz w:val="72"/>
          <w:szCs w:val="72"/>
        </w:rPr>
      </w:pPr>
    </w:p>
    <w:p w14:paraId="4FE27ECC">
      <w:pPr>
        <w:pStyle w:val="11"/>
        <w:ind w:left="720" w:firstLine="0" w:firstLineChars="0"/>
        <w:jc w:val="left"/>
        <w:rPr>
          <w:rFonts w:ascii="黑体" w:hAnsi="黑体" w:eastAsia="黑体"/>
          <w:color w:val="auto"/>
          <w:sz w:val="32"/>
          <w:szCs w:val="32"/>
        </w:rPr>
      </w:pPr>
    </w:p>
    <w:p w14:paraId="7B268144">
      <w:pPr>
        <w:pStyle w:val="11"/>
        <w:ind w:left="720" w:firstLine="0" w:firstLineChars="0"/>
        <w:jc w:val="left"/>
        <w:rPr>
          <w:rFonts w:ascii="黑体" w:hAnsi="黑体" w:eastAsia="黑体"/>
          <w:color w:val="auto"/>
          <w:sz w:val="32"/>
          <w:szCs w:val="32"/>
        </w:rPr>
      </w:pPr>
    </w:p>
    <w:p w14:paraId="3BB854A6">
      <w:pPr>
        <w:pStyle w:val="11"/>
        <w:ind w:left="720" w:firstLine="0" w:firstLineChars="0"/>
        <w:jc w:val="left"/>
        <w:rPr>
          <w:rFonts w:ascii="黑体" w:hAnsi="黑体" w:eastAsia="黑体"/>
          <w:color w:val="auto"/>
          <w:sz w:val="32"/>
          <w:szCs w:val="32"/>
        </w:rPr>
      </w:pPr>
    </w:p>
    <w:p w14:paraId="7762C2ED">
      <w:pPr>
        <w:pStyle w:val="11"/>
        <w:numPr>
          <w:ilvl w:val="0"/>
          <w:numId w:val="1"/>
        </w:numPr>
        <w:ind w:firstLineChars="0"/>
        <w:jc w:val="left"/>
        <w:rPr>
          <w:rFonts w:ascii="黑体" w:hAnsi="黑体" w:eastAsia="黑体"/>
          <w:color w:val="auto"/>
          <w:sz w:val="32"/>
          <w:szCs w:val="32"/>
        </w:rPr>
      </w:pPr>
      <w:r>
        <w:rPr>
          <w:rFonts w:ascii="黑体" w:hAnsi="黑体" w:eastAsia="黑体"/>
          <w:color w:val="auto"/>
          <w:sz w:val="32"/>
          <w:szCs w:val="32"/>
        </w:rPr>
        <w:t>部门职责</w:t>
      </w:r>
    </w:p>
    <w:p w14:paraId="2770B401">
      <w:pPr>
        <w:pStyle w:val="11"/>
        <w:ind w:left="720" w:firstLine="0" w:firstLineChars="0"/>
        <w:rPr>
          <w:rFonts w:ascii="仿宋_GB2312" w:hAnsi="仿宋_GB2312" w:eastAsia="仿宋_GB2312" w:cs="仿宋_GB2312"/>
          <w:color w:val="auto"/>
          <w:sz w:val="32"/>
          <w:szCs w:val="32"/>
        </w:rPr>
      </w:pPr>
      <w:r>
        <w:rPr>
          <w:rFonts w:hint="eastAsia" w:asciiTheme="minorEastAsia" w:hAnsiTheme="minorEastAsia"/>
          <w:color w:val="auto"/>
          <w:sz w:val="32"/>
          <w:szCs w:val="32"/>
        </w:rPr>
        <w:t>（一）</w:t>
      </w:r>
      <w:r>
        <w:rPr>
          <w:rFonts w:hint="eastAsia" w:ascii="仿宋_GB2312" w:hAnsi="仿宋_GB2312" w:eastAsia="仿宋_GB2312" w:cs="仿宋_GB2312"/>
          <w:color w:val="auto"/>
          <w:sz w:val="32"/>
          <w:szCs w:val="32"/>
        </w:rPr>
        <w:t>主要职能</w:t>
      </w:r>
    </w:p>
    <w:p w14:paraId="159316EC">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w:t>
      </w:r>
      <w:r>
        <w:rPr>
          <w:rFonts w:hint="eastAsia" w:ascii="宋体" w:hAnsi="宋体" w:eastAsia="宋体" w:cs="宋体"/>
          <w:color w:val="auto"/>
          <w:sz w:val="32"/>
          <w:szCs w:val="32"/>
        </w:rPr>
        <w:t>属</w:t>
      </w:r>
      <w:r>
        <w:rPr>
          <w:rFonts w:hint="eastAsia" w:ascii="仿宋_GB2312" w:hAnsi="仿宋_GB2312" w:eastAsia="仿宋_GB2312" w:cs="仿宋_GB2312"/>
          <w:color w:val="auto"/>
          <w:sz w:val="32"/>
          <w:szCs w:val="32"/>
        </w:rPr>
        <w:t>正科级单位。</w:t>
      </w:r>
    </w:p>
    <w:p w14:paraId="39F928F4">
      <w:pPr>
        <w:ind w:firstLine="800" w:firstLineChars="250"/>
        <w:jc w:val="left"/>
        <w:rPr>
          <w:rFonts w:asciiTheme="minorEastAsia" w:hAnsiTheme="minorEastAsia"/>
          <w:color w:val="auto"/>
          <w:sz w:val="32"/>
          <w:szCs w:val="32"/>
        </w:rPr>
      </w:pPr>
      <w:r>
        <w:rPr>
          <w:rFonts w:hint="eastAsia" w:asciiTheme="minorEastAsia" w:hAnsiTheme="minorEastAsia"/>
          <w:color w:val="auto"/>
          <w:sz w:val="32"/>
          <w:szCs w:val="32"/>
        </w:rPr>
        <w:t>（二）</w:t>
      </w:r>
      <w:r>
        <w:rPr>
          <w:rFonts w:hint="eastAsia" w:ascii="仿宋_GB2312" w:hAnsi="仿宋_GB2312" w:eastAsia="仿宋_GB2312" w:cs="仿宋_GB2312"/>
          <w:color w:val="auto"/>
          <w:sz w:val="32"/>
          <w:szCs w:val="32"/>
        </w:rPr>
        <w:t>工作主要职责：</w:t>
      </w:r>
    </w:p>
    <w:p w14:paraId="4B9BC4B8">
      <w:pPr>
        <w:ind w:firstLine="640" w:firstLineChars="200"/>
        <w:rPr>
          <w:rFonts w:ascii="仿宋_GB2312" w:hAnsi="仿宋_GB2312" w:eastAsia="仿宋_GB2312" w:cs="仿宋_GB2312"/>
          <w:color w:val="auto"/>
          <w:sz w:val="32"/>
          <w:szCs w:val="32"/>
        </w:rPr>
      </w:pPr>
      <w:r>
        <w:rPr>
          <w:rFonts w:hint="eastAsia" w:ascii="Calibri" w:hAnsi="Calibri" w:eastAsia="仿宋_GB2312" w:cs="Calibri"/>
          <w:color w:val="auto"/>
          <w:sz w:val="32"/>
          <w:szCs w:val="32"/>
        </w:rPr>
        <w:t>1）</w:t>
      </w:r>
      <w:r>
        <w:rPr>
          <w:rFonts w:hint="eastAsia" w:ascii="仿宋_GB2312" w:hAnsi="仿宋_GB2312" w:eastAsia="仿宋_GB2312" w:cs="仿宋_GB2312"/>
          <w:color w:val="auto"/>
          <w:sz w:val="32"/>
          <w:szCs w:val="32"/>
        </w:rPr>
        <w:t>承担全面依法治县重大问题的政策研究，协调有关方面提出全面依法治县中长期规划建议，负责有关重大政策部署督察工作。负责开展依法治县和法治政府建设考核工作。</w:t>
      </w:r>
    </w:p>
    <w:p w14:paraId="376AADE4">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2）贯彻执行国家、省、市有关司法行政的方针、政策和法律法规；拟定全县司法行政工作发展中、长期规划和年度计划并监督实施。</w:t>
      </w:r>
    </w:p>
    <w:p w14:paraId="18CE9F1B">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2D5CE089">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0B83E02F">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5）督促指导县直有关单位规范政府合同管理，负责县政府重大投资项目合同的起草或审核。</w:t>
      </w:r>
    </w:p>
    <w:p w14:paraId="177876CE">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14:paraId="7657898A">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7）指导管理全县社区矫正工作；指导全县刑满释放人员的安置帮教工作。</w:t>
      </w:r>
    </w:p>
    <w:p w14:paraId="5ED62FDF">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8）负责拟订公共法律服务体系建设规划并指导实施，统筹和布局城乡、区域法律服务资源。指导、监督、管理律师、法律援助、司法鉴定、公证、仲裁和基层法律服务工作。</w:t>
      </w:r>
    </w:p>
    <w:p w14:paraId="04657DEB">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9）负责全县法治对外合作工作。组织开展法治对外合作交流。</w:t>
      </w:r>
    </w:p>
    <w:p w14:paraId="25C074EB">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10）负责本系统服装和警车管理工作，指导、监督本系统财务、装备、设施、场所等保障工作。</w:t>
      </w:r>
    </w:p>
    <w:p w14:paraId="5F337D52">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11）规划、协调、指导法治人才队伍建设相关工作。指导、监督本系统队伍建设。</w:t>
      </w:r>
    </w:p>
    <w:p w14:paraId="375D9821">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12）完成县委、县人民政府交办的其他事项。</w:t>
      </w:r>
    </w:p>
    <w:p w14:paraId="3D430915">
      <w:pPr>
        <w:ind w:firstLine="640" w:firstLineChars="200"/>
        <w:rPr>
          <w:rFonts w:ascii="仿宋_GB2312" w:hAnsi="仿宋_GB2312" w:eastAsia="仿宋_GB2312" w:cs="仿宋_GB2312"/>
          <w:color w:val="auto"/>
          <w:sz w:val="32"/>
          <w:szCs w:val="32"/>
        </w:rPr>
      </w:pPr>
      <w:r>
        <w:rPr>
          <w:rFonts w:hint="eastAsia" w:ascii="黑体" w:hAnsi="黑体" w:eastAsia="黑体"/>
          <w:bCs/>
          <w:color w:val="auto"/>
          <w:kern w:val="0"/>
          <w:sz w:val="32"/>
          <w:szCs w:val="32"/>
        </w:rPr>
        <w:t>二、机构设置及决算单位构成</w:t>
      </w:r>
    </w:p>
    <w:p w14:paraId="3106E2BF">
      <w:pPr>
        <w:snapToGrid w:val="0"/>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（一）内设机构设置。</w:t>
      </w:r>
    </w:p>
    <w:p w14:paraId="7928C56C">
      <w:pPr>
        <w:snapToGrid w:val="0"/>
        <w:spacing w:line="52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p>
    <w:p w14:paraId="649C4E5B">
      <w:pPr>
        <w:snapToGrid w:val="0"/>
        <w:spacing w:line="520" w:lineRule="exact"/>
        <w:ind w:firstLine="640" w:firstLineChars="200"/>
        <w:rPr>
          <w:rFonts w:ascii="仿宋_GB2312" w:hAnsi="仿宋_GB2312" w:eastAsia="仿宋_GB2312" w:cs="仿宋_GB2312"/>
          <w:color w:val="auto"/>
          <w:sz w:val="32"/>
          <w:szCs w:val="32"/>
        </w:rPr>
      </w:pPr>
      <w:r>
        <w:rPr>
          <w:rFonts w:hint="eastAsia" w:ascii="仿宋" w:hAnsi="仿宋" w:eastAsia="仿宋"/>
          <w:bCs/>
          <w:color w:val="auto"/>
          <w:kern w:val="0"/>
          <w:sz w:val="32"/>
          <w:szCs w:val="32"/>
        </w:rPr>
        <w:t>（二）人员情况。</w:t>
      </w:r>
    </w:p>
    <w:p w14:paraId="1DB430CE">
      <w:pPr>
        <w:snapToGrid w:val="0"/>
        <w:spacing w:line="520" w:lineRule="exact"/>
        <w:ind w:firstLine="640" w:firstLineChars="200"/>
        <w:rPr>
          <w:rFonts w:ascii="仿宋" w:hAnsi="仿宋" w:eastAsia="仿宋"/>
          <w:bCs/>
          <w:color w:val="auto"/>
          <w:kern w:val="0"/>
          <w:sz w:val="32"/>
          <w:szCs w:val="32"/>
        </w:rPr>
      </w:pPr>
      <w:r>
        <w:rPr>
          <w:rFonts w:hint="eastAsia" w:ascii="仿宋_GB2312" w:hAnsi="仿宋_GB2312" w:eastAsia="仿宋_GB2312" w:cs="仿宋_GB2312"/>
          <w:color w:val="auto"/>
          <w:sz w:val="32"/>
          <w:szCs w:val="32"/>
        </w:rPr>
        <w:t>全局共有人员编制数100名（政法专项编制84人，非参公事业人员16人），</w:t>
      </w:r>
      <w:r>
        <w:rPr>
          <w:rFonts w:hint="eastAsia" w:ascii="仿宋_GB2312" w:hAnsi="仿宋_GB2312" w:eastAsia="仿宋_GB2312" w:cs="仿宋_GB2312"/>
          <w:color w:val="auto"/>
          <w:sz w:val="32"/>
          <w:szCs w:val="32"/>
          <w:lang w:eastAsia="zh-CN"/>
        </w:rPr>
        <w:t>截至</w:t>
      </w:r>
      <w:r>
        <w:rPr>
          <w:rFonts w:hint="eastAsia" w:ascii="仿宋_GB2312" w:hAnsi="仿宋_GB2312" w:eastAsia="仿宋_GB2312" w:cs="仿宋_GB2312"/>
          <w:color w:val="auto"/>
          <w:sz w:val="32"/>
          <w:szCs w:val="32"/>
        </w:rPr>
        <w:t>2020年12月31日，实有89人（政法专项编制73人，非参公事业人员16人）。离退休人员25人，其中退休人员26人。遗属5人。</w:t>
      </w:r>
    </w:p>
    <w:p w14:paraId="49265C4B">
      <w:pPr>
        <w:widowControl/>
        <w:spacing w:line="600" w:lineRule="exact"/>
        <w:ind w:firstLine="640" w:firstLineChars="200"/>
        <w:rPr>
          <w:rFonts w:ascii="仿宋" w:hAnsi="仿宋" w:eastAsia="仿宋"/>
          <w:bCs/>
          <w:color w:val="auto"/>
          <w:kern w:val="0"/>
          <w:sz w:val="32"/>
          <w:szCs w:val="32"/>
        </w:rPr>
      </w:pPr>
      <w:r>
        <w:rPr>
          <w:rFonts w:hint="eastAsia" w:ascii="仿宋" w:hAnsi="仿宋" w:eastAsia="仿宋"/>
          <w:bCs/>
          <w:color w:val="auto"/>
          <w:kern w:val="0"/>
          <w:sz w:val="32"/>
          <w:szCs w:val="32"/>
        </w:rPr>
        <w:t>（三）决算单位构成。</w:t>
      </w:r>
    </w:p>
    <w:p w14:paraId="7075F40C">
      <w:pPr>
        <w:widowControl/>
        <w:spacing w:line="600" w:lineRule="exact"/>
        <w:ind w:firstLine="640" w:firstLineChars="200"/>
        <w:rPr>
          <w:rFonts w:asciiTheme="minorEastAsia" w:hAnsiTheme="minorEastAsia"/>
          <w:bCs/>
          <w:color w:val="auto"/>
          <w:kern w:val="0"/>
          <w:sz w:val="32"/>
          <w:szCs w:val="32"/>
        </w:rPr>
      </w:pPr>
      <w:r>
        <w:rPr>
          <w:rFonts w:hint="eastAsia" w:ascii="仿宋" w:hAnsi="仿宋" w:eastAsia="仿宋"/>
          <w:bCs/>
          <w:color w:val="auto"/>
          <w:kern w:val="0"/>
          <w:sz w:val="32"/>
          <w:szCs w:val="32"/>
        </w:rPr>
        <w:t>湘潭县司法局单位</w:t>
      </w:r>
      <w:r>
        <w:rPr>
          <w:rFonts w:ascii="仿宋" w:hAnsi="仿宋" w:eastAsia="仿宋"/>
          <w:bCs/>
          <w:color w:val="auto"/>
          <w:kern w:val="0"/>
          <w:sz w:val="32"/>
          <w:szCs w:val="32"/>
        </w:rPr>
        <w:t>20</w:t>
      </w:r>
      <w:r>
        <w:rPr>
          <w:rFonts w:hint="eastAsia" w:ascii="仿宋" w:hAnsi="仿宋" w:eastAsia="仿宋"/>
          <w:bCs/>
          <w:color w:val="auto"/>
          <w:kern w:val="0"/>
          <w:sz w:val="32"/>
          <w:szCs w:val="32"/>
        </w:rPr>
        <w:t>20年部门决算汇总公开单位构成包括：</w:t>
      </w:r>
      <w:r>
        <w:rPr>
          <w:rFonts w:hint="eastAsia" w:ascii="仿宋_GB2312" w:hAnsi="仿宋_GB2312" w:eastAsia="仿宋_GB2312" w:cs="仿宋_GB2312"/>
          <w:color w:val="auto"/>
          <w:sz w:val="32"/>
          <w:szCs w:val="32"/>
        </w:rPr>
        <w:t>司法局13个内设机构和法律顾问工作室及17个基层司法所，不包括公证处。</w:t>
      </w:r>
    </w:p>
    <w:p w14:paraId="45E27665">
      <w:pPr>
        <w:jc w:val="left"/>
        <w:rPr>
          <w:rFonts w:ascii="仿宋_GB2312" w:eastAsia="仿宋_GB2312" w:hAnsiTheme="minorEastAsia"/>
          <w:color w:val="auto"/>
          <w:sz w:val="28"/>
          <w:szCs w:val="32"/>
        </w:rPr>
      </w:pPr>
    </w:p>
    <w:p w14:paraId="738A3674">
      <w:pPr>
        <w:jc w:val="center"/>
        <w:rPr>
          <w:rFonts w:ascii="黑体" w:hAnsi="黑体" w:eastAsia="黑体"/>
          <w:color w:val="auto"/>
          <w:sz w:val="28"/>
          <w:szCs w:val="28"/>
        </w:rPr>
      </w:pPr>
    </w:p>
    <w:p w14:paraId="119F1419">
      <w:pPr>
        <w:jc w:val="center"/>
        <w:rPr>
          <w:rFonts w:ascii="黑体" w:hAnsi="黑体" w:eastAsia="黑体"/>
          <w:color w:val="auto"/>
          <w:sz w:val="28"/>
          <w:szCs w:val="28"/>
        </w:rPr>
      </w:pPr>
    </w:p>
    <w:p w14:paraId="66F1E444">
      <w:pPr>
        <w:jc w:val="center"/>
        <w:rPr>
          <w:rFonts w:ascii="黑体" w:hAnsi="黑体" w:eastAsia="黑体"/>
          <w:color w:val="auto"/>
          <w:sz w:val="28"/>
          <w:szCs w:val="28"/>
        </w:rPr>
      </w:pPr>
    </w:p>
    <w:p w14:paraId="51CCBC69">
      <w:pPr>
        <w:jc w:val="center"/>
        <w:rPr>
          <w:rFonts w:ascii="黑体" w:hAnsi="黑体" w:eastAsia="黑体"/>
          <w:color w:val="auto"/>
          <w:sz w:val="28"/>
          <w:szCs w:val="28"/>
        </w:rPr>
      </w:pPr>
    </w:p>
    <w:p w14:paraId="71CFC1AD">
      <w:pPr>
        <w:jc w:val="center"/>
        <w:rPr>
          <w:rFonts w:ascii="黑体" w:hAnsi="黑体" w:eastAsia="黑体"/>
          <w:color w:val="auto"/>
          <w:sz w:val="28"/>
          <w:szCs w:val="28"/>
        </w:rPr>
      </w:pPr>
    </w:p>
    <w:p w14:paraId="1C5ACDCE">
      <w:pPr>
        <w:jc w:val="center"/>
        <w:rPr>
          <w:rFonts w:ascii="黑体" w:hAnsi="黑体" w:eastAsia="黑体"/>
          <w:color w:val="auto"/>
          <w:sz w:val="28"/>
          <w:szCs w:val="28"/>
        </w:rPr>
      </w:pPr>
    </w:p>
    <w:p w14:paraId="627CB3A3">
      <w:pPr>
        <w:jc w:val="center"/>
        <w:rPr>
          <w:rFonts w:ascii="黑体" w:hAnsi="黑体" w:eastAsia="黑体"/>
          <w:color w:val="auto"/>
          <w:sz w:val="28"/>
          <w:szCs w:val="28"/>
        </w:rPr>
      </w:pPr>
    </w:p>
    <w:p w14:paraId="2DE4C325">
      <w:pPr>
        <w:jc w:val="center"/>
        <w:rPr>
          <w:rFonts w:ascii="黑体" w:hAnsi="黑体" w:eastAsia="黑体"/>
          <w:color w:val="auto"/>
          <w:sz w:val="28"/>
          <w:szCs w:val="28"/>
        </w:rPr>
      </w:pPr>
    </w:p>
    <w:p w14:paraId="6128FFA1">
      <w:pPr>
        <w:jc w:val="center"/>
        <w:rPr>
          <w:rFonts w:ascii="黑体" w:hAnsi="黑体" w:eastAsia="黑体"/>
          <w:color w:val="auto"/>
          <w:sz w:val="28"/>
          <w:szCs w:val="28"/>
        </w:rPr>
      </w:pPr>
    </w:p>
    <w:p w14:paraId="59749F1B">
      <w:pPr>
        <w:jc w:val="center"/>
        <w:rPr>
          <w:rFonts w:ascii="黑体" w:hAnsi="黑体" w:eastAsia="黑体"/>
          <w:color w:val="auto"/>
          <w:sz w:val="28"/>
          <w:szCs w:val="28"/>
        </w:rPr>
      </w:pPr>
    </w:p>
    <w:p w14:paraId="3C324CD7">
      <w:pPr>
        <w:jc w:val="center"/>
        <w:rPr>
          <w:rFonts w:ascii="黑体" w:hAnsi="黑体" w:eastAsia="黑体"/>
          <w:color w:val="auto"/>
          <w:sz w:val="28"/>
          <w:szCs w:val="28"/>
        </w:rPr>
      </w:pPr>
    </w:p>
    <w:p w14:paraId="2F787A2C">
      <w:pPr>
        <w:jc w:val="center"/>
        <w:rPr>
          <w:rFonts w:ascii="黑体" w:hAnsi="黑体" w:eastAsia="黑体"/>
          <w:color w:val="auto"/>
          <w:sz w:val="28"/>
          <w:szCs w:val="28"/>
        </w:rPr>
      </w:pPr>
    </w:p>
    <w:p w14:paraId="7852BD4B">
      <w:pPr>
        <w:jc w:val="center"/>
        <w:rPr>
          <w:color w:val="auto"/>
          <w:sz w:val="72"/>
          <w:szCs w:val="72"/>
        </w:rPr>
      </w:pPr>
    </w:p>
    <w:p w14:paraId="163FE68F">
      <w:pPr>
        <w:jc w:val="center"/>
        <w:rPr>
          <w:color w:val="auto"/>
          <w:sz w:val="72"/>
          <w:szCs w:val="72"/>
        </w:rPr>
      </w:pPr>
    </w:p>
    <w:p w14:paraId="50E71989">
      <w:pPr>
        <w:jc w:val="center"/>
        <w:rPr>
          <w:color w:val="auto"/>
          <w:sz w:val="72"/>
          <w:szCs w:val="72"/>
        </w:rPr>
      </w:pPr>
    </w:p>
    <w:p w14:paraId="68B03E15">
      <w:pPr>
        <w:jc w:val="center"/>
        <w:rPr>
          <w:color w:val="auto"/>
          <w:sz w:val="72"/>
          <w:szCs w:val="72"/>
        </w:rPr>
      </w:pPr>
    </w:p>
    <w:p w14:paraId="20BFAF0F">
      <w:pPr>
        <w:jc w:val="center"/>
        <w:rPr>
          <w:color w:val="auto"/>
          <w:sz w:val="72"/>
          <w:szCs w:val="72"/>
        </w:rPr>
      </w:pPr>
    </w:p>
    <w:p w14:paraId="2BF7C2A6">
      <w:pPr>
        <w:jc w:val="center"/>
        <w:rPr>
          <w:color w:val="auto"/>
          <w:sz w:val="72"/>
          <w:szCs w:val="72"/>
        </w:rPr>
      </w:pPr>
    </w:p>
    <w:p w14:paraId="4E64B3E6">
      <w:pPr>
        <w:jc w:val="center"/>
        <w:rPr>
          <w:color w:val="auto"/>
          <w:sz w:val="72"/>
          <w:szCs w:val="72"/>
        </w:rPr>
      </w:pPr>
    </w:p>
    <w:p w14:paraId="36EAB5DD">
      <w:pPr>
        <w:jc w:val="center"/>
        <w:rPr>
          <w:color w:val="auto"/>
          <w:sz w:val="72"/>
          <w:szCs w:val="72"/>
        </w:rPr>
      </w:pPr>
    </w:p>
    <w:p w14:paraId="27E8455F">
      <w:pPr>
        <w:jc w:val="center"/>
        <w:rPr>
          <w:color w:val="auto"/>
          <w:sz w:val="72"/>
          <w:szCs w:val="72"/>
        </w:rPr>
      </w:pPr>
      <w:r>
        <w:rPr>
          <w:rFonts w:hint="eastAsia"/>
          <w:color w:val="auto"/>
          <w:sz w:val="72"/>
          <w:szCs w:val="72"/>
        </w:rPr>
        <w:t>第二部分</w:t>
      </w:r>
    </w:p>
    <w:p w14:paraId="25B145EA">
      <w:pPr>
        <w:jc w:val="center"/>
        <w:rPr>
          <w:color w:val="auto"/>
          <w:sz w:val="72"/>
          <w:szCs w:val="72"/>
        </w:rPr>
      </w:pPr>
    </w:p>
    <w:p w14:paraId="0FB6962B">
      <w:pPr>
        <w:jc w:val="center"/>
        <w:rPr>
          <w:color w:val="auto"/>
          <w:sz w:val="72"/>
          <w:szCs w:val="72"/>
        </w:rPr>
      </w:pPr>
      <w:r>
        <w:rPr>
          <w:rFonts w:hint="eastAsia"/>
          <w:color w:val="auto"/>
          <w:sz w:val="72"/>
          <w:szCs w:val="72"/>
        </w:rPr>
        <w:t>部门决算表</w:t>
      </w:r>
    </w:p>
    <w:p w14:paraId="635BAD93">
      <w:pPr>
        <w:jc w:val="center"/>
        <w:rPr>
          <w:color w:val="auto"/>
          <w:sz w:val="72"/>
          <w:szCs w:val="72"/>
        </w:rPr>
      </w:pPr>
    </w:p>
    <w:p w14:paraId="0DC02CEB">
      <w:pPr>
        <w:jc w:val="center"/>
        <w:rPr>
          <w:color w:val="auto"/>
          <w:sz w:val="72"/>
          <w:szCs w:val="72"/>
        </w:rPr>
      </w:pPr>
    </w:p>
    <w:p w14:paraId="60BEFD72">
      <w:pPr>
        <w:jc w:val="center"/>
        <w:rPr>
          <w:color w:val="auto"/>
          <w:sz w:val="72"/>
          <w:szCs w:val="72"/>
        </w:rPr>
      </w:pPr>
    </w:p>
    <w:p w14:paraId="19B24E6A">
      <w:pPr>
        <w:jc w:val="center"/>
        <w:rPr>
          <w:color w:val="auto"/>
          <w:sz w:val="72"/>
          <w:szCs w:val="72"/>
        </w:rPr>
      </w:pPr>
    </w:p>
    <w:p w14:paraId="64C478DF">
      <w:pPr>
        <w:jc w:val="center"/>
        <w:rPr>
          <w:color w:val="auto"/>
          <w:sz w:val="72"/>
          <w:szCs w:val="72"/>
        </w:rPr>
      </w:pPr>
    </w:p>
    <w:p w14:paraId="5ACF189D">
      <w:pPr>
        <w:jc w:val="center"/>
        <w:rPr>
          <w:color w:val="auto"/>
          <w:sz w:val="72"/>
          <w:szCs w:val="72"/>
        </w:rPr>
      </w:pPr>
    </w:p>
    <w:p w14:paraId="6699601C">
      <w:pPr>
        <w:jc w:val="left"/>
        <w:rPr>
          <w:color w:val="auto"/>
          <w:sz w:val="32"/>
          <w:szCs w:val="32"/>
        </w:rPr>
      </w:pPr>
    </w:p>
    <w:p w14:paraId="7783A52B">
      <w:pPr>
        <w:jc w:val="left"/>
        <w:rPr>
          <w:rFonts w:asciiTheme="minorEastAsia" w:hAnsiTheme="minorEastAsia"/>
          <w:color w:val="auto"/>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0EC9DDC8">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14:paraId="28C93341">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auto"/>
                <w:kern w:val="0"/>
                <w:sz w:val="32"/>
                <w:szCs w:val="32"/>
              </w:rPr>
            </w:pPr>
            <w:r>
              <w:rPr>
                <w:rFonts w:hint="eastAsia" w:ascii="华文中宋" w:hAnsi="华文中宋" w:eastAsia="华文中宋" w:cs="宋体"/>
                <w:color w:val="auto"/>
                <w:kern w:val="0"/>
                <w:sz w:val="32"/>
                <w:szCs w:val="32"/>
                <w:lang w:val="en-US" w:eastAsia="zh-CN"/>
              </w:rPr>
              <w:t>部门</w:t>
            </w:r>
            <w:r>
              <w:rPr>
                <w:rFonts w:hint="eastAsia" w:ascii="华文中宋" w:hAnsi="华文中宋" w:eastAsia="华文中宋" w:cs="宋体"/>
                <w:color w:val="auto"/>
                <w:kern w:val="0"/>
                <w:sz w:val="32"/>
                <w:szCs w:val="32"/>
              </w:rPr>
              <w:t>支出决算总表</w:t>
            </w:r>
          </w:p>
        </w:tc>
      </w:tr>
      <w:tr w14:paraId="282D3D7C">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50D17E6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697" w:type="dxa"/>
            <w:gridSpan w:val="2"/>
            <w:tcBorders>
              <w:top w:val="nil"/>
              <w:left w:val="nil"/>
              <w:bottom w:val="nil"/>
              <w:right w:val="nil"/>
            </w:tcBorders>
            <w:shd w:val="clear" w:color="000000" w:fill="FFFFFF"/>
            <w:noWrap/>
            <w:vAlign w:val="center"/>
          </w:tcPr>
          <w:p w14:paraId="5D68C5F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2" w:type="dxa"/>
            <w:tcBorders>
              <w:top w:val="nil"/>
              <w:left w:val="nil"/>
              <w:bottom w:val="nil"/>
              <w:right w:val="nil"/>
            </w:tcBorders>
            <w:shd w:val="clear" w:color="000000" w:fill="FFFFFF"/>
            <w:noWrap/>
            <w:vAlign w:val="center"/>
          </w:tcPr>
          <w:p w14:paraId="02B063E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5773" w:type="dxa"/>
            <w:gridSpan w:val="3"/>
            <w:tcBorders>
              <w:top w:val="nil"/>
              <w:left w:val="nil"/>
              <w:bottom w:val="nil"/>
              <w:right w:val="nil"/>
            </w:tcBorders>
            <w:shd w:val="clear" w:color="000000" w:fill="FFFFFF"/>
            <w:noWrap/>
            <w:vAlign w:val="center"/>
          </w:tcPr>
          <w:p w14:paraId="5EBAA31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657" w:type="dxa"/>
            <w:tcBorders>
              <w:top w:val="nil"/>
              <w:left w:val="nil"/>
              <w:bottom w:val="nil"/>
              <w:right w:val="nil"/>
            </w:tcBorders>
            <w:shd w:val="clear" w:color="000000" w:fill="FFFFFF"/>
            <w:noWrap/>
            <w:vAlign w:val="center"/>
          </w:tcPr>
          <w:p w14:paraId="35AB852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16" w:type="dxa"/>
            <w:tcBorders>
              <w:top w:val="nil"/>
              <w:left w:val="nil"/>
              <w:bottom w:val="nil"/>
              <w:right w:val="nil"/>
            </w:tcBorders>
            <w:shd w:val="clear" w:color="000000" w:fill="FFFFFF"/>
            <w:noWrap/>
            <w:vAlign w:val="center"/>
          </w:tcPr>
          <w:p w14:paraId="6A48566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公开01表</w:t>
            </w:r>
          </w:p>
        </w:tc>
      </w:tr>
      <w:tr w14:paraId="7408A1A8">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171A785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部门：湘潭县司法局</w:t>
            </w:r>
          </w:p>
        </w:tc>
        <w:tc>
          <w:tcPr>
            <w:tcW w:w="697" w:type="dxa"/>
            <w:gridSpan w:val="2"/>
            <w:tcBorders>
              <w:top w:val="nil"/>
              <w:left w:val="nil"/>
              <w:bottom w:val="nil"/>
              <w:right w:val="nil"/>
            </w:tcBorders>
            <w:shd w:val="clear" w:color="000000" w:fill="FFFFFF"/>
            <w:noWrap/>
            <w:vAlign w:val="center"/>
          </w:tcPr>
          <w:p w14:paraId="68230B0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2" w:type="dxa"/>
            <w:tcBorders>
              <w:top w:val="nil"/>
              <w:left w:val="nil"/>
              <w:bottom w:val="nil"/>
              <w:right w:val="nil"/>
            </w:tcBorders>
            <w:shd w:val="clear" w:color="000000" w:fill="FFFFFF"/>
            <w:noWrap/>
            <w:vAlign w:val="center"/>
          </w:tcPr>
          <w:p w14:paraId="6D310F2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5773" w:type="dxa"/>
            <w:gridSpan w:val="3"/>
            <w:tcBorders>
              <w:top w:val="nil"/>
              <w:left w:val="nil"/>
              <w:bottom w:val="nil"/>
              <w:right w:val="nil"/>
            </w:tcBorders>
            <w:shd w:val="clear" w:color="000000" w:fill="FFFFFF"/>
            <w:noWrap/>
            <w:vAlign w:val="center"/>
          </w:tcPr>
          <w:p w14:paraId="0DDA4A6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657" w:type="dxa"/>
            <w:tcBorders>
              <w:top w:val="nil"/>
              <w:left w:val="nil"/>
              <w:bottom w:val="nil"/>
              <w:right w:val="nil"/>
            </w:tcBorders>
            <w:shd w:val="clear" w:color="000000" w:fill="FFFFFF"/>
            <w:noWrap/>
            <w:vAlign w:val="center"/>
          </w:tcPr>
          <w:p w14:paraId="4C5AD4F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16" w:type="dxa"/>
            <w:tcBorders>
              <w:top w:val="nil"/>
              <w:left w:val="nil"/>
              <w:bottom w:val="nil"/>
              <w:right w:val="nil"/>
            </w:tcBorders>
            <w:shd w:val="clear" w:color="000000" w:fill="FFFFFF"/>
            <w:noWrap/>
            <w:vAlign w:val="center"/>
          </w:tcPr>
          <w:p w14:paraId="44B3452D">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单位：万元</w:t>
            </w:r>
          </w:p>
        </w:tc>
      </w:tr>
      <w:tr w14:paraId="273D0C98">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0A0497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181824A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支出</w:t>
            </w:r>
          </w:p>
        </w:tc>
      </w:tr>
      <w:tr w14:paraId="608DF53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3CB3F8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14:paraId="30CDFAC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55CB4FA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55465D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14:paraId="7D2EC05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0FFC5E2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决算数</w:t>
            </w:r>
          </w:p>
        </w:tc>
      </w:tr>
      <w:tr w14:paraId="093B7E6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536E99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14:paraId="7DD183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48C338F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1397513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14:paraId="49C3CF2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11CE662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2</w:t>
            </w:r>
          </w:p>
        </w:tc>
      </w:tr>
      <w:tr w14:paraId="1709DA2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462B55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736F0C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18A43B0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09BAC5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597DA69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14:paraId="3D00EE8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0BEF975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FB1FBB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50DEE82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325AA85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62D7300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5520FCD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14:paraId="1BF611E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4C26A4C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CC4C73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5770F09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5CF7FBB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DAEA68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37722FB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14:paraId="4A281C1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52C2E52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F9AD72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0AC2565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5E6E176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38C4B02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2AF5B6F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14:paraId="1E138AE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1970.64</w:t>
            </w:r>
          </w:p>
        </w:tc>
      </w:tr>
      <w:tr w14:paraId="2272547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1A8B2F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704A389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5241607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4993587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6EA37E8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14:paraId="769C535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1F3C7F4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2D9028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73D41D1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357E12A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201288B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5A589C9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14:paraId="2F85B83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1335E58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A5A0B1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071818D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03B3172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A75389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14:paraId="596EF95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14:paraId="158136FF">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75BB4AC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D07091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17582E2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4B9A290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88.14</w:t>
            </w:r>
          </w:p>
        </w:tc>
        <w:tc>
          <w:tcPr>
            <w:tcW w:w="3798" w:type="dxa"/>
            <w:gridSpan w:val="3"/>
            <w:tcBorders>
              <w:top w:val="nil"/>
              <w:left w:val="nil"/>
              <w:bottom w:val="single" w:color="auto" w:sz="4" w:space="0"/>
              <w:right w:val="single" w:color="auto" w:sz="4" w:space="0"/>
            </w:tcBorders>
            <w:shd w:val="clear" w:color="auto" w:fill="auto"/>
            <w:noWrap/>
            <w:vAlign w:val="center"/>
          </w:tcPr>
          <w:p w14:paraId="5A0F3C7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14:paraId="6FAE535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14:paraId="20F56AB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6F2162E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47029F5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5EC80F2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33E9B22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4CE2F5A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431C3FA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14:paraId="1D38E934">
            <w:pPr>
              <w:keepNext w:val="0"/>
              <w:keepLines w:val="0"/>
              <w:widowControl/>
              <w:suppressLineNumbers w:val="0"/>
              <w:spacing w:before="0" w:beforeAutospacing="0" w:after="0" w:afterAutospacing="0"/>
              <w:ind w:left="0" w:right="0"/>
              <w:jc w:val="left"/>
              <w:rPr>
                <w:rFonts w:hint="default" w:ascii="宋体" w:hAnsi="宋体" w:eastAsia="宋体" w:cs="宋体"/>
                <w:b/>
                <w:bCs/>
                <w:color w:val="auto"/>
                <w:kern w:val="0"/>
                <w:sz w:val="22"/>
              </w:rPr>
            </w:pPr>
            <w:r>
              <w:rPr>
                <w:rFonts w:hint="eastAsia" w:ascii="宋体" w:hAnsi="宋体" w:eastAsia="宋体" w:cs="宋体"/>
                <w:b/>
                <w:bCs/>
                <w:color w:val="auto"/>
                <w:kern w:val="0"/>
                <w:sz w:val="22"/>
              </w:rPr>
              <w:t>　</w:t>
            </w:r>
          </w:p>
        </w:tc>
      </w:tr>
      <w:tr w14:paraId="0A64A0D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A09246D">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4B1631B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48842C7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1970.64</w:t>
            </w:r>
          </w:p>
        </w:tc>
        <w:tc>
          <w:tcPr>
            <w:tcW w:w="3798" w:type="dxa"/>
            <w:gridSpan w:val="3"/>
            <w:tcBorders>
              <w:top w:val="nil"/>
              <w:left w:val="nil"/>
              <w:bottom w:val="single" w:color="auto" w:sz="4" w:space="0"/>
              <w:right w:val="single" w:color="auto" w:sz="4" w:space="0"/>
            </w:tcBorders>
            <w:shd w:val="clear" w:color="auto" w:fill="auto"/>
            <w:noWrap/>
            <w:vAlign w:val="center"/>
          </w:tcPr>
          <w:p w14:paraId="25C9A22C">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2E633D9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14:paraId="7721B9C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1970.64</w:t>
            </w:r>
          </w:p>
        </w:tc>
      </w:tr>
      <w:tr w14:paraId="0FBEA90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5457948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7416508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4AC3B25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14:paraId="34402BA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14:paraId="37CAA84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14:paraId="5BEEC7E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333647B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62483F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77992A2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54F6088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93.06</w:t>
            </w:r>
          </w:p>
        </w:tc>
        <w:tc>
          <w:tcPr>
            <w:tcW w:w="3798" w:type="dxa"/>
            <w:gridSpan w:val="3"/>
            <w:tcBorders>
              <w:top w:val="nil"/>
              <w:left w:val="nil"/>
              <w:bottom w:val="single" w:color="auto" w:sz="4" w:space="0"/>
              <w:right w:val="single" w:color="auto" w:sz="4" w:space="0"/>
            </w:tcBorders>
            <w:shd w:val="clear" w:color="auto" w:fill="auto"/>
            <w:noWrap/>
            <w:vAlign w:val="center"/>
          </w:tcPr>
          <w:p w14:paraId="1DB9D61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1B2FAC6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14:paraId="22A6D1F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93.06</w:t>
            </w:r>
          </w:p>
        </w:tc>
      </w:tr>
      <w:tr w14:paraId="485482C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809CD40">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75E53A9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64A00C7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2063.70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544ADAF">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26173C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14:paraId="02613AA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2063.70</w:t>
            </w:r>
          </w:p>
        </w:tc>
      </w:tr>
      <w:tr w14:paraId="385AFE1B">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585BE9E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注：1.本表反映部门本年度的总收支和年末结转结余情况。</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xml:space="preserve"> 2.本套报表金额单位转换时可能存在尾数误差。</w:t>
            </w:r>
          </w:p>
        </w:tc>
      </w:tr>
    </w:tbl>
    <w:p w14:paraId="6E1D91F5">
      <w:pPr>
        <w:jc w:val="center"/>
        <w:rPr>
          <w:rFonts w:ascii="黑体" w:hAnsi="黑体" w:eastAsia="黑体"/>
          <w:color w:val="auto"/>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697" w:type="dxa"/>
        <w:tblInd w:w="-269" w:type="dxa"/>
        <w:tblLayout w:type="fixed"/>
        <w:tblCellMar>
          <w:top w:w="0" w:type="dxa"/>
          <w:left w:w="0" w:type="dxa"/>
          <w:bottom w:w="0" w:type="dxa"/>
          <w:right w:w="0" w:type="dxa"/>
        </w:tblCellMar>
      </w:tblPr>
      <w:tblGrid>
        <w:gridCol w:w="635"/>
        <w:gridCol w:w="338"/>
        <w:gridCol w:w="2287"/>
        <w:gridCol w:w="1753"/>
        <w:gridCol w:w="2466"/>
        <w:gridCol w:w="2209"/>
        <w:gridCol w:w="1836"/>
        <w:gridCol w:w="1409"/>
        <w:gridCol w:w="1096"/>
        <w:gridCol w:w="1668"/>
      </w:tblGrid>
      <w:tr w14:paraId="3BADA10C">
        <w:tblPrEx>
          <w:tblCellMar>
            <w:top w:w="0" w:type="dxa"/>
            <w:left w:w="0" w:type="dxa"/>
            <w:bottom w:w="0" w:type="dxa"/>
            <w:right w:w="0" w:type="dxa"/>
          </w:tblCellMar>
        </w:tblPrEx>
        <w:trPr>
          <w:trHeight w:val="435" w:hRule="atLeast"/>
        </w:trPr>
        <w:tc>
          <w:tcPr>
            <w:tcW w:w="15697"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151D2575">
            <w:pPr>
              <w:keepNext w:val="0"/>
              <w:keepLines w:val="0"/>
              <w:suppressLineNumbers w:val="0"/>
              <w:spacing w:before="0" w:beforeAutospacing="0" w:after="0" w:afterAutospacing="0"/>
              <w:ind w:left="0" w:right="0"/>
              <w:jc w:val="center"/>
              <w:rPr>
                <w:rFonts w:hint="default" w:ascii="华文中宋" w:hAnsi="华文中宋" w:eastAsia="华文中宋" w:cs="宋体"/>
                <w:color w:val="auto"/>
                <w:sz w:val="32"/>
                <w:szCs w:val="32"/>
              </w:rPr>
            </w:pPr>
            <w:r>
              <w:rPr>
                <w:rFonts w:hint="eastAsia" w:ascii="华文中宋" w:hAnsi="华文中宋" w:eastAsia="华文中宋"/>
                <w:color w:val="auto"/>
                <w:sz w:val="32"/>
                <w:szCs w:val="32"/>
                <w:lang w:val="en-US" w:eastAsia="zh-CN"/>
              </w:rPr>
              <w:t>部门</w:t>
            </w:r>
            <w:r>
              <w:rPr>
                <w:rFonts w:hint="eastAsia" w:ascii="华文中宋" w:hAnsi="华文中宋" w:eastAsia="华文中宋"/>
                <w:color w:val="auto"/>
                <w:sz w:val="32"/>
                <w:szCs w:val="32"/>
              </w:rPr>
              <w:t>收入决算表</w:t>
            </w:r>
          </w:p>
        </w:tc>
      </w:tr>
      <w:tr w14:paraId="2E4DCE91">
        <w:tblPrEx>
          <w:tblCellMar>
            <w:top w:w="0" w:type="dxa"/>
            <w:left w:w="0" w:type="dxa"/>
            <w:bottom w:w="0" w:type="dxa"/>
            <w:right w:w="0" w:type="dxa"/>
          </w:tblCellMar>
        </w:tblPrEx>
        <w:trPr>
          <w:trHeight w:val="285" w:hRule="atLeast"/>
        </w:trPr>
        <w:tc>
          <w:tcPr>
            <w:tcW w:w="635" w:type="dxa"/>
            <w:tcBorders>
              <w:top w:val="nil"/>
              <w:left w:val="nil"/>
              <w:bottom w:val="nil"/>
              <w:right w:val="nil"/>
            </w:tcBorders>
            <w:shd w:val="clear" w:color="000000" w:fill="FFFFFF"/>
            <w:noWrap/>
            <w:tcMar>
              <w:top w:w="15" w:type="dxa"/>
              <w:left w:w="15" w:type="dxa"/>
              <w:bottom w:w="0" w:type="dxa"/>
              <w:right w:w="15" w:type="dxa"/>
            </w:tcMar>
            <w:vAlign w:val="center"/>
          </w:tcPr>
          <w:p w14:paraId="197CAAB7">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338" w:type="dxa"/>
            <w:tcBorders>
              <w:top w:val="nil"/>
              <w:left w:val="nil"/>
              <w:bottom w:val="nil"/>
              <w:right w:val="nil"/>
            </w:tcBorders>
            <w:shd w:val="clear" w:color="000000" w:fill="FFFFFF"/>
            <w:noWrap/>
            <w:tcMar>
              <w:top w:w="15" w:type="dxa"/>
              <w:left w:w="15" w:type="dxa"/>
              <w:bottom w:w="0" w:type="dxa"/>
              <w:right w:w="15" w:type="dxa"/>
            </w:tcMar>
            <w:vAlign w:val="center"/>
          </w:tcPr>
          <w:p w14:paraId="47DCD88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14:paraId="17D3C923">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14:paraId="0EA0813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14:paraId="045826DD">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14:paraId="0DBE4A7E">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14:paraId="4C759AA9">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14:paraId="45F39F05">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14:paraId="09CC5FCC">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14:paraId="5E99B501">
            <w:pPr>
              <w:keepNext w:val="0"/>
              <w:keepLines w:val="0"/>
              <w:suppressLineNumbers w:val="0"/>
              <w:spacing w:before="0" w:beforeAutospacing="0" w:after="0" w:afterAutospacing="0"/>
              <w:ind w:left="0" w:right="0"/>
              <w:jc w:val="right"/>
              <w:rPr>
                <w:rFonts w:hint="default" w:ascii="宋体" w:hAnsi="宋体" w:eastAsia="宋体" w:cs="宋体"/>
                <w:color w:val="auto"/>
                <w:sz w:val="20"/>
                <w:szCs w:val="20"/>
              </w:rPr>
            </w:pPr>
            <w:r>
              <w:rPr>
                <w:rFonts w:hint="eastAsia"/>
                <w:color w:val="auto"/>
                <w:sz w:val="20"/>
                <w:szCs w:val="20"/>
              </w:rPr>
              <w:t>公开02表</w:t>
            </w:r>
          </w:p>
        </w:tc>
      </w:tr>
      <w:tr w14:paraId="705DE888">
        <w:tblPrEx>
          <w:tblCellMar>
            <w:top w:w="0" w:type="dxa"/>
            <w:left w:w="0" w:type="dxa"/>
            <w:bottom w:w="0" w:type="dxa"/>
            <w:right w:w="0" w:type="dxa"/>
          </w:tblCellMar>
        </w:tblPrEx>
        <w:trPr>
          <w:trHeight w:val="285" w:hRule="atLeast"/>
        </w:trPr>
        <w:tc>
          <w:tcPr>
            <w:tcW w:w="9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2B1BA31">
            <w:pPr>
              <w:keepNext w:val="0"/>
              <w:keepLines w:val="0"/>
              <w:suppressLineNumbers w:val="0"/>
              <w:spacing w:before="0" w:beforeAutospacing="0" w:after="0" w:afterAutospacing="0"/>
              <w:ind w:left="0" w:right="0"/>
              <w:rPr>
                <w:rFonts w:hint="default" w:ascii="宋体" w:hAnsi="宋体" w:eastAsia="宋体" w:cs="宋体"/>
                <w:color w:val="auto"/>
                <w:sz w:val="20"/>
                <w:szCs w:val="20"/>
              </w:rPr>
            </w:pPr>
            <w:r>
              <w:rPr>
                <w:rFonts w:hint="eastAsia"/>
                <w:color w:val="auto"/>
                <w:sz w:val="20"/>
                <w:szCs w:val="20"/>
              </w:rPr>
              <w:t>部门：</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14:paraId="2CA5E996">
            <w:pPr>
              <w:keepNext w:val="0"/>
              <w:keepLines w:val="0"/>
              <w:suppressLineNumbers w:val="0"/>
              <w:spacing w:before="0" w:beforeAutospacing="0" w:after="0" w:afterAutospacing="0"/>
              <w:ind w:left="0" w:right="0"/>
              <w:jc w:val="left"/>
              <w:rPr>
                <w:rFonts w:hint="default" w:ascii="宋体" w:hAnsi="宋体" w:eastAsia="宋体" w:cs="宋体"/>
                <w:color w:val="auto"/>
                <w:sz w:val="24"/>
                <w:szCs w:val="24"/>
              </w:rPr>
            </w:pPr>
            <w:r>
              <w:rPr>
                <w:rFonts w:hint="eastAsia"/>
                <w:color w:val="auto"/>
              </w:rPr>
              <w:t>湘潭县司法局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14:paraId="156AF314">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14:paraId="08D84D25">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14:paraId="05EDC783">
            <w:pPr>
              <w:keepNext w:val="0"/>
              <w:keepLines w:val="0"/>
              <w:suppressLineNumbers w:val="0"/>
              <w:spacing w:before="0" w:beforeAutospacing="0" w:after="0" w:afterAutospacing="0"/>
              <w:ind w:left="0" w:right="0"/>
              <w:jc w:val="center"/>
              <w:rPr>
                <w:rFonts w:hint="default" w:ascii="宋体" w:hAnsi="宋体" w:eastAsia="宋体" w:cs="宋体"/>
                <w:color w:val="auto"/>
                <w:sz w:val="20"/>
                <w:szCs w:val="20"/>
              </w:rPr>
            </w:pPr>
            <w:r>
              <w:rPr>
                <w:rFonts w:hint="eastAsia"/>
                <w:color w:val="auto"/>
                <w:sz w:val="20"/>
                <w:szCs w:val="20"/>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14:paraId="3338166C">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14:paraId="79E34B2A">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14:paraId="511EC544">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14:paraId="6391EFFA">
            <w:pPr>
              <w:keepNext w:val="0"/>
              <w:keepLines w:val="0"/>
              <w:suppressLineNumbers w:val="0"/>
              <w:spacing w:before="0" w:beforeAutospacing="0" w:after="0" w:afterAutospacing="0"/>
              <w:ind w:left="0" w:right="0"/>
              <w:jc w:val="right"/>
              <w:rPr>
                <w:rFonts w:hint="default" w:ascii="宋体" w:hAnsi="宋体" w:eastAsia="宋体" w:cs="宋体"/>
                <w:color w:val="auto"/>
                <w:sz w:val="20"/>
                <w:szCs w:val="20"/>
              </w:rPr>
            </w:pPr>
            <w:r>
              <w:rPr>
                <w:rFonts w:hint="eastAsia"/>
                <w:color w:val="auto"/>
                <w:sz w:val="20"/>
                <w:szCs w:val="20"/>
              </w:rPr>
              <w:t>单位：万元</w:t>
            </w:r>
          </w:p>
        </w:tc>
      </w:tr>
      <w:tr w14:paraId="5B0E58F8">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0A0B43">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项目</w:t>
            </w:r>
          </w:p>
        </w:tc>
        <w:tc>
          <w:tcPr>
            <w:tcW w:w="17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EEE8753">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本年收入合计</w:t>
            </w:r>
          </w:p>
        </w:tc>
        <w:tc>
          <w:tcPr>
            <w:tcW w:w="246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C52EA26">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财政拨款收入</w:t>
            </w:r>
          </w:p>
        </w:tc>
        <w:tc>
          <w:tcPr>
            <w:tcW w:w="22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2410CDE">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上级补助收入</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97963F">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事业收入</w:t>
            </w:r>
          </w:p>
        </w:tc>
        <w:tc>
          <w:tcPr>
            <w:tcW w:w="14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90596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经营收入</w:t>
            </w:r>
          </w:p>
        </w:tc>
        <w:tc>
          <w:tcPr>
            <w:tcW w:w="10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94A982E">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附属单位上缴收入</w:t>
            </w:r>
          </w:p>
        </w:tc>
        <w:tc>
          <w:tcPr>
            <w:tcW w:w="16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8D96A6">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其他收入</w:t>
            </w:r>
          </w:p>
        </w:tc>
      </w:tr>
      <w:tr w14:paraId="71361EC9">
        <w:tblPrEx>
          <w:tblCellMar>
            <w:top w:w="0" w:type="dxa"/>
            <w:left w:w="0" w:type="dxa"/>
            <w:bottom w:w="0" w:type="dxa"/>
            <w:right w:w="0" w:type="dxa"/>
          </w:tblCellMar>
        </w:tblPrEx>
        <w:trPr>
          <w:trHeight w:val="450" w:hRule="atLeast"/>
        </w:trPr>
        <w:tc>
          <w:tcPr>
            <w:tcW w:w="97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A22CC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功能分类科目编码</w:t>
            </w:r>
          </w:p>
        </w:tc>
        <w:tc>
          <w:tcPr>
            <w:tcW w:w="228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51CEB6">
            <w:pPr>
              <w:keepNext w:val="0"/>
              <w:keepLines w:val="0"/>
              <w:suppressLineNumbers w:val="0"/>
              <w:spacing w:before="0" w:beforeAutospacing="0" w:after="0" w:afterAutospacing="0"/>
              <w:ind w:left="0" w:right="0"/>
              <w:jc w:val="left"/>
              <w:rPr>
                <w:rFonts w:hint="default" w:ascii="宋体" w:hAnsi="宋体" w:eastAsia="宋体" w:cs="宋体"/>
                <w:color w:val="auto"/>
                <w:sz w:val="24"/>
                <w:szCs w:val="24"/>
              </w:rPr>
            </w:pPr>
            <w:r>
              <w:rPr>
                <w:rFonts w:hint="eastAsia"/>
                <w:color w:val="auto"/>
              </w:rPr>
              <w:t>科目名称</w:t>
            </w:r>
          </w:p>
        </w:tc>
        <w:tc>
          <w:tcPr>
            <w:tcW w:w="1753" w:type="dxa"/>
            <w:vMerge w:val="continue"/>
            <w:tcBorders>
              <w:top w:val="single" w:color="auto" w:sz="4" w:space="0"/>
              <w:left w:val="single" w:color="auto" w:sz="4" w:space="0"/>
              <w:bottom w:val="single" w:color="auto" w:sz="4" w:space="0"/>
              <w:right w:val="single" w:color="auto" w:sz="4" w:space="0"/>
            </w:tcBorders>
            <w:vAlign w:val="center"/>
          </w:tcPr>
          <w:p w14:paraId="40ED5D4A">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14:paraId="77EC9E2D">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14:paraId="36796181">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14:paraId="724B7BC9">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14:paraId="58FDF748">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14:paraId="6CD8E9B9">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14:paraId="123EB05F">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r>
      <w:tr w14:paraId="7B6D6887">
        <w:tblPrEx>
          <w:tblCellMar>
            <w:top w:w="0" w:type="dxa"/>
            <w:left w:w="0" w:type="dxa"/>
            <w:bottom w:w="0" w:type="dxa"/>
            <w:right w:w="0" w:type="dxa"/>
          </w:tblCellMar>
        </w:tblPrEx>
        <w:trPr>
          <w:trHeight w:val="450" w:hRule="atLeast"/>
        </w:trPr>
        <w:tc>
          <w:tcPr>
            <w:tcW w:w="973" w:type="dxa"/>
            <w:gridSpan w:val="2"/>
            <w:vMerge w:val="continue"/>
            <w:tcBorders>
              <w:top w:val="single" w:color="auto" w:sz="4" w:space="0"/>
              <w:left w:val="single" w:color="auto" w:sz="4" w:space="0"/>
              <w:bottom w:val="single" w:color="auto" w:sz="4" w:space="0"/>
              <w:right w:val="single" w:color="auto" w:sz="4" w:space="0"/>
            </w:tcBorders>
            <w:vAlign w:val="center"/>
          </w:tcPr>
          <w:p w14:paraId="13B04CCD">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2287" w:type="dxa"/>
            <w:vMerge w:val="continue"/>
            <w:tcBorders>
              <w:top w:val="nil"/>
              <w:left w:val="single" w:color="auto" w:sz="4" w:space="0"/>
              <w:bottom w:val="single" w:color="auto" w:sz="4" w:space="0"/>
              <w:right w:val="single" w:color="auto" w:sz="4" w:space="0"/>
            </w:tcBorders>
            <w:vAlign w:val="center"/>
          </w:tcPr>
          <w:p w14:paraId="1D1AE0D2">
            <w:pPr>
              <w:keepNext w:val="0"/>
              <w:keepLines w:val="0"/>
              <w:suppressLineNumbers w:val="0"/>
              <w:spacing w:before="0" w:beforeAutospacing="0" w:after="0" w:afterAutospacing="0"/>
              <w:ind w:left="0" w:right="0"/>
              <w:jc w:val="left"/>
              <w:rPr>
                <w:rFonts w:hint="default" w:ascii="宋体" w:hAnsi="宋体" w:eastAsia="宋体" w:cs="宋体"/>
                <w:color w:val="auto"/>
                <w:sz w:val="24"/>
                <w:szCs w:val="24"/>
              </w:rPr>
            </w:pPr>
          </w:p>
        </w:tc>
        <w:tc>
          <w:tcPr>
            <w:tcW w:w="1753" w:type="dxa"/>
            <w:vMerge w:val="continue"/>
            <w:tcBorders>
              <w:top w:val="single" w:color="auto" w:sz="4" w:space="0"/>
              <w:left w:val="single" w:color="auto" w:sz="4" w:space="0"/>
              <w:bottom w:val="single" w:color="auto" w:sz="4" w:space="0"/>
              <w:right w:val="single" w:color="auto" w:sz="4" w:space="0"/>
            </w:tcBorders>
            <w:vAlign w:val="center"/>
          </w:tcPr>
          <w:p w14:paraId="06648C16">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14:paraId="2B8AAFB0">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14:paraId="2F00AA50">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14:paraId="5A505107">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14:paraId="49F08B61">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14:paraId="753E3A5E">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14:paraId="20854654">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p>
        </w:tc>
      </w:tr>
      <w:tr w14:paraId="48E3FFC1">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8B16D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栏次</w:t>
            </w:r>
          </w:p>
        </w:tc>
        <w:tc>
          <w:tcPr>
            <w:tcW w:w="17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6B1CC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w:t>
            </w:r>
          </w:p>
        </w:tc>
        <w:tc>
          <w:tcPr>
            <w:tcW w:w="24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9D924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w:t>
            </w:r>
          </w:p>
        </w:tc>
        <w:tc>
          <w:tcPr>
            <w:tcW w:w="22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F7FD93">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3</w:t>
            </w:r>
          </w:p>
        </w:tc>
        <w:tc>
          <w:tcPr>
            <w:tcW w:w="18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8BB1E8">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4</w:t>
            </w:r>
          </w:p>
        </w:tc>
        <w:tc>
          <w:tcPr>
            <w:tcW w:w="14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1BD5C0">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5</w:t>
            </w:r>
          </w:p>
        </w:tc>
        <w:tc>
          <w:tcPr>
            <w:tcW w:w="10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D23FC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6</w:t>
            </w:r>
          </w:p>
        </w:tc>
        <w:tc>
          <w:tcPr>
            <w:tcW w:w="16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5B99E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w:t>
            </w:r>
          </w:p>
        </w:tc>
      </w:tr>
      <w:tr w14:paraId="5C6F4BDE">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EF17C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合计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2237B2">
            <w:pPr>
              <w:keepNext w:val="0"/>
              <w:keepLines w:val="0"/>
              <w:suppressLineNumbers w:val="0"/>
              <w:spacing w:before="0" w:beforeAutospacing="0" w:after="0" w:afterAutospacing="0"/>
              <w:ind w:left="0" w:right="0"/>
              <w:jc w:val="center"/>
              <w:rPr>
                <w:rFonts w:hint="default"/>
                <w:color w:val="auto"/>
              </w:rPr>
            </w:pPr>
            <w:r>
              <w:rPr>
                <w:rFonts w:hint="eastAsia"/>
                <w:color w:val="auto"/>
              </w:rPr>
              <w:t>1970.64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12E19">
            <w:pPr>
              <w:keepNext w:val="0"/>
              <w:keepLines w:val="0"/>
              <w:suppressLineNumbers w:val="0"/>
              <w:spacing w:before="0" w:beforeAutospacing="0" w:after="0" w:afterAutospacing="0"/>
              <w:ind w:left="0" w:right="0"/>
              <w:jc w:val="center"/>
              <w:rPr>
                <w:rFonts w:hint="default"/>
                <w:color w:val="auto"/>
              </w:rPr>
            </w:pPr>
            <w:r>
              <w:rPr>
                <w:rFonts w:hint="eastAsia"/>
                <w:color w:val="auto"/>
              </w:rPr>
              <w:t>1882.50</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E024A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A522A4">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85EA7">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9FAE64">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72F6C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88.14</w:t>
            </w:r>
          </w:p>
        </w:tc>
      </w:tr>
      <w:tr w14:paraId="77FDF42B">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53456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E363F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公共安全支出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612155">
            <w:pPr>
              <w:keepNext w:val="0"/>
              <w:keepLines w:val="0"/>
              <w:suppressLineNumbers w:val="0"/>
              <w:spacing w:before="0" w:beforeAutospacing="0" w:after="0" w:afterAutospacing="0"/>
              <w:ind w:left="0" w:right="0"/>
              <w:jc w:val="center"/>
              <w:rPr>
                <w:rFonts w:hint="default"/>
                <w:color w:val="auto"/>
              </w:rPr>
            </w:pPr>
            <w:r>
              <w:rPr>
                <w:rFonts w:hint="eastAsia"/>
                <w:color w:val="auto"/>
              </w:rPr>
              <w:t>1970.64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49C00">
            <w:pPr>
              <w:keepNext w:val="0"/>
              <w:keepLines w:val="0"/>
              <w:suppressLineNumbers w:val="0"/>
              <w:spacing w:before="0" w:beforeAutospacing="0" w:after="0" w:afterAutospacing="0"/>
              <w:ind w:left="0" w:right="0"/>
              <w:jc w:val="center"/>
              <w:rPr>
                <w:rFonts w:hint="default"/>
                <w:color w:val="auto"/>
              </w:rPr>
            </w:pPr>
            <w:r>
              <w:rPr>
                <w:rFonts w:hint="eastAsia"/>
                <w:color w:val="auto"/>
              </w:rPr>
              <w:t>1882.50</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72B59">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2F230">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38F0D6">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6F4D0">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B3318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88.14</w:t>
            </w:r>
          </w:p>
        </w:tc>
      </w:tr>
      <w:tr w14:paraId="3DED016D">
        <w:tblPrEx>
          <w:tblCellMar>
            <w:top w:w="0" w:type="dxa"/>
            <w:left w:w="0" w:type="dxa"/>
            <w:bottom w:w="0" w:type="dxa"/>
            <w:right w:w="0" w:type="dxa"/>
          </w:tblCellMar>
        </w:tblPrEx>
        <w:trPr>
          <w:trHeight w:val="523"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FA690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E166A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司法</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B7417">
            <w:pPr>
              <w:keepNext w:val="0"/>
              <w:keepLines w:val="0"/>
              <w:suppressLineNumbers w:val="0"/>
              <w:spacing w:before="0" w:beforeAutospacing="0" w:after="0" w:afterAutospacing="0"/>
              <w:ind w:left="0" w:right="0"/>
              <w:jc w:val="center"/>
              <w:rPr>
                <w:rFonts w:hint="default"/>
                <w:color w:val="auto"/>
              </w:rPr>
            </w:pPr>
            <w:r>
              <w:rPr>
                <w:rFonts w:hint="eastAsia"/>
                <w:color w:val="auto"/>
              </w:rPr>
              <w:t>1970.64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268B14">
            <w:pPr>
              <w:keepNext w:val="0"/>
              <w:keepLines w:val="0"/>
              <w:suppressLineNumbers w:val="0"/>
              <w:spacing w:before="0" w:beforeAutospacing="0" w:after="0" w:afterAutospacing="0"/>
              <w:ind w:left="0" w:right="0"/>
              <w:jc w:val="center"/>
              <w:rPr>
                <w:rFonts w:hint="default"/>
                <w:color w:val="auto"/>
              </w:rPr>
            </w:pPr>
            <w:r>
              <w:rPr>
                <w:rFonts w:hint="eastAsia"/>
                <w:color w:val="auto"/>
              </w:rPr>
              <w:t>1882.50</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47FEA7">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62AF8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3F997F">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C11040">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EDB7C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88.14</w:t>
            </w:r>
          </w:p>
        </w:tc>
      </w:tr>
      <w:tr w14:paraId="64169AAE">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84BF4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2040601</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AD0ED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行政运行</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C793F5">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1588.14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68480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1500.00</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457BA">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B6870C">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7EE832">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65DCB5">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9FFE60">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88.14</w:t>
            </w:r>
          </w:p>
        </w:tc>
      </w:tr>
      <w:tr w14:paraId="47F89B6A">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0F7C9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2040602</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AAC26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一般行政管理事务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3B7725">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153.64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7C366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153.64</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A62C2">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4B749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0D9A27">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7F1E6F">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7A124">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r>
      <w:tr w14:paraId="2109D59B">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930D8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6C7E88">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基层司法业务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6B1E18">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24B3E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9E11C9">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785FC9">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5671D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A7C8E8">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57841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r>
      <w:tr w14:paraId="737F3828">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38716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2040605</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FF348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普法宣传</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C6307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1A71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4FB13">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E6A7EB">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37F26C">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13BD81">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CEF789">
            <w:pPr>
              <w:keepNext w:val="0"/>
              <w:keepLines w:val="0"/>
              <w:suppressLineNumbers w:val="0"/>
              <w:spacing w:before="0" w:beforeAutospacing="0" w:after="0" w:afterAutospacing="0"/>
              <w:ind w:left="0" w:right="0"/>
              <w:jc w:val="right"/>
              <w:rPr>
                <w:rFonts w:hint="default" w:ascii="宋体" w:hAnsi="宋体" w:eastAsia="宋体" w:cs="宋体"/>
                <w:color w:val="auto"/>
                <w:sz w:val="24"/>
                <w:szCs w:val="24"/>
              </w:rPr>
            </w:pPr>
            <w:r>
              <w:rPr>
                <w:rFonts w:hint="eastAsia"/>
                <w:color w:val="auto"/>
              </w:rPr>
              <w:t>　</w:t>
            </w:r>
          </w:p>
        </w:tc>
      </w:tr>
      <w:tr w14:paraId="7CFBB0F8">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151DB9">
            <w:pPr>
              <w:keepNext w:val="0"/>
              <w:keepLines w:val="0"/>
              <w:suppressLineNumbers w:val="0"/>
              <w:spacing w:before="0" w:beforeAutospacing="0" w:after="0" w:afterAutospacing="0"/>
              <w:ind w:left="0" w:right="0"/>
              <w:jc w:val="center"/>
              <w:rPr>
                <w:rFonts w:hint="default"/>
                <w:color w:val="auto"/>
              </w:rPr>
            </w:pPr>
            <w:r>
              <w:rPr>
                <w:rFonts w:hint="eastAsia"/>
                <w:color w:val="auto"/>
              </w:rPr>
              <w:t>2040606</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DCDFA4">
            <w:pPr>
              <w:keepNext w:val="0"/>
              <w:keepLines w:val="0"/>
              <w:suppressLineNumbers w:val="0"/>
              <w:spacing w:before="0" w:beforeAutospacing="0" w:after="0" w:afterAutospacing="0"/>
              <w:ind w:left="0" w:right="0"/>
              <w:jc w:val="center"/>
              <w:rPr>
                <w:rFonts w:hint="default"/>
                <w:color w:val="auto"/>
              </w:rPr>
            </w:pPr>
            <w:r>
              <w:rPr>
                <w:rFonts w:hint="eastAsia"/>
                <w:color w:val="auto"/>
              </w:rPr>
              <w:t>律师公证管理</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1AF5E">
            <w:pPr>
              <w:keepNext w:val="0"/>
              <w:keepLines w:val="0"/>
              <w:suppressLineNumbers w:val="0"/>
              <w:spacing w:before="0" w:beforeAutospacing="0" w:after="0" w:afterAutospacing="0"/>
              <w:ind w:left="0" w:right="0"/>
              <w:jc w:val="center"/>
              <w:rPr>
                <w:rFonts w:hint="default"/>
                <w:color w:val="auto"/>
              </w:rPr>
            </w:pPr>
            <w:r>
              <w:rPr>
                <w:rFonts w:hint="eastAsia"/>
                <w:color w:val="auto"/>
              </w:rPr>
              <w:t>4.36</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A66C2F">
            <w:pPr>
              <w:keepNext w:val="0"/>
              <w:keepLines w:val="0"/>
              <w:suppressLineNumbers w:val="0"/>
              <w:spacing w:before="0" w:beforeAutospacing="0" w:after="0" w:afterAutospacing="0"/>
              <w:ind w:left="0" w:right="0"/>
              <w:jc w:val="center"/>
              <w:rPr>
                <w:rFonts w:hint="default"/>
                <w:color w:val="auto"/>
              </w:rPr>
            </w:pPr>
            <w:r>
              <w:rPr>
                <w:rFonts w:hint="eastAsia"/>
                <w:color w:val="auto"/>
              </w:rPr>
              <w:t>4.36</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5DDE5">
            <w:pPr>
              <w:keepNext w:val="0"/>
              <w:keepLines w:val="0"/>
              <w:suppressLineNumbers w:val="0"/>
              <w:spacing w:before="0" w:beforeAutospacing="0" w:after="0" w:afterAutospacing="0"/>
              <w:ind w:left="0" w:right="0"/>
              <w:jc w:val="right"/>
              <w:rPr>
                <w:rFonts w:hint="default"/>
                <w:color w:val="auto"/>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B0592F">
            <w:pPr>
              <w:keepNext w:val="0"/>
              <w:keepLines w:val="0"/>
              <w:suppressLineNumbers w:val="0"/>
              <w:spacing w:before="0" w:beforeAutospacing="0" w:after="0" w:afterAutospacing="0"/>
              <w:ind w:left="0" w:right="0"/>
              <w:jc w:val="right"/>
              <w:rPr>
                <w:rFonts w:hint="default"/>
                <w:color w:val="auto"/>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FC8F04">
            <w:pPr>
              <w:keepNext w:val="0"/>
              <w:keepLines w:val="0"/>
              <w:suppressLineNumbers w:val="0"/>
              <w:spacing w:before="0" w:beforeAutospacing="0" w:after="0" w:afterAutospacing="0"/>
              <w:ind w:left="0" w:right="0"/>
              <w:jc w:val="right"/>
              <w:rPr>
                <w:rFonts w:hint="default"/>
                <w:color w:val="auto"/>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2D9711">
            <w:pPr>
              <w:keepNext w:val="0"/>
              <w:keepLines w:val="0"/>
              <w:suppressLineNumbers w:val="0"/>
              <w:spacing w:before="0" w:beforeAutospacing="0" w:after="0" w:afterAutospacing="0"/>
              <w:ind w:left="0" w:right="0"/>
              <w:jc w:val="right"/>
              <w:rPr>
                <w:rFonts w:hint="default"/>
                <w:color w:val="auto"/>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EE8FC">
            <w:pPr>
              <w:keepNext w:val="0"/>
              <w:keepLines w:val="0"/>
              <w:suppressLineNumbers w:val="0"/>
              <w:spacing w:before="0" w:beforeAutospacing="0" w:after="0" w:afterAutospacing="0"/>
              <w:ind w:left="0" w:right="0"/>
              <w:jc w:val="right"/>
              <w:rPr>
                <w:rFonts w:hint="default"/>
                <w:color w:val="auto"/>
              </w:rPr>
            </w:pPr>
          </w:p>
        </w:tc>
      </w:tr>
      <w:tr w14:paraId="74F73742">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F78D2C">
            <w:pPr>
              <w:keepNext w:val="0"/>
              <w:keepLines w:val="0"/>
              <w:suppressLineNumbers w:val="0"/>
              <w:spacing w:before="0" w:beforeAutospacing="0" w:after="0" w:afterAutospacing="0"/>
              <w:ind w:left="0" w:right="0"/>
              <w:jc w:val="center"/>
              <w:rPr>
                <w:rFonts w:hint="default"/>
                <w:color w:val="auto"/>
              </w:rPr>
            </w:pPr>
            <w:r>
              <w:rPr>
                <w:rFonts w:hint="eastAsia"/>
                <w:color w:val="auto"/>
              </w:rPr>
              <w:t>2040607</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0F2626">
            <w:pPr>
              <w:keepNext w:val="0"/>
              <w:keepLines w:val="0"/>
              <w:suppressLineNumbers w:val="0"/>
              <w:spacing w:before="0" w:beforeAutospacing="0" w:after="0" w:afterAutospacing="0"/>
              <w:ind w:left="0" w:right="0"/>
              <w:jc w:val="center"/>
              <w:rPr>
                <w:rFonts w:hint="default"/>
                <w:color w:val="auto"/>
              </w:rPr>
            </w:pPr>
            <w:r>
              <w:rPr>
                <w:rFonts w:hint="eastAsia"/>
                <w:color w:val="auto"/>
              </w:rPr>
              <w:t>法律援助</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F51B16">
            <w:pPr>
              <w:keepNext w:val="0"/>
              <w:keepLines w:val="0"/>
              <w:suppressLineNumbers w:val="0"/>
              <w:spacing w:before="0" w:beforeAutospacing="0" w:after="0" w:afterAutospacing="0"/>
              <w:ind w:left="0" w:right="0"/>
              <w:jc w:val="center"/>
              <w:rPr>
                <w:rFonts w:hint="default"/>
                <w:color w:val="auto"/>
              </w:rPr>
            </w:pPr>
            <w:r>
              <w:rPr>
                <w:rFonts w:hint="eastAsia"/>
                <w:color w:val="auto"/>
              </w:rPr>
              <w:t>47.17</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644711">
            <w:pPr>
              <w:keepNext w:val="0"/>
              <w:keepLines w:val="0"/>
              <w:suppressLineNumbers w:val="0"/>
              <w:spacing w:before="0" w:beforeAutospacing="0" w:after="0" w:afterAutospacing="0"/>
              <w:ind w:left="0" w:right="0"/>
              <w:jc w:val="center"/>
              <w:rPr>
                <w:rFonts w:hint="default"/>
                <w:color w:val="auto"/>
              </w:rPr>
            </w:pPr>
            <w:r>
              <w:rPr>
                <w:rFonts w:hint="eastAsia"/>
                <w:color w:val="auto"/>
              </w:rPr>
              <w:t>47.17</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864C16">
            <w:pPr>
              <w:keepNext w:val="0"/>
              <w:keepLines w:val="0"/>
              <w:suppressLineNumbers w:val="0"/>
              <w:spacing w:before="0" w:beforeAutospacing="0" w:after="0" w:afterAutospacing="0"/>
              <w:ind w:left="0" w:right="0"/>
              <w:jc w:val="right"/>
              <w:rPr>
                <w:rFonts w:hint="default"/>
                <w:color w:val="auto"/>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73E4FD">
            <w:pPr>
              <w:keepNext w:val="0"/>
              <w:keepLines w:val="0"/>
              <w:suppressLineNumbers w:val="0"/>
              <w:spacing w:before="0" w:beforeAutospacing="0" w:after="0" w:afterAutospacing="0"/>
              <w:ind w:left="0" w:right="0"/>
              <w:jc w:val="right"/>
              <w:rPr>
                <w:rFonts w:hint="default"/>
                <w:color w:val="auto"/>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3707E9">
            <w:pPr>
              <w:keepNext w:val="0"/>
              <w:keepLines w:val="0"/>
              <w:suppressLineNumbers w:val="0"/>
              <w:spacing w:before="0" w:beforeAutospacing="0" w:after="0" w:afterAutospacing="0"/>
              <w:ind w:left="0" w:right="0"/>
              <w:jc w:val="right"/>
              <w:rPr>
                <w:rFonts w:hint="default"/>
                <w:color w:val="auto"/>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3B51C2">
            <w:pPr>
              <w:keepNext w:val="0"/>
              <w:keepLines w:val="0"/>
              <w:suppressLineNumbers w:val="0"/>
              <w:spacing w:before="0" w:beforeAutospacing="0" w:after="0" w:afterAutospacing="0"/>
              <w:ind w:left="0" w:right="0"/>
              <w:jc w:val="right"/>
              <w:rPr>
                <w:rFonts w:hint="default"/>
                <w:color w:val="auto"/>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530EB">
            <w:pPr>
              <w:keepNext w:val="0"/>
              <w:keepLines w:val="0"/>
              <w:suppressLineNumbers w:val="0"/>
              <w:spacing w:before="0" w:beforeAutospacing="0" w:after="0" w:afterAutospacing="0"/>
              <w:ind w:left="0" w:right="0"/>
              <w:jc w:val="right"/>
              <w:rPr>
                <w:rFonts w:hint="default"/>
                <w:color w:val="auto"/>
              </w:rPr>
            </w:pPr>
          </w:p>
        </w:tc>
      </w:tr>
      <w:tr w14:paraId="18949AEF">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91AD88">
            <w:pPr>
              <w:keepNext w:val="0"/>
              <w:keepLines w:val="0"/>
              <w:suppressLineNumbers w:val="0"/>
              <w:spacing w:before="0" w:beforeAutospacing="0" w:after="0" w:afterAutospacing="0"/>
              <w:ind w:left="0" w:right="0"/>
              <w:jc w:val="center"/>
              <w:rPr>
                <w:rFonts w:hint="default"/>
                <w:color w:val="auto"/>
              </w:rPr>
            </w:pPr>
            <w:r>
              <w:rPr>
                <w:rFonts w:hint="eastAsia"/>
                <w:color w:val="auto"/>
              </w:rPr>
              <w:t>2040610</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FD2FDF">
            <w:pPr>
              <w:keepNext w:val="0"/>
              <w:keepLines w:val="0"/>
              <w:suppressLineNumbers w:val="0"/>
              <w:spacing w:before="0" w:beforeAutospacing="0" w:after="0" w:afterAutospacing="0"/>
              <w:ind w:left="0" w:right="0"/>
              <w:jc w:val="center"/>
              <w:rPr>
                <w:rFonts w:hint="default"/>
                <w:color w:val="auto"/>
              </w:rPr>
            </w:pPr>
            <w:r>
              <w:rPr>
                <w:rFonts w:hint="eastAsia"/>
                <w:color w:val="auto"/>
              </w:rPr>
              <w:t>社区矫正</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4EFC74">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7C5A02">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E3F019">
            <w:pPr>
              <w:keepNext w:val="0"/>
              <w:keepLines w:val="0"/>
              <w:suppressLineNumbers w:val="0"/>
              <w:spacing w:before="0" w:beforeAutospacing="0" w:after="0" w:afterAutospacing="0"/>
              <w:ind w:left="0" w:right="0"/>
              <w:jc w:val="right"/>
              <w:rPr>
                <w:rFonts w:hint="default"/>
                <w:color w:val="auto"/>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8070DE">
            <w:pPr>
              <w:keepNext w:val="0"/>
              <w:keepLines w:val="0"/>
              <w:suppressLineNumbers w:val="0"/>
              <w:spacing w:before="0" w:beforeAutospacing="0" w:after="0" w:afterAutospacing="0"/>
              <w:ind w:left="0" w:right="0"/>
              <w:jc w:val="right"/>
              <w:rPr>
                <w:rFonts w:hint="default"/>
                <w:color w:val="auto"/>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544207">
            <w:pPr>
              <w:keepNext w:val="0"/>
              <w:keepLines w:val="0"/>
              <w:suppressLineNumbers w:val="0"/>
              <w:spacing w:before="0" w:beforeAutospacing="0" w:after="0" w:afterAutospacing="0"/>
              <w:ind w:left="0" w:right="0"/>
              <w:jc w:val="right"/>
              <w:rPr>
                <w:rFonts w:hint="default"/>
                <w:color w:val="auto"/>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3E6A3">
            <w:pPr>
              <w:keepNext w:val="0"/>
              <w:keepLines w:val="0"/>
              <w:suppressLineNumbers w:val="0"/>
              <w:spacing w:before="0" w:beforeAutospacing="0" w:after="0" w:afterAutospacing="0"/>
              <w:ind w:left="0" w:right="0"/>
              <w:jc w:val="right"/>
              <w:rPr>
                <w:rFonts w:hint="default"/>
                <w:color w:val="auto"/>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32C0D">
            <w:pPr>
              <w:keepNext w:val="0"/>
              <w:keepLines w:val="0"/>
              <w:suppressLineNumbers w:val="0"/>
              <w:spacing w:before="0" w:beforeAutospacing="0" w:after="0" w:afterAutospacing="0"/>
              <w:ind w:left="0" w:right="0"/>
              <w:jc w:val="right"/>
              <w:rPr>
                <w:rFonts w:hint="default"/>
                <w:color w:val="auto"/>
              </w:rPr>
            </w:pPr>
          </w:p>
        </w:tc>
      </w:tr>
      <w:tr w14:paraId="258D41C4">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4B73EE">
            <w:pPr>
              <w:keepNext w:val="0"/>
              <w:keepLines w:val="0"/>
              <w:suppressLineNumbers w:val="0"/>
              <w:spacing w:before="0" w:beforeAutospacing="0" w:after="0" w:afterAutospacing="0"/>
              <w:ind w:left="0" w:right="0"/>
              <w:jc w:val="center"/>
              <w:rPr>
                <w:rFonts w:hint="default"/>
                <w:color w:val="auto"/>
              </w:rPr>
            </w:pPr>
            <w:r>
              <w:rPr>
                <w:rFonts w:hint="eastAsia"/>
                <w:color w:val="auto"/>
              </w:rPr>
              <w:t>2040699</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DC2D33">
            <w:pPr>
              <w:keepNext w:val="0"/>
              <w:keepLines w:val="0"/>
              <w:suppressLineNumbers w:val="0"/>
              <w:spacing w:before="0" w:beforeAutospacing="0" w:after="0" w:afterAutospacing="0"/>
              <w:ind w:left="0" w:right="0"/>
              <w:jc w:val="center"/>
              <w:rPr>
                <w:rFonts w:hint="default"/>
                <w:color w:val="auto"/>
              </w:rPr>
            </w:pPr>
            <w:r>
              <w:rPr>
                <w:rFonts w:hint="eastAsia"/>
                <w:color w:val="auto"/>
              </w:rPr>
              <w:t>其他司法支出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059EC7">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6</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C0DFF0">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6</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58D63">
            <w:pPr>
              <w:keepNext w:val="0"/>
              <w:keepLines w:val="0"/>
              <w:suppressLineNumbers w:val="0"/>
              <w:spacing w:before="0" w:beforeAutospacing="0" w:after="0" w:afterAutospacing="0"/>
              <w:ind w:left="0" w:right="0"/>
              <w:jc w:val="right"/>
              <w:rPr>
                <w:rFonts w:hint="default"/>
                <w:color w:val="auto"/>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BEEFD7">
            <w:pPr>
              <w:keepNext w:val="0"/>
              <w:keepLines w:val="0"/>
              <w:suppressLineNumbers w:val="0"/>
              <w:spacing w:before="0" w:beforeAutospacing="0" w:after="0" w:afterAutospacing="0"/>
              <w:ind w:left="0" w:right="0"/>
              <w:jc w:val="right"/>
              <w:rPr>
                <w:rFonts w:hint="default"/>
                <w:color w:val="auto"/>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17640F">
            <w:pPr>
              <w:keepNext w:val="0"/>
              <w:keepLines w:val="0"/>
              <w:suppressLineNumbers w:val="0"/>
              <w:spacing w:before="0" w:beforeAutospacing="0" w:after="0" w:afterAutospacing="0"/>
              <w:ind w:left="0" w:right="0"/>
              <w:jc w:val="right"/>
              <w:rPr>
                <w:rFonts w:hint="default"/>
                <w:color w:val="auto"/>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40F45">
            <w:pPr>
              <w:keepNext w:val="0"/>
              <w:keepLines w:val="0"/>
              <w:suppressLineNumbers w:val="0"/>
              <w:spacing w:before="0" w:beforeAutospacing="0" w:after="0" w:afterAutospacing="0"/>
              <w:ind w:left="0" w:right="0"/>
              <w:jc w:val="right"/>
              <w:rPr>
                <w:rFonts w:hint="default"/>
                <w:color w:val="auto"/>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97DCE">
            <w:pPr>
              <w:keepNext w:val="0"/>
              <w:keepLines w:val="0"/>
              <w:suppressLineNumbers w:val="0"/>
              <w:spacing w:before="0" w:beforeAutospacing="0" w:after="0" w:afterAutospacing="0"/>
              <w:ind w:left="0" w:right="0"/>
              <w:jc w:val="right"/>
              <w:rPr>
                <w:rFonts w:hint="default"/>
                <w:color w:val="auto"/>
              </w:rPr>
            </w:pPr>
          </w:p>
        </w:tc>
      </w:tr>
      <w:tr w14:paraId="162B8CE7">
        <w:tblPrEx>
          <w:tblCellMar>
            <w:top w:w="0" w:type="dxa"/>
            <w:left w:w="0" w:type="dxa"/>
            <w:bottom w:w="0" w:type="dxa"/>
            <w:right w:w="0" w:type="dxa"/>
          </w:tblCellMar>
        </w:tblPrEx>
        <w:trPr>
          <w:trHeight w:val="615" w:hRule="atLeast"/>
        </w:trPr>
        <w:tc>
          <w:tcPr>
            <w:tcW w:w="15697" w:type="dxa"/>
            <w:gridSpan w:val="10"/>
            <w:tcBorders>
              <w:top w:val="nil"/>
              <w:left w:val="nil"/>
              <w:bottom w:val="nil"/>
              <w:right w:val="nil"/>
            </w:tcBorders>
            <w:shd w:val="clear" w:color="auto" w:fill="auto"/>
            <w:tcMar>
              <w:top w:w="15" w:type="dxa"/>
              <w:left w:w="15" w:type="dxa"/>
              <w:bottom w:w="0" w:type="dxa"/>
              <w:right w:w="15" w:type="dxa"/>
            </w:tcMar>
            <w:vAlign w:val="center"/>
          </w:tcPr>
          <w:p w14:paraId="360E14FD">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r>
              <w:rPr>
                <w:rFonts w:hint="eastAsia"/>
                <w:color w:val="auto"/>
              </w:rPr>
              <w:t>注：本表反映部门本年度取得的各项收入情况。</w:t>
            </w:r>
          </w:p>
        </w:tc>
      </w:tr>
    </w:tbl>
    <w:p w14:paraId="052C417A">
      <w:pPr>
        <w:widowControl/>
        <w:jc w:val="left"/>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br w:type="page"/>
      </w:r>
    </w:p>
    <w:p w14:paraId="50BC43AF">
      <w:pPr>
        <w:widowControl/>
        <w:rPr>
          <w:rFonts w:ascii="Times New Roman" w:hAnsi="Times New Roman" w:eastAsia="方正小标宋_GBK" w:cs="Times New Roman"/>
          <w:color w:val="auto"/>
          <w:kern w:val="0"/>
          <w:sz w:val="36"/>
          <w:szCs w:val="36"/>
        </w:rPr>
      </w:pPr>
    </w:p>
    <w:tbl>
      <w:tblPr>
        <w:tblStyle w:val="6"/>
        <w:tblW w:w="13387" w:type="dxa"/>
        <w:tblInd w:w="93" w:type="dxa"/>
        <w:tblLayout w:type="fixed"/>
        <w:tblCellMar>
          <w:top w:w="0" w:type="dxa"/>
          <w:left w:w="108" w:type="dxa"/>
          <w:bottom w:w="0" w:type="dxa"/>
          <w:right w:w="108" w:type="dxa"/>
        </w:tblCellMar>
      </w:tblPr>
      <w:tblGrid>
        <w:gridCol w:w="1042"/>
        <w:gridCol w:w="426"/>
        <w:gridCol w:w="1249"/>
        <w:gridCol w:w="1646"/>
        <w:gridCol w:w="1679"/>
        <w:gridCol w:w="1679"/>
        <w:gridCol w:w="1679"/>
        <w:gridCol w:w="1679"/>
        <w:gridCol w:w="2308"/>
      </w:tblGrid>
      <w:tr w14:paraId="126AA245">
        <w:tblPrEx>
          <w:tblCellMar>
            <w:top w:w="0" w:type="dxa"/>
            <w:left w:w="108" w:type="dxa"/>
            <w:bottom w:w="0" w:type="dxa"/>
            <w:right w:w="108" w:type="dxa"/>
          </w:tblCellMar>
        </w:tblPrEx>
        <w:trPr>
          <w:trHeight w:val="435" w:hRule="atLeast"/>
        </w:trPr>
        <w:tc>
          <w:tcPr>
            <w:tcW w:w="13387" w:type="dxa"/>
            <w:gridSpan w:val="9"/>
            <w:tcBorders>
              <w:top w:val="nil"/>
              <w:left w:val="nil"/>
              <w:bottom w:val="nil"/>
              <w:right w:val="nil"/>
            </w:tcBorders>
            <w:shd w:val="clear" w:color="auto" w:fill="auto"/>
            <w:noWrap/>
            <w:vAlign w:val="center"/>
          </w:tcPr>
          <w:p w14:paraId="4A5DD3D3">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auto"/>
                <w:kern w:val="0"/>
                <w:sz w:val="32"/>
                <w:szCs w:val="32"/>
              </w:rPr>
            </w:pPr>
            <w:r>
              <w:rPr>
                <w:rFonts w:hint="eastAsia" w:ascii="华文中宋" w:hAnsi="华文中宋" w:eastAsia="华文中宋" w:cs="宋体"/>
                <w:color w:val="auto"/>
                <w:kern w:val="0"/>
                <w:sz w:val="32"/>
                <w:szCs w:val="32"/>
                <w:lang w:val="en-US" w:eastAsia="zh-CN"/>
              </w:rPr>
              <w:t>部门</w:t>
            </w:r>
            <w:r>
              <w:rPr>
                <w:rFonts w:hint="eastAsia" w:ascii="华文中宋" w:hAnsi="华文中宋" w:eastAsia="华文中宋" w:cs="宋体"/>
                <w:color w:val="auto"/>
                <w:kern w:val="0"/>
                <w:sz w:val="32"/>
                <w:szCs w:val="32"/>
              </w:rPr>
              <w:t>支出决算表</w:t>
            </w:r>
          </w:p>
        </w:tc>
      </w:tr>
      <w:tr w14:paraId="47CFF7AF">
        <w:tblPrEx>
          <w:tblCellMar>
            <w:top w:w="0" w:type="dxa"/>
            <w:left w:w="108" w:type="dxa"/>
            <w:bottom w:w="0" w:type="dxa"/>
            <w:right w:w="108" w:type="dxa"/>
          </w:tblCellMar>
        </w:tblPrEx>
        <w:trPr>
          <w:trHeight w:val="322" w:hRule="atLeast"/>
        </w:trPr>
        <w:tc>
          <w:tcPr>
            <w:tcW w:w="1042" w:type="dxa"/>
            <w:tcBorders>
              <w:top w:val="nil"/>
              <w:left w:val="nil"/>
              <w:bottom w:val="nil"/>
              <w:right w:val="nil"/>
            </w:tcBorders>
            <w:shd w:val="clear" w:color="000000" w:fill="FFFFFF"/>
            <w:noWrap/>
            <w:vAlign w:val="center"/>
          </w:tcPr>
          <w:p w14:paraId="2B36BB6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26" w:type="dxa"/>
            <w:tcBorders>
              <w:top w:val="nil"/>
              <w:left w:val="nil"/>
              <w:bottom w:val="nil"/>
              <w:right w:val="nil"/>
            </w:tcBorders>
            <w:shd w:val="clear" w:color="000000" w:fill="FFFFFF"/>
            <w:noWrap/>
            <w:vAlign w:val="center"/>
          </w:tcPr>
          <w:p w14:paraId="6B84BA8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249" w:type="dxa"/>
            <w:tcBorders>
              <w:top w:val="nil"/>
              <w:left w:val="nil"/>
              <w:bottom w:val="nil"/>
              <w:right w:val="nil"/>
            </w:tcBorders>
            <w:shd w:val="clear" w:color="000000" w:fill="FFFFFF"/>
            <w:noWrap/>
            <w:vAlign w:val="center"/>
          </w:tcPr>
          <w:p w14:paraId="31DCA90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46" w:type="dxa"/>
            <w:tcBorders>
              <w:top w:val="nil"/>
              <w:left w:val="nil"/>
              <w:bottom w:val="nil"/>
              <w:right w:val="nil"/>
            </w:tcBorders>
            <w:shd w:val="clear" w:color="000000" w:fill="FFFFFF"/>
            <w:noWrap/>
            <w:vAlign w:val="center"/>
          </w:tcPr>
          <w:p w14:paraId="167E093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nil"/>
              <w:right w:val="nil"/>
            </w:tcBorders>
            <w:shd w:val="clear" w:color="000000" w:fill="FFFFFF"/>
            <w:noWrap/>
            <w:vAlign w:val="center"/>
          </w:tcPr>
          <w:p w14:paraId="1B8A3A8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nil"/>
              <w:right w:val="nil"/>
            </w:tcBorders>
            <w:shd w:val="clear" w:color="000000" w:fill="FFFFFF"/>
            <w:noWrap/>
            <w:vAlign w:val="center"/>
          </w:tcPr>
          <w:p w14:paraId="2D40440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nil"/>
              <w:right w:val="nil"/>
            </w:tcBorders>
            <w:shd w:val="clear" w:color="000000" w:fill="FFFFFF"/>
            <w:noWrap/>
            <w:vAlign w:val="center"/>
          </w:tcPr>
          <w:p w14:paraId="4FD3F84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nil"/>
              <w:right w:val="nil"/>
            </w:tcBorders>
            <w:shd w:val="clear" w:color="000000" w:fill="FFFFFF"/>
            <w:noWrap/>
            <w:vAlign w:val="center"/>
          </w:tcPr>
          <w:p w14:paraId="42E6A36F">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nil"/>
              <w:right w:val="nil"/>
            </w:tcBorders>
            <w:shd w:val="clear" w:color="000000" w:fill="FFFFFF"/>
            <w:noWrap/>
            <w:vAlign w:val="center"/>
          </w:tcPr>
          <w:p w14:paraId="37B8C8C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公开03表</w:t>
            </w:r>
          </w:p>
        </w:tc>
      </w:tr>
      <w:tr w14:paraId="6A397F50">
        <w:tblPrEx>
          <w:tblCellMar>
            <w:top w:w="0" w:type="dxa"/>
            <w:left w:w="108" w:type="dxa"/>
            <w:bottom w:w="0" w:type="dxa"/>
            <w:right w:w="108" w:type="dxa"/>
          </w:tblCellMar>
        </w:tblPrEx>
        <w:trPr>
          <w:trHeight w:val="322" w:hRule="atLeast"/>
        </w:trPr>
        <w:tc>
          <w:tcPr>
            <w:tcW w:w="1042" w:type="dxa"/>
            <w:tcBorders>
              <w:top w:val="nil"/>
              <w:left w:val="nil"/>
              <w:bottom w:val="nil"/>
              <w:right w:val="nil"/>
            </w:tcBorders>
            <w:shd w:val="clear" w:color="000000" w:fill="FFFFFF"/>
            <w:noWrap/>
            <w:vAlign w:val="center"/>
          </w:tcPr>
          <w:p w14:paraId="42EE9C1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426" w:type="dxa"/>
            <w:tcBorders>
              <w:top w:val="nil"/>
              <w:left w:val="nil"/>
              <w:bottom w:val="nil"/>
              <w:right w:val="nil"/>
            </w:tcBorders>
            <w:shd w:val="clear" w:color="000000" w:fill="FFFFFF"/>
            <w:noWrap/>
            <w:vAlign w:val="center"/>
          </w:tcPr>
          <w:p w14:paraId="2961E1FC">
            <w:pPr>
              <w:keepNext w:val="0"/>
              <w:keepLines w:val="0"/>
              <w:widowControl/>
              <w:suppressLineNumbers w:val="0"/>
              <w:spacing w:before="0" w:beforeAutospacing="0" w:after="0" w:afterAutospacing="0"/>
              <w:ind w:left="0" w:right="0"/>
              <w:rPr>
                <w:rFonts w:hint="default" w:ascii="宋体" w:hAnsi="宋体" w:eastAsia="宋体" w:cs="宋体"/>
                <w:color w:val="auto"/>
                <w:kern w:val="0"/>
                <w:sz w:val="24"/>
                <w:szCs w:val="24"/>
              </w:rPr>
            </w:pPr>
          </w:p>
        </w:tc>
        <w:tc>
          <w:tcPr>
            <w:tcW w:w="1249" w:type="dxa"/>
            <w:tcBorders>
              <w:top w:val="nil"/>
              <w:left w:val="nil"/>
              <w:bottom w:val="nil"/>
              <w:right w:val="nil"/>
            </w:tcBorders>
            <w:shd w:val="clear" w:color="000000" w:fill="FFFFFF"/>
            <w:noWrap/>
            <w:vAlign w:val="center"/>
          </w:tcPr>
          <w:p w14:paraId="673A230D">
            <w:pPr>
              <w:keepNext w:val="0"/>
              <w:keepLines w:val="0"/>
              <w:suppressLineNumbers w:val="0"/>
              <w:spacing w:before="0" w:beforeAutospacing="0" w:after="0" w:afterAutospacing="0"/>
              <w:ind w:left="0" w:right="0"/>
              <w:rPr>
                <w:rFonts w:hint="default" w:ascii="宋体" w:hAnsi="宋体" w:eastAsia="宋体" w:cs="宋体"/>
                <w:color w:val="auto"/>
                <w:sz w:val="20"/>
                <w:szCs w:val="20"/>
              </w:rPr>
            </w:pPr>
            <w:r>
              <w:rPr>
                <w:rFonts w:hint="eastAsia"/>
                <w:color w:val="auto"/>
                <w:sz w:val="20"/>
                <w:szCs w:val="20"/>
              </w:rPr>
              <w:t>部门：</w:t>
            </w:r>
          </w:p>
        </w:tc>
        <w:tc>
          <w:tcPr>
            <w:tcW w:w="1646" w:type="dxa"/>
            <w:tcBorders>
              <w:top w:val="nil"/>
              <w:left w:val="nil"/>
              <w:bottom w:val="nil"/>
              <w:right w:val="nil"/>
            </w:tcBorders>
            <w:shd w:val="clear" w:color="000000" w:fill="FFFFFF"/>
            <w:noWrap/>
            <w:vAlign w:val="center"/>
          </w:tcPr>
          <w:p w14:paraId="3CEC3A55">
            <w:pPr>
              <w:keepNext w:val="0"/>
              <w:keepLines w:val="0"/>
              <w:suppressLineNumbers w:val="0"/>
              <w:spacing w:before="0" w:beforeAutospacing="0" w:after="0" w:afterAutospacing="0"/>
              <w:ind w:left="0" w:right="0"/>
              <w:rPr>
                <w:rFonts w:hint="default" w:ascii="宋体" w:hAnsi="宋体" w:eastAsia="宋体" w:cs="宋体"/>
                <w:color w:val="auto"/>
                <w:sz w:val="24"/>
                <w:szCs w:val="24"/>
              </w:rPr>
            </w:pPr>
            <w:r>
              <w:rPr>
                <w:rFonts w:hint="eastAsia"/>
                <w:color w:val="auto"/>
              </w:rPr>
              <w:t>湘潭县司法局　</w:t>
            </w:r>
          </w:p>
        </w:tc>
        <w:tc>
          <w:tcPr>
            <w:tcW w:w="1679" w:type="dxa"/>
            <w:tcBorders>
              <w:top w:val="nil"/>
              <w:left w:val="nil"/>
              <w:bottom w:val="nil"/>
              <w:right w:val="nil"/>
            </w:tcBorders>
            <w:shd w:val="clear" w:color="000000" w:fill="FFFFFF"/>
            <w:noWrap/>
            <w:vAlign w:val="center"/>
          </w:tcPr>
          <w:p w14:paraId="2D472AB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nil"/>
              <w:right w:val="nil"/>
            </w:tcBorders>
            <w:shd w:val="clear" w:color="000000" w:fill="FFFFFF"/>
            <w:noWrap/>
            <w:vAlign w:val="center"/>
          </w:tcPr>
          <w:p w14:paraId="69CF8EE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nil"/>
              <w:right w:val="nil"/>
            </w:tcBorders>
            <w:shd w:val="clear" w:color="000000" w:fill="FFFFFF"/>
            <w:noWrap/>
            <w:vAlign w:val="center"/>
          </w:tcPr>
          <w:p w14:paraId="02D2DCA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nil"/>
              <w:right w:val="nil"/>
            </w:tcBorders>
            <w:shd w:val="clear" w:color="000000" w:fill="FFFFFF"/>
            <w:noWrap/>
            <w:vAlign w:val="center"/>
          </w:tcPr>
          <w:p w14:paraId="79CE51C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nil"/>
              <w:right w:val="nil"/>
            </w:tcBorders>
            <w:shd w:val="clear" w:color="000000" w:fill="FFFFFF"/>
            <w:noWrap/>
            <w:vAlign w:val="center"/>
          </w:tcPr>
          <w:p w14:paraId="5E0461F1">
            <w:pPr>
              <w:keepNext w:val="0"/>
              <w:keepLines w:val="0"/>
              <w:suppressLineNumbers w:val="0"/>
              <w:spacing w:before="0" w:beforeAutospacing="0" w:after="0" w:afterAutospacing="0"/>
              <w:ind w:left="0" w:right="0"/>
              <w:jc w:val="right"/>
              <w:rPr>
                <w:rFonts w:hint="default" w:ascii="宋体" w:hAnsi="宋体" w:eastAsia="宋体" w:cs="宋体"/>
                <w:color w:val="auto"/>
                <w:sz w:val="20"/>
                <w:szCs w:val="20"/>
              </w:rPr>
            </w:pPr>
            <w:r>
              <w:rPr>
                <w:rFonts w:hint="eastAsia"/>
                <w:color w:val="auto"/>
                <w:sz w:val="20"/>
                <w:szCs w:val="20"/>
              </w:rPr>
              <w:t>单位：万元</w:t>
            </w:r>
          </w:p>
        </w:tc>
      </w:tr>
      <w:tr w14:paraId="153E6EE5">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3E6DD2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370C55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BC6445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47175F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5303D8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85EC3A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4478D3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对附属单位补助支出</w:t>
            </w:r>
          </w:p>
        </w:tc>
      </w:tr>
      <w:tr w14:paraId="166DEC54">
        <w:tblPrEx>
          <w:tblCellMar>
            <w:top w:w="0" w:type="dxa"/>
            <w:left w:w="108" w:type="dxa"/>
            <w:bottom w:w="0" w:type="dxa"/>
            <w:right w:w="108" w:type="dxa"/>
          </w:tblCellMar>
        </w:tblPrEx>
        <w:trPr>
          <w:trHeight w:val="450" w:hRule="atLeast"/>
        </w:trPr>
        <w:tc>
          <w:tcPr>
            <w:tcW w:w="14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47AE3D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14:paraId="447E499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1BA2D5D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B36718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579C19C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054951A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2A3165F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6AB1943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r>
      <w:tr w14:paraId="5D35E5CF">
        <w:tblPrEx>
          <w:tblCellMar>
            <w:top w:w="0" w:type="dxa"/>
            <w:left w:w="108" w:type="dxa"/>
            <w:bottom w:w="0" w:type="dxa"/>
            <w:right w:w="108" w:type="dxa"/>
          </w:tblCellMar>
        </w:tblPrEx>
        <w:trPr>
          <w:trHeight w:val="450" w:hRule="atLeast"/>
        </w:trPr>
        <w:tc>
          <w:tcPr>
            <w:tcW w:w="1468" w:type="dxa"/>
            <w:gridSpan w:val="2"/>
            <w:vMerge w:val="continue"/>
            <w:tcBorders>
              <w:top w:val="single" w:color="auto" w:sz="4" w:space="0"/>
              <w:left w:val="single" w:color="auto" w:sz="4" w:space="0"/>
              <w:bottom w:val="single" w:color="auto" w:sz="4" w:space="0"/>
              <w:right w:val="single" w:color="auto" w:sz="4" w:space="0"/>
            </w:tcBorders>
            <w:vAlign w:val="center"/>
          </w:tcPr>
          <w:p w14:paraId="021A617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14:paraId="61D3807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0D1A881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57A3E30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6569BC4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04EE31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362BC20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1128E5D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r>
      <w:tr w14:paraId="63865BC4">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9CB67D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14:paraId="1F76B58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14:paraId="6C2439C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14:paraId="7208E36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14:paraId="535841C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14:paraId="3605063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14:paraId="6C2018B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6</w:t>
            </w:r>
          </w:p>
        </w:tc>
      </w:tr>
      <w:tr w14:paraId="7AE3154F">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BD074A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14:paraId="60F07C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color w:val="auto"/>
              </w:rPr>
              <w:t>1970.64</w:t>
            </w:r>
          </w:p>
        </w:tc>
        <w:tc>
          <w:tcPr>
            <w:tcW w:w="1679" w:type="dxa"/>
            <w:tcBorders>
              <w:top w:val="nil"/>
              <w:left w:val="nil"/>
              <w:bottom w:val="single" w:color="auto" w:sz="4" w:space="0"/>
              <w:right w:val="single" w:color="auto" w:sz="4" w:space="0"/>
            </w:tcBorders>
            <w:shd w:val="clear" w:color="auto" w:fill="auto"/>
            <w:noWrap/>
            <w:vAlign w:val="center"/>
          </w:tcPr>
          <w:p w14:paraId="3D8F5B3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color w:val="auto"/>
              </w:rPr>
              <w:t>1560.34</w:t>
            </w:r>
          </w:p>
        </w:tc>
        <w:tc>
          <w:tcPr>
            <w:tcW w:w="1679" w:type="dxa"/>
            <w:tcBorders>
              <w:top w:val="nil"/>
              <w:left w:val="nil"/>
              <w:bottom w:val="single" w:color="auto" w:sz="4" w:space="0"/>
              <w:right w:val="single" w:color="auto" w:sz="4" w:space="0"/>
            </w:tcBorders>
            <w:shd w:val="clear" w:color="auto" w:fill="auto"/>
            <w:noWrap/>
            <w:vAlign w:val="center"/>
          </w:tcPr>
          <w:p w14:paraId="1D70F70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color w:val="auto"/>
              </w:rPr>
              <w:t>410.30</w:t>
            </w:r>
          </w:p>
        </w:tc>
        <w:tc>
          <w:tcPr>
            <w:tcW w:w="1679" w:type="dxa"/>
            <w:tcBorders>
              <w:top w:val="nil"/>
              <w:left w:val="nil"/>
              <w:bottom w:val="single" w:color="auto" w:sz="4" w:space="0"/>
              <w:right w:val="single" w:color="auto" w:sz="4" w:space="0"/>
            </w:tcBorders>
            <w:shd w:val="clear" w:color="auto" w:fill="auto"/>
            <w:noWrap/>
            <w:vAlign w:val="center"/>
          </w:tcPr>
          <w:p w14:paraId="6A0BFFC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3125C4F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4EB376D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071E962D">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169AA5">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w:t>
            </w:r>
          </w:p>
        </w:tc>
        <w:tc>
          <w:tcPr>
            <w:tcW w:w="1249" w:type="dxa"/>
            <w:tcBorders>
              <w:top w:val="nil"/>
              <w:left w:val="nil"/>
              <w:bottom w:val="single" w:color="auto" w:sz="4" w:space="0"/>
              <w:right w:val="single" w:color="auto" w:sz="4" w:space="0"/>
            </w:tcBorders>
            <w:shd w:val="clear" w:color="000000" w:fill="FFFFFF"/>
            <w:noWrap/>
            <w:vAlign w:val="center"/>
          </w:tcPr>
          <w:p w14:paraId="40C520A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公共安全支出</w:t>
            </w:r>
          </w:p>
        </w:tc>
        <w:tc>
          <w:tcPr>
            <w:tcW w:w="1646" w:type="dxa"/>
            <w:tcBorders>
              <w:top w:val="nil"/>
              <w:left w:val="nil"/>
              <w:bottom w:val="single" w:color="auto" w:sz="4" w:space="0"/>
              <w:right w:val="single" w:color="auto" w:sz="4" w:space="0"/>
            </w:tcBorders>
            <w:shd w:val="clear" w:color="auto" w:fill="auto"/>
            <w:noWrap/>
            <w:vAlign w:val="center"/>
          </w:tcPr>
          <w:p w14:paraId="26307F0C">
            <w:pPr>
              <w:keepNext w:val="0"/>
              <w:keepLines w:val="0"/>
              <w:suppressLineNumbers w:val="0"/>
              <w:spacing w:before="0" w:beforeAutospacing="0" w:after="0" w:afterAutospacing="0"/>
              <w:ind w:left="0" w:right="0"/>
              <w:jc w:val="center"/>
              <w:rPr>
                <w:rFonts w:hint="default"/>
                <w:color w:val="auto"/>
              </w:rPr>
            </w:pPr>
            <w:r>
              <w:rPr>
                <w:rFonts w:hint="eastAsia"/>
                <w:color w:val="auto"/>
              </w:rPr>
              <w:t>1970.64</w:t>
            </w:r>
          </w:p>
        </w:tc>
        <w:tc>
          <w:tcPr>
            <w:tcW w:w="1679" w:type="dxa"/>
            <w:tcBorders>
              <w:top w:val="nil"/>
              <w:left w:val="nil"/>
              <w:bottom w:val="single" w:color="auto" w:sz="4" w:space="0"/>
              <w:right w:val="single" w:color="auto" w:sz="4" w:space="0"/>
            </w:tcBorders>
            <w:shd w:val="clear" w:color="auto" w:fill="auto"/>
            <w:noWrap/>
            <w:vAlign w:val="center"/>
          </w:tcPr>
          <w:p w14:paraId="3F768BD2">
            <w:pPr>
              <w:keepNext w:val="0"/>
              <w:keepLines w:val="0"/>
              <w:suppressLineNumbers w:val="0"/>
              <w:spacing w:before="0" w:beforeAutospacing="0" w:after="0" w:afterAutospacing="0"/>
              <w:ind w:left="0" w:right="0"/>
              <w:jc w:val="center"/>
              <w:rPr>
                <w:rFonts w:hint="default"/>
                <w:color w:val="auto"/>
              </w:rPr>
            </w:pPr>
            <w:r>
              <w:rPr>
                <w:rFonts w:hint="eastAsia"/>
                <w:color w:val="auto"/>
              </w:rPr>
              <w:t>1560.34</w:t>
            </w:r>
          </w:p>
        </w:tc>
        <w:tc>
          <w:tcPr>
            <w:tcW w:w="1679" w:type="dxa"/>
            <w:tcBorders>
              <w:top w:val="nil"/>
              <w:left w:val="nil"/>
              <w:bottom w:val="single" w:color="auto" w:sz="4" w:space="0"/>
              <w:right w:val="single" w:color="auto" w:sz="4" w:space="0"/>
            </w:tcBorders>
            <w:shd w:val="clear" w:color="auto" w:fill="auto"/>
            <w:noWrap/>
            <w:vAlign w:val="center"/>
          </w:tcPr>
          <w:p w14:paraId="5E6CD13D">
            <w:pPr>
              <w:keepNext w:val="0"/>
              <w:keepLines w:val="0"/>
              <w:suppressLineNumbers w:val="0"/>
              <w:spacing w:before="0" w:beforeAutospacing="0" w:after="0" w:afterAutospacing="0"/>
              <w:ind w:left="0" w:right="0"/>
              <w:jc w:val="center"/>
              <w:rPr>
                <w:rFonts w:hint="default"/>
                <w:color w:val="auto"/>
              </w:rPr>
            </w:pPr>
            <w:r>
              <w:rPr>
                <w:rFonts w:hint="eastAsia"/>
                <w:color w:val="auto"/>
              </w:rPr>
              <w:t>410.30　</w:t>
            </w:r>
          </w:p>
        </w:tc>
        <w:tc>
          <w:tcPr>
            <w:tcW w:w="1679" w:type="dxa"/>
            <w:tcBorders>
              <w:top w:val="nil"/>
              <w:left w:val="nil"/>
              <w:bottom w:val="single" w:color="auto" w:sz="4" w:space="0"/>
              <w:right w:val="single" w:color="auto" w:sz="4" w:space="0"/>
            </w:tcBorders>
            <w:shd w:val="clear" w:color="auto" w:fill="auto"/>
            <w:noWrap/>
            <w:vAlign w:val="center"/>
          </w:tcPr>
          <w:p w14:paraId="6651B9E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6A57E66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47A2732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7BA3253D">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353FF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w:t>
            </w:r>
          </w:p>
        </w:tc>
        <w:tc>
          <w:tcPr>
            <w:tcW w:w="1249" w:type="dxa"/>
            <w:tcBorders>
              <w:top w:val="nil"/>
              <w:left w:val="nil"/>
              <w:bottom w:val="single" w:color="auto" w:sz="4" w:space="0"/>
              <w:right w:val="single" w:color="auto" w:sz="4" w:space="0"/>
            </w:tcBorders>
            <w:shd w:val="clear" w:color="000000" w:fill="FFFFFF"/>
            <w:noWrap/>
            <w:vAlign w:val="center"/>
          </w:tcPr>
          <w:p w14:paraId="41FD7905">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司法</w:t>
            </w:r>
          </w:p>
        </w:tc>
        <w:tc>
          <w:tcPr>
            <w:tcW w:w="1646" w:type="dxa"/>
            <w:tcBorders>
              <w:top w:val="nil"/>
              <w:left w:val="nil"/>
              <w:bottom w:val="single" w:color="auto" w:sz="4" w:space="0"/>
              <w:right w:val="single" w:color="auto" w:sz="4" w:space="0"/>
            </w:tcBorders>
            <w:shd w:val="clear" w:color="auto" w:fill="auto"/>
            <w:noWrap/>
            <w:vAlign w:val="center"/>
          </w:tcPr>
          <w:p w14:paraId="7B1388FE">
            <w:pPr>
              <w:keepNext w:val="0"/>
              <w:keepLines w:val="0"/>
              <w:suppressLineNumbers w:val="0"/>
              <w:spacing w:before="0" w:beforeAutospacing="0" w:after="0" w:afterAutospacing="0"/>
              <w:ind w:left="0" w:right="0"/>
              <w:jc w:val="center"/>
              <w:rPr>
                <w:rFonts w:hint="default"/>
                <w:color w:val="auto"/>
              </w:rPr>
            </w:pPr>
            <w:r>
              <w:rPr>
                <w:rFonts w:hint="eastAsia"/>
                <w:color w:val="auto"/>
              </w:rPr>
              <w:t>1970.64</w:t>
            </w:r>
          </w:p>
        </w:tc>
        <w:tc>
          <w:tcPr>
            <w:tcW w:w="1679" w:type="dxa"/>
            <w:tcBorders>
              <w:top w:val="nil"/>
              <w:left w:val="nil"/>
              <w:bottom w:val="single" w:color="auto" w:sz="4" w:space="0"/>
              <w:right w:val="single" w:color="auto" w:sz="4" w:space="0"/>
            </w:tcBorders>
            <w:shd w:val="clear" w:color="auto" w:fill="auto"/>
            <w:noWrap/>
            <w:vAlign w:val="center"/>
          </w:tcPr>
          <w:p w14:paraId="0F523F40">
            <w:pPr>
              <w:keepNext w:val="0"/>
              <w:keepLines w:val="0"/>
              <w:suppressLineNumbers w:val="0"/>
              <w:spacing w:before="0" w:beforeAutospacing="0" w:after="0" w:afterAutospacing="0"/>
              <w:ind w:left="0" w:right="0"/>
              <w:jc w:val="center"/>
              <w:rPr>
                <w:rFonts w:hint="default"/>
                <w:color w:val="auto"/>
              </w:rPr>
            </w:pPr>
            <w:r>
              <w:rPr>
                <w:rFonts w:hint="eastAsia"/>
                <w:color w:val="auto"/>
              </w:rPr>
              <w:t>1560.34</w:t>
            </w:r>
          </w:p>
        </w:tc>
        <w:tc>
          <w:tcPr>
            <w:tcW w:w="1679" w:type="dxa"/>
            <w:tcBorders>
              <w:top w:val="nil"/>
              <w:left w:val="nil"/>
              <w:bottom w:val="single" w:color="auto" w:sz="4" w:space="0"/>
              <w:right w:val="single" w:color="auto" w:sz="4" w:space="0"/>
            </w:tcBorders>
            <w:shd w:val="clear" w:color="auto" w:fill="auto"/>
            <w:noWrap/>
            <w:vAlign w:val="center"/>
          </w:tcPr>
          <w:p w14:paraId="003D1396">
            <w:pPr>
              <w:keepNext w:val="0"/>
              <w:keepLines w:val="0"/>
              <w:suppressLineNumbers w:val="0"/>
              <w:spacing w:before="0" w:beforeAutospacing="0" w:after="0" w:afterAutospacing="0"/>
              <w:ind w:left="0" w:right="0"/>
              <w:jc w:val="center"/>
              <w:rPr>
                <w:rFonts w:hint="default"/>
                <w:color w:val="auto"/>
              </w:rPr>
            </w:pPr>
            <w:r>
              <w:rPr>
                <w:rFonts w:hint="eastAsia"/>
                <w:color w:val="auto"/>
              </w:rPr>
              <w:t>410.30　</w:t>
            </w:r>
          </w:p>
        </w:tc>
        <w:tc>
          <w:tcPr>
            <w:tcW w:w="1679" w:type="dxa"/>
            <w:tcBorders>
              <w:top w:val="nil"/>
              <w:left w:val="nil"/>
              <w:bottom w:val="single" w:color="auto" w:sz="4" w:space="0"/>
              <w:right w:val="single" w:color="auto" w:sz="4" w:space="0"/>
            </w:tcBorders>
            <w:shd w:val="clear" w:color="auto" w:fill="auto"/>
            <w:noWrap/>
            <w:vAlign w:val="center"/>
          </w:tcPr>
          <w:p w14:paraId="2EDEE81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1F2C5FF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7FF409FF">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53CCB609">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5458A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2040601</w:t>
            </w:r>
          </w:p>
        </w:tc>
        <w:tc>
          <w:tcPr>
            <w:tcW w:w="1249" w:type="dxa"/>
            <w:tcBorders>
              <w:top w:val="nil"/>
              <w:left w:val="nil"/>
              <w:bottom w:val="single" w:color="auto" w:sz="4" w:space="0"/>
              <w:right w:val="single" w:color="auto" w:sz="4" w:space="0"/>
            </w:tcBorders>
            <w:shd w:val="clear" w:color="000000" w:fill="FFFFFF"/>
            <w:noWrap/>
            <w:vAlign w:val="center"/>
          </w:tcPr>
          <w:p w14:paraId="47DDA38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行政运行</w:t>
            </w:r>
          </w:p>
        </w:tc>
        <w:tc>
          <w:tcPr>
            <w:tcW w:w="1646" w:type="dxa"/>
            <w:tcBorders>
              <w:top w:val="nil"/>
              <w:left w:val="nil"/>
              <w:bottom w:val="single" w:color="auto" w:sz="4" w:space="0"/>
              <w:right w:val="single" w:color="auto" w:sz="4" w:space="0"/>
            </w:tcBorders>
            <w:shd w:val="clear" w:color="auto" w:fill="auto"/>
            <w:noWrap/>
            <w:vAlign w:val="center"/>
          </w:tcPr>
          <w:p w14:paraId="0FEF1F42">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1588.14</w:t>
            </w:r>
          </w:p>
        </w:tc>
        <w:tc>
          <w:tcPr>
            <w:tcW w:w="1679" w:type="dxa"/>
            <w:tcBorders>
              <w:top w:val="nil"/>
              <w:left w:val="nil"/>
              <w:bottom w:val="single" w:color="auto" w:sz="4" w:space="0"/>
              <w:right w:val="single" w:color="auto" w:sz="4" w:space="0"/>
            </w:tcBorders>
            <w:shd w:val="clear" w:color="auto" w:fill="auto"/>
            <w:noWrap/>
            <w:vAlign w:val="center"/>
          </w:tcPr>
          <w:p w14:paraId="4EE9444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1555.98</w:t>
            </w:r>
          </w:p>
        </w:tc>
        <w:tc>
          <w:tcPr>
            <w:tcW w:w="1679" w:type="dxa"/>
            <w:tcBorders>
              <w:top w:val="nil"/>
              <w:left w:val="nil"/>
              <w:bottom w:val="single" w:color="auto" w:sz="4" w:space="0"/>
              <w:right w:val="single" w:color="auto" w:sz="4" w:space="0"/>
            </w:tcBorders>
            <w:shd w:val="clear" w:color="auto" w:fill="auto"/>
            <w:noWrap/>
            <w:vAlign w:val="center"/>
          </w:tcPr>
          <w:p w14:paraId="2E2DDD82">
            <w:pPr>
              <w:keepNext w:val="0"/>
              <w:keepLines w:val="0"/>
              <w:suppressLineNumbers w:val="0"/>
              <w:spacing w:before="0" w:beforeAutospacing="0" w:after="0" w:afterAutospacing="0"/>
              <w:ind w:left="0" w:right="0"/>
              <w:jc w:val="center"/>
              <w:rPr>
                <w:rFonts w:hint="default"/>
                <w:color w:val="auto"/>
              </w:rPr>
            </w:pPr>
            <w:r>
              <w:rPr>
                <w:rFonts w:hint="eastAsia"/>
                <w:color w:val="auto"/>
              </w:rPr>
              <w:t>32.16</w:t>
            </w:r>
          </w:p>
        </w:tc>
        <w:tc>
          <w:tcPr>
            <w:tcW w:w="1679" w:type="dxa"/>
            <w:tcBorders>
              <w:top w:val="nil"/>
              <w:left w:val="nil"/>
              <w:bottom w:val="single" w:color="auto" w:sz="4" w:space="0"/>
              <w:right w:val="single" w:color="auto" w:sz="4" w:space="0"/>
            </w:tcBorders>
            <w:shd w:val="clear" w:color="auto" w:fill="auto"/>
            <w:noWrap/>
            <w:vAlign w:val="center"/>
          </w:tcPr>
          <w:p w14:paraId="1C79013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52F0765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5EE1FA0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r>
      <w:tr w14:paraId="35EC0D18">
        <w:tblPrEx>
          <w:tblCellMar>
            <w:top w:w="0" w:type="dxa"/>
            <w:left w:w="108" w:type="dxa"/>
            <w:bottom w:w="0" w:type="dxa"/>
            <w:right w:w="108" w:type="dxa"/>
          </w:tblCellMar>
        </w:tblPrEx>
        <w:trPr>
          <w:trHeight w:val="9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29AED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2040602</w:t>
            </w:r>
          </w:p>
        </w:tc>
        <w:tc>
          <w:tcPr>
            <w:tcW w:w="1249" w:type="dxa"/>
            <w:tcBorders>
              <w:top w:val="nil"/>
              <w:left w:val="nil"/>
              <w:bottom w:val="single" w:color="auto" w:sz="4" w:space="0"/>
              <w:right w:val="single" w:color="auto" w:sz="4" w:space="0"/>
            </w:tcBorders>
            <w:shd w:val="clear" w:color="000000" w:fill="FFFFFF"/>
            <w:noWrap/>
            <w:vAlign w:val="center"/>
          </w:tcPr>
          <w:p w14:paraId="5F2F1F5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一般行政管理事务</w:t>
            </w:r>
          </w:p>
        </w:tc>
        <w:tc>
          <w:tcPr>
            <w:tcW w:w="1646" w:type="dxa"/>
            <w:tcBorders>
              <w:top w:val="nil"/>
              <w:left w:val="nil"/>
              <w:bottom w:val="single" w:color="auto" w:sz="4" w:space="0"/>
              <w:right w:val="single" w:color="auto" w:sz="4" w:space="0"/>
            </w:tcBorders>
            <w:shd w:val="clear" w:color="auto" w:fill="auto"/>
            <w:noWrap/>
            <w:vAlign w:val="center"/>
          </w:tcPr>
          <w:p w14:paraId="02092D23">
            <w:pPr>
              <w:keepNext w:val="0"/>
              <w:keepLines w:val="0"/>
              <w:suppressLineNumbers w:val="0"/>
              <w:spacing w:before="0" w:beforeAutospacing="0" w:after="0" w:afterAutospacing="0"/>
              <w:ind w:left="0" w:right="0"/>
              <w:jc w:val="center"/>
              <w:rPr>
                <w:rFonts w:hint="eastAsia" w:ascii="宋体" w:hAnsi="宋体" w:cs="宋体" w:eastAsiaTheme="minorEastAsia"/>
                <w:color w:val="auto"/>
                <w:sz w:val="24"/>
                <w:szCs w:val="24"/>
                <w:lang w:val="en-US" w:eastAsia="zh-CN"/>
              </w:rPr>
            </w:pPr>
            <w:r>
              <w:rPr>
                <w:rFonts w:hint="eastAsia"/>
                <w:color w:val="auto"/>
              </w:rPr>
              <w:t>153.6</w:t>
            </w:r>
            <w:r>
              <w:rPr>
                <w:rFonts w:hint="eastAsia"/>
                <w:color w:val="auto"/>
                <w:lang w:val="en-US" w:eastAsia="zh-CN"/>
              </w:rPr>
              <w:t>3</w:t>
            </w:r>
          </w:p>
        </w:tc>
        <w:tc>
          <w:tcPr>
            <w:tcW w:w="1679" w:type="dxa"/>
            <w:tcBorders>
              <w:top w:val="nil"/>
              <w:left w:val="nil"/>
              <w:bottom w:val="single" w:color="auto" w:sz="4" w:space="0"/>
              <w:right w:val="single" w:color="auto" w:sz="4" w:space="0"/>
            </w:tcBorders>
            <w:shd w:val="clear" w:color="auto" w:fill="auto"/>
            <w:noWrap/>
            <w:vAlign w:val="center"/>
          </w:tcPr>
          <w:p w14:paraId="2443EFE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56B50496">
            <w:pPr>
              <w:keepNext w:val="0"/>
              <w:keepLines w:val="0"/>
              <w:suppressLineNumbers w:val="0"/>
              <w:spacing w:before="0" w:beforeAutospacing="0" w:after="0" w:afterAutospacing="0"/>
              <w:ind w:left="0" w:right="0"/>
              <w:jc w:val="center"/>
              <w:rPr>
                <w:rFonts w:hint="eastAsia" w:ascii="宋体" w:hAnsi="宋体" w:cs="宋体" w:eastAsiaTheme="minorEastAsia"/>
                <w:color w:val="auto"/>
                <w:sz w:val="24"/>
                <w:szCs w:val="24"/>
                <w:lang w:val="en-US" w:eastAsia="zh-CN"/>
              </w:rPr>
            </w:pPr>
            <w:r>
              <w:rPr>
                <w:rFonts w:hint="eastAsia"/>
                <w:color w:val="auto"/>
              </w:rPr>
              <w:t>153.6</w:t>
            </w:r>
            <w:r>
              <w:rPr>
                <w:rFonts w:hint="eastAsia"/>
                <w:color w:val="auto"/>
                <w:lang w:val="en-US" w:eastAsia="zh-CN"/>
              </w:rPr>
              <w:t>3</w:t>
            </w:r>
          </w:p>
        </w:tc>
        <w:tc>
          <w:tcPr>
            <w:tcW w:w="1679" w:type="dxa"/>
            <w:tcBorders>
              <w:top w:val="nil"/>
              <w:left w:val="nil"/>
              <w:bottom w:val="single" w:color="auto" w:sz="4" w:space="0"/>
              <w:right w:val="single" w:color="auto" w:sz="4" w:space="0"/>
            </w:tcBorders>
            <w:shd w:val="clear" w:color="auto" w:fill="auto"/>
            <w:noWrap/>
            <w:vAlign w:val="center"/>
          </w:tcPr>
          <w:p w14:paraId="0B9FCCB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4433695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0626256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r>
      <w:tr w14:paraId="7C14B144">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C1FC1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2040604</w:t>
            </w:r>
          </w:p>
        </w:tc>
        <w:tc>
          <w:tcPr>
            <w:tcW w:w="1249" w:type="dxa"/>
            <w:tcBorders>
              <w:top w:val="nil"/>
              <w:left w:val="nil"/>
              <w:bottom w:val="single" w:color="auto" w:sz="4" w:space="0"/>
              <w:right w:val="single" w:color="auto" w:sz="4" w:space="0"/>
            </w:tcBorders>
            <w:shd w:val="clear" w:color="000000" w:fill="FFFFFF"/>
            <w:noWrap/>
            <w:vAlign w:val="center"/>
          </w:tcPr>
          <w:p w14:paraId="6D33301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基层司法业务</w:t>
            </w:r>
          </w:p>
        </w:tc>
        <w:tc>
          <w:tcPr>
            <w:tcW w:w="1646" w:type="dxa"/>
            <w:tcBorders>
              <w:top w:val="nil"/>
              <w:left w:val="nil"/>
              <w:bottom w:val="single" w:color="auto" w:sz="4" w:space="0"/>
              <w:right w:val="single" w:color="auto" w:sz="4" w:space="0"/>
            </w:tcBorders>
            <w:shd w:val="clear" w:color="auto" w:fill="auto"/>
            <w:noWrap/>
            <w:vAlign w:val="center"/>
          </w:tcPr>
          <w:p w14:paraId="21C234E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c>
          <w:tcPr>
            <w:tcW w:w="1679" w:type="dxa"/>
            <w:tcBorders>
              <w:top w:val="nil"/>
              <w:left w:val="nil"/>
              <w:bottom w:val="single" w:color="auto" w:sz="4" w:space="0"/>
              <w:right w:val="single" w:color="auto" w:sz="4" w:space="0"/>
            </w:tcBorders>
            <w:shd w:val="clear" w:color="auto" w:fill="auto"/>
            <w:noWrap/>
            <w:vAlign w:val="center"/>
          </w:tcPr>
          <w:p w14:paraId="17D78C60">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614D9E1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c>
          <w:tcPr>
            <w:tcW w:w="1679" w:type="dxa"/>
            <w:tcBorders>
              <w:top w:val="nil"/>
              <w:left w:val="nil"/>
              <w:bottom w:val="single" w:color="auto" w:sz="4" w:space="0"/>
              <w:right w:val="single" w:color="auto" w:sz="4" w:space="0"/>
            </w:tcBorders>
            <w:shd w:val="clear" w:color="auto" w:fill="auto"/>
            <w:noWrap/>
            <w:vAlign w:val="center"/>
          </w:tcPr>
          <w:p w14:paraId="5982F23F">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04D11A4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464EBA4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r>
      <w:tr w14:paraId="241A244D">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30953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2040605</w:t>
            </w:r>
          </w:p>
        </w:tc>
        <w:tc>
          <w:tcPr>
            <w:tcW w:w="1249" w:type="dxa"/>
            <w:tcBorders>
              <w:top w:val="nil"/>
              <w:left w:val="nil"/>
              <w:bottom w:val="single" w:color="auto" w:sz="4" w:space="0"/>
              <w:right w:val="single" w:color="auto" w:sz="4" w:space="0"/>
            </w:tcBorders>
            <w:shd w:val="clear" w:color="000000" w:fill="FFFFFF"/>
            <w:noWrap/>
            <w:vAlign w:val="center"/>
          </w:tcPr>
          <w:p w14:paraId="49B137E2">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普法宣传</w:t>
            </w:r>
          </w:p>
        </w:tc>
        <w:tc>
          <w:tcPr>
            <w:tcW w:w="1646" w:type="dxa"/>
            <w:tcBorders>
              <w:top w:val="nil"/>
              <w:left w:val="nil"/>
              <w:bottom w:val="single" w:color="auto" w:sz="4" w:space="0"/>
              <w:right w:val="single" w:color="auto" w:sz="4" w:space="0"/>
            </w:tcBorders>
            <w:shd w:val="clear" w:color="auto" w:fill="auto"/>
            <w:noWrap/>
            <w:vAlign w:val="center"/>
          </w:tcPr>
          <w:p w14:paraId="4D53ECA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c>
          <w:tcPr>
            <w:tcW w:w="1679" w:type="dxa"/>
            <w:tcBorders>
              <w:top w:val="nil"/>
              <w:left w:val="nil"/>
              <w:bottom w:val="single" w:color="auto" w:sz="4" w:space="0"/>
              <w:right w:val="single" w:color="auto" w:sz="4" w:space="0"/>
            </w:tcBorders>
            <w:shd w:val="clear" w:color="auto" w:fill="auto"/>
            <w:noWrap/>
            <w:vAlign w:val="center"/>
          </w:tcPr>
          <w:p w14:paraId="0E9D80C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0A8F199F">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c>
          <w:tcPr>
            <w:tcW w:w="1679" w:type="dxa"/>
            <w:tcBorders>
              <w:top w:val="nil"/>
              <w:left w:val="nil"/>
              <w:bottom w:val="single" w:color="auto" w:sz="4" w:space="0"/>
              <w:right w:val="single" w:color="auto" w:sz="4" w:space="0"/>
            </w:tcBorders>
            <w:shd w:val="clear" w:color="auto" w:fill="auto"/>
            <w:noWrap/>
            <w:vAlign w:val="center"/>
          </w:tcPr>
          <w:p w14:paraId="3B67EB32">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7B81A8B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247C391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r>
      <w:tr w14:paraId="085BBA8C">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D5F4F7">
            <w:pPr>
              <w:keepNext w:val="0"/>
              <w:keepLines w:val="0"/>
              <w:suppressLineNumbers w:val="0"/>
              <w:spacing w:before="0" w:beforeAutospacing="0" w:after="0" w:afterAutospacing="0"/>
              <w:ind w:left="0" w:right="0"/>
              <w:jc w:val="center"/>
              <w:rPr>
                <w:rFonts w:hint="default"/>
                <w:color w:val="auto"/>
              </w:rPr>
            </w:pPr>
            <w:r>
              <w:rPr>
                <w:rFonts w:hint="eastAsia"/>
                <w:color w:val="auto"/>
              </w:rPr>
              <w:t>2040606</w:t>
            </w:r>
          </w:p>
        </w:tc>
        <w:tc>
          <w:tcPr>
            <w:tcW w:w="1249" w:type="dxa"/>
            <w:tcBorders>
              <w:top w:val="nil"/>
              <w:left w:val="nil"/>
              <w:bottom w:val="single" w:color="auto" w:sz="4" w:space="0"/>
              <w:right w:val="single" w:color="auto" w:sz="4" w:space="0"/>
            </w:tcBorders>
            <w:shd w:val="clear" w:color="000000" w:fill="FFFFFF"/>
            <w:noWrap/>
            <w:vAlign w:val="center"/>
          </w:tcPr>
          <w:p w14:paraId="06AE753D">
            <w:pPr>
              <w:keepNext w:val="0"/>
              <w:keepLines w:val="0"/>
              <w:suppressLineNumbers w:val="0"/>
              <w:spacing w:before="0" w:beforeAutospacing="0" w:after="0" w:afterAutospacing="0"/>
              <w:ind w:left="0" w:right="0"/>
              <w:jc w:val="center"/>
              <w:rPr>
                <w:rFonts w:hint="default"/>
                <w:color w:val="auto"/>
              </w:rPr>
            </w:pPr>
            <w:r>
              <w:rPr>
                <w:rFonts w:hint="eastAsia"/>
                <w:color w:val="auto"/>
              </w:rPr>
              <w:t>律师公证管理</w:t>
            </w:r>
          </w:p>
        </w:tc>
        <w:tc>
          <w:tcPr>
            <w:tcW w:w="1646" w:type="dxa"/>
            <w:tcBorders>
              <w:top w:val="nil"/>
              <w:left w:val="nil"/>
              <w:bottom w:val="single" w:color="auto" w:sz="4" w:space="0"/>
              <w:right w:val="single" w:color="auto" w:sz="4" w:space="0"/>
            </w:tcBorders>
            <w:shd w:val="clear" w:color="auto" w:fill="auto"/>
            <w:noWrap/>
            <w:vAlign w:val="center"/>
          </w:tcPr>
          <w:p w14:paraId="6D6C792C">
            <w:pPr>
              <w:keepNext w:val="0"/>
              <w:keepLines w:val="0"/>
              <w:suppressLineNumbers w:val="0"/>
              <w:spacing w:before="0" w:beforeAutospacing="0" w:after="0" w:afterAutospacing="0"/>
              <w:ind w:left="0" w:right="0"/>
              <w:jc w:val="center"/>
              <w:rPr>
                <w:rFonts w:hint="default"/>
                <w:color w:val="auto"/>
              </w:rPr>
            </w:pPr>
            <w:r>
              <w:rPr>
                <w:rFonts w:hint="eastAsia"/>
                <w:color w:val="auto"/>
              </w:rPr>
              <w:t>4.36</w:t>
            </w:r>
          </w:p>
        </w:tc>
        <w:tc>
          <w:tcPr>
            <w:tcW w:w="1679" w:type="dxa"/>
            <w:tcBorders>
              <w:top w:val="nil"/>
              <w:left w:val="nil"/>
              <w:bottom w:val="single" w:color="auto" w:sz="4" w:space="0"/>
              <w:right w:val="single" w:color="auto" w:sz="4" w:space="0"/>
            </w:tcBorders>
            <w:shd w:val="clear" w:color="auto" w:fill="auto"/>
            <w:noWrap/>
            <w:vAlign w:val="center"/>
          </w:tcPr>
          <w:p w14:paraId="0CD48B46">
            <w:pPr>
              <w:keepNext w:val="0"/>
              <w:keepLines w:val="0"/>
              <w:suppressLineNumbers w:val="0"/>
              <w:spacing w:before="0" w:beforeAutospacing="0" w:after="0" w:afterAutospacing="0"/>
              <w:ind w:left="0" w:right="0"/>
              <w:jc w:val="center"/>
              <w:rPr>
                <w:rFonts w:hint="default"/>
                <w:color w:val="auto"/>
              </w:rPr>
            </w:pPr>
            <w:r>
              <w:rPr>
                <w:rFonts w:hint="eastAsia"/>
                <w:color w:val="auto"/>
              </w:rPr>
              <w:t>4.36</w:t>
            </w:r>
          </w:p>
        </w:tc>
        <w:tc>
          <w:tcPr>
            <w:tcW w:w="1679" w:type="dxa"/>
            <w:tcBorders>
              <w:top w:val="nil"/>
              <w:left w:val="nil"/>
              <w:bottom w:val="single" w:color="auto" w:sz="4" w:space="0"/>
              <w:right w:val="single" w:color="auto" w:sz="4" w:space="0"/>
            </w:tcBorders>
            <w:shd w:val="clear" w:color="auto" w:fill="auto"/>
            <w:noWrap/>
            <w:vAlign w:val="center"/>
          </w:tcPr>
          <w:p w14:paraId="58A01AC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6EA5957A">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24039BF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22B7B1C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6BF683BF">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502E7A">
            <w:pPr>
              <w:keepNext w:val="0"/>
              <w:keepLines w:val="0"/>
              <w:suppressLineNumbers w:val="0"/>
              <w:spacing w:before="0" w:beforeAutospacing="0" w:after="0" w:afterAutospacing="0"/>
              <w:ind w:left="0" w:right="0"/>
              <w:jc w:val="center"/>
              <w:rPr>
                <w:rFonts w:hint="default"/>
                <w:color w:val="auto"/>
              </w:rPr>
            </w:pPr>
            <w:r>
              <w:rPr>
                <w:rFonts w:hint="eastAsia"/>
                <w:color w:val="auto"/>
              </w:rPr>
              <w:t>2040607</w:t>
            </w:r>
          </w:p>
        </w:tc>
        <w:tc>
          <w:tcPr>
            <w:tcW w:w="1249" w:type="dxa"/>
            <w:tcBorders>
              <w:top w:val="nil"/>
              <w:left w:val="nil"/>
              <w:bottom w:val="single" w:color="auto" w:sz="4" w:space="0"/>
              <w:right w:val="single" w:color="auto" w:sz="4" w:space="0"/>
            </w:tcBorders>
            <w:shd w:val="clear" w:color="000000" w:fill="FFFFFF"/>
            <w:noWrap/>
            <w:vAlign w:val="center"/>
          </w:tcPr>
          <w:p w14:paraId="3177EBA2">
            <w:pPr>
              <w:keepNext w:val="0"/>
              <w:keepLines w:val="0"/>
              <w:suppressLineNumbers w:val="0"/>
              <w:spacing w:before="0" w:beforeAutospacing="0" w:after="0" w:afterAutospacing="0"/>
              <w:ind w:left="0" w:right="0"/>
              <w:jc w:val="center"/>
              <w:rPr>
                <w:rFonts w:hint="default"/>
                <w:color w:val="auto"/>
              </w:rPr>
            </w:pPr>
            <w:r>
              <w:rPr>
                <w:rFonts w:hint="eastAsia"/>
                <w:color w:val="auto"/>
              </w:rPr>
              <w:t>法律援助</w:t>
            </w:r>
          </w:p>
        </w:tc>
        <w:tc>
          <w:tcPr>
            <w:tcW w:w="1646" w:type="dxa"/>
            <w:tcBorders>
              <w:top w:val="nil"/>
              <w:left w:val="nil"/>
              <w:bottom w:val="single" w:color="auto" w:sz="4" w:space="0"/>
              <w:right w:val="single" w:color="auto" w:sz="4" w:space="0"/>
            </w:tcBorders>
            <w:shd w:val="clear" w:color="auto" w:fill="auto"/>
            <w:noWrap/>
            <w:vAlign w:val="center"/>
          </w:tcPr>
          <w:p w14:paraId="2ACB240A">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47.1</w:t>
            </w:r>
            <w:r>
              <w:rPr>
                <w:rFonts w:hint="eastAsia"/>
                <w:color w:val="auto"/>
                <w:lang w:val="en-US" w:eastAsia="zh-CN"/>
              </w:rPr>
              <w:t>6</w:t>
            </w:r>
          </w:p>
        </w:tc>
        <w:tc>
          <w:tcPr>
            <w:tcW w:w="1679" w:type="dxa"/>
            <w:tcBorders>
              <w:top w:val="nil"/>
              <w:left w:val="nil"/>
              <w:bottom w:val="single" w:color="auto" w:sz="4" w:space="0"/>
              <w:right w:val="single" w:color="auto" w:sz="4" w:space="0"/>
            </w:tcBorders>
            <w:shd w:val="clear" w:color="auto" w:fill="auto"/>
            <w:noWrap/>
            <w:vAlign w:val="center"/>
          </w:tcPr>
          <w:p w14:paraId="3B324D8F">
            <w:pPr>
              <w:keepNext w:val="0"/>
              <w:keepLines w:val="0"/>
              <w:suppressLineNumbers w:val="0"/>
              <w:spacing w:before="0" w:beforeAutospacing="0" w:after="0" w:afterAutospacing="0"/>
              <w:ind w:left="0" w:right="0"/>
              <w:jc w:val="center"/>
              <w:rPr>
                <w:rFonts w:hint="default"/>
                <w:color w:val="auto"/>
              </w:rPr>
            </w:pPr>
          </w:p>
        </w:tc>
        <w:tc>
          <w:tcPr>
            <w:tcW w:w="1679" w:type="dxa"/>
            <w:tcBorders>
              <w:top w:val="nil"/>
              <w:left w:val="nil"/>
              <w:bottom w:val="single" w:color="auto" w:sz="4" w:space="0"/>
              <w:right w:val="single" w:color="auto" w:sz="4" w:space="0"/>
            </w:tcBorders>
            <w:shd w:val="clear" w:color="auto" w:fill="auto"/>
            <w:noWrap/>
            <w:vAlign w:val="center"/>
          </w:tcPr>
          <w:p w14:paraId="16EEAF29">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47.1</w:t>
            </w:r>
            <w:r>
              <w:rPr>
                <w:rFonts w:hint="eastAsia"/>
                <w:color w:val="auto"/>
                <w:lang w:val="en-US" w:eastAsia="zh-CN"/>
              </w:rPr>
              <w:t>6</w:t>
            </w:r>
          </w:p>
        </w:tc>
        <w:tc>
          <w:tcPr>
            <w:tcW w:w="1679" w:type="dxa"/>
            <w:tcBorders>
              <w:top w:val="nil"/>
              <w:left w:val="nil"/>
              <w:bottom w:val="single" w:color="auto" w:sz="4" w:space="0"/>
              <w:right w:val="single" w:color="auto" w:sz="4" w:space="0"/>
            </w:tcBorders>
            <w:shd w:val="clear" w:color="auto" w:fill="auto"/>
            <w:noWrap/>
            <w:vAlign w:val="center"/>
          </w:tcPr>
          <w:p w14:paraId="08831BDF">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2666494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07DC04E2">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p>
        </w:tc>
      </w:tr>
      <w:tr w14:paraId="0A31F7C4">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9D50ED">
            <w:pPr>
              <w:keepNext w:val="0"/>
              <w:keepLines w:val="0"/>
              <w:suppressLineNumbers w:val="0"/>
              <w:spacing w:before="0" w:beforeAutospacing="0" w:after="0" w:afterAutospacing="0"/>
              <w:ind w:left="0" w:right="0"/>
              <w:jc w:val="center"/>
              <w:rPr>
                <w:rFonts w:hint="default"/>
                <w:color w:val="auto"/>
              </w:rPr>
            </w:pPr>
            <w:r>
              <w:rPr>
                <w:rFonts w:hint="eastAsia"/>
                <w:color w:val="auto"/>
              </w:rPr>
              <w:t>2040610</w:t>
            </w:r>
          </w:p>
        </w:tc>
        <w:tc>
          <w:tcPr>
            <w:tcW w:w="1249" w:type="dxa"/>
            <w:tcBorders>
              <w:top w:val="nil"/>
              <w:left w:val="nil"/>
              <w:bottom w:val="single" w:color="auto" w:sz="4" w:space="0"/>
              <w:right w:val="single" w:color="auto" w:sz="4" w:space="0"/>
            </w:tcBorders>
            <w:shd w:val="clear" w:color="000000" w:fill="FFFFFF"/>
            <w:noWrap/>
            <w:vAlign w:val="center"/>
          </w:tcPr>
          <w:p w14:paraId="45F73D4E">
            <w:pPr>
              <w:keepNext w:val="0"/>
              <w:keepLines w:val="0"/>
              <w:suppressLineNumbers w:val="0"/>
              <w:spacing w:before="0" w:beforeAutospacing="0" w:after="0" w:afterAutospacing="0"/>
              <w:ind w:left="0" w:right="0"/>
              <w:jc w:val="center"/>
              <w:rPr>
                <w:rFonts w:hint="default"/>
                <w:color w:val="auto"/>
              </w:rPr>
            </w:pPr>
            <w:r>
              <w:rPr>
                <w:rFonts w:hint="eastAsia"/>
                <w:color w:val="auto"/>
              </w:rPr>
              <w:t>社区矫正</w:t>
            </w:r>
          </w:p>
        </w:tc>
        <w:tc>
          <w:tcPr>
            <w:tcW w:w="1646" w:type="dxa"/>
            <w:tcBorders>
              <w:top w:val="nil"/>
              <w:left w:val="nil"/>
              <w:bottom w:val="single" w:color="auto" w:sz="4" w:space="0"/>
              <w:right w:val="single" w:color="auto" w:sz="4" w:space="0"/>
            </w:tcBorders>
            <w:shd w:val="clear" w:color="auto" w:fill="auto"/>
            <w:noWrap/>
            <w:vAlign w:val="center"/>
          </w:tcPr>
          <w:p w14:paraId="1E495A6C">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c>
          <w:tcPr>
            <w:tcW w:w="1679" w:type="dxa"/>
            <w:tcBorders>
              <w:top w:val="nil"/>
              <w:left w:val="nil"/>
              <w:bottom w:val="single" w:color="auto" w:sz="4" w:space="0"/>
              <w:right w:val="single" w:color="auto" w:sz="4" w:space="0"/>
            </w:tcBorders>
            <w:shd w:val="clear" w:color="auto" w:fill="auto"/>
            <w:noWrap/>
            <w:vAlign w:val="center"/>
          </w:tcPr>
          <w:p w14:paraId="0338DE47">
            <w:pPr>
              <w:keepNext w:val="0"/>
              <w:keepLines w:val="0"/>
              <w:suppressLineNumbers w:val="0"/>
              <w:spacing w:before="0" w:beforeAutospacing="0" w:after="0" w:afterAutospacing="0"/>
              <w:ind w:left="0" w:right="0"/>
              <w:jc w:val="center"/>
              <w:rPr>
                <w:rFonts w:hint="default"/>
                <w:color w:val="auto"/>
              </w:rPr>
            </w:pPr>
          </w:p>
        </w:tc>
        <w:tc>
          <w:tcPr>
            <w:tcW w:w="1679" w:type="dxa"/>
            <w:tcBorders>
              <w:top w:val="nil"/>
              <w:left w:val="nil"/>
              <w:bottom w:val="single" w:color="auto" w:sz="4" w:space="0"/>
              <w:right w:val="single" w:color="auto" w:sz="4" w:space="0"/>
            </w:tcBorders>
            <w:shd w:val="clear" w:color="auto" w:fill="auto"/>
            <w:noWrap/>
            <w:vAlign w:val="center"/>
          </w:tcPr>
          <w:p w14:paraId="19997F7F">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c>
          <w:tcPr>
            <w:tcW w:w="1679" w:type="dxa"/>
            <w:tcBorders>
              <w:top w:val="nil"/>
              <w:left w:val="nil"/>
              <w:bottom w:val="single" w:color="auto" w:sz="4" w:space="0"/>
              <w:right w:val="single" w:color="auto" w:sz="4" w:space="0"/>
            </w:tcBorders>
            <w:shd w:val="clear" w:color="auto" w:fill="auto"/>
            <w:noWrap/>
            <w:vAlign w:val="center"/>
          </w:tcPr>
          <w:p w14:paraId="6CA3BC0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1F9E41A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694104E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3B23CAEF">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0E19D64">
            <w:pPr>
              <w:keepNext w:val="0"/>
              <w:keepLines w:val="0"/>
              <w:suppressLineNumbers w:val="0"/>
              <w:spacing w:before="0" w:beforeAutospacing="0" w:after="0" w:afterAutospacing="0"/>
              <w:ind w:left="0" w:right="0"/>
              <w:jc w:val="center"/>
              <w:rPr>
                <w:rFonts w:hint="default"/>
                <w:color w:val="auto"/>
              </w:rPr>
            </w:pPr>
            <w:r>
              <w:rPr>
                <w:rFonts w:hint="eastAsia"/>
                <w:color w:val="auto"/>
              </w:rPr>
              <w:t>2040699</w:t>
            </w:r>
          </w:p>
        </w:tc>
        <w:tc>
          <w:tcPr>
            <w:tcW w:w="1249" w:type="dxa"/>
            <w:tcBorders>
              <w:top w:val="nil"/>
              <w:left w:val="nil"/>
              <w:bottom w:val="single" w:color="auto" w:sz="4" w:space="0"/>
              <w:right w:val="single" w:color="auto" w:sz="4" w:space="0"/>
            </w:tcBorders>
            <w:shd w:val="clear" w:color="000000" w:fill="FFFFFF"/>
            <w:noWrap/>
            <w:vAlign w:val="center"/>
          </w:tcPr>
          <w:p w14:paraId="6379A4F2">
            <w:pPr>
              <w:keepNext w:val="0"/>
              <w:keepLines w:val="0"/>
              <w:suppressLineNumbers w:val="0"/>
              <w:spacing w:before="0" w:beforeAutospacing="0" w:after="0" w:afterAutospacing="0"/>
              <w:ind w:left="0" w:right="0"/>
              <w:jc w:val="center"/>
              <w:rPr>
                <w:rFonts w:hint="default"/>
                <w:color w:val="auto"/>
              </w:rPr>
            </w:pPr>
            <w:r>
              <w:rPr>
                <w:rFonts w:hint="eastAsia"/>
                <w:color w:val="auto"/>
              </w:rPr>
              <w:t>其他司法支出</w:t>
            </w:r>
          </w:p>
        </w:tc>
        <w:tc>
          <w:tcPr>
            <w:tcW w:w="1646" w:type="dxa"/>
            <w:tcBorders>
              <w:top w:val="nil"/>
              <w:left w:val="nil"/>
              <w:bottom w:val="single" w:color="auto" w:sz="4" w:space="0"/>
              <w:right w:val="single" w:color="auto" w:sz="4" w:space="0"/>
            </w:tcBorders>
            <w:shd w:val="clear" w:color="auto" w:fill="auto"/>
            <w:noWrap/>
            <w:vAlign w:val="center"/>
          </w:tcPr>
          <w:p w14:paraId="62E31E09">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7</w:t>
            </w:r>
          </w:p>
        </w:tc>
        <w:tc>
          <w:tcPr>
            <w:tcW w:w="1679" w:type="dxa"/>
            <w:tcBorders>
              <w:top w:val="nil"/>
              <w:left w:val="nil"/>
              <w:bottom w:val="single" w:color="auto" w:sz="4" w:space="0"/>
              <w:right w:val="single" w:color="auto" w:sz="4" w:space="0"/>
            </w:tcBorders>
            <w:shd w:val="clear" w:color="auto" w:fill="auto"/>
            <w:noWrap/>
            <w:vAlign w:val="center"/>
          </w:tcPr>
          <w:p w14:paraId="5AF59FC4">
            <w:pPr>
              <w:keepNext w:val="0"/>
              <w:keepLines w:val="0"/>
              <w:suppressLineNumbers w:val="0"/>
              <w:spacing w:before="0" w:beforeAutospacing="0" w:after="0" w:afterAutospacing="0"/>
              <w:ind w:left="0" w:right="0"/>
              <w:jc w:val="center"/>
              <w:rPr>
                <w:rFonts w:hint="default"/>
                <w:color w:val="auto"/>
              </w:rPr>
            </w:pPr>
          </w:p>
        </w:tc>
        <w:tc>
          <w:tcPr>
            <w:tcW w:w="1679" w:type="dxa"/>
            <w:tcBorders>
              <w:top w:val="nil"/>
              <w:left w:val="nil"/>
              <w:bottom w:val="single" w:color="auto" w:sz="4" w:space="0"/>
              <w:right w:val="single" w:color="auto" w:sz="4" w:space="0"/>
            </w:tcBorders>
            <w:shd w:val="clear" w:color="auto" w:fill="auto"/>
            <w:noWrap/>
            <w:vAlign w:val="center"/>
          </w:tcPr>
          <w:p w14:paraId="17EE8512">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7</w:t>
            </w:r>
          </w:p>
        </w:tc>
        <w:tc>
          <w:tcPr>
            <w:tcW w:w="1679" w:type="dxa"/>
            <w:tcBorders>
              <w:top w:val="nil"/>
              <w:left w:val="nil"/>
              <w:bottom w:val="single" w:color="auto" w:sz="4" w:space="0"/>
              <w:right w:val="single" w:color="auto" w:sz="4" w:space="0"/>
            </w:tcBorders>
            <w:shd w:val="clear" w:color="auto" w:fill="auto"/>
            <w:noWrap/>
            <w:vAlign w:val="center"/>
          </w:tcPr>
          <w:p w14:paraId="453E5FD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6836EDB6">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73F0F08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5B3DDA57">
        <w:tblPrEx>
          <w:tblCellMar>
            <w:top w:w="0" w:type="dxa"/>
            <w:left w:w="108" w:type="dxa"/>
            <w:bottom w:w="0" w:type="dxa"/>
            <w:right w:w="108" w:type="dxa"/>
          </w:tblCellMar>
        </w:tblPrEx>
        <w:trPr>
          <w:trHeight w:val="630" w:hRule="atLeast"/>
        </w:trPr>
        <w:tc>
          <w:tcPr>
            <w:tcW w:w="13387" w:type="dxa"/>
            <w:gridSpan w:val="9"/>
            <w:tcBorders>
              <w:top w:val="nil"/>
              <w:left w:val="nil"/>
              <w:bottom w:val="nil"/>
              <w:right w:val="nil"/>
            </w:tcBorders>
            <w:shd w:val="clear" w:color="auto" w:fill="auto"/>
            <w:vAlign w:val="center"/>
          </w:tcPr>
          <w:p w14:paraId="3CBAD7E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注：本表反映部门本年度各项支出情况。</w:t>
            </w:r>
          </w:p>
        </w:tc>
      </w:tr>
    </w:tbl>
    <w:p w14:paraId="05D7EED0">
      <w:pPr>
        <w:widowControl/>
        <w:rPr>
          <w:rFonts w:ascii="Times New Roman" w:hAnsi="Times New Roman" w:eastAsia="方正小标宋_GBK" w:cs="Times New Roman"/>
          <w:color w:val="auto"/>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436"/>
        <w:gridCol w:w="1078"/>
        <w:gridCol w:w="3411"/>
        <w:gridCol w:w="632"/>
        <w:gridCol w:w="435"/>
        <w:gridCol w:w="1573"/>
        <w:gridCol w:w="1394"/>
        <w:gridCol w:w="1394"/>
        <w:gridCol w:w="1573"/>
      </w:tblGrid>
      <w:tr w14:paraId="5978A58F">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52C2B33F">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auto"/>
                <w:kern w:val="0"/>
                <w:sz w:val="32"/>
                <w:szCs w:val="32"/>
              </w:rPr>
            </w:pPr>
            <w:bookmarkStart w:id="0" w:name="RANGE!A1:I22"/>
            <w:bookmarkEnd w:id="0"/>
            <w:bookmarkStart w:id="1" w:name="RANGE!A1:F16"/>
            <w:r>
              <w:rPr>
                <w:rFonts w:hint="eastAsia" w:ascii="华文中宋" w:hAnsi="华文中宋" w:eastAsia="华文中宋" w:cs="宋体"/>
                <w:color w:val="auto"/>
                <w:kern w:val="0"/>
                <w:sz w:val="32"/>
                <w:szCs w:val="32"/>
              </w:rPr>
              <w:t>财政拨款收入支出决算总表</w:t>
            </w:r>
          </w:p>
        </w:tc>
      </w:tr>
      <w:tr w14:paraId="35AE7F76">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265F87A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36" w:type="dxa"/>
            <w:tcBorders>
              <w:top w:val="nil"/>
              <w:left w:val="nil"/>
              <w:bottom w:val="nil"/>
              <w:right w:val="nil"/>
            </w:tcBorders>
            <w:shd w:val="clear" w:color="000000" w:fill="FFFFFF"/>
            <w:noWrap/>
            <w:vAlign w:val="center"/>
          </w:tcPr>
          <w:p w14:paraId="5986197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078" w:type="dxa"/>
            <w:tcBorders>
              <w:top w:val="nil"/>
              <w:left w:val="nil"/>
              <w:bottom w:val="nil"/>
              <w:right w:val="nil"/>
            </w:tcBorders>
            <w:shd w:val="clear" w:color="000000" w:fill="FFFFFF"/>
            <w:noWrap/>
            <w:vAlign w:val="center"/>
          </w:tcPr>
          <w:p w14:paraId="0B9FFB1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043" w:type="dxa"/>
            <w:gridSpan w:val="2"/>
            <w:tcBorders>
              <w:top w:val="nil"/>
              <w:left w:val="nil"/>
              <w:bottom w:val="nil"/>
              <w:right w:val="nil"/>
            </w:tcBorders>
            <w:shd w:val="clear" w:color="000000" w:fill="FFFFFF"/>
            <w:noWrap/>
            <w:vAlign w:val="center"/>
          </w:tcPr>
          <w:p w14:paraId="2CFB5BED">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35" w:type="dxa"/>
            <w:tcBorders>
              <w:top w:val="nil"/>
              <w:left w:val="nil"/>
              <w:bottom w:val="nil"/>
              <w:right w:val="nil"/>
            </w:tcBorders>
            <w:shd w:val="clear" w:color="000000" w:fill="FFFFFF"/>
            <w:noWrap/>
            <w:vAlign w:val="center"/>
          </w:tcPr>
          <w:p w14:paraId="635484B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73" w:type="dxa"/>
            <w:tcBorders>
              <w:top w:val="nil"/>
              <w:left w:val="nil"/>
              <w:bottom w:val="nil"/>
              <w:right w:val="nil"/>
            </w:tcBorders>
            <w:shd w:val="clear" w:color="000000" w:fill="FFFFFF"/>
            <w:noWrap/>
            <w:vAlign w:val="center"/>
          </w:tcPr>
          <w:p w14:paraId="6363855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394" w:type="dxa"/>
            <w:tcBorders>
              <w:top w:val="nil"/>
              <w:left w:val="nil"/>
              <w:bottom w:val="nil"/>
              <w:right w:val="nil"/>
            </w:tcBorders>
            <w:shd w:val="clear" w:color="000000" w:fill="FFFFFF"/>
            <w:noWrap/>
            <w:vAlign w:val="center"/>
          </w:tcPr>
          <w:p w14:paraId="2646ABA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394" w:type="dxa"/>
            <w:tcBorders>
              <w:top w:val="nil"/>
              <w:left w:val="nil"/>
              <w:bottom w:val="nil"/>
              <w:right w:val="nil"/>
            </w:tcBorders>
            <w:shd w:val="clear" w:color="000000" w:fill="FFFFFF"/>
            <w:noWrap/>
            <w:vAlign w:val="center"/>
          </w:tcPr>
          <w:p w14:paraId="10AF8AF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73" w:type="dxa"/>
            <w:tcBorders>
              <w:top w:val="nil"/>
              <w:left w:val="nil"/>
              <w:bottom w:val="nil"/>
              <w:right w:val="nil"/>
            </w:tcBorders>
            <w:shd w:val="clear" w:color="000000" w:fill="FFFFFF"/>
            <w:noWrap/>
            <w:vAlign w:val="center"/>
          </w:tcPr>
          <w:p w14:paraId="6A4F3E6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公开04表</w:t>
            </w:r>
          </w:p>
        </w:tc>
      </w:tr>
      <w:tr w14:paraId="5C9C2719">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435E763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部门：湘潭县司法局</w:t>
            </w:r>
          </w:p>
        </w:tc>
        <w:tc>
          <w:tcPr>
            <w:tcW w:w="436" w:type="dxa"/>
            <w:tcBorders>
              <w:top w:val="nil"/>
              <w:left w:val="nil"/>
              <w:bottom w:val="nil"/>
              <w:right w:val="nil"/>
            </w:tcBorders>
            <w:shd w:val="clear" w:color="000000" w:fill="FFFFFF"/>
            <w:noWrap/>
            <w:vAlign w:val="center"/>
          </w:tcPr>
          <w:p w14:paraId="79C98306">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078" w:type="dxa"/>
            <w:tcBorders>
              <w:top w:val="nil"/>
              <w:left w:val="nil"/>
              <w:bottom w:val="nil"/>
              <w:right w:val="nil"/>
            </w:tcBorders>
            <w:shd w:val="clear" w:color="000000" w:fill="FFFFFF"/>
            <w:noWrap/>
            <w:vAlign w:val="center"/>
          </w:tcPr>
          <w:p w14:paraId="5D8A1E3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043" w:type="dxa"/>
            <w:gridSpan w:val="2"/>
            <w:tcBorders>
              <w:top w:val="nil"/>
              <w:left w:val="nil"/>
              <w:bottom w:val="nil"/>
              <w:right w:val="nil"/>
            </w:tcBorders>
            <w:shd w:val="clear" w:color="000000" w:fill="FFFFFF"/>
            <w:noWrap/>
            <w:vAlign w:val="center"/>
          </w:tcPr>
          <w:p w14:paraId="7E268D2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435" w:type="dxa"/>
            <w:tcBorders>
              <w:top w:val="nil"/>
              <w:left w:val="nil"/>
              <w:bottom w:val="nil"/>
              <w:right w:val="nil"/>
            </w:tcBorders>
            <w:shd w:val="clear" w:color="000000" w:fill="FFFFFF"/>
            <w:noWrap/>
            <w:vAlign w:val="center"/>
          </w:tcPr>
          <w:p w14:paraId="2DE82E0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73" w:type="dxa"/>
            <w:tcBorders>
              <w:top w:val="nil"/>
              <w:left w:val="nil"/>
              <w:bottom w:val="nil"/>
              <w:right w:val="nil"/>
            </w:tcBorders>
            <w:shd w:val="clear" w:color="000000" w:fill="FFFFFF"/>
            <w:noWrap/>
            <w:vAlign w:val="center"/>
          </w:tcPr>
          <w:p w14:paraId="74721AC6">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394" w:type="dxa"/>
            <w:tcBorders>
              <w:top w:val="nil"/>
              <w:left w:val="nil"/>
              <w:bottom w:val="nil"/>
              <w:right w:val="nil"/>
            </w:tcBorders>
            <w:shd w:val="clear" w:color="000000" w:fill="FFFFFF"/>
            <w:noWrap/>
            <w:vAlign w:val="center"/>
          </w:tcPr>
          <w:p w14:paraId="78A5BA8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394" w:type="dxa"/>
            <w:tcBorders>
              <w:top w:val="nil"/>
              <w:left w:val="nil"/>
              <w:bottom w:val="nil"/>
              <w:right w:val="nil"/>
            </w:tcBorders>
            <w:shd w:val="clear" w:color="000000" w:fill="FFFFFF"/>
            <w:noWrap/>
            <w:vAlign w:val="center"/>
          </w:tcPr>
          <w:p w14:paraId="56116AA2">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73" w:type="dxa"/>
            <w:tcBorders>
              <w:top w:val="nil"/>
              <w:left w:val="nil"/>
              <w:bottom w:val="nil"/>
              <w:right w:val="nil"/>
            </w:tcBorders>
            <w:shd w:val="clear" w:color="000000" w:fill="FFFFFF"/>
            <w:noWrap/>
            <w:vAlign w:val="center"/>
          </w:tcPr>
          <w:p w14:paraId="031964D8">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单位：万元</w:t>
            </w:r>
          </w:p>
        </w:tc>
      </w:tr>
      <w:tr w14:paraId="690DD3B2">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2DD1AB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2252791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支出</w:t>
            </w:r>
          </w:p>
        </w:tc>
      </w:tr>
      <w:tr w14:paraId="32671268">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F98A9C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11B8FF5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DA6B11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14:paraId="1991AB2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3BFD4BB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36552DF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68CA747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08AF02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CF5A66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国有资本经营预算财政拨款</w:t>
            </w:r>
          </w:p>
        </w:tc>
      </w:tr>
      <w:tr w14:paraId="30A3EBF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1E1914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655BE8B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6817DEB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14:paraId="3DF7DB3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430EFE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494B68C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2522A24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3EE4B53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5957C2A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5</w:t>
            </w:r>
          </w:p>
        </w:tc>
      </w:tr>
      <w:tr w14:paraId="46D0A0C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BBE63E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13EBCD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48A9A6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3411" w:type="dxa"/>
            <w:tcBorders>
              <w:top w:val="nil"/>
              <w:left w:val="nil"/>
              <w:bottom w:val="single" w:color="auto" w:sz="4" w:space="0"/>
              <w:right w:val="single" w:color="auto" w:sz="4" w:space="0"/>
            </w:tcBorders>
            <w:shd w:val="clear" w:color="auto" w:fill="auto"/>
            <w:noWrap/>
            <w:vAlign w:val="center"/>
          </w:tcPr>
          <w:p w14:paraId="64C1F6E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BB6D69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1B341FA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216E94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392874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EC12F3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5433F53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009875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FED1D4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0F82CF29">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0C60746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C6B195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558F5FD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C4F395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4BDF8D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72CC60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43CE277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F62DE1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2094D1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4D5E2B66">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07D2D37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0E3B61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D9FD8A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7A50BF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4E720B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6F8152">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262BC11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DE9373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FC07BC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5E2F951E">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30A6AB9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B3728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09E2072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auto" w:fill="auto"/>
            <w:noWrap/>
            <w:vAlign w:val="center"/>
          </w:tcPr>
          <w:p w14:paraId="4243636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auto" w:fill="auto"/>
            <w:noWrap/>
            <w:vAlign w:val="center"/>
          </w:tcPr>
          <w:p w14:paraId="597AF26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A3A80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190E611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9685ED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D45E02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6902E6D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64ED38C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E0F2FD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2F8F608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26D35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E0078B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ABE29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20F7C8E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442DD7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9435CE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5D31E8CB">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7C2A982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DFD87C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301A98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AF30E0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9DF123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1BA5F8C">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651DFD1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EEA5D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BF7B6B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662F7124">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4E6E94C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14:paraId="7387AA6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1DAAF53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481A86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E7121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07C236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57D4764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DCB183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740685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27093DB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4B36D98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838D32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133DCF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EA2BFC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186A82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FB3E07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192CAF3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FEC714">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667CD7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6DC40113">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3411" w:type="dxa"/>
            <w:tcBorders>
              <w:top w:val="nil"/>
              <w:left w:val="nil"/>
              <w:bottom w:val="single" w:color="auto" w:sz="4" w:space="0"/>
              <w:right w:val="single" w:color="auto" w:sz="4" w:space="0"/>
            </w:tcBorders>
            <w:shd w:val="clear" w:color="auto" w:fill="auto"/>
            <w:noWrap/>
            <w:vAlign w:val="center"/>
          </w:tcPr>
          <w:p w14:paraId="2C1956E2">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0CF9566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06B7363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auto" w:fill="auto"/>
            <w:noWrap/>
            <w:vAlign w:val="center"/>
          </w:tcPr>
          <w:p w14:paraId="0FB4212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auto" w:fill="auto"/>
            <w:noWrap/>
            <w:vAlign w:val="center"/>
          </w:tcPr>
          <w:p w14:paraId="6051763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5FAB896">
            <w:pPr>
              <w:keepNext w:val="0"/>
              <w:keepLines w:val="0"/>
              <w:widowControl/>
              <w:suppressLineNumbers w:val="0"/>
              <w:spacing w:before="0" w:beforeAutospacing="0" w:after="0" w:afterAutospacing="0"/>
              <w:ind w:left="0" w:right="0"/>
              <w:jc w:val="left"/>
              <w:rPr>
                <w:rFonts w:hint="default" w:ascii="宋体" w:hAnsi="宋体" w:eastAsia="宋体" w:cs="宋体"/>
                <w:b/>
                <w:bCs/>
                <w:color w:val="auto"/>
                <w:kern w:val="0"/>
                <w:sz w:val="22"/>
              </w:rPr>
            </w:pPr>
            <w:r>
              <w:rPr>
                <w:rFonts w:hint="eastAsia" w:ascii="宋体" w:hAnsi="宋体" w:eastAsia="宋体" w:cs="宋体"/>
                <w:b/>
                <w:bCs/>
                <w:color w:val="auto"/>
                <w:kern w:val="0"/>
                <w:sz w:val="22"/>
              </w:rPr>
              <w:t>　</w:t>
            </w:r>
          </w:p>
        </w:tc>
      </w:tr>
      <w:tr w14:paraId="5EFFCF4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960527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0E0049C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5636306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546EC89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6C81734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1BB2F4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D2B8A8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43B0DE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D6C7F5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38995C0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A88741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D32A40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04C7D671">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15771C5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9A4C27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00ABB0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B2E787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D0835C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A5CF0F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1C76F57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344644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D5414C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71AE34C5">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651D65E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33EAB2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3B58257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FDCCAF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DF3DE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DE8362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58C8A1E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E547C3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0B17D7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16B41357">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3FBA9A2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2025E9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7B164C8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B6C86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A5755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B291EE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2"/>
              </w:rPr>
            </w:pPr>
            <w:r>
              <w:rPr>
                <w:rFonts w:hint="eastAsia" w:ascii="宋体" w:hAnsi="宋体" w:eastAsia="宋体" w:cs="宋体"/>
                <w:color w:val="auto"/>
                <w:kern w:val="0"/>
                <w:sz w:val="22"/>
              </w:rPr>
              <w:t>　</w:t>
            </w:r>
          </w:p>
        </w:tc>
      </w:tr>
      <w:tr w14:paraId="21C400A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48B24A5A">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12C2912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1DEA5FD2">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2"/>
              </w:rPr>
            </w:pPr>
            <w:r>
              <w:rPr>
                <w:rFonts w:hint="eastAsia" w:ascii="宋体" w:hAnsi="宋体" w:eastAsia="宋体" w:cs="宋体"/>
                <w:color w:val="auto"/>
                <w:kern w:val="0"/>
                <w:sz w:val="22"/>
              </w:rPr>
              <w:t>1882.5　</w:t>
            </w:r>
          </w:p>
        </w:tc>
        <w:tc>
          <w:tcPr>
            <w:tcW w:w="3411" w:type="dxa"/>
            <w:tcBorders>
              <w:top w:val="nil"/>
              <w:left w:val="nil"/>
              <w:bottom w:val="single" w:color="auto" w:sz="4" w:space="0"/>
              <w:right w:val="single" w:color="auto" w:sz="4" w:space="0"/>
            </w:tcBorders>
            <w:shd w:val="clear" w:color="000000" w:fill="FFFFFF"/>
            <w:noWrap/>
            <w:vAlign w:val="center"/>
          </w:tcPr>
          <w:p w14:paraId="18CDF01A">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 w:val="22"/>
              </w:rPr>
            </w:pPr>
            <w:r>
              <w:rPr>
                <w:rFonts w:hint="eastAsia" w:ascii="宋体" w:hAnsi="宋体" w:eastAsia="宋体" w:cs="宋体"/>
                <w:b/>
                <w:bCs/>
                <w:color w:val="auto"/>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7215F23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219444F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000000" w:fill="FFFFFF"/>
            <w:noWrap/>
            <w:vAlign w:val="center"/>
          </w:tcPr>
          <w:p w14:paraId="678A0A4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2"/>
              </w:rPr>
            </w:pPr>
            <w:r>
              <w:rPr>
                <w:rFonts w:hint="eastAsia" w:ascii="宋体" w:hAnsi="宋体" w:eastAsia="宋体" w:cs="宋体"/>
                <w:color w:val="auto"/>
                <w:kern w:val="0"/>
                <w:sz w:val="22"/>
              </w:rPr>
              <w:t>1882.50　</w:t>
            </w:r>
          </w:p>
        </w:tc>
        <w:tc>
          <w:tcPr>
            <w:tcW w:w="1394" w:type="dxa"/>
            <w:tcBorders>
              <w:top w:val="nil"/>
              <w:left w:val="nil"/>
              <w:bottom w:val="single" w:color="auto" w:sz="4" w:space="0"/>
              <w:right w:val="single" w:color="auto" w:sz="4" w:space="0"/>
            </w:tcBorders>
            <w:shd w:val="clear" w:color="auto" w:fill="auto"/>
            <w:noWrap/>
            <w:vAlign w:val="center"/>
          </w:tcPr>
          <w:p w14:paraId="31C8F404">
            <w:pPr>
              <w:keepNext w:val="0"/>
              <w:keepLines w:val="0"/>
              <w:widowControl/>
              <w:suppressLineNumbers w:val="0"/>
              <w:spacing w:before="0" w:beforeAutospacing="0" w:after="0" w:afterAutospacing="0"/>
              <w:ind w:left="0" w:right="0"/>
              <w:jc w:val="left"/>
              <w:rPr>
                <w:rFonts w:hint="default" w:ascii="宋体" w:hAnsi="宋体" w:eastAsia="宋体" w:cs="宋体"/>
                <w:b/>
                <w:bCs/>
                <w:color w:val="auto"/>
                <w:kern w:val="0"/>
                <w:sz w:val="22"/>
              </w:rPr>
            </w:pPr>
            <w:r>
              <w:rPr>
                <w:rFonts w:hint="eastAsia" w:ascii="宋体" w:hAnsi="宋体" w:eastAsia="宋体" w:cs="宋体"/>
                <w:b/>
                <w:bCs/>
                <w:color w:val="auto"/>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63F5385">
            <w:pPr>
              <w:keepNext w:val="0"/>
              <w:keepLines w:val="0"/>
              <w:widowControl/>
              <w:suppressLineNumbers w:val="0"/>
              <w:spacing w:before="0" w:beforeAutospacing="0" w:after="0" w:afterAutospacing="0"/>
              <w:ind w:left="0" w:right="0"/>
              <w:jc w:val="left"/>
              <w:rPr>
                <w:rFonts w:hint="default" w:ascii="宋体" w:hAnsi="宋体" w:eastAsia="宋体" w:cs="宋体"/>
                <w:b/>
                <w:bCs/>
                <w:color w:val="auto"/>
                <w:kern w:val="0"/>
                <w:sz w:val="22"/>
              </w:rPr>
            </w:pPr>
            <w:r>
              <w:rPr>
                <w:rFonts w:hint="eastAsia" w:ascii="宋体" w:hAnsi="宋体" w:eastAsia="宋体" w:cs="宋体"/>
                <w:b/>
                <w:bCs/>
                <w:color w:val="auto"/>
                <w:kern w:val="0"/>
                <w:sz w:val="22"/>
              </w:rPr>
              <w:t>　</w:t>
            </w:r>
          </w:p>
        </w:tc>
      </w:tr>
      <w:tr w14:paraId="3DA83E33">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70D94EC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注：本表反映部门本年度一般公共预算财政拨款、政府性基金预算财政拨款和国有资本经营预算财政拨款的总收支和年末结转结余情况。</w:t>
            </w:r>
          </w:p>
        </w:tc>
      </w:tr>
    </w:tbl>
    <w:p w14:paraId="07DFEAA5">
      <w:pPr>
        <w:widowControl/>
        <w:rPr>
          <w:rFonts w:ascii="Times New Roman" w:hAnsi="Times New Roman" w:eastAsia="方正小标宋_GBK" w:cs="Times New Roman"/>
          <w:color w:val="auto"/>
          <w:kern w:val="0"/>
          <w:sz w:val="36"/>
          <w:szCs w:val="36"/>
        </w:rPr>
      </w:pPr>
    </w:p>
    <w:p w14:paraId="5235462C">
      <w:pPr>
        <w:widowControl/>
        <w:jc w:val="center"/>
        <w:rPr>
          <w:rFonts w:ascii="Times New Roman" w:hAnsi="Times New Roman" w:eastAsia="方正小标宋_GBK" w:cs="Times New Roman"/>
          <w:color w:val="auto"/>
          <w:kern w:val="0"/>
          <w:sz w:val="36"/>
          <w:szCs w:val="36"/>
        </w:rPr>
      </w:pPr>
      <w:r>
        <w:rPr>
          <w:rFonts w:ascii="Times New Roman" w:hAnsi="Times New Roman" w:eastAsia="方正小标宋_GBK" w:cs="Times New Roman"/>
          <w:color w:val="auto"/>
          <w:kern w:val="0"/>
          <w:sz w:val="36"/>
          <w:szCs w:val="36"/>
        </w:rPr>
        <w:t>一般公共预算财政拨款支出决算表</w:t>
      </w:r>
      <w:bookmarkEnd w:id="1"/>
    </w:p>
    <w:p w14:paraId="24C463ED">
      <w:pPr>
        <w:widowControl/>
        <w:spacing w:beforeLines="50"/>
        <w:ind w:firstLine="945" w:firstLineChars="450"/>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rPr>
        <w:t xml:space="preserve"> 湘潭县司法局                                                                                                  </w:t>
      </w:r>
      <w:r>
        <w:rPr>
          <w:rFonts w:ascii="Times New Roman" w:hAnsi="Times New Roman" w:eastAsia="仿宋_GB2312" w:cs="Times New Roman"/>
          <w:color w:val="auto"/>
          <w:kern w:val="0"/>
          <w:szCs w:val="21"/>
        </w:rPr>
        <w:t>公开05表</w:t>
      </w:r>
    </w:p>
    <w:p w14:paraId="269B6BA2">
      <w:pPr>
        <w:widowControl/>
        <w:ind w:firstLine="13230" w:firstLineChars="6300"/>
        <w:jc w:val="left"/>
        <w:rPr>
          <w:rFonts w:ascii="Times New Roman" w:hAnsi="Times New Roman" w:eastAsia="宋体" w:cs="Times New Roman"/>
          <w:color w:val="auto"/>
          <w:kern w:val="0"/>
          <w:sz w:val="20"/>
          <w:szCs w:val="20"/>
        </w:rPr>
      </w:pPr>
      <w:r>
        <w:rPr>
          <w:rFonts w:ascii="Times New Roman" w:hAnsi="Times New Roman" w:eastAsia="仿宋_GB2312" w:cs="Times New Roman"/>
          <w:color w:val="auto"/>
          <w:kern w:val="0"/>
          <w:szCs w:val="21"/>
        </w:rPr>
        <w:t>单位：万元</w:t>
      </w:r>
    </w:p>
    <w:tbl>
      <w:tblPr>
        <w:tblStyle w:val="6"/>
        <w:tblW w:w="14219" w:type="dxa"/>
        <w:jc w:val="center"/>
        <w:tblLayout w:type="fixed"/>
        <w:tblCellMar>
          <w:top w:w="0" w:type="dxa"/>
          <w:left w:w="108" w:type="dxa"/>
          <w:bottom w:w="0" w:type="dxa"/>
          <w:right w:w="108" w:type="dxa"/>
        </w:tblCellMar>
      </w:tblPr>
      <w:tblGrid>
        <w:gridCol w:w="1200"/>
        <w:gridCol w:w="3527"/>
        <w:gridCol w:w="3000"/>
        <w:gridCol w:w="3492"/>
        <w:gridCol w:w="3000"/>
      </w:tblGrid>
      <w:tr w14:paraId="7BE8981F">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3B567B3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5252786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本年支出</w:t>
            </w:r>
          </w:p>
        </w:tc>
      </w:tr>
      <w:tr w14:paraId="2F5C6841">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F357AD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41FB69E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7447270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945B4E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1C809C0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项目支出</w:t>
            </w:r>
          </w:p>
        </w:tc>
      </w:tr>
      <w:tr w14:paraId="2EFCD021">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2E7CC3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43FCFB0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10379D0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6BAFC3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D69092F">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r>
      <w:tr w14:paraId="58D2BC31">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849FB5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716015D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0E86D43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02725E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66E5DD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r>
      <w:tr w14:paraId="7BC9163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3A8C353">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57C337F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BD4C9F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50666B6A">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w:t>
            </w:r>
          </w:p>
        </w:tc>
      </w:tr>
      <w:tr w14:paraId="030146AA">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481017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031B4F0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color w:val="auto"/>
              </w:rPr>
              <w:t>1882.50</w:t>
            </w:r>
            <w:r>
              <w:rPr>
                <w:rFonts w:hint="default" w:ascii="Times New Roman" w:hAnsi="Times New Roman" w:eastAsia="仿宋_GB2312" w:cs="Times New Roman"/>
                <w:color w:val="auto"/>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7D2AFEB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color w:val="auto"/>
              </w:rPr>
              <w:t>1472.20</w:t>
            </w:r>
            <w:r>
              <w:rPr>
                <w:rFonts w:hint="default" w:ascii="Times New Roman" w:hAnsi="Times New Roman" w:eastAsia="仿宋_GB2312" w:cs="Times New Roman"/>
                <w:color w:val="auto"/>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378BE51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410.30</w:t>
            </w:r>
            <w:r>
              <w:rPr>
                <w:rFonts w:hint="default" w:ascii="Times New Roman" w:hAnsi="Times New Roman" w:eastAsia="仿宋_GB2312" w:cs="Times New Roman"/>
                <w:color w:val="auto"/>
                <w:kern w:val="0"/>
                <w:szCs w:val="21"/>
              </w:rPr>
              <w:t>　</w:t>
            </w:r>
          </w:p>
        </w:tc>
      </w:tr>
      <w:tr w14:paraId="470C740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3AF0862">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w:t>
            </w:r>
          </w:p>
        </w:tc>
        <w:tc>
          <w:tcPr>
            <w:tcW w:w="3527" w:type="dxa"/>
            <w:tcBorders>
              <w:top w:val="nil"/>
              <w:left w:val="nil"/>
              <w:bottom w:val="single" w:color="auto" w:sz="4" w:space="0"/>
              <w:right w:val="single" w:color="auto" w:sz="4" w:space="0"/>
            </w:tcBorders>
            <w:shd w:val="clear" w:color="auto" w:fill="auto"/>
            <w:vAlign w:val="center"/>
          </w:tcPr>
          <w:p w14:paraId="515B57D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公共安全支出</w:t>
            </w:r>
          </w:p>
        </w:tc>
        <w:tc>
          <w:tcPr>
            <w:tcW w:w="3000" w:type="dxa"/>
            <w:tcBorders>
              <w:top w:val="nil"/>
              <w:left w:val="nil"/>
              <w:bottom w:val="single" w:color="auto" w:sz="4" w:space="0"/>
              <w:right w:val="single" w:color="auto" w:sz="4" w:space="0"/>
            </w:tcBorders>
            <w:shd w:val="clear" w:color="auto" w:fill="auto"/>
            <w:vAlign w:val="center"/>
          </w:tcPr>
          <w:p w14:paraId="2006DEC0">
            <w:pPr>
              <w:keepNext w:val="0"/>
              <w:keepLines w:val="0"/>
              <w:suppressLineNumbers w:val="0"/>
              <w:spacing w:before="0" w:beforeAutospacing="0" w:after="0" w:afterAutospacing="0"/>
              <w:ind w:left="0" w:right="0"/>
              <w:jc w:val="center"/>
              <w:rPr>
                <w:rFonts w:hint="default"/>
                <w:color w:val="auto"/>
              </w:rPr>
            </w:pPr>
            <w:r>
              <w:rPr>
                <w:rFonts w:hint="eastAsia"/>
                <w:color w:val="auto"/>
              </w:rPr>
              <w:t>1882.50</w:t>
            </w:r>
          </w:p>
        </w:tc>
        <w:tc>
          <w:tcPr>
            <w:tcW w:w="3492" w:type="dxa"/>
            <w:tcBorders>
              <w:top w:val="nil"/>
              <w:left w:val="nil"/>
              <w:bottom w:val="single" w:color="auto" w:sz="4" w:space="0"/>
              <w:right w:val="single" w:color="auto" w:sz="4" w:space="0"/>
            </w:tcBorders>
            <w:shd w:val="clear" w:color="auto" w:fill="auto"/>
            <w:vAlign w:val="center"/>
          </w:tcPr>
          <w:p w14:paraId="765E4C11">
            <w:pPr>
              <w:keepNext w:val="0"/>
              <w:keepLines w:val="0"/>
              <w:suppressLineNumbers w:val="0"/>
              <w:spacing w:before="0" w:beforeAutospacing="0" w:after="0" w:afterAutospacing="0"/>
              <w:ind w:left="0" w:right="0"/>
              <w:jc w:val="center"/>
              <w:rPr>
                <w:rFonts w:hint="default"/>
                <w:color w:val="auto"/>
              </w:rPr>
            </w:pPr>
            <w:r>
              <w:rPr>
                <w:rFonts w:hint="eastAsia"/>
                <w:color w:val="auto"/>
              </w:rPr>
              <w:t>1472.20</w:t>
            </w:r>
          </w:p>
        </w:tc>
        <w:tc>
          <w:tcPr>
            <w:tcW w:w="3000" w:type="dxa"/>
            <w:tcBorders>
              <w:top w:val="nil"/>
              <w:left w:val="nil"/>
              <w:bottom w:val="single" w:color="auto" w:sz="4" w:space="0"/>
              <w:right w:val="single" w:color="auto" w:sz="8" w:space="0"/>
            </w:tcBorders>
            <w:shd w:val="clear" w:color="auto" w:fill="auto"/>
            <w:vAlign w:val="center"/>
          </w:tcPr>
          <w:p w14:paraId="68FC9ECA">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410.30</w:t>
            </w:r>
          </w:p>
        </w:tc>
      </w:tr>
      <w:tr w14:paraId="14C318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1CE8223">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w:t>
            </w:r>
          </w:p>
        </w:tc>
        <w:tc>
          <w:tcPr>
            <w:tcW w:w="3527" w:type="dxa"/>
            <w:tcBorders>
              <w:top w:val="nil"/>
              <w:left w:val="nil"/>
              <w:bottom w:val="single" w:color="auto" w:sz="4" w:space="0"/>
              <w:right w:val="single" w:color="auto" w:sz="4" w:space="0"/>
            </w:tcBorders>
            <w:shd w:val="clear" w:color="auto" w:fill="auto"/>
            <w:vAlign w:val="center"/>
          </w:tcPr>
          <w:p w14:paraId="0E41AEF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司法</w:t>
            </w:r>
          </w:p>
        </w:tc>
        <w:tc>
          <w:tcPr>
            <w:tcW w:w="3000" w:type="dxa"/>
            <w:tcBorders>
              <w:top w:val="nil"/>
              <w:left w:val="nil"/>
              <w:bottom w:val="single" w:color="auto" w:sz="4" w:space="0"/>
              <w:right w:val="single" w:color="auto" w:sz="4" w:space="0"/>
            </w:tcBorders>
            <w:shd w:val="clear" w:color="auto" w:fill="auto"/>
            <w:vAlign w:val="center"/>
          </w:tcPr>
          <w:p w14:paraId="6AE6014F">
            <w:pPr>
              <w:keepNext w:val="0"/>
              <w:keepLines w:val="0"/>
              <w:suppressLineNumbers w:val="0"/>
              <w:spacing w:before="0" w:beforeAutospacing="0" w:after="0" w:afterAutospacing="0"/>
              <w:ind w:left="0" w:right="0"/>
              <w:jc w:val="center"/>
              <w:rPr>
                <w:rFonts w:hint="default"/>
                <w:color w:val="auto"/>
              </w:rPr>
            </w:pPr>
            <w:r>
              <w:rPr>
                <w:rFonts w:hint="eastAsia"/>
                <w:color w:val="auto"/>
              </w:rPr>
              <w:t>1882.50</w:t>
            </w:r>
          </w:p>
        </w:tc>
        <w:tc>
          <w:tcPr>
            <w:tcW w:w="3492" w:type="dxa"/>
            <w:tcBorders>
              <w:top w:val="nil"/>
              <w:left w:val="nil"/>
              <w:bottom w:val="single" w:color="auto" w:sz="4" w:space="0"/>
              <w:right w:val="single" w:color="auto" w:sz="4" w:space="0"/>
            </w:tcBorders>
            <w:shd w:val="clear" w:color="auto" w:fill="auto"/>
            <w:vAlign w:val="center"/>
          </w:tcPr>
          <w:p w14:paraId="31E3D3CF">
            <w:pPr>
              <w:keepNext w:val="0"/>
              <w:keepLines w:val="0"/>
              <w:suppressLineNumbers w:val="0"/>
              <w:spacing w:before="0" w:beforeAutospacing="0" w:after="0" w:afterAutospacing="0"/>
              <w:ind w:left="0" w:right="0"/>
              <w:jc w:val="center"/>
              <w:rPr>
                <w:rFonts w:hint="default"/>
                <w:color w:val="auto"/>
              </w:rPr>
            </w:pPr>
            <w:r>
              <w:rPr>
                <w:rFonts w:hint="eastAsia"/>
                <w:color w:val="auto"/>
              </w:rPr>
              <w:t>1472.20</w:t>
            </w:r>
          </w:p>
        </w:tc>
        <w:tc>
          <w:tcPr>
            <w:tcW w:w="3000" w:type="dxa"/>
            <w:tcBorders>
              <w:top w:val="nil"/>
              <w:left w:val="nil"/>
              <w:bottom w:val="single" w:color="auto" w:sz="4" w:space="0"/>
              <w:right w:val="single" w:color="auto" w:sz="8" w:space="0"/>
            </w:tcBorders>
            <w:shd w:val="clear" w:color="auto" w:fill="auto"/>
            <w:vAlign w:val="center"/>
          </w:tcPr>
          <w:p w14:paraId="4CD5B97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410.30</w:t>
            </w:r>
          </w:p>
        </w:tc>
      </w:tr>
      <w:tr w14:paraId="0643E9D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BC7EF0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2040601</w:t>
            </w:r>
          </w:p>
        </w:tc>
        <w:tc>
          <w:tcPr>
            <w:tcW w:w="3527" w:type="dxa"/>
            <w:tcBorders>
              <w:top w:val="nil"/>
              <w:left w:val="nil"/>
              <w:bottom w:val="single" w:color="auto" w:sz="4" w:space="0"/>
              <w:right w:val="single" w:color="auto" w:sz="4" w:space="0"/>
            </w:tcBorders>
            <w:shd w:val="clear" w:color="auto" w:fill="auto"/>
            <w:vAlign w:val="center"/>
          </w:tcPr>
          <w:p w14:paraId="0D84013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行政运行</w:t>
            </w:r>
          </w:p>
        </w:tc>
        <w:tc>
          <w:tcPr>
            <w:tcW w:w="3000" w:type="dxa"/>
            <w:tcBorders>
              <w:top w:val="nil"/>
              <w:left w:val="nil"/>
              <w:bottom w:val="single" w:color="auto" w:sz="4" w:space="0"/>
              <w:right w:val="single" w:color="auto" w:sz="4" w:space="0"/>
            </w:tcBorders>
            <w:shd w:val="clear" w:color="auto" w:fill="auto"/>
            <w:vAlign w:val="center"/>
          </w:tcPr>
          <w:p w14:paraId="3633BCA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1500.00</w:t>
            </w:r>
          </w:p>
        </w:tc>
        <w:tc>
          <w:tcPr>
            <w:tcW w:w="3492" w:type="dxa"/>
            <w:tcBorders>
              <w:top w:val="nil"/>
              <w:left w:val="nil"/>
              <w:bottom w:val="single" w:color="auto" w:sz="4" w:space="0"/>
              <w:right w:val="single" w:color="auto" w:sz="4" w:space="0"/>
            </w:tcBorders>
            <w:shd w:val="clear" w:color="auto" w:fill="auto"/>
            <w:vAlign w:val="center"/>
          </w:tcPr>
          <w:p w14:paraId="2954C8D9">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1467.84</w:t>
            </w:r>
          </w:p>
        </w:tc>
        <w:tc>
          <w:tcPr>
            <w:tcW w:w="3000" w:type="dxa"/>
            <w:tcBorders>
              <w:top w:val="nil"/>
              <w:left w:val="nil"/>
              <w:bottom w:val="single" w:color="auto" w:sz="4" w:space="0"/>
              <w:right w:val="single" w:color="auto" w:sz="8" w:space="0"/>
            </w:tcBorders>
            <w:shd w:val="clear" w:color="auto" w:fill="auto"/>
            <w:vAlign w:val="center"/>
          </w:tcPr>
          <w:p w14:paraId="0DC15E9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32.16</w:t>
            </w:r>
          </w:p>
        </w:tc>
      </w:tr>
      <w:tr w14:paraId="025E25D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BCC140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2040602</w:t>
            </w:r>
          </w:p>
        </w:tc>
        <w:tc>
          <w:tcPr>
            <w:tcW w:w="3527" w:type="dxa"/>
            <w:tcBorders>
              <w:top w:val="nil"/>
              <w:left w:val="nil"/>
              <w:bottom w:val="single" w:color="auto" w:sz="4" w:space="0"/>
              <w:right w:val="single" w:color="auto" w:sz="4" w:space="0"/>
            </w:tcBorders>
            <w:shd w:val="clear" w:color="auto" w:fill="auto"/>
            <w:vAlign w:val="center"/>
          </w:tcPr>
          <w:p w14:paraId="5F270D31">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48DB01A0">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153.64</w:t>
            </w:r>
          </w:p>
        </w:tc>
        <w:tc>
          <w:tcPr>
            <w:tcW w:w="3492" w:type="dxa"/>
            <w:tcBorders>
              <w:top w:val="nil"/>
              <w:left w:val="nil"/>
              <w:bottom w:val="single" w:color="auto" w:sz="4" w:space="0"/>
              <w:right w:val="single" w:color="auto" w:sz="4" w:space="0"/>
            </w:tcBorders>
            <w:shd w:val="clear" w:color="auto" w:fill="auto"/>
            <w:vAlign w:val="center"/>
          </w:tcPr>
          <w:p w14:paraId="6A830D1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3000" w:type="dxa"/>
            <w:tcBorders>
              <w:top w:val="nil"/>
              <w:left w:val="nil"/>
              <w:bottom w:val="single" w:color="auto" w:sz="4" w:space="0"/>
              <w:right w:val="single" w:color="auto" w:sz="8" w:space="0"/>
            </w:tcBorders>
            <w:shd w:val="clear" w:color="auto" w:fill="auto"/>
            <w:vAlign w:val="center"/>
          </w:tcPr>
          <w:p w14:paraId="11C0C80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color w:val="auto"/>
              </w:rPr>
              <w:t>153.64</w:t>
            </w:r>
          </w:p>
        </w:tc>
      </w:tr>
      <w:tr w14:paraId="6DC7A65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04626DA">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2040604</w:t>
            </w:r>
          </w:p>
        </w:tc>
        <w:tc>
          <w:tcPr>
            <w:tcW w:w="3527" w:type="dxa"/>
            <w:tcBorders>
              <w:top w:val="nil"/>
              <w:left w:val="nil"/>
              <w:bottom w:val="single" w:color="auto" w:sz="4" w:space="0"/>
              <w:right w:val="single" w:color="auto" w:sz="4" w:space="0"/>
            </w:tcBorders>
            <w:shd w:val="clear" w:color="auto" w:fill="auto"/>
            <w:vAlign w:val="center"/>
          </w:tcPr>
          <w:p w14:paraId="7E262F6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基层司法业务</w:t>
            </w:r>
          </w:p>
        </w:tc>
        <w:tc>
          <w:tcPr>
            <w:tcW w:w="3000" w:type="dxa"/>
            <w:tcBorders>
              <w:top w:val="nil"/>
              <w:left w:val="nil"/>
              <w:bottom w:val="single" w:color="auto" w:sz="4" w:space="0"/>
              <w:right w:val="single" w:color="auto" w:sz="4" w:space="0"/>
            </w:tcBorders>
            <w:shd w:val="clear" w:color="auto" w:fill="auto"/>
            <w:vAlign w:val="center"/>
          </w:tcPr>
          <w:p w14:paraId="436F267B">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c>
          <w:tcPr>
            <w:tcW w:w="3492" w:type="dxa"/>
            <w:tcBorders>
              <w:top w:val="nil"/>
              <w:left w:val="nil"/>
              <w:bottom w:val="single" w:color="auto" w:sz="4" w:space="0"/>
              <w:right w:val="single" w:color="auto" w:sz="4" w:space="0"/>
            </w:tcBorders>
            <w:shd w:val="clear" w:color="auto" w:fill="auto"/>
            <w:vAlign w:val="center"/>
          </w:tcPr>
          <w:p w14:paraId="468C013F">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3000" w:type="dxa"/>
            <w:tcBorders>
              <w:top w:val="nil"/>
              <w:left w:val="nil"/>
              <w:bottom w:val="single" w:color="auto" w:sz="4" w:space="0"/>
              <w:right w:val="single" w:color="auto" w:sz="8" w:space="0"/>
            </w:tcBorders>
            <w:shd w:val="clear" w:color="auto" w:fill="auto"/>
            <w:vAlign w:val="center"/>
          </w:tcPr>
          <w:p w14:paraId="2BB1C405">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72.33</w:t>
            </w:r>
          </w:p>
        </w:tc>
      </w:tr>
      <w:tr w14:paraId="3417749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9836DE8">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2040605</w:t>
            </w:r>
          </w:p>
        </w:tc>
        <w:tc>
          <w:tcPr>
            <w:tcW w:w="3527" w:type="dxa"/>
            <w:tcBorders>
              <w:top w:val="nil"/>
              <w:left w:val="nil"/>
              <w:bottom w:val="single" w:color="auto" w:sz="4" w:space="0"/>
              <w:right w:val="single" w:color="auto" w:sz="4" w:space="0"/>
            </w:tcBorders>
            <w:shd w:val="clear" w:color="auto" w:fill="auto"/>
            <w:vAlign w:val="center"/>
          </w:tcPr>
          <w:p w14:paraId="7ABB1F97">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普法宣传</w:t>
            </w:r>
          </w:p>
        </w:tc>
        <w:tc>
          <w:tcPr>
            <w:tcW w:w="3000" w:type="dxa"/>
            <w:tcBorders>
              <w:top w:val="nil"/>
              <w:left w:val="nil"/>
              <w:bottom w:val="single" w:color="auto" w:sz="4" w:space="0"/>
              <w:right w:val="single" w:color="auto" w:sz="4" w:space="0"/>
            </w:tcBorders>
            <w:shd w:val="clear" w:color="auto" w:fill="auto"/>
            <w:vAlign w:val="center"/>
          </w:tcPr>
          <w:p w14:paraId="5CC96190">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c>
          <w:tcPr>
            <w:tcW w:w="3492" w:type="dxa"/>
            <w:tcBorders>
              <w:top w:val="nil"/>
              <w:left w:val="nil"/>
              <w:bottom w:val="single" w:color="auto" w:sz="4" w:space="0"/>
              <w:right w:val="single" w:color="auto" w:sz="4" w:space="0"/>
            </w:tcBorders>
            <w:shd w:val="clear" w:color="auto" w:fill="auto"/>
            <w:vAlign w:val="center"/>
          </w:tcPr>
          <w:p w14:paraId="52E44074">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p>
        </w:tc>
        <w:tc>
          <w:tcPr>
            <w:tcW w:w="3000" w:type="dxa"/>
            <w:tcBorders>
              <w:top w:val="nil"/>
              <w:left w:val="nil"/>
              <w:bottom w:val="single" w:color="auto" w:sz="4" w:space="0"/>
              <w:right w:val="single" w:color="auto" w:sz="8" w:space="0"/>
            </w:tcBorders>
            <w:shd w:val="clear" w:color="auto" w:fill="auto"/>
            <w:vAlign w:val="center"/>
          </w:tcPr>
          <w:p w14:paraId="378E1662">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rPr>
            </w:pPr>
            <w:r>
              <w:rPr>
                <w:rFonts w:hint="eastAsia"/>
                <w:color w:val="auto"/>
              </w:rPr>
              <w:t>22.22</w:t>
            </w:r>
          </w:p>
        </w:tc>
      </w:tr>
      <w:tr w14:paraId="6BCC3D7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CC6A0A4">
            <w:pPr>
              <w:keepNext w:val="0"/>
              <w:keepLines w:val="0"/>
              <w:suppressLineNumbers w:val="0"/>
              <w:spacing w:before="0" w:beforeAutospacing="0" w:after="0" w:afterAutospacing="0"/>
              <w:ind w:left="0" w:right="0"/>
              <w:jc w:val="center"/>
              <w:rPr>
                <w:rFonts w:hint="default"/>
                <w:color w:val="auto"/>
              </w:rPr>
            </w:pPr>
            <w:r>
              <w:rPr>
                <w:rFonts w:hint="eastAsia"/>
                <w:color w:val="auto"/>
              </w:rPr>
              <w:t>2040606</w:t>
            </w:r>
          </w:p>
        </w:tc>
        <w:tc>
          <w:tcPr>
            <w:tcW w:w="3527" w:type="dxa"/>
            <w:tcBorders>
              <w:top w:val="nil"/>
              <w:left w:val="nil"/>
              <w:bottom w:val="single" w:color="auto" w:sz="4" w:space="0"/>
              <w:right w:val="single" w:color="auto" w:sz="4" w:space="0"/>
            </w:tcBorders>
            <w:shd w:val="clear" w:color="auto" w:fill="auto"/>
            <w:vAlign w:val="center"/>
          </w:tcPr>
          <w:p w14:paraId="3FB37EC8">
            <w:pPr>
              <w:keepNext w:val="0"/>
              <w:keepLines w:val="0"/>
              <w:suppressLineNumbers w:val="0"/>
              <w:spacing w:before="0" w:beforeAutospacing="0" w:after="0" w:afterAutospacing="0"/>
              <w:ind w:left="0" w:right="0"/>
              <w:jc w:val="center"/>
              <w:rPr>
                <w:rFonts w:hint="default"/>
                <w:color w:val="auto"/>
              </w:rPr>
            </w:pPr>
            <w:r>
              <w:rPr>
                <w:rFonts w:hint="eastAsia"/>
                <w:color w:val="auto"/>
              </w:rPr>
              <w:t>律师公证管理</w:t>
            </w:r>
          </w:p>
        </w:tc>
        <w:tc>
          <w:tcPr>
            <w:tcW w:w="3000" w:type="dxa"/>
            <w:tcBorders>
              <w:top w:val="nil"/>
              <w:left w:val="nil"/>
              <w:bottom w:val="single" w:color="auto" w:sz="4" w:space="0"/>
              <w:right w:val="single" w:color="auto" w:sz="4" w:space="0"/>
            </w:tcBorders>
            <w:shd w:val="clear" w:color="auto" w:fill="auto"/>
            <w:vAlign w:val="center"/>
          </w:tcPr>
          <w:p w14:paraId="1B9BAA36">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4.3</w:t>
            </w:r>
            <w:r>
              <w:rPr>
                <w:rFonts w:hint="eastAsia"/>
                <w:color w:val="auto"/>
                <w:lang w:val="en-US" w:eastAsia="zh-CN"/>
              </w:rPr>
              <w:t>6</w:t>
            </w:r>
          </w:p>
        </w:tc>
        <w:tc>
          <w:tcPr>
            <w:tcW w:w="3492" w:type="dxa"/>
            <w:tcBorders>
              <w:top w:val="nil"/>
              <w:left w:val="nil"/>
              <w:bottom w:val="single" w:color="auto" w:sz="4" w:space="0"/>
              <w:right w:val="single" w:color="auto" w:sz="4" w:space="0"/>
            </w:tcBorders>
            <w:shd w:val="clear" w:color="auto" w:fill="auto"/>
            <w:vAlign w:val="center"/>
          </w:tcPr>
          <w:p w14:paraId="5D90C3A4">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4.3</w:t>
            </w:r>
            <w:r>
              <w:rPr>
                <w:rFonts w:hint="eastAsia"/>
                <w:color w:val="auto"/>
                <w:lang w:val="en-US" w:eastAsia="zh-CN"/>
              </w:rPr>
              <w:t>6</w:t>
            </w:r>
          </w:p>
        </w:tc>
        <w:tc>
          <w:tcPr>
            <w:tcW w:w="3000" w:type="dxa"/>
            <w:tcBorders>
              <w:top w:val="nil"/>
              <w:left w:val="nil"/>
              <w:bottom w:val="single" w:color="auto" w:sz="4" w:space="0"/>
              <w:right w:val="single" w:color="auto" w:sz="8" w:space="0"/>
            </w:tcBorders>
            <w:shd w:val="clear" w:color="auto" w:fill="auto"/>
            <w:vAlign w:val="center"/>
          </w:tcPr>
          <w:p w14:paraId="7EAF85D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594F098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AA09B4">
            <w:pPr>
              <w:keepNext w:val="0"/>
              <w:keepLines w:val="0"/>
              <w:suppressLineNumbers w:val="0"/>
              <w:spacing w:before="0" w:beforeAutospacing="0" w:after="0" w:afterAutospacing="0"/>
              <w:ind w:left="0" w:right="0"/>
              <w:jc w:val="center"/>
              <w:rPr>
                <w:rFonts w:hint="default"/>
                <w:color w:val="auto"/>
              </w:rPr>
            </w:pPr>
            <w:r>
              <w:rPr>
                <w:rFonts w:hint="eastAsia"/>
                <w:color w:val="auto"/>
              </w:rPr>
              <w:t>2040607</w:t>
            </w:r>
          </w:p>
        </w:tc>
        <w:tc>
          <w:tcPr>
            <w:tcW w:w="3527" w:type="dxa"/>
            <w:tcBorders>
              <w:top w:val="nil"/>
              <w:left w:val="nil"/>
              <w:bottom w:val="single" w:color="auto" w:sz="4" w:space="0"/>
              <w:right w:val="single" w:color="auto" w:sz="4" w:space="0"/>
            </w:tcBorders>
            <w:shd w:val="clear" w:color="auto" w:fill="auto"/>
            <w:vAlign w:val="center"/>
          </w:tcPr>
          <w:p w14:paraId="52D19617">
            <w:pPr>
              <w:keepNext w:val="0"/>
              <w:keepLines w:val="0"/>
              <w:suppressLineNumbers w:val="0"/>
              <w:spacing w:before="0" w:beforeAutospacing="0" w:after="0" w:afterAutospacing="0"/>
              <w:ind w:left="0" w:right="0"/>
              <w:jc w:val="center"/>
              <w:rPr>
                <w:rFonts w:hint="default"/>
                <w:color w:val="auto"/>
              </w:rPr>
            </w:pPr>
            <w:r>
              <w:rPr>
                <w:rFonts w:hint="eastAsia"/>
                <w:color w:val="auto"/>
              </w:rPr>
              <w:t>法律援助</w:t>
            </w:r>
          </w:p>
        </w:tc>
        <w:tc>
          <w:tcPr>
            <w:tcW w:w="3000" w:type="dxa"/>
            <w:tcBorders>
              <w:top w:val="nil"/>
              <w:left w:val="nil"/>
              <w:bottom w:val="single" w:color="auto" w:sz="4" w:space="0"/>
              <w:right w:val="single" w:color="auto" w:sz="4" w:space="0"/>
            </w:tcBorders>
            <w:shd w:val="clear" w:color="auto" w:fill="auto"/>
            <w:vAlign w:val="center"/>
          </w:tcPr>
          <w:p w14:paraId="6698D07F">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47.1</w:t>
            </w:r>
            <w:r>
              <w:rPr>
                <w:rFonts w:hint="eastAsia"/>
                <w:color w:val="auto"/>
                <w:lang w:val="en-US" w:eastAsia="zh-CN"/>
              </w:rPr>
              <w:t>6</w:t>
            </w:r>
          </w:p>
        </w:tc>
        <w:tc>
          <w:tcPr>
            <w:tcW w:w="3492" w:type="dxa"/>
            <w:tcBorders>
              <w:top w:val="nil"/>
              <w:left w:val="nil"/>
              <w:bottom w:val="single" w:color="auto" w:sz="4" w:space="0"/>
              <w:right w:val="single" w:color="auto" w:sz="4" w:space="0"/>
            </w:tcBorders>
            <w:shd w:val="clear" w:color="auto" w:fill="auto"/>
            <w:vAlign w:val="center"/>
          </w:tcPr>
          <w:p w14:paraId="3E9F8A76">
            <w:pPr>
              <w:keepNext w:val="0"/>
              <w:keepLines w:val="0"/>
              <w:suppressLineNumbers w:val="0"/>
              <w:spacing w:before="0" w:beforeAutospacing="0" w:after="0" w:afterAutospacing="0"/>
              <w:ind w:left="0" w:right="0"/>
              <w:jc w:val="center"/>
              <w:rPr>
                <w:rFonts w:hint="default"/>
                <w:color w:val="auto"/>
              </w:rPr>
            </w:pPr>
          </w:p>
        </w:tc>
        <w:tc>
          <w:tcPr>
            <w:tcW w:w="3000" w:type="dxa"/>
            <w:tcBorders>
              <w:top w:val="nil"/>
              <w:left w:val="nil"/>
              <w:bottom w:val="single" w:color="auto" w:sz="4" w:space="0"/>
              <w:right w:val="single" w:color="auto" w:sz="8" w:space="0"/>
            </w:tcBorders>
            <w:shd w:val="clear" w:color="auto" w:fill="auto"/>
            <w:vAlign w:val="center"/>
          </w:tcPr>
          <w:p w14:paraId="225682BC">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47.1</w:t>
            </w:r>
            <w:r>
              <w:rPr>
                <w:rFonts w:hint="eastAsia"/>
                <w:color w:val="auto"/>
                <w:lang w:val="en-US" w:eastAsia="zh-CN"/>
              </w:rPr>
              <w:t>6</w:t>
            </w:r>
          </w:p>
        </w:tc>
      </w:tr>
      <w:tr w14:paraId="0AEF2C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B8D6C3F">
            <w:pPr>
              <w:keepNext w:val="0"/>
              <w:keepLines w:val="0"/>
              <w:suppressLineNumbers w:val="0"/>
              <w:spacing w:before="0" w:beforeAutospacing="0" w:after="0" w:afterAutospacing="0"/>
              <w:ind w:left="0" w:right="0"/>
              <w:jc w:val="center"/>
              <w:rPr>
                <w:rFonts w:hint="default"/>
                <w:color w:val="auto"/>
              </w:rPr>
            </w:pPr>
            <w:r>
              <w:rPr>
                <w:rFonts w:hint="eastAsia"/>
                <w:color w:val="auto"/>
              </w:rPr>
              <w:t>2040610</w:t>
            </w:r>
          </w:p>
        </w:tc>
        <w:tc>
          <w:tcPr>
            <w:tcW w:w="3527" w:type="dxa"/>
            <w:tcBorders>
              <w:top w:val="nil"/>
              <w:left w:val="nil"/>
              <w:bottom w:val="single" w:color="auto" w:sz="4" w:space="0"/>
              <w:right w:val="single" w:color="auto" w:sz="4" w:space="0"/>
            </w:tcBorders>
            <w:shd w:val="clear" w:color="auto" w:fill="auto"/>
            <w:vAlign w:val="center"/>
          </w:tcPr>
          <w:p w14:paraId="09A39DDE">
            <w:pPr>
              <w:keepNext w:val="0"/>
              <w:keepLines w:val="0"/>
              <w:suppressLineNumbers w:val="0"/>
              <w:spacing w:before="0" w:beforeAutospacing="0" w:after="0" w:afterAutospacing="0"/>
              <w:ind w:left="0" w:right="0"/>
              <w:jc w:val="center"/>
              <w:rPr>
                <w:rFonts w:hint="default"/>
                <w:color w:val="auto"/>
              </w:rPr>
            </w:pPr>
            <w:r>
              <w:rPr>
                <w:rFonts w:hint="eastAsia"/>
                <w:color w:val="auto"/>
              </w:rPr>
              <w:t>社区矫正</w:t>
            </w:r>
          </w:p>
        </w:tc>
        <w:tc>
          <w:tcPr>
            <w:tcW w:w="3000" w:type="dxa"/>
            <w:tcBorders>
              <w:top w:val="nil"/>
              <w:left w:val="nil"/>
              <w:bottom w:val="single" w:color="auto" w:sz="4" w:space="0"/>
              <w:right w:val="single" w:color="auto" w:sz="4" w:space="0"/>
            </w:tcBorders>
            <w:shd w:val="clear" w:color="auto" w:fill="auto"/>
            <w:vAlign w:val="center"/>
          </w:tcPr>
          <w:p w14:paraId="280F298C">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c>
          <w:tcPr>
            <w:tcW w:w="3492" w:type="dxa"/>
            <w:tcBorders>
              <w:top w:val="nil"/>
              <w:left w:val="nil"/>
              <w:bottom w:val="single" w:color="auto" w:sz="4" w:space="0"/>
              <w:right w:val="single" w:color="auto" w:sz="4" w:space="0"/>
            </w:tcBorders>
            <w:shd w:val="clear" w:color="auto" w:fill="auto"/>
            <w:vAlign w:val="center"/>
          </w:tcPr>
          <w:p w14:paraId="55D286CA">
            <w:pPr>
              <w:keepNext w:val="0"/>
              <w:keepLines w:val="0"/>
              <w:suppressLineNumbers w:val="0"/>
              <w:spacing w:before="0" w:beforeAutospacing="0" w:after="0" w:afterAutospacing="0"/>
              <w:ind w:left="0" w:right="0"/>
              <w:jc w:val="center"/>
              <w:rPr>
                <w:rFonts w:hint="default"/>
                <w:color w:val="auto"/>
              </w:rPr>
            </w:pPr>
          </w:p>
        </w:tc>
        <w:tc>
          <w:tcPr>
            <w:tcW w:w="3000" w:type="dxa"/>
            <w:tcBorders>
              <w:top w:val="nil"/>
              <w:left w:val="nil"/>
              <w:bottom w:val="single" w:color="auto" w:sz="4" w:space="0"/>
              <w:right w:val="single" w:color="auto" w:sz="8" w:space="0"/>
            </w:tcBorders>
            <w:shd w:val="clear" w:color="auto" w:fill="auto"/>
            <w:vAlign w:val="center"/>
          </w:tcPr>
          <w:p w14:paraId="65819CAE">
            <w:pPr>
              <w:keepNext w:val="0"/>
              <w:keepLines w:val="0"/>
              <w:suppressLineNumbers w:val="0"/>
              <w:spacing w:before="0" w:beforeAutospacing="0" w:after="0" w:afterAutospacing="0"/>
              <w:ind w:left="0" w:right="0"/>
              <w:jc w:val="center"/>
              <w:rPr>
                <w:rFonts w:hint="default"/>
                <w:color w:val="auto"/>
              </w:rPr>
            </w:pPr>
            <w:r>
              <w:rPr>
                <w:rFonts w:hint="eastAsia"/>
                <w:color w:val="auto"/>
              </w:rPr>
              <w:t>37.12</w:t>
            </w:r>
          </w:p>
        </w:tc>
      </w:tr>
      <w:tr w14:paraId="764873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1143D59">
            <w:pPr>
              <w:keepNext w:val="0"/>
              <w:keepLines w:val="0"/>
              <w:suppressLineNumbers w:val="0"/>
              <w:spacing w:before="0" w:beforeAutospacing="0" w:after="0" w:afterAutospacing="0"/>
              <w:ind w:left="0" w:right="0"/>
              <w:jc w:val="center"/>
              <w:rPr>
                <w:rFonts w:hint="default"/>
                <w:color w:val="auto"/>
              </w:rPr>
            </w:pPr>
            <w:r>
              <w:rPr>
                <w:rFonts w:hint="eastAsia"/>
                <w:color w:val="auto"/>
              </w:rPr>
              <w:t>2040699</w:t>
            </w:r>
          </w:p>
        </w:tc>
        <w:tc>
          <w:tcPr>
            <w:tcW w:w="3527" w:type="dxa"/>
            <w:tcBorders>
              <w:top w:val="nil"/>
              <w:left w:val="nil"/>
              <w:bottom w:val="single" w:color="auto" w:sz="8" w:space="0"/>
              <w:right w:val="single" w:color="auto" w:sz="4" w:space="0"/>
            </w:tcBorders>
            <w:shd w:val="clear" w:color="auto" w:fill="auto"/>
            <w:vAlign w:val="center"/>
          </w:tcPr>
          <w:p w14:paraId="51B211AC">
            <w:pPr>
              <w:keepNext w:val="0"/>
              <w:keepLines w:val="0"/>
              <w:suppressLineNumbers w:val="0"/>
              <w:spacing w:before="0" w:beforeAutospacing="0" w:after="0" w:afterAutospacing="0"/>
              <w:ind w:left="0" w:right="0"/>
              <w:jc w:val="center"/>
              <w:rPr>
                <w:rFonts w:hint="default"/>
                <w:color w:val="auto"/>
              </w:rPr>
            </w:pPr>
            <w:r>
              <w:rPr>
                <w:rFonts w:hint="eastAsia"/>
                <w:color w:val="auto"/>
              </w:rPr>
              <w:t>其他司法支出</w:t>
            </w:r>
          </w:p>
        </w:tc>
        <w:tc>
          <w:tcPr>
            <w:tcW w:w="3000" w:type="dxa"/>
            <w:tcBorders>
              <w:top w:val="nil"/>
              <w:left w:val="nil"/>
              <w:bottom w:val="single" w:color="auto" w:sz="8" w:space="0"/>
              <w:right w:val="single" w:color="auto" w:sz="4" w:space="0"/>
            </w:tcBorders>
            <w:shd w:val="clear" w:color="auto" w:fill="auto"/>
            <w:vAlign w:val="center"/>
          </w:tcPr>
          <w:p w14:paraId="34BA654D">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7</w:t>
            </w:r>
          </w:p>
        </w:tc>
        <w:tc>
          <w:tcPr>
            <w:tcW w:w="3492" w:type="dxa"/>
            <w:tcBorders>
              <w:top w:val="nil"/>
              <w:left w:val="nil"/>
              <w:bottom w:val="single" w:color="auto" w:sz="8" w:space="0"/>
              <w:right w:val="single" w:color="auto" w:sz="4" w:space="0"/>
            </w:tcBorders>
            <w:shd w:val="clear" w:color="auto" w:fill="auto"/>
            <w:vAlign w:val="center"/>
          </w:tcPr>
          <w:p w14:paraId="103EE14C">
            <w:pPr>
              <w:keepNext w:val="0"/>
              <w:keepLines w:val="0"/>
              <w:suppressLineNumbers w:val="0"/>
              <w:spacing w:before="0" w:beforeAutospacing="0" w:after="0" w:afterAutospacing="0"/>
              <w:ind w:left="0" w:right="0"/>
              <w:jc w:val="center"/>
              <w:rPr>
                <w:rFonts w:hint="default"/>
                <w:color w:val="auto"/>
              </w:rPr>
            </w:pPr>
          </w:p>
        </w:tc>
        <w:tc>
          <w:tcPr>
            <w:tcW w:w="3000" w:type="dxa"/>
            <w:tcBorders>
              <w:top w:val="nil"/>
              <w:left w:val="nil"/>
              <w:bottom w:val="single" w:color="auto" w:sz="8" w:space="0"/>
              <w:right w:val="single" w:color="auto" w:sz="8" w:space="0"/>
            </w:tcBorders>
            <w:shd w:val="clear" w:color="auto" w:fill="auto"/>
            <w:vAlign w:val="center"/>
          </w:tcPr>
          <w:p w14:paraId="5016D853">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rPr>
              <w:t>45.6</w:t>
            </w:r>
            <w:r>
              <w:rPr>
                <w:rFonts w:hint="eastAsia"/>
                <w:color w:val="auto"/>
                <w:lang w:val="en-US" w:eastAsia="zh-CN"/>
              </w:rPr>
              <w:t>7</w:t>
            </w:r>
          </w:p>
        </w:tc>
      </w:tr>
      <w:tr w14:paraId="7F956EA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78937EB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注：本表反映部门本年度一般公共预算财政拨款支出情况。</w:t>
            </w:r>
          </w:p>
        </w:tc>
      </w:tr>
    </w:tbl>
    <w:p w14:paraId="0DAB2F22">
      <w:pPr>
        <w:widowControl/>
        <w:jc w:val="left"/>
        <w:rPr>
          <w:rFonts w:ascii="Times New Roman" w:hAnsi="Times New Roman" w:eastAsia="仿宋_GB2312" w:cs="Times New Roman"/>
          <w:bCs/>
          <w:color w:val="auto"/>
          <w:kern w:val="0"/>
          <w:szCs w:val="21"/>
        </w:rPr>
      </w:pPr>
    </w:p>
    <w:tbl>
      <w:tblPr>
        <w:tblStyle w:val="6"/>
        <w:tblW w:w="15340" w:type="dxa"/>
        <w:tblInd w:w="0" w:type="dxa"/>
        <w:tblLayout w:type="fixed"/>
        <w:tblCellMar>
          <w:top w:w="0" w:type="dxa"/>
          <w:left w:w="108" w:type="dxa"/>
          <w:bottom w:w="0" w:type="dxa"/>
          <w:right w:w="108" w:type="dxa"/>
        </w:tblCellMar>
      </w:tblPr>
      <w:tblGrid>
        <w:gridCol w:w="1314"/>
        <w:gridCol w:w="2905"/>
        <w:gridCol w:w="1120"/>
        <w:gridCol w:w="1191"/>
        <w:gridCol w:w="2316"/>
        <w:gridCol w:w="1185"/>
        <w:gridCol w:w="1417"/>
        <w:gridCol w:w="2977"/>
        <w:gridCol w:w="915"/>
      </w:tblGrid>
      <w:tr w14:paraId="232393FD">
        <w:tblPrEx>
          <w:tblCellMar>
            <w:top w:w="0" w:type="dxa"/>
            <w:left w:w="108" w:type="dxa"/>
            <w:bottom w:w="0" w:type="dxa"/>
            <w:right w:w="108" w:type="dxa"/>
          </w:tblCellMar>
        </w:tblPrEx>
        <w:trPr>
          <w:trHeight w:val="110" w:hRule="atLeast"/>
        </w:trPr>
        <w:tc>
          <w:tcPr>
            <w:tcW w:w="15340" w:type="dxa"/>
            <w:gridSpan w:val="9"/>
            <w:tcBorders>
              <w:top w:val="nil"/>
              <w:left w:val="nil"/>
              <w:bottom w:val="nil"/>
              <w:right w:val="nil"/>
            </w:tcBorders>
            <w:shd w:val="clear" w:color="auto" w:fill="auto"/>
            <w:noWrap/>
            <w:vAlign w:val="center"/>
          </w:tcPr>
          <w:p w14:paraId="3C5025BA">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auto"/>
                <w:kern w:val="0"/>
                <w:sz w:val="20"/>
                <w:szCs w:val="32"/>
              </w:rPr>
            </w:pPr>
            <w:bookmarkStart w:id="2" w:name="RANGE!A1:I34"/>
            <w:r>
              <w:rPr>
                <w:rFonts w:hint="eastAsia" w:ascii="华文中宋" w:hAnsi="华文中宋" w:eastAsia="华文中宋" w:cs="宋体"/>
                <w:color w:val="auto"/>
                <w:kern w:val="0"/>
                <w:sz w:val="20"/>
                <w:szCs w:val="32"/>
              </w:rPr>
              <w:t>一般公共预算财政拨款基本支出决算表</w:t>
            </w:r>
            <w:bookmarkEnd w:id="2"/>
          </w:p>
          <w:p w14:paraId="1D6D38F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rPr>
              <w:t xml:space="preserve">  湘潭县司法局                                                                                                                  公开06表</w:t>
            </w:r>
          </w:p>
          <w:p w14:paraId="6477AC61">
            <w:pPr>
              <w:keepNext w:val="0"/>
              <w:keepLines w:val="0"/>
              <w:widowControl/>
              <w:suppressLineNumbers w:val="0"/>
              <w:spacing w:before="0" w:beforeAutospacing="0" w:after="0" w:afterAutospacing="0"/>
              <w:ind w:left="0" w:right="0"/>
              <w:jc w:val="right"/>
              <w:rPr>
                <w:rFonts w:hint="default" w:ascii="华文中宋" w:hAnsi="华文中宋" w:eastAsia="华文中宋" w:cs="宋体"/>
                <w:color w:val="auto"/>
                <w:kern w:val="0"/>
                <w:szCs w:val="32"/>
              </w:rPr>
            </w:pPr>
            <w:r>
              <w:rPr>
                <w:rFonts w:hint="eastAsia" w:ascii="Times New Roman" w:hAnsi="Times New Roman" w:eastAsia="仿宋_GB2312" w:cs="Times New Roman"/>
                <w:color w:val="auto"/>
                <w:kern w:val="0"/>
                <w:szCs w:val="21"/>
              </w:rPr>
              <w:t>单位：万元</w:t>
            </w:r>
          </w:p>
        </w:tc>
      </w:tr>
      <w:tr w14:paraId="030DDA18">
        <w:tblPrEx>
          <w:tblCellMar>
            <w:top w:w="0" w:type="dxa"/>
            <w:left w:w="108" w:type="dxa"/>
            <w:bottom w:w="0" w:type="dxa"/>
            <w:right w:w="108" w:type="dxa"/>
          </w:tblCellMar>
        </w:tblPrEx>
        <w:trPr>
          <w:trHeight w:val="110" w:hRule="atLeast"/>
        </w:trPr>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14:paraId="5E2FBB6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 w:val="20"/>
                <w:szCs w:val="20"/>
              </w:rPr>
              <w:t>经济分类科目编码</w:t>
            </w:r>
          </w:p>
        </w:tc>
        <w:tc>
          <w:tcPr>
            <w:tcW w:w="2905" w:type="dxa"/>
            <w:tcBorders>
              <w:top w:val="single" w:color="auto" w:sz="4" w:space="0"/>
              <w:left w:val="nil"/>
              <w:bottom w:val="single" w:color="auto" w:sz="4" w:space="0"/>
              <w:right w:val="single" w:color="auto" w:sz="4" w:space="0"/>
            </w:tcBorders>
            <w:shd w:val="clear" w:color="auto" w:fill="auto"/>
            <w:vAlign w:val="center"/>
          </w:tcPr>
          <w:p w14:paraId="1A23DD4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科目名称</w:t>
            </w:r>
          </w:p>
        </w:tc>
        <w:tc>
          <w:tcPr>
            <w:tcW w:w="1120" w:type="dxa"/>
            <w:tcBorders>
              <w:top w:val="single" w:color="auto" w:sz="4" w:space="0"/>
              <w:left w:val="nil"/>
              <w:bottom w:val="single" w:color="auto" w:sz="4" w:space="0"/>
              <w:right w:val="single" w:color="auto" w:sz="4" w:space="0"/>
            </w:tcBorders>
            <w:shd w:val="clear" w:color="auto" w:fill="auto"/>
            <w:vAlign w:val="center"/>
          </w:tcPr>
          <w:p w14:paraId="578102D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决算数</w:t>
            </w:r>
          </w:p>
        </w:tc>
        <w:tc>
          <w:tcPr>
            <w:tcW w:w="1191" w:type="dxa"/>
            <w:tcBorders>
              <w:top w:val="single" w:color="auto" w:sz="4" w:space="0"/>
              <w:left w:val="nil"/>
              <w:bottom w:val="single" w:color="auto" w:sz="4" w:space="0"/>
              <w:right w:val="single" w:color="auto" w:sz="4" w:space="0"/>
            </w:tcBorders>
            <w:shd w:val="clear" w:color="auto" w:fill="auto"/>
            <w:vAlign w:val="center"/>
          </w:tcPr>
          <w:p w14:paraId="296D73D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14:paraId="147AE30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14:paraId="4A710E6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决算数</w:t>
            </w:r>
          </w:p>
        </w:tc>
        <w:tc>
          <w:tcPr>
            <w:tcW w:w="1417" w:type="dxa"/>
            <w:tcBorders>
              <w:top w:val="single" w:color="auto" w:sz="4" w:space="0"/>
              <w:left w:val="nil"/>
              <w:bottom w:val="single" w:color="auto" w:sz="4" w:space="0"/>
              <w:right w:val="single" w:color="auto" w:sz="4" w:space="0"/>
            </w:tcBorders>
            <w:shd w:val="clear" w:color="auto" w:fill="auto"/>
            <w:vAlign w:val="center"/>
          </w:tcPr>
          <w:p w14:paraId="5BB5394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14:paraId="40D076A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06FC2D3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决算数</w:t>
            </w:r>
          </w:p>
        </w:tc>
      </w:tr>
      <w:tr w14:paraId="568C988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3FF615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w:t>
            </w:r>
          </w:p>
        </w:tc>
        <w:tc>
          <w:tcPr>
            <w:tcW w:w="2905" w:type="dxa"/>
            <w:tcBorders>
              <w:top w:val="nil"/>
              <w:left w:val="nil"/>
              <w:bottom w:val="single" w:color="auto" w:sz="4" w:space="0"/>
              <w:right w:val="single" w:color="auto" w:sz="4" w:space="0"/>
            </w:tcBorders>
            <w:shd w:val="clear" w:color="auto" w:fill="auto"/>
            <w:noWrap/>
            <w:vAlign w:val="center"/>
          </w:tcPr>
          <w:p w14:paraId="1BF4B50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工资福利支出</w:t>
            </w:r>
          </w:p>
        </w:tc>
        <w:tc>
          <w:tcPr>
            <w:tcW w:w="1120" w:type="dxa"/>
            <w:tcBorders>
              <w:top w:val="nil"/>
              <w:left w:val="nil"/>
              <w:bottom w:val="single" w:color="auto" w:sz="4" w:space="0"/>
              <w:right w:val="single" w:color="auto" w:sz="4" w:space="0"/>
            </w:tcBorders>
            <w:shd w:val="clear" w:color="auto" w:fill="auto"/>
            <w:noWrap/>
            <w:vAlign w:val="center"/>
          </w:tcPr>
          <w:p w14:paraId="51E35AE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Cs w:val="20"/>
                <w:lang w:val="en-US" w:eastAsia="zh-CN"/>
              </w:rPr>
            </w:pPr>
            <w:r>
              <w:rPr>
                <w:rFonts w:hint="eastAsia" w:ascii="宋体" w:hAnsi="宋体" w:eastAsia="宋体" w:cs="宋体"/>
                <w:color w:val="auto"/>
                <w:kern w:val="0"/>
                <w:szCs w:val="20"/>
              </w:rPr>
              <w:t>1268.1</w:t>
            </w:r>
            <w:r>
              <w:rPr>
                <w:rFonts w:hint="eastAsia" w:ascii="宋体" w:hAnsi="宋体" w:eastAsia="宋体" w:cs="宋体"/>
                <w:color w:val="auto"/>
                <w:kern w:val="0"/>
                <w:szCs w:val="20"/>
                <w:lang w:val="en-US" w:eastAsia="zh-CN"/>
              </w:rPr>
              <w:t>8</w:t>
            </w:r>
          </w:p>
        </w:tc>
        <w:tc>
          <w:tcPr>
            <w:tcW w:w="1191" w:type="dxa"/>
            <w:tcBorders>
              <w:top w:val="nil"/>
              <w:left w:val="nil"/>
              <w:bottom w:val="single" w:color="auto" w:sz="4" w:space="0"/>
              <w:right w:val="single" w:color="auto" w:sz="4" w:space="0"/>
            </w:tcBorders>
            <w:shd w:val="clear" w:color="auto" w:fill="auto"/>
            <w:noWrap/>
            <w:vAlign w:val="center"/>
          </w:tcPr>
          <w:p w14:paraId="6D684C4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14:paraId="76F3C50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7265594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199.66</w:t>
            </w:r>
          </w:p>
        </w:tc>
        <w:tc>
          <w:tcPr>
            <w:tcW w:w="1417" w:type="dxa"/>
            <w:tcBorders>
              <w:top w:val="nil"/>
              <w:left w:val="nil"/>
              <w:bottom w:val="single" w:color="auto" w:sz="4" w:space="0"/>
              <w:right w:val="single" w:color="auto" w:sz="4" w:space="0"/>
            </w:tcBorders>
            <w:shd w:val="clear" w:color="auto" w:fill="auto"/>
            <w:noWrap/>
            <w:vAlign w:val="center"/>
          </w:tcPr>
          <w:p w14:paraId="2D7A919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307</w:t>
            </w:r>
          </w:p>
        </w:tc>
        <w:tc>
          <w:tcPr>
            <w:tcW w:w="2977" w:type="dxa"/>
            <w:tcBorders>
              <w:top w:val="nil"/>
              <w:left w:val="nil"/>
              <w:bottom w:val="single" w:color="auto" w:sz="4" w:space="0"/>
              <w:right w:val="single" w:color="auto" w:sz="4" w:space="0"/>
            </w:tcBorders>
            <w:shd w:val="clear" w:color="auto" w:fill="auto"/>
            <w:noWrap/>
            <w:vAlign w:val="center"/>
          </w:tcPr>
          <w:p w14:paraId="6E413C0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债务利息及费用支出</w:t>
            </w:r>
          </w:p>
        </w:tc>
        <w:tc>
          <w:tcPr>
            <w:tcW w:w="915" w:type="dxa"/>
            <w:tcBorders>
              <w:top w:val="nil"/>
              <w:left w:val="nil"/>
              <w:bottom w:val="single" w:color="auto" w:sz="4" w:space="0"/>
              <w:right w:val="single" w:color="auto" w:sz="4" w:space="0"/>
            </w:tcBorders>
            <w:shd w:val="clear" w:color="auto" w:fill="auto"/>
            <w:noWrap/>
            <w:vAlign w:val="center"/>
          </w:tcPr>
          <w:p w14:paraId="3F9BE40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FEF566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DB0822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30101</w:t>
            </w:r>
          </w:p>
        </w:tc>
        <w:tc>
          <w:tcPr>
            <w:tcW w:w="2905" w:type="dxa"/>
            <w:tcBorders>
              <w:top w:val="nil"/>
              <w:left w:val="nil"/>
              <w:bottom w:val="single" w:color="auto" w:sz="4" w:space="0"/>
              <w:right w:val="single" w:color="auto" w:sz="4" w:space="0"/>
            </w:tcBorders>
            <w:shd w:val="clear" w:color="auto" w:fill="auto"/>
            <w:noWrap/>
            <w:vAlign w:val="center"/>
          </w:tcPr>
          <w:p w14:paraId="0F3F5F2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基本工资</w:t>
            </w:r>
          </w:p>
        </w:tc>
        <w:tc>
          <w:tcPr>
            <w:tcW w:w="1120" w:type="dxa"/>
            <w:tcBorders>
              <w:top w:val="nil"/>
              <w:left w:val="nil"/>
              <w:bottom w:val="single" w:color="auto" w:sz="4" w:space="0"/>
              <w:right w:val="single" w:color="auto" w:sz="4" w:space="0"/>
            </w:tcBorders>
            <w:shd w:val="clear" w:color="auto" w:fill="auto"/>
            <w:noWrap/>
            <w:vAlign w:val="center"/>
          </w:tcPr>
          <w:p w14:paraId="49FCD2C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372.65</w:t>
            </w:r>
          </w:p>
        </w:tc>
        <w:tc>
          <w:tcPr>
            <w:tcW w:w="1191" w:type="dxa"/>
            <w:tcBorders>
              <w:top w:val="nil"/>
              <w:left w:val="nil"/>
              <w:bottom w:val="single" w:color="auto" w:sz="4" w:space="0"/>
              <w:right w:val="single" w:color="auto" w:sz="4" w:space="0"/>
            </w:tcBorders>
            <w:shd w:val="clear" w:color="auto" w:fill="auto"/>
            <w:noWrap/>
            <w:vAlign w:val="center"/>
          </w:tcPr>
          <w:p w14:paraId="6FD69A2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14:paraId="7FD94E2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办公费</w:t>
            </w:r>
          </w:p>
        </w:tc>
        <w:tc>
          <w:tcPr>
            <w:tcW w:w="1185" w:type="dxa"/>
            <w:tcBorders>
              <w:top w:val="nil"/>
              <w:left w:val="nil"/>
              <w:bottom w:val="single" w:color="auto" w:sz="4" w:space="0"/>
              <w:right w:val="single" w:color="auto" w:sz="4" w:space="0"/>
            </w:tcBorders>
            <w:shd w:val="clear" w:color="auto" w:fill="auto"/>
            <w:noWrap/>
            <w:vAlign w:val="center"/>
          </w:tcPr>
          <w:p w14:paraId="0F46F7E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25.13</w:t>
            </w:r>
          </w:p>
        </w:tc>
        <w:tc>
          <w:tcPr>
            <w:tcW w:w="1417" w:type="dxa"/>
            <w:tcBorders>
              <w:top w:val="nil"/>
              <w:left w:val="nil"/>
              <w:bottom w:val="single" w:color="auto" w:sz="4" w:space="0"/>
              <w:right w:val="single" w:color="auto" w:sz="4" w:space="0"/>
            </w:tcBorders>
            <w:shd w:val="clear" w:color="auto" w:fill="auto"/>
            <w:noWrap/>
            <w:vAlign w:val="center"/>
          </w:tcPr>
          <w:p w14:paraId="0359C50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30701</w:t>
            </w:r>
          </w:p>
        </w:tc>
        <w:tc>
          <w:tcPr>
            <w:tcW w:w="2977" w:type="dxa"/>
            <w:tcBorders>
              <w:top w:val="nil"/>
              <w:left w:val="nil"/>
              <w:bottom w:val="single" w:color="auto" w:sz="4" w:space="0"/>
              <w:right w:val="single" w:color="auto" w:sz="4" w:space="0"/>
            </w:tcBorders>
            <w:shd w:val="clear" w:color="auto" w:fill="auto"/>
            <w:noWrap/>
            <w:vAlign w:val="center"/>
          </w:tcPr>
          <w:p w14:paraId="60F36F0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国内债务付息</w:t>
            </w:r>
          </w:p>
        </w:tc>
        <w:tc>
          <w:tcPr>
            <w:tcW w:w="915" w:type="dxa"/>
            <w:tcBorders>
              <w:top w:val="nil"/>
              <w:left w:val="nil"/>
              <w:bottom w:val="single" w:color="auto" w:sz="4" w:space="0"/>
              <w:right w:val="single" w:color="auto" w:sz="4" w:space="0"/>
            </w:tcBorders>
            <w:shd w:val="clear" w:color="auto" w:fill="auto"/>
            <w:noWrap/>
            <w:vAlign w:val="center"/>
          </w:tcPr>
          <w:p w14:paraId="4298BBD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315266D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492F38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30102</w:t>
            </w:r>
          </w:p>
        </w:tc>
        <w:tc>
          <w:tcPr>
            <w:tcW w:w="2905" w:type="dxa"/>
            <w:tcBorders>
              <w:top w:val="nil"/>
              <w:left w:val="nil"/>
              <w:bottom w:val="single" w:color="auto" w:sz="4" w:space="0"/>
              <w:right w:val="single" w:color="auto" w:sz="4" w:space="0"/>
            </w:tcBorders>
            <w:shd w:val="clear" w:color="auto" w:fill="auto"/>
            <w:noWrap/>
            <w:vAlign w:val="center"/>
          </w:tcPr>
          <w:p w14:paraId="28C4742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津贴补贴</w:t>
            </w:r>
          </w:p>
        </w:tc>
        <w:tc>
          <w:tcPr>
            <w:tcW w:w="1120" w:type="dxa"/>
            <w:tcBorders>
              <w:top w:val="nil"/>
              <w:left w:val="nil"/>
              <w:bottom w:val="single" w:color="auto" w:sz="4" w:space="0"/>
              <w:right w:val="single" w:color="auto" w:sz="4" w:space="0"/>
            </w:tcBorders>
            <w:shd w:val="clear" w:color="auto" w:fill="auto"/>
            <w:noWrap/>
            <w:vAlign w:val="center"/>
          </w:tcPr>
          <w:p w14:paraId="5A46DBE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315.58</w:t>
            </w:r>
          </w:p>
        </w:tc>
        <w:tc>
          <w:tcPr>
            <w:tcW w:w="1191" w:type="dxa"/>
            <w:tcBorders>
              <w:top w:val="nil"/>
              <w:left w:val="nil"/>
              <w:bottom w:val="single" w:color="auto" w:sz="4" w:space="0"/>
              <w:right w:val="single" w:color="auto" w:sz="4" w:space="0"/>
            </w:tcBorders>
            <w:shd w:val="clear" w:color="auto" w:fill="auto"/>
            <w:noWrap/>
            <w:vAlign w:val="center"/>
          </w:tcPr>
          <w:p w14:paraId="3FF4DB3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14:paraId="60ACC4B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印刷费</w:t>
            </w:r>
          </w:p>
        </w:tc>
        <w:tc>
          <w:tcPr>
            <w:tcW w:w="1185" w:type="dxa"/>
            <w:tcBorders>
              <w:top w:val="nil"/>
              <w:left w:val="nil"/>
              <w:bottom w:val="single" w:color="auto" w:sz="4" w:space="0"/>
              <w:right w:val="single" w:color="auto" w:sz="4" w:space="0"/>
            </w:tcBorders>
            <w:shd w:val="clear" w:color="auto" w:fill="auto"/>
            <w:noWrap/>
            <w:vAlign w:val="center"/>
          </w:tcPr>
          <w:p w14:paraId="34B0DB3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2.03</w:t>
            </w:r>
          </w:p>
        </w:tc>
        <w:tc>
          <w:tcPr>
            <w:tcW w:w="1417" w:type="dxa"/>
            <w:tcBorders>
              <w:top w:val="nil"/>
              <w:left w:val="nil"/>
              <w:bottom w:val="single" w:color="auto" w:sz="4" w:space="0"/>
              <w:right w:val="single" w:color="auto" w:sz="4" w:space="0"/>
            </w:tcBorders>
            <w:shd w:val="clear" w:color="auto" w:fill="auto"/>
            <w:noWrap/>
            <w:vAlign w:val="center"/>
          </w:tcPr>
          <w:p w14:paraId="15F8D87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30702</w:t>
            </w:r>
          </w:p>
        </w:tc>
        <w:tc>
          <w:tcPr>
            <w:tcW w:w="2977" w:type="dxa"/>
            <w:tcBorders>
              <w:top w:val="nil"/>
              <w:left w:val="nil"/>
              <w:bottom w:val="single" w:color="auto" w:sz="4" w:space="0"/>
              <w:right w:val="single" w:color="auto" w:sz="4" w:space="0"/>
            </w:tcBorders>
            <w:shd w:val="clear" w:color="auto" w:fill="auto"/>
            <w:noWrap/>
            <w:vAlign w:val="center"/>
          </w:tcPr>
          <w:p w14:paraId="69C8B10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国外债务付息</w:t>
            </w:r>
          </w:p>
        </w:tc>
        <w:tc>
          <w:tcPr>
            <w:tcW w:w="915" w:type="dxa"/>
            <w:tcBorders>
              <w:top w:val="nil"/>
              <w:left w:val="nil"/>
              <w:bottom w:val="single" w:color="auto" w:sz="4" w:space="0"/>
              <w:right w:val="single" w:color="auto" w:sz="4" w:space="0"/>
            </w:tcBorders>
            <w:shd w:val="clear" w:color="auto" w:fill="auto"/>
            <w:noWrap/>
            <w:vAlign w:val="center"/>
          </w:tcPr>
          <w:p w14:paraId="747CC76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520EFF5A">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D1000F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30103</w:t>
            </w:r>
          </w:p>
        </w:tc>
        <w:tc>
          <w:tcPr>
            <w:tcW w:w="2905" w:type="dxa"/>
            <w:tcBorders>
              <w:top w:val="nil"/>
              <w:left w:val="nil"/>
              <w:bottom w:val="single" w:color="auto" w:sz="4" w:space="0"/>
              <w:right w:val="single" w:color="auto" w:sz="4" w:space="0"/>
            </w:tcBorders>
            <w:shd w:val="clear" w:color="auto" w:fill="auto"/>
            <w:noWrap/>
            <w:vAlign w:val="center"/>
          </w:tcPr>
          <w:p w14:paraId="073E299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奖金</w:t>
            </w:r>
          </w:p>
        </w:tc>
        <w:tc>
          <w:tcPr>
            <w:tcW w:w="1120" w:type="dxa"/>
            <w:tcBorders>
              <w:top w:val="nil"/>
              <w:left w:val="nil"/>
              <w:bottom w:val="single" w:color="auto" w:sz="4" w:space="0"/>
              <w:right w:val="single" w:color="auto" w:sz="4" w:space="0"/>
            </w:tcBorders>
            <w:shd w:val="clear" w:color="auto" w:fill="auto"/>
            <w:noWrap/>
            <w:vAlign w:val="center"/>
          </w:tcPr>
          <w:p w14:paraId="4DBF1DB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248.59</w:t>
            </w:r>
          </w:p>
        </w:tc>
        <w:tc>
          <w:tcPr>
            <w:tcW w:w="1191" w:type="dxa"/>
            <w:tcBorders>
              <w:top w:val="nil"/>
              <w:left w:val="nil"/>
              <w:bottom w:val="single" w:color="auto" w:sz="4" w:space="0"/>
              <w:right w:val="single" w:color="auto" w:sz="4" w:space="0"/>
            </w:tcBorders>
            <w:shd w:val="clear" w:color="auto" w:fill="auto"/>
            <w:noWrap/>
            <w:vAlign w:val="center"/>
          </w:tcPr>
          <w:p w14:paraId="587D051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14:paraId="64BE93A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咨询费</w:t>
            </w:r>
          </w:p>
        </w:tc>
        <w:tc>
          <w:tcPr>
            <w:tcW w:w="1185" w:type="dxa"/>
            <w:tcBorders>
              <w:top w:val="nil"/>
              <w:left w:val="nil"/>
              <w:bottom w:val="single" w:color="auto" w:sz="4" w:space="0"/>
              <w:right w:val="single" w:color="auto" w:sz="4" w:space="0"/>
            </w:tcBorders>
            <w:shd w:val="clear" w:color="auto" w:fill="auto"/>
            <w:noWrap/>
            <w:vAlign w:val="center"/>
          </w:tcPr>
          <w:p w14:paraId="274CE77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4EBF5DA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w:t>
            </w:r>
          </w:p>
        </w:tc>
        <w:tc>
          <w:tcPr>
            <w:tcW w:w="2977" w:type="dxa"/>
            <w:tcBorders>
              <w:top w:val="nil"/>
              <w:left w:val="nil"/>
              <w:bottom w:val="single" w:color="auto" w:sz="4" w:space="0"/>
              <w:right w:val="single" w:color="auto" w:sz="4" w:space="0"/>
            </w:tcBorders>
            <w:shd w:val="clear" w:color="auto" w:fill="auto"/>
            <w:noWrap/>
            <w:vAlign w:val="center"/>
          </w:tcPr>
          <w:p w14:paraId="76F64A4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资本性支出</w:t>
            </w:r>
          </w:p>
        </w:tc>
        <w:tc>
          <w:tcPr>
            <w:tcW w:w="915" w:type="dxa"/>
            <w:tcBorders>
              <w:top w:val="nil"/>
              <w:left w:val="nil"/>
              <w:bottom w:val="single" w:color="auto" w:sz="4" w:space="0"/>
              <w:right w:val="single" w:color="auto" w:sz="4" w:space="0"/>
            </w:tcBorders>
            <w:shd w:val="clear" w:color="auto" w:fill="auto"/>
            <w:noWrap/>
            <w:vAlign w:val="center"/>
          </w:tcPr>
          <w:p w14:paraId="156D18A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07A0860A">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5EC308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30106</w:t>
            </w:r>
          </w:p>
        </w:tc>
        <w:tc>
          <w:tcPr>
            <w:tcW w:w="2905" w:type="dxa"/>
            <w:tcBorders>
              <w:top w:val="nil"/>
              <w:left w:val="nil"/>
              <w:bottom w:val="single" w:color="auto" w:sz="4" w:space="0"/>
              <w:right w:val="single" w:color="auto" w:sz="4" w:space="0"/>
            </w:tcBorders>
            <w:shd w:val="clear" w:color="auto" w:fill="auto"/>
            <w:noWrap/>
            <w:vAlign w:val="center"/>
          </w:tcPr>
          <w:p w14:paraId="52D5A6A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伙食补助费</w:t>
            </w:r>
          </w:p>
        </w:tc>
        <w:tc>
          <w:tcPr>
            <w:tcW w:w="1120" w:type="dxa"/>
            <w:tcBorders>
              <w:top w:val="nil"/>
              <w:left w:val="nil"/>
              <w:bottom w:val="single" w:color="auto" w:sz="4" w:space="0"/>
              <w:right w:val="single" w:color="auto" w:sz="4" w:space="0"/>
            </w:tcBorders>
            <w:shd w:val="clear" w:color="auto" w:fill="auto"/>
            <w:noWrap/>
            <w:vAlign w:val="center"/>
          </w:tcPr>
          <w:p w14:paraId="497821D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0148F4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14:paraId="3917119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手续费</w:t>
            </w:r>
          </w:p>
        </w:tc>
        <w:tc>
          <w:tcPr>
            <w:tcW w:w="1185" w:type="dxa"/>
            <w:tcBorders>
              <w:top w:val="nil"/>
              <w:left w:val="nil"/>
              <w:bottom w:val="single" w:color="auto" w:sz="4" w:space="0"/>
              <w:right w:val="single" w:color="auto" w:sz="4" w:space="0"/>
            </w:tcBorders>
            <w:shd w:val="clear" w:color="auto" w:fill="auto"/>
            <w:noWrap/>
            <w:vAlign w:val="center"/>
          </w:tcPr>
          <w:p w14:paraId="7DFFFFA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129184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31001</w:t>
            </w:r>
          </w:p>
        </w:tc>
        <w:tc>
          <w:tcPr>
            <w:tcW w:w="2977" w:type="dxa"/>
            <w:tcBorders>
              <w:top w:val="nil"/>
              <w:left w:val="nil"/>
              <w:bottom w:val="single" w:color="auto" w:sz="4" w:space="0"/>
              <w:right w:val="single" w:color="auto" w:sz="4" w:space="0"/>
            </w:tcBorders>
            <w:shd w:val="clear" w:color="auto" w:fill="auto"/>
            <w:noWrap/>
            <w:vAlign w:val="center"/>
          </w:tcPr>
          <w:p w14:paraId="2BB58F8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房屋建筑物购建</w:t>
            </w:r>
          </w:p>
        </w:tc>
        <w:tc>
          <w:tcPr>
            <w:tcW w:w="915" w:type="dxa"/>
            <w:tcBorders>
              <w:top w:val="nil"/>
              <w:left w:val="nil"/>
              <w:bottom w:val="single" w:color="auto" w:sz="4" w:space="0"/>
              <w:right w:val="single" w:color="auto" w:sz="4" w:space="0"/>
            </w:tcBorders>
            <w:shd w:val="clear" w:color="auto" w:fill="auto"/>
            <w:noWrap/>
            <w:vAlign w:val="center"/>
          </w:tcPr>
          <w:p w14:paraId="5BA8E5F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F1ED17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E383D0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30107</w:t>
            </w:r>
          </w:p>
        </w:tc>
        <w:tc>
          <w:tcPr>
            <w:tcW w:w="2905" w:type="dxa"/>
            <w:tcBorders>
              <w:top w:val="nil"/>
              <w:left w:val="nil"/>
              <w:bottom w:val="single" w:color="auto" w:sz="4" w:space="0"/>
              <w:right w:val="single" w:color="auto" w:sz="4" w:space="0"/>
            </w:tcBorders>
            <w:shd w:val="clear" w:color="auto" w:fill="auto"/>
            <w:noWrap/>
            <w:vAlign w:val="center"/>
          </w:tcPr>
          <w:p w14:paraId="0E8EAB9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绩效工资</w:t>
            </w:r>
          </w:p>
        </w:tc>
        <w:tc>
          <w:tcPr>
            <w:tcW w:w="1120" w:type="dxa"/>
            <w:tcBorders>
              <w:top w:val="nil"/>
              <w:left w:val="nil"/>
              <w:bottom w:val="single" w:color="auto" w:sz="4" w:space="0"/>
              <w:right w:val="single" w:color="auto" w:sz="4" w:space="0"/>
            </w:tcBorders>
            <w:shd w:val="clear" w:color="auto" w:fill="auto"/>
            <w:noWrap/>
            <w:vAlign w:val="center"/>
          </w:tcPr>
          <w:p w14:paraId="7655196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2434EB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14:paraId="55E0105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水费</w:t>
            </w:r>
          </w:p>
        </w:tc>
        <w:tc>
          <w:tcPr>
            <w:tcW w:w="1185" w:type="dxa"/>
            <w:tcBorders>
              <w:top w:val="nil"/>
              <w:left w:val="nil"/>
              <w:bottom w:val="single" w:color="auto" w:sz="4" w:space="0"/>
              <w:right w:val="single" w:color="auto" w:sz="4" w:space="0"/>
            </w:tcBorders>
            <w:shd w:val="clear" w:color="auto" w:fill="auto"/>
            <w:noWrap/>
            <w:vAlign w:val="center"/>
          </w:tcPr>
          <w:p w14:paraId="24D4539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0.97</w:t>
            </w:r>
          </w:p>
        </w:tc>
        <w:tc>
          <w:tcPr>
            <w:tcW w:w="1417" w:type="dxa"/>
            <w:tcBorders>
              <w:top w:val="nil"/>
              <w:left w:val="nil"/>
              <w:bottom w:val="single" w:color="auto" w:sz="4" w:space="0"/>
              <w:right w:val="single" w:color="auto" w:sz="4" w:space="0"/>
            </w:tcBorders>
            <w:shd w:val="clear" w:color="auto" w:fill="auto"/>
            <w:noWrap/>
            <w:vAlign w:val="center"/>
          </w:tcPr>
          <w:p w14:paraId="366D44C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31002</w:t>
            </w:r>
          </w:p>
        </w:tc>
        <w:tc>
          <w:tcPr>
            <w:tcW w:w="2977" w:type="dxa"/>
            <w:tcBorders>
              <w:top w:val="nil"/>
              <w:left w:val="nil"/>
              <w:bottom w:val="single" w:color="auto" w:sz="4" w:space="0"/>
              <w:right w:val="single" w:color="auto" w:sz="4" w:space="0"/>
            </w:tcBorders>
            <w:shd w:val="clear" w:color="auto" w:fill="auto"/>
            <w:noWrap/>
            <w:vAlign w:val="center"/>
          </w:tcPr>
          <w:p w14:paraId="4E31B9B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办公设备购置</w:t>
            </w:r>
          </w:p>
        </w:tc>
        <w:tc>
          <w:tcPr>
            <w:tcW w:w="915" w:type="dxa"/>
            <w:tcBorders>
              <w:top w:val="nil"/>
              <w:left w:val="nil"/>
              <w:bottom w:val="single" w:color="auto" w:sz="4" w:space="0"/>
              <w:right w:val="single" w:color="auto" w:sz="4" w:space="0"/>
            </w:tcBorders>
            <w:shd w:val="clear" w:color="auto" w:fill="auto"/>
            <w:noWrap/>
            <w:vAlign w:val="center"/>
          </w:tcPr>
          <w:p w14:paraId="3F28327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E77889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3E60F0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30108</w:t>
            </w:r>
          </w:p>
        </w:tc>
        <w:tc>
          <w:tcPr>
            <w:tcW w:w="2905" w:type="dxa"/>
            <w:tcBorders>
              <w:top w:val="nil"/>
              <w:left w:val="nil"/>
              <w:bottom w:val="single" w:color="auto" w:sz="4" w:space="0"/>
              <w:right w:val="single" w:color="auto" w:sz="4" w:space="0"/>
            </w:tcBorders>
            <w:shd w:val="clear" w:color="auto" w:fill="auto"/>
            <w:noWrap/>
            <w:vAlign w:val="center"/>
          </w:tcPr>
          <w:p w14:paraId="50ED966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机关事业单位基本养老保险缴费</w:t>
            </w:r>
          </w:p>
        </w:tc>
        <w:tc>
          <w:tcPr>
            <w:tcW w:w="1120" w:type="dxa"/>
            <w:tcBorders>
              <w:top w:val="nil"/>
              <w:left w:val="nil"/>
              <w:bottom w:val="single" w:color="auto" w:sz="4" w:space="0"/>
              <w:right w:val="single" w:color="auto" w:sz="4" w:space="0"/>
            </w:tcBorders>
            <w:shd w:val="clear" w:color="auto" w:fill="auto"/>
            <w:noWrap/>
            <w:vAlign w:val="center"/>
          </w:tcPr>
          <w:p w14:paraId="47843C23">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Cs w:val="20"/>
                <w:lang w:val="en-US" w:eastAsia="zh-CN"/>
              </w:rPr>
            </w:pPr>
            <w:r>
              <w:rPr>
                <w:rFonts w:hint="eastAsia" w:ascii="宋体" w:hAnsi="宋体" w:eastAsia="宋体" w:cs="宋体"/>
                <w:color w:val="auto"/>
                <w:kern w:val="0"/>
                <w:szCs w:val="20"/>
              </w:rPr>
              <w:t>115.6</w:t>
            </w:r>
            <w:r>
              <w:rPr>
                <w:rFonts w:hint="eastAsia" w:ascii="宋体" w:hAnsi="宋体" w:eastAsia="宋体" w:cs="宋体"/>
                <w:color w:val="auto"/>
                <w:kern w:val="0"/>
                <w:szCs w:val="20"/>
                <w:lang w:val="en-US" w:eastAsia="zh-CN"/>
              </w:rPr>
              <w:t>6</w:t>
            </w:r>
          </w:p>
        </w:tc>
        <w:tc>
          <w:tcPr>
            <w:tcW w:w="1191" w:type="dxa"/>
            <w:tcBorders>
              <w:top w:val="nil"/>
              <w:left w:val="nil"/>
              <w:bottom w:val="single" w:color="auto" w:sz="4" w:space="0"/>
              <w:right w:val="single" w:color="auto" w:sz="4" w:space="0"/>
            </w:tcBorders>
            <w:shd w:val="clear" w:color="auto" w:fill="auto"/>
            <w:noWrap/>
            <w:vAlign w:val="center"/>
          </w:tcPr>
          <w:p w14:paraId="4B4A94C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14:paraId="3E126AC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电费</w:t>
            </w:r>
          </w:p>
        </w:tc>
        <w:tc>
          <w:tcPr>
            <w:tcW w:w="1185" w:type="dxa"/>
            <w:tcBorders>
              <w:top w:val="nil"/>
              <w:left w:val="nil"/>
              <w:bottom w:val="single" w:color="auto" w:sz="4" w:space="0"/>
              <w:right w:val="single" w:color="auto" w:sz="4" w:space="0"/>
            </w:tcBorders>
            <w:shd w:val="clear" w:color="auto" w:fill="auto"/>
            <w:noWrap/>
            <w:vAlign w:val="center"/>
          </w:tcPr>
          <w:p w14:paraId="3CFDB15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5.54</w:t>
            </w:r>
          </w:p>
        </w:tc>
        <w:tc>
          <w:tcPr>
            <w:tcW w:w="1417" w:type="dxa"/>
            <w:tcBorders>
              <w:top w:val="nil"/>
              <w:left w:val="nil"/>
              <w:bottom w:val="single" w:color="auto" w:sz="4" w:space="0"/>
              <w:right w:val="single" w:color="auto" w:sz="4" w:space="0"/>
            </w:tcBorders>
            <w:shd w:val="clear" w:color="auto" w:fill="auto"/>
            <w:noWrap/>
            <w:vAlign w:val="center"/>
          </w:tcPr>
          <w:p w14:paraId="4333AE5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31003</w:t>
            </w:r>
          </w:p>
        </w:tc>
        <w:tc>
          <w:tcPr>
            <w:tcW w:w="2977" w:type="dxa"/>
            <w:tcBorders>
              <w:top w:val="nil"/>
              <w:left w:val="nil"/>
              <w:bottom w:val="single" w:color="auto" w:sz="4" w:space="0"/>
              <w:right w:val="single" w:color="auto" w:sz="4" w:space="0"/>
            </w:tcBorders>
            <w:shd w:val="clear" w:color="auto" w:fill="auto"/>
            <w:noWrap/>
            <w:vAlign w:val="center"/>
          </w:tcPr>
          <w:p w14:paraId="37474ED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专用设备购置</w:t>
            </w:r>
          </w:p>
        </w:tc>
        <w:tc>
          <w:tcPr>
            <w:tcW w:w="915" w:type="dxa"/>
            <w:tcBorders>
              <w:top w:val="nil"/>
              <w:left w:val="nil"/>
              <w:bottom w:val="single" w:color="auto" w:sz="4" w:space="0"/>
              <w:right w:val="single" w:color="auto" w:sz="4" w:space="0"/>
            </w:tcBorders>
            <w:shd w:val="clear" w:color="auto" w:fill="auto"/>
            <w:noWrap/>
            <w:vAlign w:val="center"/>
          </w:tcPr>
          <w:p w14:paraId="1366FCC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6D52ACFA">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B8A43B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30109</w:t>
            </w:r>
          </w:p>
        </w:tc>
        <w:tc>
          <w:tcPr>
            <w:tcW w:w="2905" w:type="dxa"/>
            <w:tcBorders>
              <w:top w:val="nil"/>
              <w:left w:val="nil"/>
              <w:bottom w:val="single" w:color="auto" w:sz="4" w:space="0"/>
              <w:right w:val="single" w:color="auto" w:sz="4" w:space="0"/>
            </w:tcBorders>
            <w:shd w:val="clear" w:color="auto" w:fill="auto"/>
            <w:noWrap/>
            <w:vAlign w:val="center"/>
          </w:tcPr>
          <w:p w14:paraId="66F9882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职业年金缴费</w:t>
            </w:r>
          </w:p>
        </w:tc>
        <w:tc>
          <w:tcPr>
            <w:tcW w:w="1120" w:type="dxa"/>
            <w:tcBorders>
              <w:top w:val="nil"/>
              <w:left w:val="nil"/>
              <w:bottom w:val="single" w:color="auto" w:sz="4" w:space="0"/>
              <w:right w:val="single" w:color="auto" w:sz="4" w:space="0"/>
            </w:tcBorders>
            <w:shd w:val="clear" w:color="auto" w:fill="auto"/>
            <w:noWrap/>
            <w:vAlign w:val="center"/>
          </w:tcPr>
          <w:p w14:paraId="386329D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98B6CA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14:paraId="1A1F62B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邮电费</w:t>
            </w:r>
          </w:p>
        </w:tc>
        <w:tc>
          <w:tcPr>
            <w:tcW w:w="1185" w:type="dxa"/>
            <w:tcBorders>
              <w:top w:val="nil"/>
              <w:left w:val="nil"/>
              <w:bottom w:val="single" w:color="auto" w:sz="4" w:space="0"/>
              <w:right w:val="single" w:color="auto" w:sz="4" w:space="0"/>
            </w:tcBorders>
            <w:shd w:val="clear" w:color="auto" w:fill="auto"/>
            <w:noWrap/>
            <w:vAlign w:val="center"/>
          </w:tcPr>
          <w:p w14:paraId="5F4BB34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1.50</w:t>
            </w:r>
          </w:p>
        </w:tc>
        <w:tc>
          <w:tcPr>
            <w:tcW w:w="1417" w:type="dxa"/>
            <w:tcBorders>
              <w:top w:val="nil"/>
              <w:left w:val="nil"/>
              <w:bottom w:val="single" w:color="auto" w:sz="4" w:space="0"/>
              <w:right w:val="single" w:color="auto" w:sz="4" w:space="0"/>
            </w:tcBorders>
            <w:shd w:val="clear" w:color="auto" w:fill="auto"/>
            <w:noWrap/>
            <w:vAlign w:val="center"/>
          </w:tcPr>
          <w:p w14:paraId="7096E6C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31005</w:t>
            </w:r>
          </w:p>
        </w:tc>
        <w:tc>
          <w:tcPr>
            <w:tcW w:w="2977" w:type="dxa"/>
            <w:tcBorders>
              <w:top w:val="nil"/>
              <w:left w:val="nil"/>
              <w:bottom w:val="single" w:color="auto" w:sz="4" w:space="0"/>
              <w:right w:val="single" w:color="auto" w:sz="4" w:space="0"/>
            </w:tcBorders>
            <w:shd w:val="clear" w:color="auto" w:fill="auto"/>
            <w:noWrap/>
            <w:vAlign w:val="center"/>
          </w:tcPr>
          <w:p w14:paraId="29AB579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基础设施建设</w:t>
            </w:r>
          </w:p>
        </w:tc>
        <w:tc>
          <w:tcPr>
            <w:tcW w:w="915" w:type="dxa"/>
            <w:tcBorders>
              <w:top w:val="nil"/>
              <w:left w:val="nil"/>
              <w:bottom w:val="single" w:color="auto" w:sz="4" w:space="0"/>
              <w:right w:val="single" w:color="auto" w:sz="4" w:space="0"/>
            </w:tcBorders>
            <w:shd w:val="clear" w:color="auto" w:fill="auto"/>
            <w:noWrap/>
            <w:vAlign w:val="center"/>
          </w:tcPr>
          <w:p w14:paraId="5CE6652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62AFF05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229897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30110</w:t>
            </w:r>
          </w:p>
        </w:tc>
        <w:tc>
          <w:tcPr>
            <w:tcW w:w="2905" w:type="dxa"/>
            <w:tcBorders>
              <w:top w:val="nil"/>
              <w:left w:val="nil"/>
              <w:bottom w:val="single" w:color="auto" w:sz="4" w:space="0"/>
              <w:right w:val="single" w:color="auto" w:sz="4" w:space="0"/>
            </w:tcBorders>
            <w:shd w:val="clear" w:color="auto" w:fill="auto"/>
            <w:noWrap/>
            <w:vAlign w:val="center"/>
          </w:tcPr>
          <w:p w14:paraId="0986AF0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职工基本医疗保险缴费</w:t>
            </w:r>
          </w:p>
        </w:tc>
        <w:tc>
          <w:tcPr>
            <w:tcW w:w="1120" w:type="dxa"/>
            <w:tcBorders>
              <w:top w:val="nil"/>
              <w:left w:val="nil"/>
              <w:bottom w:val="single" w:color="auto" w:sz="4" w:space="0"/>
              <w:right w:val="single" w:color="auto" w:sz="4" w:space="0"/>
            </w:tcBorders>
            <w:shd w:val="clear" w:color="auto" w:fill="auto"/>
            <w:noWrap/>
            <w:vAlign w:val="center"/>
          </w:tcPr>
          <w:p w14:paraId="2560810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86.77</w:t>
            </w:r>
          </w:p>
        </w:tc>
        <w:tc>
          <w:tcPr>
            <w:tcW w:w="1191" w:type="dxa"/>
            <w:tcBorders>
              <w:top w:val="nil"/>
              <w:left w:val="nil"/>
              <w:bottom w:val="single" w:color="auto" w:sz="4" w:space="0"/>
              <w:right w:val="single" w:color="auto" w:sz="4" w:space="0"/>
            </w:tcBorders>
            <w:shd w:val="clear" w:color="auto" w:fill="auto"/>
            <w:noWrap/>
            <w:vAlign w:val="center"/>
          </w:tcPr>
          <w:p w14:paraId="44C6FFA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14:paraId="25E3173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取暖费</w:t>
            </w:r>
          </w:p>
        </w:tc>
        <w:tc>
          <w:tcPr>
            <w:tcW w:w="1185" w:type="dxa"/>
            <w:tcBorders>
              <w:top w:val="nil"/>
              <w:left w:val="nil"/>
              <w:bottom w:val="single" w:color="auto" w:sz="4" w:space="0"/>
              <w:right w:val="single" w:color="auto" w:sz="4" w:space="0"/>
            </w:tcBorders>
            <w:shd w:val="clear" w:color="auto" w:fill="auto"/>
            <w:noWrap/>
            <w:vAlign w:val="center"/>
          </w:tcPr>
          <w:p w14:paraId="1DD919D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6.77</w:t>
            </w:r>
          </w:p>
        </w:tc>
        <w:tc>
          <w:tcPr>
            <w:tcW w:w="1417" w:type="dxa"/>
            <w:tcBorders>
              <w:top w:val="nil"/>
              <w:left w:val="nil"/>
              <w:bottom w:val="single" w:color="auto" w:sz="4" w:space="0"/>
              <w:right w:val="single" w:color="auto" w:sz="4" w:space="0"/>
            </w:tcBorders>
            <w:shd w:val="clear" w:color="auto" w:fill="auto"/>
            <w:noWrap/>
            <w:vAlign w:val="center"/>
          </w:tcPr>
          <w:p w14:paraId="4208F6E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31006</w:t>
            </w:r>
          </w:p>
        </w:tc>
        <w:tc>
          <w:tcPr>
            <w:tcW w:w="2977" w:type="dxa"/>
            <w:tcBorders>
              <w:top w:val="nil"/>
              <w:left w:val="nil"/>
              <w:bottom w:val="single" w:color="auto" w:sz="4" w:space="0"/>
              <w:right w:val="single" w:color="auto" w:sz="4" w:space="0"/>
            </w:tcBorders>
            <w:shd w:val="clear" w:color="auto" w:fill="auto"/>
            <w:noWrap/>
            <w:vAlign w:val="center"/>
          </w:tcPr>
          <w:p w14:paraId="2A554F8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大型修缮</w:t>
            </w:r>
          </w:p>
        </w:tc>
        <w:tc>
          <w:tcPr>
            <w:tcW w:w="915" w:type="dxa"/>
            <w:tcBorders>
              <w:top w:val="nil"/>
              <w:left w:val="nil"/>
              <w:bottom w:val="single" w:color="auto" w:sz="4" w:space="0"/>
              <w:right w:val="single" w:color="auto" w:sz="4" w:space="0"/>
            </w:tcBorders>
            <w:shd w:val="clear" w:color="auto" w:fill="auto"/>
            <w:noWrap/>
            <w:vAlign w:val="center"/>
          </w:tcPr>
          <w:p w14:paraId="788ED74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1E8792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2CEFAF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30111</w:t>
            </w:r>
          </w:p>
        </w:tc>
        <w:tc>
          <w:tcPr>
            <w:tcW w:w="2905" w:type="dxa"/>
            <w:tcBorders>
              <w:top w:val="nil"/>
              <w:left w:val="nil"/>
              <w:bottom w:val="single" w:color="auto" w:sz="4" w:space="0"/>
              <w:right w:val="single" w:color="auto" w:sz="4" w:space="0"/>
            </w:tcBorders>
            <w:shd w:val="clear" w:color="auto" w:fill="auto"/>
            <w:noWrap/>
            <w:vAlign w:val="center"/>
          </w:tcPr>
          <w:p w14:paraId="432F59C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公务员医疗补助缴费</w:t>
            </w:r>
          </w:p>
        </w:tc>
        <w:tc>
          <w:tcPr>
            <w:tcW w:w="1120" w:type="dxa"/>
            <w:tcBorders>
              <w:top w:val="nil"/>
              <w:left w:val="nil"/>
              <w:bottom w:val="single" w:color="auto" w:sz="4" w:space="0"/>
              <w:right w:val="single" w:color="auto" w:sz="4" w:space="0"/>
            </w:tcBorders>
            <w:shd w:val="clear" w:color="auto" w:fill="auto"/>
            <w:noWrap/>
            <w:vAlign w:val="center"/>
          </w:tcPr>
          <w:p w14:paraId="7BFFB1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64CF067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14:paraId="35A045E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物业管理费</w:t>
            </w:r>
          </w:p>
        </w:tc>
        <w:tc>
          <w:tcPr>
            <w:tcW w:w="1185" w:type="dxa"/>
            <w:tcBorders>
              <w:top w:val="nil"/>
              <w:left w:val="nil"/>
              <w:bottom w:val="single" w:color="auto" w:sz="4" w:space="0"/>
              <w:right w:val="single" w:color="auto" w:sz="4" w:space="0"/>
            </w:tcBorders>
            <w:shd w:val="clear" w:color="auto" w:fill="auto"/>
            <w:noWrap/>
            <w:vAlign w:val="center"/>
          </w:tcPr>
          <w:p w14:paraId="6D2B4BA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1FE2F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31007</w:t>
            </w:r>
          </w:p>
        </w:tc>
        <w:tc>
          <w:tcPr>
            <w:tcW w:w="2977" w:type="dxa"/>
            <w:tcBorders>
              <w:top w:val="nil"/>
              <w:left w:val="nil"/>
              <w:bottom w:val="single" w:color="auto" w:sz="4" w:space="0"/>
              <w:right w:val="single" w:color="auto" w:sz="4" w:space="0"/>
            </w:tcBorders>
            <w:shd w:val="clear" w:color="auto" w:fill="auto"/>
            <w:noWrap/>
            <w:vAlign w:val="center"/>
          </w:tcPr>
          <w:p w14:paraId="12EE266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信息网络及软件购置更新</w:t>
            </w:r>
          </w:p>
        </w:tc>
        <w:tc>
          <w:tcPr>
            <w:tcW w:w="915" w:type="dxa"/>
            <w:tcBorders>
              <w:top w:val="nil"/>
              <w:left w:val="nil"/>
              <w:bottom w:val="single" w:color="auto" w:sz="4" w:space="0"/>
              <w:right w:val="single" w:color="auto" w:sz="4" w:space="0"/>
            </w:tcBorders>
            <w:shd w:val="clear" w:color="auto" w:fill="auto"/>
            <w:noWrap/>
            <w:vAlign w:val="center"/>
          </w:tcPr>
          <w:p w14:paraId="1F0E002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142F945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A78240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30112</w:t>
            </w:r>
          </w:p>
        </w:tc>
        <w:tc>
          <w:tcPr>
            <w:tcW w:w="2905" w:type="dxa"/>
            <w:tcBorders>
              <w:top w:val="nil"/>
              <w:left w:val="nil"/>
              <w:bottom w:val="single" w:color="auto" w:sz="4" w:space="0"/>
              <w:right w:val="single" w:color="auto" w:sz="4" w:space="0"/>
            </w:tcBorders>
            <w:shd w:val="clear" w:color="auto" w:fill="auto"/>
            <w:noWrap/>
            <w:vAlign w:val="center"/>
          </w:tcPr>
          <w:p w14:paraId="799E00D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其他社会保障缴费</w:t>
            </w:r>
          </w:p>
        </w:tc>
        <w:tc>
          <w:tcPr>
            <w:tcW w:w="1120" w:type="dxa"/>
            <w:tcBorders>
              <w:top w:val="nil"/>
              <w:left w:val="nil"/>
              <w:bottom w:val="single" w:color="auto" w:sz="4" w:space="0"/>
              <w:right w:val="single" w:color="auto" w:sz="4" w:space="0"/>
            </w:tcBorders>
            <w:shd w:val="clear" w:color="auto" w:fill="auto"/>
            <w:noWrap/>
            <w:vAlign w:val="center"/>
          </w:tcPr>
          <w:p w14:paraId="5E5AA36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4.92</w:t>
            </w:r>
          </w:p>
        </w:tc>
        <w:tc>
          <w:tcPr>
            <w:tcW w:w="1191" w:type="dxa"/>
            <w:tcBorders>
              <w:top w:val="nil"/>
              <w:left w:val="nil"/>
              <w:bottom w:val="single" w:color="auto" w:sz="4" w:space="0"/>
              <w:right w:val="single" w:color="auto" w:sz="4" w:space="0"/>
            </w:tcBorders>
            <w:shd w:val="clear" w:color="auto" w:fill="auto"/>
            <w:noWrap/>
            <w:vAlign w:val="center"/>
          </w:tcPr>
          <w:p w14:paraId="132FC1F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14:paraId="3632771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差旅费</w:t>
            </w:r>
          </w:p>
        </w:tc>
        <w:tc>
          <w:tcPr>
            <w:tcW w:w="1185" w:type="dxa"/>
            <w:tcBorders>
              <w:top w:val="nil"/>
              <w:left w:val="nil"/>
              <w:bottom w:val="single" w:color="auto" w:sz="4" w:space="0"/>
              <w:right w:val="single" w:color="auto" w:sz="4" w:space="0"/>
            </w:tcBorders>
            <w:shd w:val="clear" w:color="auto" w:fill="auto"/>
            <w:noWrap/>
            <w:vAlign w:val="center"/>
          </w:tcPr>
          <w:p w14:paraId="767C223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7DAAFB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31008</w:t>
            </w:r>
          </w:p>
        </w:tc>
        <w:tc>
          <w:tcPr>
            <w:tcW w:w="2977" w:type="dxa"/>
            <w:tcBorders>
              <w:top w:val="nil"/>
              <w:left w:val="nil"/>
              <w:bottom w:val="single" w:color="auto" w:sz="4" w:space="0"/>
              <w:right w:val="single" w:color="auto" w:sz="4" w:space="0"/>
            </w:tcBorders>
            <w:shd w:val="clear" w:color="auto" w:fill="auto"/>
            <w:noWrap/>
            <w:vAlign w:val="center"/>
          </w:tcPr>
          <w:p w14:paraId="7B00F2A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物资储备</w:t>
            </w:r>
          </w:p>
        </w:tc>
        <w:tc>
          <w:tcPr>
            <w:tcW w:w="915" w:type="dxa"/>
            <w:tcBorders>
              <w:top w:val="nil"/>
              <w:left w:val="nil"/>
              <w:bottom w:val="single" w:color="auto" w:sz="4" w:space="0"/>
              <w:right w:val="single" w:color="auto" w:sz="4" w:space="0"/>
            </w:tcBorders>
            <w:shd w:val="clear" w:color="auto" w:fill="auto"/>
            <w:noWrap/>
            <w:vAlign w:val="center"/>
          </w:tcPr>
          <w:p w14:paraId="0CDE3F0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8B9B62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C8BB44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30113</w:t>
            </w:r>
          </w:p>
        </w:tc>
        <w:tc>
          <w:tcPr>
            <w:tcW w:w="2905" w:type="dxa"/>
            <w:tcBorders>
              <w:top w:val="nil"/>
              <w:left w:val="nil"/>
              <w:bottom w:val="single" w:color="auto" w:sz="4" w:space="0"/>
              <w:right w:val="single" w:color="auto" w:sz="4" w:space="0"/>
            </w:tcBorders>
            <w:shd w:val="clear" w:color="auto" w:fill="auto"/>
            <w:noWrap/>
            <w:vAlign w:val="center"/>
          </w:tcPr>
          <w:p w14:paraId="06F9087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住房公积金</w:t>
            </w:r>
          </w:p>
        </w:tc>
        <w:tc>
          <w:tcPr>
            <w:tcW w:w="1120" w:type="dxa"/>
            <w:tcBorders>
              <w:top w:val="nil"/>
              <w:left w:val="nil"/>
              <w:bottom w:val="single" w:color="auto" w:sz="4" w:space="0"/>
              <w:right w:val="single" w:color="auto" w:sz="4" w:space="0"/>
            </w:tcBorders>
            <w:shd w:val="clear" w:color="auto" w:fill="auto"/>
            <w:noWrap/>
            <w:vAlign w:val="center"/>
          </w:tcPr>
          <w:p w14:paraId="304DE7B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122.34</w:t>
            </w:r>
          </w:p>
        </w:tc>
        <w:tc>
          <w:tcPr>
            <w:tcW w:w="1191" w:type="dxa"/>
            <w:tcBorders>
              <w:top w:val="nil"/>
              <w:left w:val="nil"/>
              <w:bottom w:val="single" w:color="auto" w:sz="4" w:space="0"/>
              <w:right w:val="single" w:color="auto" w:sz="4" w:space="0"/>
            </w:tcBorders>
            <w:shd w:val="clear" w:color="auto" w:fill="auto"/>
            <w:noWrap/>
            <w:vAlign w:val="center"/>
          </w:tcPr>
          <w:p w14:paraId="7FC2EDF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14:paraId="78F9F5D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因公出国（境）费用</w:t>
            </w:r>
          </w:p>
        </w:tc>
        <w:tc>
          <w:tcPr>
            <w:tcW w:w="1185" w:type="dxa"/>
            <w:tcBorders>
              <w:top w:val="nil"/>
              <w:left w:val="nil"/>
              <w:bottom w:val="single" w:color="auto" w:sz="4" w:space="0"/>
              <w:right w:val="single" w:color="auto" w:sz="4" w:space="0"/>
            </w:tcBorders>
            <w:shd w:val="clear" w:color="auto" w:fill="auto"/>
            <w:noWrap/>
            <w:vAlign w:val="center"/>
          </w:tcPr>
          <w:p w14:paraId="7A7333D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F1A7D1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31009</w:t>
            </w:r>
          </w:p>
        </w:tc>
        <w:tc>
          <w:tcPr>
            <w:tcW w:w="2977" w:type="dxa"/>
            <w:tcBorders>
              <w:top w:val="nil"/>
              <w:left w:val="nil"/>
              <w:bottom w:val="single" w:color="auto" w:sz="4" w:space="0"/>
              <w:right w:val="single" w:color="auto" w:sz="4" w:space="0"/>
            </w:tcBorders>
            <w:shd w:val="clear" w:color="auto" w:fill="auto"/>
            <w:noWrap/>
            <w:vAlign w:val="center"/>
          </w:tcPr>
          <w:p w14:paraId="44A13A9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土地补偿</w:t>
            </w:r>
          </w:p>
        </w:tc>
        <w:tc>
          <w:tcPr>
            <w:tcW w:w="915" w:type="dxa"/>
            <w:tcBorders>
              <w:top w:val="nil"/>
              <w:left w:val="nil"/>
              <w:bottom w:val="single" w:color="auto" w:sz="4" w:space="0"/>
              <w:right w:val="single" w:color="auto" w:sz="4" w:space="0"/>
            </w:tcBorders>
            <w:shd w:val="clear" w:color="auto" w:fill="auto"/>
            <w:noWrap/>
            <w:vAlign w:val="center"/>
          </w:tcPr>
          <w:p w14:paraId="57F8AD0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627B637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3F43C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30114</w:t>
            </w:r>
          </w:p>
        </w:tc>
        <w:tc>
          <w:tcPr>
            <w:tcW w:w="2905" w:type="dxa"/>
            <w:tcBorders>
              <w:top w:val="nil"/>
              <w:left w:val="nil"/>
              <w:bottom w:val="single" w:color="auto" w:sz="4" w:space="0"/>
              <w:right w:val="single" w:color="auto" w:sz="4" w:space="0"/>
            </w:tcBorders>
            <w:shd w:val="clear" w:color="auto" w:fill="auto"/>
            <w:noWrap/>
            <w:vAlign w:val="center"/>
          </w:tcPr>
          <w:p w14:paraId="2458EE2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医疗费</w:t>
            </w:r>
          </w:p>
        </w:tc>
        <w:tc>
          <w:tcPr>
            <w:tcW w:w="1120" w:type="dxa"/>
            <w:tcBorders>
              <w:top w:val="nil"/>
              <w:left w:val="nil"/>
              <w:bottom w:val="single" w:color="auto" w:sz="4" w:space="0"/>
              <w:right w:val="single" w:color="auto" w:sz="4" w:space="0"/>
            </w:tcBorders>
            <w:shd w:val="clear" w:color="auto" w:fill="auto"/>
            <w:noWrap/>
            <w:vAlign w:val="center"/>
          </w:tcPr>
          <w:p w14:paraId="33EEB00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3C229C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14:paraId="76E508A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维修（护）费</w:t>
            </w:r>
          </w:p>
        </w:tc>
        <w:tc>
          <w:tcPr>
            <w:tcW w:w="1185" w:type="dxa"/>
            <w:tcBorders>
              <w:top w:val="nil"/>
              <w:left w:val="nil"/>
              <w:bottom w:val="single" w:color="auto" w:sz="4" w:space="0"/>
              <w:right w:val="single" w:color="auto" w:sz="4" w:space="0"/>
            </w:tcBorders>
            <w:shd w:val="clear" w:color="auto" w:fill="auto"/>
            <w:noWrap/>
            <w:vAlign w:val="center"/>
          </w:tcPr>
          <w:p w14:paraId="73AC790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3.27</w:t>
            </w:r>
          </w:p>
        </w:tc>
        <w:tc>
          <w:tcPr>
            <w:tcW w:w="1417" w:type="dxa"/>
            <w:tcBorders>
              <w:top w:val="nil"/>
              <w:left w:val="nil"/>
              <w:bottom w:val="single" w:color="auto" w:sz="4" w:space="0"/>
              <w:right w:val="single" w:color="auto" w:sz="4" w:space="0"/>
            </w:tcBorders>
            <w:shd w:val="clear" w:color="auto" w:fill="auto"/>
            <w:noWrap/>
            <w:vAlign w:val="center"/>
          </w:tcPr>
          <w:p w14:paraId="3704171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31010</w:t>
            </w:r>
          </w:p>
        </w:tc>
        <w:tc>
          <w:tcPr>
            <w:tcW w:w="2977" w:type="dxa"/>
            <w:tcBorders>
              <w:top w:val="nil"/>
              <w:left w:val="nil"/>
              <w:bottom w:val="single" w:color="auto" w:sz="4" w:space="0"/>
              <w:right w:val="single" w:color="auto" w:sz="4" w:space="0"/>
            </w:tcBorders>
            <w:shd w:val="clear" w:color="auto" w:fill="auto"/>
            <w:noWrap/>
            <w:vAlign w:val="center"/>
          </w:tcPr>
          <w:p w14:paraId="405FF41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安置补助</w:t>
            </w:r>
          </w:p>
        </w:tc>
        <w:tc>
          <w:tcPr>
            <w:tcW w:w="915" w:type="dxa"/>
            <w:tcBorders>
              <w:top w:val="nil"/>
              <w:left w:val="nil"/>
              <w:bottom w:val="single" w:color="auto" w:sz="4" w:space="0"/>
              <w:right w:val="single" w:color="auto" w:sz="4" w:space="0"/>
            </w:tcBorders>
            <w:shd w:val="clear" w:color="auto" w:fill="auto"/>
            <w:noWrap/>
            <w:vAlign w:val="center"/>
          </w:tcPr>
          <w:p w14:paraId="2038CF5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3B39028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3154E3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30199</w:t>
            </w:r>
          </w:p>
        </w:tc>
        <w:tc>
          <w:tcPr>
            <w:tcW w:w="2905" w:type="dxa"/>
            <w:tcBorders>
              <w:top w:val="nil"/>
              <w:left w:val="nil"/>
              <w:bottom w:val="single" w:color="auto" w:sz="4" w:space="0"/>
              <w:right w:val="single" w:color="auto" w:sz="4" w:space="0"/>
            </w:tcBorders>
            <w:shd w:val="clear" w:color="auto" w:fill="auto"/>
            <w:noWrap/>
            <w:vAlign w:val="center"/>
          </w:tcPr>
          <w:p w14:paraId="43AB85D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其他工资福利支出</w:t>
            </w:r>
          </w:p>
        </w:tc>
        <w:tc>
          <w:tcPr>
            <w:tcW w:w="1120" w:type="dxa"/>
            <w:tcBorders>
              <w:top w:val="nil"/>
              <w:left w:val="nil"/>
              <w:bottom w:val="single" w:color="auto" w:sz="4" w:space="0"/>
              <w:right w:val="single" w:color="auto" w:sz="4" w:space="0"/>
            </w:tcBorders>
            <w:shd w:val="clear" w:color="auto" w:fill="auto"/>
            <w:noWrap/>
            <w:vAlign w:val="center"/>
          </w:tcPr>
          <w:p w14:paraId="7BC2D88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1.67</w:t>
            </w:r>
          </w:p>
        </w:tc>
        <w:tc>
          <w:tcPr>
            <w:tcW w:w="1191" w:type="dxa"/>
            <w:tcBorders>
              <w:top w:val="nil"/>
              <w:left w:val="nil"/>
              <w:bottom w:val="single" w:color="auto" w:sz="4" w:space="0"/>
              <w:right w:val="single" w:color="auto" w:sz="4" w:space="0"/>
            </w:tcBorders>
            <w:shd w:val="clear" w:color="auto" w:fill="auto"/>
            <w:noWrap/>
            <w:vAlign w:val="center"/>
          </w:tcPr>
          <w:p w14:paraId="247FC94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14:paraId="0663F9A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租赁费</w:t>
            </w:r>
          </w:p>
        </w:tc>
        <w:tc>
          <w:tcPr>
            <w:tcW w:w="1185" w:type="dxa"/>
            <w:tcBorders>
              <w:top w:val="nil"/>
              <w:left w:val="nil"/>
              <w:bottom w:val="single" w:color="auto" w:sz="4" w:space="0"/>
              <w:right w:val="single" w:color="auto" w:sz="4" w:space="0"/>
            </w:tcBorders>
            <w:shd w:val="clear" w:color="auto" w:fill="auto"/>
            <w:noWrap/>
            <w:vAlign w:val="center"/>
          </w:tcPr>
          <w:p w14:paraId="6D48126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88788D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31011</w:t>
            </w:r>
          </w:p>
        </w:tc>
        <w:tc>
          <w:tcPr>
            <w:tcW w:w="2977" w:type="dxa"/>
            <w:tcBorders>
              <w:top w:val="nil"/>
              <w:left w:val="nil"/>
              <w:bottom w:val="single" w:color="auto" w:sz="4" w:space="0"/>
              <w:right w:val="single" w:color="auto" w:sz="4" w:space="0"/>
            </w:tcBorders>
            <w:shd w:val="clear" w:color="auto" w:fill="auto"/>
            <w:noWrap/>
            <w:vAlign w:val="center"/>
          </w:tcPr>
          <w:p w14:paraId="3F3F8DC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地上附着物和青苗补偿</w:t>
            </w:r>
          </w:p>
        </w:tc>
        <w:tc>
          <w:tcPr>
            <w:tcW w:w="915" w:type="dxa"/>
            <w:tcBorders>
              <w:top w:val="nil"/>
              <w:left w:val="nil"/>
              <w:bottom w:val="single" w:color="auto" w:sz="4" w:space="0"/>
              <w:right w:val="single" w:color="auto" w:sz="4" w:space="0"/>
            </w:tcBorders>
            <w:shd w:val="clear" w:color="auto" w:fill="auto"/>
            <w:noWrap/>
            <w:vAlign w:val="center"/>
          </w:tcPr>
          <w:p w14:paraId="1C5D02C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AFC271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B1595E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w:t>
            </w:r>
          </w:p>
        </w:tc>
        <w:tc>
          <w:tcPr>
            <w:tcW w:w="2905" w:type="dxa"/>
            <w:tcBorders>
              <w:top w:val="nil"/>
              <w:left w:val="nil"/>
              <w:bottom w:val="single" w:color="auto" w:sz="4" w:space="0"/>
              <w:right w:val="single" w:color="auto" w:sz="4" w:space="0"/>
            </w:tcBorders>
            <w:shd w:val="clear" w:color="auto" w:fill="auto"/>
            <w:noWrap/>
            <w:vAlign w:val="center"/>
          </w:tcPr>
          <w:p w14:paraId="2238C61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26B84A8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4.36</w:t>
            </w:r>
          </w:p>
        </w:tc>
        <w:tc>
          <w:tcPr>
            <w:tcW w:w="1191" w:type="dxa"/>
            <w:tcBorders>
              <w:top w:val="nil"/>
              <w:left w:val="nil"/>
              <w:bottom w:val="single" w:color="auto" w:sz="4" w:space="0"/>
              <w:right w:val="single" w:color="auto" w:sz="4" w:space="0"/>
            </w:tcBorders>
            <w:shd w:val="clear" w:color="auto" w:fill="auto"/>
            <w:noWrap/>
            <w:vAlign w:val="center"/>
          </w:tcPr>
          <w:p w14:paraId="60CC41D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14:paraId="2355B1F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会议费</w:t>
            </w:r>
          </w:p>
        </w:tc>
        <w:tc>
          <w:tcPr>
            <w:tcW w:w="1185" w:type="dxa"/>
            <w:tcBorders>
              <w:top w:val="nil"/>
              <w:left w:val="nil"/>
              <w:bottom w:val="single" w:color="auto" w:sz="4" w:space="0"/>
              <w:right w:val="single" w:color="auto" w:sz="4" w:space="0"/>
            </w:tcBorders>
            <w:shd w:val="clear" w:color="auto" w:fill="auto"/>
            <w:noWrap/>
            <w:vAlign w:val="center"/>
          </w:tcPr>
          <w:p w14:paraId="240DB3F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0.58</w:t>
            </w:r>
          </w:p>
        </w:tc>
        <w:tc>
          <w:tcPr>
            <w:tcW w:w="1417" w:type="dxa"/>
            <w:tcBorders>
              <w:top w:val="nil"/>
              <w:left w:val="nil"/>
              <w:bottom w:val="single" w:color="auto" w:sz="4" w:space="0"/>
              <w:right w:val="single" w:color="auto" w:sz="4" w:space="0"/>
            </w:tcBorders>
            <w:shd w:val="clear" w:color="auto" w:fill="auto"/>
            <w:noWrap/>
            <w:vAlign w:val="center"/>
          </w:tcPr>
          <w:p w14:paraId="50EE49B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31012</w:t>
            </w:r>
          </w:p>
        </w:tc>
        <w:tc>
          <w:tcPr>
            <w:tcW w:w="2977" w:type="dxa"/>
            <w:tcBorders>
              <w:top w:val="nil"/>
              <w:left w:val="nil"/>
              <w:bottom w:val="single" w:color="auto" w:sz="4" w:space="0"/>
              <w:right w:val="single" w:color="auto" w:sz="4" w:space="0"/>
            </w:tcBorders>
            <w:shd w:val="clear" w:color="auto" w:fill="auto"/>
            <w:noWrap/>
            <w:vAlign w:val="center"/>
          </w:tcPr>
          <w:p w14:paraId="4C13652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拆迁补偿</w:t>
            </w:r>
          </w:p>
        </w:tc>
        <w:tc>
          <w:tcPr>
            <w:tcW w:w="915" w:type="dxa"/>
            <w:tcBorders>
              <w:top w:val="nil"/>
              <w:left w:val="nil"/>
              <w:bottom w:val="single" w:color="auto" w:sz="4" w:space="0"/>
              <w:right w:val="single" w:color="auto" w:sz="4" w:space="0"/>
            </w:tcBorders>
            <w:shd w:val="clear" w:color="auto" w:fill="auto"/>
            <w:noWrap/>
            <w:vAlign w:val="center"/>
          </w:tcPr>
          <w:p w14:paraId="23FC01F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1FD6CE6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EF7F44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30301</w:t>
            </w:r>
          </w:p>
        </w:tc>
        <w:tc>
          <w:tcPr>
            <w:tcW w:w="2905" w:type="dxa"/>
            <w:tcBorders>
              <w:top w:val="nil"/>
              <w:left w:val="nil"/>
              <w:bottom w:val="single" w:color="auto" w:sz="4" w:space="0"/>
              <w:right w:val="single" w:color="auto" w:sz="4" w:space="0"/>
            </w:tcBorders>
            <w:shd w:val="clear" w:color="auto" w:fill="auto"/>
            <w:noWrap/>
            <w:vAlign w:val="center"/>
          </w:tcPr>
          <w:p w14:paraId="0689A19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离休费</w:t>
            </w:r>
          </w:p>
        </w:tc>
        <w:tc>
          <w:tcPr>
            <w:tcW w:w="1120" w:type="dxa"/>
            <w:tcBorders>
              <w:top w:val="nil"/>
              <w:left w:val="nil"/>
              <w:bottom w:val="single" w:color="auto" w:sz="4" w:space="0"/>
              <w:right w:val="single" w:color="auto" w:sz="4" w:space="0"/>
            </w:tcBorders>
            <w:shd w:val="clear" w:color="auto" w:fill="auto"/>
            <w:noWrap/>
            <w:vAlign w:val="center"/>
          </w:tcPr>
          <w:p w14:paraId="42E16BB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6FFEC12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14:paraId="58BE305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培训费</w:t>
            </w:r>
          </w:p>
        </w:tc>
        <w:tc>
          <w:tcPr>
            <w:tcW w:w="1185" w:type="dxa"/>
            <w:tcBorders>
              <w:top w:val="nil"/>
              <w:left w:val="nil"/>
              <w:bottom w:val="single" w:color="auto" w:sz="4" w:space="0"/>
              <w:right w:val="single" w:color="auto" w:sz="4" w:space="0"/>
            </w:tcBorders>
            <w:shd w:val="clear" w:color="auto" w:fill="auto"/>
            <w:noWrap/>
            <w:vAlign w:val="center"/>
          </w:tcPr>
          <w:p w14:paraId="621BFE3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0.33</w:t>
            </w:r>
          </w:p>
        </w:tc>
        <w:tc>
          <w:tcPr>
            <w:tcW w:w="1417" w:type="dxa"/>
            <w:tcBorders>
              <w:top w:val="nil"/>
              <w:left w:val="nil"/>
              <w:bottom w:val="single" w:color="auto" w:sz="4" w:space="0"/>
              <w:right w:val="single" w:color="auto" w:sz="4" w:space="0"/>
            </w:tcBorders>
            <w:shd w:val="clear" w:color="auto" w:fill="auto"/>
            <w:noWrap/>
            <w:vAlign w:val="center"/>
          </w:tcPr>
          <w:p w14:paraId="5DE2CD0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31013</w:t>
            </w:r>
          </w:p>
        </w:tc>
        <w:tc>
          <w:tcPr>
            <w:tcW w:w="2977" w:type="dxa"/>
            <w:tcBorders>
              <w:top w:val="nil"/>
              <w:left w:val="nil"/>
              <w:bottom w:val="single" w:color="auto" w:sz="4" w:space="0"/>
              <w:right w:val="single" w:color="auto" w:sz="4" w:space="0"/>
            </w:tcBorders>
            <w:shd w:val="clear" w:color="auto" w:fill="auto"/>
            <w:noWrap/>
            <w:vAlign w:val="center"/>
          </w:tcPr>
          <w:p w14:paraId="25C42B4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公务用车购置</w:t>
            </w:r>
          </w:p>
        </w:tc>
        <w:tc>
          <w:tcPr>
            <w:tcW w:w="915" w:type="dxa"/>
            <w:tcBorders>
              <w:top w:val="nil"/>
              <w:left w:val="nil"/>
              <w:bottom w:val="single" w:color="auto" w:sz="4" w:space="0"/>
              <w:right w:val="single" w:color="auto" w:sz="4" w:space="0"/>
            </w:tcBorders>
            <w:shd w:val="clear" w:color="auto" w:fill="auto"/>
            <w:noWrap/>
            <w:vAlign w:val="center"/>
          </w:tcPr>
          <w:p w14:paraId="52BC062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454B95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516508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30302</w:t>
            </w:r>
          </w:p>
        </w:tc>
        <w:tc>
          <w:tcPr>
            <w:tcW w:w="2905" w:type="dxa"/>
            <w:tcBorders>
              <w:top w:val="nil"/>
              <w:left w:val="nil"/>
              <w:bottom w:val="single" w:color="auto" w:sz="4" w:space="0"/>
              <w:right w:val="single" w:color="auto" w:sz="4" w:space="0"/>
            </w:tcBorders>
            <w:shd w:val="clear" w:color="auto" w:fill="auto"/>
            <w:noWrap/>
            <w:vAlign w:val="center"/>
          </w:tcPr>
          <w:p w14:paraId="14D9596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退休费</w:t>
            </w:r>
          </w:p>
        </w:tc>
        <w:tc>
          <w:tcPr>
            <w:tcW w:w="1120" w:type="dxa"/>
            <w:tcBorders>
              <w:top w:val="nil"/>
              <w:left w:val="nil"/>
              <w:bottom w:val="single" w:color="auto" w:sz="4" w:space="0"/>
              <w:right w:val="single" w:color="auto" w:sz="4" w:space="0"/>
            </w:tcBorders>
            <w:shd w:val="clear" w:color="auto" w:fill="auto"/>
            <w:noWrap/>
            <w:vAlign w:val="center"/>
          </w:tcPr>
          <w:p w14:paraId="58BA0AD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C23CD5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14:paraId="27470F8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公务接待费</w:t>
            </w:r>
          </w:p>
        </w:tc>
        <w:tc>
          <w:tcPr>
            <w:tcW w:w="1185" w:type="dxa"/>
            <w:tcBorders>
              <w:top w:val="nil"/>
              <w:left w:val="nil"/>
              <w:bottom w:val="single" w:color="auto" w:sz="4" w:space="0"/>
              <w:right w:val="single" w:color="auto" w:sz="4" w:space="0"/>
            </w:tcBorders>
            <w:shd w:val="clear" w:color="auto" w:fill="auto"/>
            <w:noWrap/>
            <w:vAlign w:val="center"/>
          </w:tcPr>
          <w:p w14:paraId="44EDE5E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49AB4F5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31019</w:t>
            </w:r>
          </w:p>
        </w:tc>
        <w:tc>
          <w:tcPr>
            <w:tcW w:w="2977" w:type="dxa"/>
            <w:tcBorders>
              <w:top w:val="nil"/>
              <w:left w:val="nil"/>
              <w:bottom w:val="single" w:color="auto" w:sz="4" w:space="0"/>
              <w:right w:val="single" w:color="auto" w:sz="4" w:space="0"/>
            </w:tcBorders>
            <w:shd w:val="clear" w:color="auto" w:fill="auto"/>
            <w:noWrap/>
            <w:vAlign w:val="center"/>
          </w:tcPr>
          <w:p w14:paraId="6C2F7EB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其他交通工具购置</w:t>
            </w:r>
          </w:p>
        </w:tc>
        <w:tc>
          <w:tcPr>
            <w:tcW w:w="915" w:type="dxa"/>
            <w:tcBorders>
              <w:top w:val="nil"/>
              <w:left w:val="nil"/>
              <w:bottom w:val="single" w:color="auto" w:sz="4" w:space="0"/>
              <w:right w:val="single" w:color="auto" w:sz="4" w:space="0"/>
            </w:tcBorders>
            <w:shd w:val="clear" w:color="auto" w:fill="auto"/>
            <w:noWrap/>
            <w:vAlign w:val="center"/>
          </w:tcPr>
          <w:p w14:paraId="193DAE1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547A169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CC5AC2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30303</w:t>
            </w:r>
          </w:p>
        </w:tc>
        <w:tc>
          <w:tcPr>
            <w:tcW w:w="2905" w:type="dxa"/>
            <w:tcBorders>
              <w:top w:val="nil"/>
              <w:left w:val="nil"/>
              <w:bottom w:val="single" w:color="auto" w:sz="4" w:space="0"/>
              <w:right w:val="single" w:color="auto" w:sz="4" w:space="0"/>
            </w:tcBorders>
            <w:shd w:val="clear" w:color="auto" w:fill="auto"/>
            <w:noWrap/>
            <w:vAlign w:val="center"/>
          </w:tcPr>
          <w:p w14:paraId="4AC2C38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退职（役）费</w:t>
            </w:r>
          </w:p>
        </w:tc>
        <w:tc>
          <w:tcPr>
            <w:tcW w:w="1120" w:type="dxa"/>
            <w:tcBorders>
              <w:top w:val="nil"/>
              <w:left w:val="nil"/>
              <w:bottom w:val="single" w:color="auto" w:sz="4" w:space="0"/>
              <w:right w:val="single" w:color="auto" w:sz="4" w:space="0"/>
            </w:tcBorders>
            <w:shd w:val="clear" w:color="auto" w:fill="auto"/>
            <w:noWrap/>
            <w:vAlign w:val="center"/>
          </w:tcPr>
          <w:p w14:paraId="6BEBD51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57B4BA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14:paraId="3D11178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专用材料费</w:t>
            </w:r>
          </w:p>
        </w:tc>
        <w:tc>
          <w:tcPr>
            <w:tcW w:w="1185" w:type="dxa"/>
            <w:tcBorders>
              <w:top w:val="nil"/>
              <w:left w:val="nil"/>
              <w:bottom w:val="single" w:color="auto" w:sz="4" w:space="0"/>
              <w:right w:val="single" w:color="auto" w:sz="4" w:space="0"/>
            </w:tcBorders>
            <w:shd w:val="clear" w:color="auto" w:fill="auto"/>
            <w:noWrap/>
            <w:vAlign w:val="center"/>
          </w:tcPr>
          <w:p w14:paraId="1EE4076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39FA662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31021</w:t>
            </w:r>
          </w:p>
        </w:tc>
        <w:tc>
          <w:tcPr>
            <w:tcW w:w="2977" w:type="dxa"/>
            <w:tcBorders>
              <w:top w:val="nil"/>
              <w:left w:val="nil"/>
              <w:bottom w:val="single" w:color="auto" w:sz="4" w:space="0"/>
              <w:right w:val="single" w:color="auto" w:sz="4" w:space="0"/>
            </w:tcBorders>
            <w:shd w:val="clear" w:color="auto" w:fill="auto"/>
            <w:noWrap/>
            <w:vAlign w:val="center"/>
          </w:tcPr>
          <w:p w14:paraId="329F0BA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文物和陈列品购置</w:t>
            </w:r>
          </w:p>
        </w:tc>
        <w:tc>
          <w:tcPr>
            <w:tcW w:w="915" w:type="dxa"/>
            <w:tcBorders>
              <w:top w:val="nil"/>
              <w:left w:val="nil"/>
              <w:bottom w:val="single" w:color="auto" w:sz="4" w:space="0"/>
              <w:right w:val="single" w:color="auto" w:sz="4" w:space="0"/>
            </w:tcBorders>
            <w:shd w:val="clear" w:color="auto" w:fill="auto"/>
            <w:noWrap/>
            <w:vAlign w:val="center"/>
          </w:tcPr>
          <w:p w14:paraId="21B49D9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5301BA9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2C6F39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30304</w:t>
            </w:r>
          </w:p>
        </w:tc>
        <w:tc>
          <w:tcPr>
            <w:tcW w:w="2905" w:type="dxa"/>
            <w:tcBorders>
              <w:top w:val="nil"/>
              <w:left w:val="nil"/>
              <w:bottom w:val="single" w:color="auto" w:sz="4" w:space="0"/>
              <w:right w:val="single" w:color="auto" w:sz="4" w:space="0"/>
            </w:tcBorders>
            <w:shd w:val="clear" w:color="auto" w:fill="auto"/>
            <w:noWrap/>
            <w:vAlign w:val="center"/>
          </w:tcPr>
          <w:p w14:paraId="40B091B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抚恤金</w:t>
            </w:r>
          </w:p>
        </w:tc>
        <w:tc>
          <w:tcPr>
            <w:tcW w:w="1120" w:type="dxa"/>
            <w:tcBorders>
              <w:top w:val="nil"/>
              <w:left w:val="nil"/>
              <w:bottom w:val="single" w:color="auto" w:sz="4" w:space="0"/>
              <w:right w:val="single" w:color="auto" w:sz="4" w:space="0"/>
            </w:tcBorders>
            <w:shd w:val="clear" w:color="auto" w:fill="auto"/>
            <w:noWrap/>
            <w:vAlign w:val="center"/>
          </w:tcPr>
          <w:p w14:paraId="16768FE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1.86</w:t>
            </w:r>
          </w:p>
        </w:tc>
        <w:tc>
          <w:tcPr>
            <w:tcW w:w="1191" w:type="dxa"/>
            <w:tcBorders>
              <w:top w:val="nil"/>
              <w:left w:val="nil"/>
              <w:bottom w:val="single" w:color="auto" w:sz="4" w:space="0"/>
              <w:right w:val="single" w:color="auto" w:sz="4" w:space="0"/>
            </w:tcBorders>
            <w:shd w:val="clear" w:color="auto" w:fill="auto"/>
            <w:noWrap/>
            <w:vAlign w:val="center"/>
          </w:tcPr>
          <w:p w14:paraId="4373ADE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14:paraId="193DC7E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被装购置费</w:t>
            </w:r>
          </w:p>
        </w:tc>
        <w:tc>
          <w:tcPr>
            <w:tcW w:w="1185" w:type="dxa"/>
            <w:tcBorders>
              <w:top w:val="nil"/>
              <w:left w:val="nil"/>
              <w:bottom w:val="single" w:color="auto" w:sz="4" w:space="0"/>
              <w:right w:val="single" w:color="auto" w:sz="4" w:space="0"/>
            </w:tcBorders>
            <w:shd w:val="clear" w:color="auto" w:fill="auto"/>
            <w:noWrap/>
            <w:vAlign w:val="center"/>
          </w:tcPr>
          <w:p w14:paraId="3915172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C0A6AA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31022</w:t>
            </w:r>
          </w:p>
        </w:tc>
        <w:tc>
          <w:tcPr>
            <w:tcW w:w="2977" w:type="dxa"/>
            <w:tcBorders>
              <w:top w:val="nil"/>
              <w:left w:val="nil"/>
              <w:bottom w:val="single" w:color="auto" w:sz="4" w:space="0"/>
              <w:right w:val="single" w:color="auto" w:sz="4" w:space="0"/>
            </w:tcBorders>
            <w:shd w:val="clear" w:color="auto" w:fill="auto"/>
            <w:noWrap/>
            <w:vAlign w:val="center"/>
          </w:tcPr>
          <w:p w14:paraId="713A4CD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无形资产购置</w:t>
            </w:r>
          </w:p>
        </w:tc>
        <w:tc>
          <w:tcPr>
            <w:tcW w:w="915" w:type="dxa"/>
            <w:tcBorders>
              <w:top w:val="nil"/>
              <w:left w:val="nil"/>
              <w:bottom w:val="single" w:color="auto" w:sz="4" w:space="0"/>
              <w:right w:val="single" w:color="auto" w:sz="4" w:space="0"/>
            </w:tcBorders>
            <w:shd w:val="clear" w:color="auto" w:fill="auto"/>
            <w:noWrap/>
            <w:vAlign w:val="center"/>
          </w:tcPr>
          <w:p w14:paraId="2918C72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397EBB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BD7C91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30305</w:t>
            </w:r>
          </w:p>
        </w:tc>
        <w:tc>
          <w:tcPr>
            <w:tcW w:w="2905" w:type="dxa"/>
            <w:tcBorders>
              <w:top w:val="nil"/>
              <w:left w:val="nil"/>
              <w:bottom w:val="single" w:color="auto" w:sz="4" w:space="0"/>
              <w:right w:val="single" w:color="auto" w:sz="4" w:space="0"/>
            </w:tcBorders>
            <w:shd w:val="clear" w:color="auto" w:fill="auto"/>
            <w:noWrap/>
            <w:vAlign w:val="center"/>
          </w:tcPr>
          <w:p w14:paraId="65FA904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生活补助</w:t>
            </w:r>
          </w:p>
        </w:tc>
        <w:tc>
          <w:tcPr>
            <w:tcW w:w="1120" w:type="dxa"/>
            <w:tcBorders>
              <w:top w:val="nil"/>
              <w:left w:val="nil"/>
              <w:bottom w:val="single" w:color="auto" w:sz="4" w:space="0"/>
              <w:right w:val="single" w:color="auto" w:sz="4" w:space="0"/>
            </w:tcBorders>
            <w:shd w:val="clear" w:color="auto" w:fill="auto"/>
            <w:noWrap/>
            <w:vAlign w:val="center"/>
          </w:tcPr>
          <w:p w14:paraId="6497179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2.50</w:t>
            </w:r>
          </w:p>
        </w:tc>
        <w:tc>
          <w:tcPr>
            <w:tcW w:w="1191" w:type="dxa"/>
            <w:tcBorders>
              <w:top w:val="nil"/>
              <w:left w:val="nil"/>
              <w:bottom w:val="single" w:color="auto" w:sz="4" w:space="0"/>
              <w:right w:val="single" w:color="auto" w:sz="4" w:space="0"/>
            </w:tcBorders>
            <w:shd w:val="clear" w:color="auto" w:fill="auto"/>
            <w:noWrap/>
            <w:vAlign w:val="center"/>
          </w:tcPr>
          <w:p w14:paraId="078620D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14:paraId="317C8C7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专用燃料费</w:t>
            </w:r>
          </w:p>
        </w:tc>
        <w:tc>
          <w:tcPr>
            <w:tcW w:w="1185" w:type="dxa"/>
            <w:tcBorders>
              <w:top w:val="nil"/>
              <w:left w:val="nil"/>
              <w:bottom w:val="single" w:color="auto" w:sz="4" w:space="0"/>
              <w:right w:val="single" w:color="auto" w:sz="4" w:space="0"/>
            </w:tcBorders>
            <w:shd w:val="clear" w:color="auto" w:fill="auto"/>
            <w:noWrap/>
            <w:vAlign w:val="center"/>
          </w:tcPr>
          <w:p w14:paraId="5223431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3CB293C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31099</w:t>
            </w:r>
          </w:p>
        </w:tc>
        <w:tc>
          <w:tcPr>
            <w:tcW w:w="2977" w:type="dxa"/>
            <w:tcBorders>
              <w:top w:val="nil"/>
              <w:left w:val="nil"/>
              <w:bottom w:val="single" w:color="auto" w:sz="4" w:space="0"/>
              <w:right w:val="single" w:color="auto" w:sz="4" w:space="0"/>
            </w:tcBorders>
            <w:shd w:val="clear" w:color="auto" w:fill="auto"/>
            <w:noWrap/>
            <w:vAlign w:val="center"/>
          </w:tcPr>
          <w:p w14:paraId="418FE95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其他资本性支出</w:t>
            </w:r>
          </w:p>
        </w:tc>
        <w:tc>
          <w:tcPr>
            <w:tcW w:w="915" w:type="dxa"/>
            <w:tcBorders>
              <w:top w:val="nil"/>
              <w:left w:val="nil"/>
              <w:bottom w:val="single" w:color="auto" w:sz="4" w:space="0"/>
              <w:right w:val="single" w:color="auto" w:sz="4" w:space="0"/>
            </w:tcBorders>
            <w:shd w:val="clear" w:color="auto" w:fill="auto"/>
            <w:noWrap/>
            <w:vAlign w:val="center"/>
          </w:tcPr>
          <w:p w14:paraId="4355D30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148373A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12A8CD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30306</w:t>
            </w:r>
          </w:p>
        </w:tc>
        <w:tc>
          <w:tcPr>
            <w:tcW w:w="2905" w:type="dxa"/>
            <w:tcBorders>
              <w:top w:val="nil"/>
              <w:left w:val="nil"/>
              <w:bottom w:val="single" w:color="auto" w:sz="4" w:space="0"/>
              <w:right w:val="single" w:color="auto" w:sz="4" w:space="0"/>
            </w:tcBorders>
            <w:shd w:val="clear" w:color="auto" w:fill="auto"/>
            <w:noWrap/>
            <w:vAlign w:val="center"/>
          </w:tcPr>
          <w:p w14:paraId="6B48D6B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救济费</w:t>
            </w:r>
          </w:p>
        </w:tc>
        <w:tc>
          <w:tcPr>
            <w:tcW w:w="1120" w:type="dxa"/>
            <w:tcBorders>
              <w:top w:val="nil"/>
              <w:left w:val="nil"/>
              <w:bottom w:val="single" w:color="auto" w:sz="4" w:space="0"/>
              <w:right w:val="single" w:color="auto" w:sz="4" w:space="0"/>
            </w:tcBorders>
            <w:shd w:val="clear" w:color="auto" w:fill="auto"/>
            <w:noWrap/>
            <w:vAlign w:val="center"/>
          </w:tcPr>
          <w:p w14:paraId="37D839D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14E5C9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14:paraId="085FC91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劳务费</w:t>
            </w:r>
          </w:p>
        </w:tc>
        <w:tc>
          <w:tcPr>
            <w:tcW w:w="1185" w:type="dxa"/>
            <w:tcBorders>
              <w:top w:val="nil"/>
              <w:left w:val="nil"/>
              <w:bottom w:val="single" w:color="auto" w:sz="4" w:space="0"/>
              <w:right w:val="single" w:color="auto" w:sz="4" w:space="0"/>
            </w:tcBorders>
            <w:shd w:val="clear" w:color="auto" w:fill="auto"/>
            <w:noWrap/>
            <w:vAlign w:val="center"/>
          </w:tcPr>
          <w:p w14:paraId="4D50A1D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1.37</w:t>
            </w:r>
          </w:p>
        </w:tc>
        <w:tc>
          <w:tcPr>
            <w:tcW w:w="1417" w:type="dxa"/>
            <w:tcBorders>
              <w:top w:val="nil"/>
              <w:left w:val="nil"/>
              <w:bottom w:val="single" w:color="auto" w:sz="4" w:space="0"/>
              <w:right w:val="single" w:color="auto" w:sz="4" w:space="0"/>
            </w:tcBorders>
            <w:shd w:val="clear" w:color="auto" w:fill="auto"/>
            <w:noWrap/>
            <w:vAlign w:val="center"/>
          </w:tcPr>
          <w:p w14:paraId="0B0FAFC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399</w:t>
            </w:r>
          </w:p>
        </w:tc>
        <w:tc>
          <w:tcPr>
            <w:tcW w:w="2977" w:type="dxa"/>
            <w:tcBorders>
              <w:top w:val="nil"/>
              <w:left w:val="nil"/>
              <w:bottom w:val="single" w:color="auto" w:sz="4" w:space="0"/>
              <w:right w:val="single" w:color="auto" w:sz="4" w:space="0"/>
            </w:tcBorders>
            <w:shd w:val="clear" w:color="auto" w:fill="auto"/>
            <w:noWrap/>
            <w:vAlign w:val="center"/>
          </w:tcPr>
          <w:p w14:paraId="5064B14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其他支出</w:t>
            </w:r>
          </w:p>
        </w:tc>
        <w:tc>
          <w:tcPr>
            <w:tcW w:w="915" w:type="dxa"/>
            <w:tcBorders>
              <w:top w:val="nil"/>
              <w:left w:val="nil"/>
              <w:bottom w:val="single" w:color="auto" w:sz="4" w:space="0"/>
              <w:right w:val="single" w:color="auto" w:sz="4" w:space="0"/>
            </w:tcBorders>
            <w:shd w:val="clear" w:color="auto" w:fill="auto"/>
            <w:noWrap/>
            <w:vAlign w:val="center"/>
          </w:tcPr>
          <w:p w14:paraId="24E029A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1BC8FBE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9F82B0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30307</w:t>
            </w:r>
          </w:p>
        </w:tc>
        <w:tc>
          <w:tcPr>
            <w:tcW w:w="2905" w:type="dxa"/>
            <w:tcBorders>
              <w:top w:val="nil"/>
              <w:left w:val="nil"/>
              <w:bottom w:val="single" w:color="auto" w:sz="4" w:space="0"/>
              <w:right w:val="single" w:color="auto" w:sz="4" w:space="0"/>
            </w:tcBorders>
            <w:shd w:val="clear" w:color="auto" w:fill="auto"/>
            <w:noWrap/>
            <w:vAlign w:val="center"/>
          </w:tcPr>
          <w:p w14:paraId="1C8E8DE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医疗费补助</w:t>
            </w:r>
          </w:p>
        </w:tc>
        <w:tc>
          <w:tcPr>
            <w:tcW w:w="1120" w:type="dxa"/>
            <w:tcBorders>
              <w:top w:val="nil"/>
              <w:left w:val="nil"/>
              <w:bottom w:val="single" w:color="auto" w:sz="4" w:space="0"/>
              <w:right w:val="single" w:color="auto" w:sz="4" w:space="0"/>
            </w:tcBorders>
            <w:shd w:val="clear" w:color="auto" w:fill="auto"/>
            <w:noWrap/>
            <w:vAlign w:val="center"/>
          </w:tcPr>
          <w:p w14:paraId="21F5528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B529F1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14:paraId="7F7710A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委托业务费</w:t>
            </w:r>
          </w:p>
        </w:tc>
        <w:tc>
          <w:tcPr>
            <w:tcW w:w="1185" w:type="dxa"/>
            <w:tcBorders>
              <w:top w:val="nil"/>
              <w:left w:val="nil"/>
              <w:bottom w:val="single" w:color="auto" w:sz="4" w:space="0"/>
              <w:right w:val="single" w:color="auto" w:sz="4" w:space="0"/>
            </w:tcBorders>
            <w:shd w:val="clear" w:color="auto" w:fill="auto"/>
            <w:noWrap/>
            <w:vAlign w:val="center"/>
          </w:tcPr>
          <w:p w14:paraId="5939CCC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2.9</w:t>
            </w:r>
          </w:p>
        </w:tc>
        <w:tc>
          <w:tcPr>
            <w:tcW w:w="1417" w:type="dxa"/>
            <w:tcBorders>
              <w:top w:val="nil"/>
              <w:left w:val="nil"/>
              <w:bottom w:val="single" w:color="auto" w:sz="4" w:space="0"/>
              <w:right w:val="single" w:color="auto" w:sz="4" w:space="0"/>
            </w:tcBorders>
            <w:shd w:val="clear" w:color="auto" w:fill="auto"/>
            <w:noWrap/>
            <w:vAlign w:val="center"/>
          </w:tcPr>
          <w:p w14:paraId="2303648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39906</w:t>
            </w:r>
          </w:p>
        </w:tc>
        <w:tc>
          <w:tcPr>
            <w:tcW w:w="2977" w:type="dxa"/>
            <w:tcBorders>
              <w:top w:val="nil"/>
              <w:left w:val="nil"/>
              <w:bottom w:val="single" w:color="auto" w:sz="4" w:space="0"/>
              <w:right w:val="single" w:color="auto" w:sz="4" w:space="0"/>
            </w:tcBorders>
            <w:shd w:val="clear" w:color="auto" w:fill="auto"/>
            <w:noWrap/>
            <w:vAlign w:val="center"/>
          </w:tcPr>
          <w:p w14:paraId="3789AB05">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赠与</w:t>
            </w:r>
          </w:p>
        </w:tc>
        <w:tc>
          <w:tcPr>
            <w:tcW w:w="915" w:type="dxa"/>
            <w:tcBorders>
              <w:top w:val="nil"/>
              <w:left w:val="nil"/>
              <w:bottom w:val="single" w:color="auto" w:sz="4" w:space="0"/>
              <w:right w:val="single" w:color="auto" w:sz="4" w:space="0"/>
            </w:tcBorders>
            <w:shd w:val="clear" w:color="auto" w:fill="auto"/>
            <w:noWrap/>
            <w:vAlign w:val="center"/>
          </w:tcPr>
          <w:p w14:paraId="29B1B66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7D6CFE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1CA8B3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30308</w:t>
            </w:r>
          </w:p>
        </w:tc>
        <w:tc>
          <w:tcPr>
            <w:tcW w:w="2905" w:type="dxa"/>
            <w:tcBorders>
              <w:top w:val="nil"/>
              <w:left w:val="nil"/>
              <w:bottom w:val="single" w:color="auto" w:sz="4" w:space="0"/>
              <w:right w:val="single" w:color="auto" w:sz="4" w:space="0"/>
            </w:tcBorders>
            <w:shd w:val="clear" w:color="auto" w:fill="auto"/>
            <w:noWrap/>
            <w:vAlign w:val="center"/>
          </w:tcPr>
          <w:p w14:paraId="70F4D1E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助学金</w:t>
            </w:r>
          </w:p>
        </w:tc>
        <w:tc>
          <w:tcPr>
            <w:tcW w:w="1120" w:type="dxa"/>
            <w:tcBorders>
              <w:top w:val="nil"/>
              <w:left w:val="nil"/>
              <w:bottom w:val="single" w:color="auto" w:sz="4" w:space="0"/>
              <w:right w:val="single" w:color="auto" w:sz="4" w:space="0"/>
            </w:tcBorders>
            <w:shd w:val="clear" w:color="auto" w:fill="auto"/>
            <w:noWrap/>
            <w:vAlign w:val="center"/>
          </w:tcPr>
          <w:p w14:paraId="3BBC94E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EC8554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14:paraId="016F3D2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工会经费</w:t>
            </w:r>
          </w:p>
        </w:tc>
        <w:tc>
          <w:tcPr>
            <w:tcW w:w="1185" w:type="dxa"/>
            <w:tcBorders>
              <w:top w:val="nil"/>
              <w:left w:val="nil"/>
              <w:bottom w:val="single" w:color="auto" w:sz="4" w:space="0"/>
              <w:right w:val="single" w:color="auto" w:sz="4" w:space="0"/>
            </w:tcBorders>
            <w:shd w:val="clear" w:color="auto" w:fill="auto"/>
            <w:noWrap/>
            <w:vAlign w:val="center"/>
          </w:tcPr>
          <w:p w14:paraId="22A1C7C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46.17</w:t>
            </w:r>
          </w:p>
        </w:tc>
        <w:tc>
          <w:tcPr>
            <w:tcW w:w="1417" w:type="dxa"/>
            <w:tcBorders>
              <w:top w:val="nil"/>
              <w:left w:val="nil"/>
              <w:bottom w:val="single" w:color="auto" w:sz="4" w:space="0"/>
              <w:right w:val="single" w:color="auto" w:sz="4" w:space="0"/>
            </w:tcBorders>
            <w:shd w:val="clear" w:color="auto" w:fill="auto"/>
            <w:noWrap/>
            <w:vAlign w:val="center"/>
          </w:tcPr>
          <w:p w14:paraId="76F66CE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39907</w:t>
            </w:r>
          </w:p>
        </w:tc>
        <w:tc>
          <w:tcPr>
            <w:tcW w:w="2977" w:type="dxa"/>
            <w:tcBorders>
              <w:top w:val="nil"/>
              <w:left w:val="nil"/>
              <w:bottom w:val="single" w:color="auto" w:sz="4" w:space="0"/>
              <w:right w:val="single" w:color="auto" w:sz="4" w:space="0"/>
            </w:tcBorders>
            <w:shd w:val="clear" w:color="auto" w:fill="auto"/>
            <w:noWrap/>
            <w:vAlign w:val="center"/>
          </w:tcPr>
          <w:p w14:paraId="38E248F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国家赔偿费用支出</w:t>
            </w:r>
          </w:p>
        </w:tc>
        <w:tc>
          <w:tcPr>
            <w:tcW w:w="915" w:type="dxa"/>
            <w:tcBorders>
              <w:top w:val="nil"/>
              <w:left w:val="nil"/>
              <w:bottom w:val="single" w:color="auto" w:sz="4" w:space="0"/>
              <w:right w:val="single" w:color="auto" w:sz="4" w:space="0"/>
            </w:tcBorders>
            <w:shd w:val="clear" w:color="auto" w:fill="auto"/>
            <w:noWrap/>
            <w:vAlign w:val="center"/>
          </w:tcPr>
          <w:p w14:paraId="0F64A9C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3961BA2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46ECC1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30309</w:t>
            </w:r>
          </w:p>
        </w:tc>
        <w:tc>
          <w:tcPr>
            <w:tcW w:w="2905" w:type="dxa"/>
            <w:tcBorders>
              <w:top w:val="nil"/>
              <w:left w:val="nil"/>
              <w:bottom w:val="single" w:color="auto" w:sz="4" w:space="0"/>
              <w:right w:val="single" w:color="auto" w:sz="4" w:space="0"/>
            </w:tcBorders>
            <w:shd w:val="clear" w:color="auto" w:fill="auto"/>
            <w:noWrap/>
            <w:vAlign w:val="center"/>
          </w:tcPr>
          <w:p w14:paraId="00D8601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奖励金</w:t>
            </w:r>
          </w:p>
        </w:tc>
        <w:tc>
          <w:tcPr>
            <w:tcW w:w="1120" w:type="dxa"/>
            <w:tcBorders>
              <w:top w:val="nil"/>
              <w:left w:val="nil"/>
              <w:bottom w:val="single" w:color="auto" w:sz="4" w:space="0"/>
              <w:right w:val="single" w:color="auto" w:sz="4" w:space="0"/>
            </w:tcBorders>
            <w:shd w:val="clear" w:color="auto" w:fill="auto"/>
            <w:noWrap/>
            <w:vAlign w:val="center"/>
          </w:tcPr>
          <w:p w14:paraId="26A1A59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CE93B6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14:paraId="7D7D0ED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福利费</w:t>
            </w:r>
          </w:p>
        </w:tc>
        <w:tc>
          <w:tcPr>
            <w:tcW w:w="1185" w:type="dxa"/>
            <w:tcBorders>
              <w:top w:val="nil"/>
              <w:left w:val="nil"/>
              <w:bottom w:val="single" w:color="auto" w:sz="4" w:space="0"/>
              <w:right w:val="single" w:color="auto" w:sz="4" w:space="0"/>
            </w:tcBorders>
            <w:shd w:val="clear" w:color="auto" w:fill="auto"/>
            <w:noWrap/>
            <w:vAlign w:val="center"/>
          </w:tcPr>
          <w:p w14:paraId="3B3CB49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3.79</w:t>
            </w:r>
          </w:p>
        </w:tc>
        <w:tc>
          <w:tcPr>
            <w:tcW w:w="1417" w:type="dxa"/>
            <w:tcBorders>
              <w:top w:val="nil"/>
              <w:left w:val="nil"/>
              <w:bottom w:val="single" w:color="auto" w:sz="4" w:space="0"/>
              <w:right w:val="single" w:color="auto" w:sz="4" w:space="0"/>
            </w:tcBorders>
            <w:shd w:val="clear" w:color="auto" w:fill="auto"/>
            <w:noWrap/>
            <w:vAlign w:val="center"/>
          </w:tcPr>
          <w:p w14:paraId="71F8D79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39908</w:t>
            </w:r>
          </w:p>
        </w:tc>
        <w:tc>
          <w:tcPr>
            <w:tcW w:w="2977" w:type="dxa"/>
            <w:tcBorders>
              <w:top w:val="nil"/>
              <w:left w:val="nil"/>
              <w:bottom w:val="single" w:color="auto" w:sz="4" w:space="0"/>
              <w:right w:val="single" w:color="auto" w:sz="4" w:space="0"/>
            </w:tcBorders>
            <w:shd w:val="clear" w:color="auto" w:fill="auto"/>
            <w:noWrap/>
            <w:vAlign w:val="center"/>
          </w:tcPr>
          <w:p w14:paraId="6CE832B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对民间非营利组织和群众性自治组织补贴</w:t>
            </w:r>
          </w:p>
        </w:tc>
        <w:tc>
          <w:tcPr>
            <w:tcW w:w="915" w:type="dxa"/>
            <w:tcBorders>
              <w:top w:val="nil"/>
              <w:left w:val="nil"/>
              <w:bottom w:val="single" w:color="auto" w:sz="4" w:space="0"/>
              <w:right w:val="single" w:color="auto" w:sz="4" w:space="0"/>
            </w:tcBorders>
            <w:shd w:val="clear" w:color="auto" w:fill="auto"/>
            <w:noWrap/>
            <w:vAlign w:val="center"/>
          </w:tcPr>
          <w:p w14:paraId="684CE54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0366F7F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2014FD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30310</w:t>
            </w:r>
          </w:p>
        </w:tc>
        <w:tc>
          <w:tcPr>
            <w:tcW w:w="2905" w:type="dxa"/>
            <w:tcBorders>
              <w:top w:val="nil"/>
              <w:left w:val="nil"/>
              <w:bottom w:val="single" w:color="auto" w:sz="4" w:space="0"/>
              <w:right w:val="single" w:color="auto" w:sz="4" w:space="0"/>
            </w:tcBorders>
            <w:shd w:val="clear" w:color="auto" w:fill="auto"/>
            <w:noWrap/>
            <w:vAlign w:val="center"/>
          </w:tcPr>
          <w:p w14:paraId="3B2ACF5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个人农业生产补贴</w:t>
            </w:r>
          </w:p>
        </w:tc>
        <w:tc>
          <w:tcPr>
            <w:tcW w:w="1120" w:type="dxa"/>
            <w:tcBorders>
              <w:top w:val="nil"/>
              <w:left w:val="nil"/>
              <w:bottom w:val="single" w:color="auto" w:sz="4" w:space="0"/>
              <w:right w:val="single" w:color="auto" w:sz="4" w:space="0"/>
            </w:tcBorders>
            <w:shd w:val="clear" w:color="auto" w:fill="auto"/>
            <w:noWrap/>
            <w:vAlign w:val="center"/>
          </w:tcPr>
          <w:p w14:paraId="7B7B69C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96A577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14:paraId="60E7183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公务用车运行维护费</w:t>
            </w:r>
          </w:p>
        </w:tc>
        <w:tc>
          <w:tcPr>
            <w:tcW w:w="1185" w:type="dxa"/>
            <w:tcBorders>
              <w:top w:val="nil"/>
              <w:left w:val="nil"/>
              <w:bottom w:val="single" w:color="auto" w:sz="4" w:space="0"/>
              <w:right w:val="single" w:color="auto" w:sz="4" w:space="0"/>
            </w:tcBorders>
            <w:shd w:val="clear" w:color="auto" w:fill="auto"/>
            <w:noWrap/>
            <w:vAlign w:val="center"/>
          </w:tcPr>
          <w:p w14:paraId="4AF53B6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8.9</w:t>
            </w:r>
          </w:p>
        </w:tc>
        <w:tc>
          <w:tcPr>
            <w:tcW w:w="1417" w:type="dxa"/>
            <w:tcBorders>
              <w:top w:val="nil"/>
              <w:left w:val="nil"/>
              <w:bottom w:val="single" w:color="auto" w:sz="4" w:space="0"/>
              <w:right w:val="single" w:color="auto" w:sz="4" w:space="0"/>
            </w:tcBorders>
            <w:shd w:val="clear" w:color="auto" w:fill="auto"/>
            <w:noWrap/>
            <w:vAlign w:val="center"/>
          </w:tcPr>
          <w:p w14:paraId="290B9FE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39999</w:t>
            </w:r>
          </w:p>
        </w:tc>
        <w:tc>
          <w:tcPr>
            <w:tcW w:w="2977" w:type="dxa"/>
            <w:tcBorders>
              <w:top w:val="nil"/>
              <w:left w:val="nil"/>
              <w:bottom w:val="single" w:color="auto" w:sz="4" w:space="0"/>
              <w:right w:val="single" w:color="auto" w:sz="4" w:space="0"/>
            </w:tcBorders>
            <w:shd w:val="clear" w:color="auto" w:fill="auto"/>
            <w:noWrap/>
            <w:vAlign w:val="center"/>
          </w:tcPr>
          <w:p w14:paraId="79E9073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其他支出</w:t>
            </w:r>
          </w:p>
        </w:tc>
        <w:tc>
          <w:tcPr>
            <w:tcW w:w="915" w:type="dxa"/>
            <w:tcBorders>
              <w:top w:val="nil"/>
              <w:left w:val="nil"/>
              <w:bottom w:val="single" w:color="auto" w:sz="4" w:space="0"/>
              <w:right w:val="single" w:color="auto" w:sz="4" w:space="0"/>
            </w:tcBorders>
            <w:shd w:val="clear" w:color="auto" w:fill="auto"/>
            <w:noWrap/>
            <w:vAlign w:val="center"/>
          </w:tcPr>
          <w:p w14:paraId="3754402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639496F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D54111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30311</w:t>
            </w:r>
          </w:p>
        </w:tc>
        <w:tc>
          <w:tcPr>
            <w:tcW w:w="2905" w:type="dxa"/>
            <w:tcBorders>
              <w:top w:val="nil"/>
              <w:left w:val="nil"/>
              <w:bottom w:val="single" w:color="auto" w:sz="4" w:space="0"/>
              <w:right w:val="single" w:color="auto" w:sz="4" w:space="0"/>
            </w:tcBorders>
            <w:shd w:val="clear" w:color="auto" w:fill="auto"/>
            <w:noWrap/>
            <w:vAlign w:val="center"/>
          </w:tcPr>
          <w:p w14:paraId="5574BA8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代缴社会保险费</w:t>
            </w:r>
          </w:p>
        </w:tc>
        <w:tc>
          <w:tcPr>
            <w:tcW w:w="1120" w:type="dxa"/>
            <w:tcBorders>
              <w:top w:val="nil"/>
              <w:left w:val="nil"/>
              <w:bottom w:val="single" w:color="auto" w:sz="4" w:space="0"/>
              <w:right w:val="single" w:color="auto" w:sz="4" w:space="0"/>
            </w:tcBorders>
            <w:shd w:val="clear" w:color="auto" w:fill="auto"/>
            <w:noWrap/>
            <w:vAlign w:val="center"/>
          </w:tcPr>
          <w:p w14:paraId="747D5DA8">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47D4E3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14:paraId="7E1ADD4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其他交通费用</w:t>
            </w:r>
          </w:p>
        </w:tc>
        <w:tc>
          <w:tcPr>
            <w:tcW w:w="1185" w:type="dxa"/>
            <w:tcBorders>
              <w:top w:val="nil"/>
              <w:left w:val="nil"/>
              <w:bottom w:val="single" w:color="auto" w:sz="4" w:space="0"/>
              <w:right w:val="single" w:color="auto" w:sz="4" w:space="0"/>
            </w:tcBorders>
            <w:shd w:val="clear" w:color="auto" w:fill="auto"/>
            <w:noWrap/>
            <w:vAlign w:val="center"/>
          </w:tcPr>
          <w:p w14:paraId="326E9993">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Cs w:val="20"/>
                <w:lang w:val="en-US" w:eastAsia="zh-CN"/>
              </w:rPr>
            </w:pPr>
            <w:r>
              <w:rPr>
                <w:rFonts w:hint="eastAsia" w:ascii="宋体" w:hAnsi="宋体" w:eastAsia="宋体" w:cs="宋体"/>
                <w:color w:val="auto"/>
                <w:kern w:val="0"/>
                <w:szCs w:val="20"/>
              </w:rPr>
              <w:t>66.8</w:t>
            </w:r>
            <w:r>
              <w:rPr>
                <w:rFonts w:hint="eastAsia" w:ascii="宋体" w:hAnsi="宋体" w:eastAsia="宋体" w:cs="宋体"/>
                <w:color w:val="auto"/>
                <w:kern w:val="0"/>
                <w:szCs w:val="20"/>
                <w:lang w:val="en-US" w:eastAsia="zh-CN"/>
              </w:rPr>
              <w:t>1</w:t>
            </w:r>
          </w:p>
        </w:tc>
        <w:tc>
          <w:tcPr>
            <w:tcW w:w="1417" w:type="dxa"/>
            <w:tcBorders>
              <w:top w:val="nil"/>
              <w:left w:val="nil"/>
              <w:bottom w:val="single" w:color="auto" w:sz="4" w:space="0"/>
              <w:right w:val="single" w:color="auto" w:sz="4" w:space="0"/>
            </w:tcBorders>
            <w:shd w:val="clear" w:color="auto" w:fill="auto"/>
            <w:noWrap/>
            <w:vAlign w:val="center"/>
          </w:tcPr>
          <w:p w14:paraId="7B0079B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18"/>
              </w:rPr>
            </w:pPr>
          </w:p>
        </w:tc>
        <w:tc>
          <w:tcPr>
            <w:tcW w:w="2977" w:type="dxa"/>
            <w:tcBorders>
              <w:top w:val="nil"/>
              <w:left w:val="nil"/>
              <w:bottom w:val="single" w:color="auto" w:sz="4" w:space="0"/>
              <w:right w:val="single" w:color="auto" w:sz="4" w:space="0"/>
            </w:tcBorders>
            <w:shd w:val="clear" w:color="auto" w:fill="auto"/>
            <w:noWrap/>
            <w:vAlign w:val="center"/>
          </w:tcPr>
          <w:p w14:paraId="7FE6B06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6D6A464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C0D69F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D9A15E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30399</w:t>
            </w:r>
          </w:p>
        </w:tc>
        <w:tc>
          <w:tcPr>
            <w:tcW w:w="2905" w:type="dxa"/>
            <w:tcBorders>
              <w:top w:val="nil"/>
              <w:left w:val="nil"/>
              <w:bottom w:val="single" w:color="auto" w:sz="4" w:space="0"/>
              <w:right w:val="single" w:color="auto" w:sz="4" w:space="0"/>
            </w:tcBorders>
            <w:shd w:val="clear" w:color="auto" w:fill="auto"/>
            <w:noWrap/>
            <w:vAlign w:val="center"/>
          </w:tcPr>
          <w:p w14:paraId="147D4EB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32146F2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14DC55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14:paraId="0FC8221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税金及附加费用</w:t>
            </w:r>
          </w:p>
        </w:tc>
        <w:tc>
          <w:tcPr>
            <w:tcW w:w="1185" w:type="dxa"/>
            <w:tcBorders>
              <w:top w:val="nil"/>
              <w:left w:val="nil"/>
              <w:bottom w:val="single" w:color="auto" w:sz="4" w:space="0"/>
              <w:right w:val="single" w:color="auto" w:sz="4" w:space="0"/>
            </w:tcBorders>
            <w:shd w:val="clear" w:color="auto" w:fill="auto"/>
            <w:noWrap/>
            <w:vAlign w:val="center"/>
          </w:tcPr>
          <w:p w14:paraId="41029F9C">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7E699F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63D0A07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3455912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44F4D4A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24C477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c>
          <w:tcPr>
            <w:tcW w:w="2905" w:type="dxa"/>
            <w:tcBorders>
              <w:top w:val="nil"/>
              <w:left w:val="nil"/>
              <w:bottom w:val="single" w:color="auto" w:sz="4" w:space="0"/>
              <w:right w:val="single" w:color="auto" w:sz="4" w:space="0"/>
            </w:tcBorders>
            <w:shd w:val="clear" w:color="auto" w:fill="auto"/>
            <w:noWrap/>
            <w:vAlign w:val="center"/>
          </w:tcPr>
          <w:p w14:paraId="6DEE54E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c>
          <w:tcPr>
            <w:tcW w:w="1120" w:type="dxa"/>
            <w:tcBorders>
              <w:top w:val="nil"/>
              <w:left w:val="nil"/>
              <w:bottom w:val="single" w:color="auto" w:sz="4" w:space="0"/>
              <w:right w:val="single" w:color="auto" w:sz="4" w:space="0"/>
            </w:tcBorders>
            <w:shd w:val="clear" w:color="auto" w:fill="auto"/>
            <w:noWrap/>
            <w:vAlign w:val="center"/>
          </w:tcPr>
          <w:p w14:paraId="2F682B9B">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D18ECA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14:paraId="661F41E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xml:space="preserve">  其他商品和服务支出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134B1CD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23.60</w:t>
            </w:r>
          </w:p>
        </w:tc>
        <w:tc>
          <w:tcPr>
            <w:tcW w:w="1417" w:type="dxa"/>
            <w:tcBorders>
              <w:top w:val="nil"/>
              <w:left w:val="nil"/>
              <w:bottom w:val="single" w:color="auto" w:sz="4" w:space="0"/>
              <w:right w:val="single" w:color="auto" w:sz="4" w:space="0"/>
            </w:tcBorders>
            <w:shd w:val="clear" w:color="auto" w:fill="auto"/>
            <w:noWrap/>
            <w:vAlign w:val="center"/>
          </w:tcPr>
          <w:p w14:paraId="522F6CF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7552669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7C1CE72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0"/>
              </w:rPr>
            </w:pPr>
            <w:r>
              <w:rPr>
                <w:rFonts w:hint="eastAsia" w:ascii="宋体" w:hAnsi="宋体" w:eastAsia="宋体" w:cs="宋体"/>
                <w:color w:val="auto"/>
                <w:kern w:val="0"/>
                <w:szCs w:val="20"/>
              </w:rPr>
              <w:t>　</w:t>
            </w:r>
          </w:p>
        </w:tc>
      </w:tr>
      <w:tr w14:paraId="2DCB7A1B">
        <w:tblPrEx>
          <w:tblCellMar>
            <w:top w:w="0" w:type="dxa"/>
            <w:left w:w="108" w:type="dxa"/>
            <w:bottom w:w="0" w:type="dxa"/>
            <w:right w:w="108" w:type="dxa"/>
          </w:tblCellMar>
        </w:tblPrEx>
        <w:trPr>
          <w:trHeight w:val="276"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2F0CDA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人员经费合计</w:t>
            </w:r>
          </w:p>
        </w:tc>
        <w:tc>
          <w:tcPr>
            <w:tcW w:w="1120" w:type="dxa"/>
            <w:tcBorders>
              <w:top w:val="nil"/>
              <w:left w:val="nil"/>
              <w:bottom w:val="single" w:color="auto" w:sz="4" w:space="0"/>
              <w:right w:val="single" w:color="auto" w:sz="4" w:space="0"/>
            </w:tcBorders>
            <w:shd w:val="clear" w:color="auto" w:fill="auto"/>
            <w:noWrap/>
            <w:vAlign w:val="center"/>
          </w:tcPr>
          <w:p w14:paraId="2FB7AEB9">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1272.54</w:t>
            </w:r>
          </w:p>
        </w:tc>
        <w:tc>
          <w:tcPr>
            <w:tcW w:w="9086" w:type="dxa"/>
            <w:gridSpan w:val="5"/>
            <w:tcBorders>
              <w:top w:val="single" w:color="auto" w:sz="4" w:space="0"/>
              <w:left w:val="nil"/>
              <w:bottom w:val="single" w:color="auto" w:sz="4" w:space="0"/>
              <w:right w:val="single" w:color="auto" w:sz="4" w:space="0"/>
            </w:tcBorders>
            <w:shd w:val="clear" w:color="auto" w:fill="auto"/>
            <w:noWrap/>
            <w:vAlign w:val="center"/>
          </w:tcPr>
          <w:p w14:paraId="00C352F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0"/>
              </w:rPr>
            </w:pPr>
            <w:r>
              <w:rPr>
                <w:rFonts w:hint="eastAsia" w:ascii="宋体" w:hAnsi="宋体" w:eastAsia="宋体" w:cs="宋体"/>
                <w:color w:val="auto"/>
                <w:kern w:val="0"/>
                <w:szCs w:val="20"/>
              </w:rPr>
              <w:t>公用经费合计</w:t>
            </w:r>
          </w:p>
        </w:tc>
        <w:tc>
          <w:tcPr>
            <w:tcW w:w="915" w:type="dxa"/>
            <w:tcBorders>
              <w:top w:val="nil"/>
              <w:left w:val="nil"/>
              <w:bottom w:val="single" w:color="auto" w:sz="4" w:space="0"/>
              <w:right w:val="single" w:color="auto" w:sz="4" w:space="0"/>
            </w:tcBorders>
            <w:shd w:val="clear" w:color="auto" w:fill="auto"/>
            <w:noWrap/>
            <w:vAlign w:val="center"/>
          </w:tcPr>
          <w:p w14:paraId="74B9C12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18"/>
              </w:rPr>
            </w:pPr>
            <w:r>
              <w:rPr>
                <w:rFonts w:hint="eastAsia" w:ascii="宋体" w:hAnsi="宋体" w:eastAsia="宋体" w:cs="宋体"/>
                <w:color w:val="auto"/>
                <w:kern w:val="0"/>
                <w:szCs w:val="18"/>
              </w:rPr>
              <w:t>199.66　</w:t>
            </w:r>
          </w:p>
        </w:tc>
      </w:tr>
      <w:tr w14:paraId="25E965A4">
        <w:tblPrEx>
          <w:tblCellMar>
            <w:top w:w="0" w:type="dxa"/>
            <w:left w:w="108" w:type="dxa"/>
            <w:bottom w:w="0" w:type="dxa"/>
            <w:right w:w="108" w:type="dxa"/>
          </w:tblCellMar>
        </w:tblPrEx>
        <w:trPr>
          <w:trHeight w:val="276" w:hRule="exact"/>
        </w:trPr>
        <w:tc>
          <w:tcPr>
            <w:tcW w:w="15340" w:type="dxa"/>
            <w:gridSpan w:val="9"/>
            <w:tcBorders>
              <w:top w:val="nil"/>
              <w:left w:val="nil"/>
              <w:bottom w:val="nil"/>
              <w:right w:val="nil"/>
            </w:tcBorders>
            <w:shd w:val="clear" w:color="auto" w:fill="auto"/>
            <w:noWrap/>
            <w:vAlign w:val="center"/>
          </w:tcPr>
          <w:p w14:paraId="6171D4E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Cs w:val="24"/>
              </w:rPr>
            </w:pPr>
            <w:r>
              <w:rPr>
                <w:rFonts w:hint="eastAsia" w:ascii="宋体" w:hAnsi="宋体" w:eastAsia="宋体" w:cs="宋体"/>
                <w:color w:val="auto"/>
                <w:kern w:val="0"/>
                <w:szCs w:val="24"/>
              </w:rPr>
              <w:t>注：本表反映部门本年度一般公共预算财政拨款基本支出明细情况。</w:t>
            </w:r>
          </w:p>
        </w:tc>
      </w:tr>
    </w:tbl>
    <w:p w14:paraId="50F6FA00">
      <w:pPr>
        <w:widowControl/>
        <w:jc w:val="center"/>
        <w:rPr>
          <w:rFonts w:ascii="Times New Roman" w:hAnsi="Times New Roman" w:eastAsia="方正小标宋_GBK" w:cs="Times New Roman"/>
          <w:color w:val="auto"/>
          <w:kern w:val="0"/>
          <w:sz w:val="36"/>
          <w:szCs w:val="36"/>
        </w:rPr>
      </w:pPr>
      <w:r>
        <w:rPr>
          <w:rFonts w:hint="eastAsia" w:ascii="Times New Roman" w:hAnsi="Times New Roman" w:eastAsia="方正小标宋_GBK" w:cs="Times New Roman"/>
          <w:color w:val="auto"/>
          <w:kern w:val="0"/>
          <w:sz w:val="36"/>
          <w:szCs w:val="36"/>
        </w:rPr>
        <w:t>一般公共预算财政拨款“三公”经费支出决算表</w:t>
      </w:r>
    </w:p>
    <w:p w14:paraId="37D99A23">
      <w:pPr>
        <w:widowControl/>
        <w:ind w:firstLine="630" w:firstLineChars="300"/>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rPr>
        <w:t xml:space="preserve"> 湘潭县司法局                                                                                                            </w:t>
      </w:r>
      <w:r>
        <w:rPr>
          <w:rFonts w:ascii="Times New Roman" w:hAnsi="Times New Roman" w:eastAsia="仿宋_GB2312" w:cs="Times New Roman"/>
          <w:color w:val="auto"/>
          <w:kern w:val="0"/>
          <w:szCs w:val="21"/>
        </w:rPr>
        <w:t>公开0</w:t>
      </w:r>
      <w:r>
        <w:rPr>
          <w:rFonts w:hint="eastAsia" w:ascii="Times New Roman" w:hAnsi="Times New Roman" w:eastAsia="仿宋_GB2312" w:cs="Times New Roman"/>
          <w:color w:val="auto"/>
          <w:kern w:val="0"/>
          <w:szCs w:val="21"/>
        </w:rPr>
        <w:t>7</w:t>
      </w:r>
      <w:r>
        <w:rPr>
          <w:rFonts w:ascii="Times New Roman" w:hAnsi="Times New Roman" w:eastAsia="仿宋_GB2312" w:cs="Times New Roman"/>
          <w:color w:val="auto"/>
          <w:kern w:val="0"/>
          <w:szCs w:val="21"/>
        </w:rPr>
        <w:t>表</w:t>
      </w:r>
    </w:p>
    <w:p w14:paraId="29981E73">
      <w:pPr>
        <w:widowControl/>
        <w:ind w:right="420"/>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6"/>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1E410701">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0ADFFC2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5DFDB6F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决算数</w:t>
            </w:r>
          </w:p>
        </w:tc>
      </w:tr>
      <w:tr w14:paraId="5867E95B">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092871C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3F13903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0CE342DD">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323709C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w:t>
            </w:r>
          </w:p>
          <w:p w14:paraId="0A26A23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6E5A92F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6E92DB8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14DFB53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4EF7A5E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w:t>
            </w:r>
          </w:p>
          <w:p w14:paraId="3AB0E7A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接待费</w:t>
            </w:r>
          </w:p>
        </w:tc>
      </w:tr>
      <w:tr w14:paraId="12679D45">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6B9AD88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21AB8F2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78A410C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7127297A">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w:t>
            </w:r>
            <w:r>
              <w:rPr>
                <w:rFonts w:hint="default" w:ascii="Times New Roman" w:hAnsi="Times New Roman" w:eastAsia="仿宋_GB2312" w:cs="Times New Roman"/>
                <w:color w:val="auto"/>
                <w:kern w:val="0"/>
                <w:szCs w:val="21"/>
              </w:rPr>
              <w:br w:type="textWrapping"/>
            </w:r>
            <w:r>
              <w:rPr>
                <w:rFonts w:hint="default" w:ascii="Times New Roman" w:hAnsi="Times New Roman" w:eastAsia="仿宋_GB2312" w:cs="Times New Roman"/>
                <w:color w:val="auto"/>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2131D31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w:t>
            </w:r>
            <w:r>
              <w:rPr>
                <w:rFonts w:hint="default" w:ascii="Times New Roman" w:hAnsi="Times New Roman" w:eastAsia="仿宋_GB2312" w:cs="Times New Roman"/>
                <w:color w:val="auto"/>
                <w:kern w:val="0"/>
                <w:szCs w:val="21"/>
              </w:rPr>
              <w:br w:type="textWrapping"/>
            </w:r>
            <w:r>
              <w:rPr>
                <w:rFonts w:hint="default" w:ascii="Times New Roman" w:hAnsi="Times New Roman" w:eastAsia="仿宋_GB2312" w:cs="Times New Roman"/>
                <w:color w:val="auto"/>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DF80F4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20" w:type="dxa"/>
            <w:vMerge w:val="continue"/>
            <w:tcBorders>
              <w:top w:val="nil"/>
              <w:left w:val="nil"/>
              <w:bottom w:val="single" w:color="000000" w:sz="4" w:space="0"/>
              <w:right w:val="single" w:color="auto" w:sz="4" w:space="0"/>
            </w:tcBorders>
            <w:vAlign w:val="center"/>
          </w:tcPr>
          <w:p w14:paraId="2DAFDEA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3BDAD17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2AB5646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58CC393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w:t>
            </w:r>
            <w:r>
              <w:rPr>
                <w:rFonts w:hint="default" w:ascii="Times New Roman" w:hAnsi="Times New Roman" w:eastAsia="仿宋_GB2312" w:cs="Times New Roman"/>
                <w:color w:val="auto"/>
                <w:kern w:val="0"/>
                <w:szCs w:val="21"/>
              </w:rPr>
              <w:br w:type="textWrapping"/>
            </w:r>
            <w:r>
              <w:rPr>
                <w:rFonts w:hint="default" w:ascii="Times New Roman" w:hAnsi="Times New Roman" w:eastAsia="仿宋_GB2312" w:cs="Times New Roman"/>
                <w:color w:val="auto"/>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1992BD3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公务用车</w:t>
            </w:r>
            <w:r>
              <w:rPr>
                <w:rFonts w:hint="default" w:ascii="Times New Roman" w:hAnsi="Times New Roman" w:eastAsia="仿宋_GB2312" w:cs="Times New Roman"/>
                <w:color w:val="auto"/>
                <w:kern w:val="0"/>
                <w:szCs w:val="21"/>
              </w:rPr>
              <w:br w:type="textWrapping"/>
            </w:r>
            <w:r>
              <w:rPr>
                <w:rFonts w:hint="default" w:ascii="Times New Roman" w:hAnsi="Times New Roman" w:eastAsia="仿宋_GB2312" w:cs="Times New Roman"/>
                <w:color w:val="auto"/>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114DF0AF">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r>
      <w:tr w14:paraId="40A45257">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6E61212F">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72856F1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5B138DE3">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42243C5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3943B84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5F0EFE6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44ED7DF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632B5B5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0F76750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07D3C16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151E028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7D32451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w:t>
            </w:r>
          </w:p>
        </w:tc>
      </w:tr>
      <w:tr w14:paraId="328784B0">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346423D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26.44</w:t>
            </w:r>
          </w:p>
        </w:tc>
        <w:tc>
          <w:tcPr>
            <w:tcW w:w="1220" w:type="dxa"/>
            <w:tcBorders>
              <w:top w:val="nil"/>
              <w:left w:val="nil"/>
              <w:bottom w:val="single" w:color="auto" w:sz="8" w:space="0"/>
              <w:right w:val="single" w:color="auto" w:sz="4" w:space="0"/>
            </w:tcBorders>
            <w:shd w:val="clear" w:color="auto" w:fill="auto"/>
            <w:vAlign w:val="center"/>
          </w:tcPr>
          <w:p w14:paraId="2AA67E6F">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2FE2AB8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14.40</w:t>
            </w:r>
          </w:p>
        </w:tc>
        <w:tc>
          <w:tcPr>
            <w:tcW w:w="1220" w:type="dxa"/>
            <w:tcBorders>
              <w:top w:val="nil"/>
              <w:left w:val="nil"/>
              <w:bottom w:val="single" w:color="auto" w:sz="8" w:space="0"/>
              <w:right w:val="single" w:color="auto" w:sz="4" w:space="0"/>
            </w:tcBorders>
            <w:shd w:val="clear" w:color="auto" w:fill="auto"/>
            <w:vAlign w:val="center"/>
          </w:tcPr>
          <w:p w14:paraId="595D066A">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1C4AF1C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14.40</w:t>
            </w:r>
          </w:p>
        </w:tc>
        <w:tc>
          <w:tcPr>
            <w:tcW w:w="1220" w:type="dxa"/>
            <w:tcBorders>
              <w:top w:val="nil"/>
              <w:left w:val="nil"/>
              <w:bottom w:val="single" w:color="auto" w:sz="8" w:space="0"/>
              <w:right w:val="single" w:color="auto" w:sz="4" w:space="0"/>
            </w:tcBorders>
            <w:shd w:val="clear" w:color="auto" w:fill="auto"/>
            <w:vAlign w:val="center"/>
          </w:tcPr>
          <w:p w14:paraId="7EC3C14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12.04</w:t>
            </w:r>
          </w:p>
        </w:tc>
        <w:tc>
          <w:tcPr>
            <w:tcW w:w="1220" w:type="dxa"/>
            <w:tcBorders>
              <w:top w:val="nil"/>
              <w:left w:val="nil"/>
              <w:bottom w:val="single" w:color="auto" w:sz="8" w:space="0"/>
              <w:right w:val="single" w:color="auto" w:sz="4" w:space="0"/>
            </w:tcBorders>
            <w:shd w:val="clear" w:color="auto" w:fill="auto"/>
            <w:vAlign w:val="center"/>
          </w:tcPr>
          <w:p w14:paraId="558BF22A">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9.01</w:t>
            </w:r>
          </w:p>
        </w:tc>
        <w:tc>
          <w:tcPr>
            <w:tcW w:w="1220" w:type="dxa"/>
            <w:tcBorders>
              <w:top w:val="nil"/>
              <w:left w:val="nil"/>
              <w:bottom w:val="single" w:color="auto" w:sz="8" w:space="0"/>
              <w:right w:val="single" w:color="auto" w:sz="4" w:space="0"/>
            </w:tcBorders>
            <w:shd w:val="clear" w:color="auto" w:fill="auto"/>
            <w:vAlign w:val="center"/>
          </w:tcPr>
          <w:p w14:paraId="569A490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27F63F2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8.90</w:t>
            </w:r>
          </w:p>
        </w:tc>
        <w:tc>
          <w:tcPr>
            <w:tcW w:w="1220" w:type="dxa"/>
            <w:tcBorders>
              <w:top w:val="nil"/>
              <w:left w:val="nil"/>
              <w:bottom w:val="single" w:color="auto" w:sz="8" w:space="0"/>
              <w:right w:val="single" w:color="auto" w:sz="4" w:space="0"/>
            </w:tcBorders>
            <w:shd w:val="clear" w:color="auto" w:fill="auto"/>
            <w:vAlign w:val="center"/>
          </w:tcPr>
          <w:p w14:paraId="55C4B6C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p>
        </w:tc>
        <w:tc>
          <w:tcPr>
            <w:tcW w:w="1220" w:type="dxa"/>
            <w:tcBorders>
              <w:top w:val="nil"/>
              <w:left w:val="nil"/>
              <w:bottom w:val="single" w:color="auto" w:sz="8" w:space="0"/>
              <w:right w:val="nil"/>
            </w:tcBorders>
            <w:shd w:val="clear" w:color="auto" w:fill="auto"/>
            <w:vAlign w:val="center"/>
          </w:tcPr>
          <w:p w14:paraId="3610F56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8.90</w:t>
            </w:r>
          </w:p>
        </w:tc>
        <w:tc>
          <w:tcPr>
            <w:tcW w:w="1220" w:type="dxa"/>
            <w:tcBorders>
              <w:top w:val="nil"/>
              <w:left w:val="single" w:color="auto" w:sz="4" w:space="0"/>
              <w:bottom w:val="single" w:color="auto" w:sz="8" w:space="0"/>
              <w:right w:val="single" w:color="auto" w:sz="8" w:space="0"/>
            </w:tcBorders>
            <w:shd w:val="clear" w:color="auto" w:fill="auto"/>
            <w:vAlign w:val="center"/>
          </w:tcPr>
          <w:p w14:paraId="4A2B3D46">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0.11</w:t>
            </w:r>
          </w:p>
        </w:tc>
      </w:tr>
    </w:tbl>
    <w:p w14:paraId="0E2200DD">
      <w:pPr>
        <w:widowControl/>
        <w:jc w:val="left"/>
        <w:rPr>
          <w:rFonts w:ascii="宋体" w:eastAsia="宋体" w:cs="宋体"/>
          <w:color w:val="auto"/>
          <w:kern w:val="0"/>
          <w:sz w:val="24"/>
          <w:szCs w:val="24"/>
        </w:rPr>
      </w:pPr>
      <w:r>
        <w:rPr>
          <w:rFonts w:hint="eastAsia" w:ascii="宋体" w:eastAsia="宋体" w:cs="宋体"/>
          <w:color w:val="auto"/>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color w:val="auto"/>
          <w:kern w:val="0"/>
          <w:sz w:val="24"/>
          <w:szCs w:val="24"/>
        </w:rPr>
        <w:br w:type="page"/>
      </w:r>
    </w:p>
    <w:p w14:paraId="03944604">
      <w:pPr>
        <w:autoSpaceDE w:val="0"/>
        <w:autoSpaceDN w:val="0"/>
        <w:adjustRightInd w:val="0"/>
        <w:ind w:left="315" w:leftChars="150"/>
        <w:jc w:val="left"/>
        <w:rPr>
          <w:rFonts w:ascii="宋体" w:eastAsia="宋体" w:cs="宋体"/>
          <w:color w:val="auto"/>
          <w:kern w:val="0"/>
          <w:sz w:val="24"/>
          <w:szCs w:val="24"/>
        </w:rPr>
      </w:pPr>
    </w:p>
    <w:p w14:paraId="5374B348">
      <w:pPr>
        <w:widowControl/>
        <w:jc w:val="center"/>
        <w:rPr>
          <w:rFonts w:ascii="Times New Roman" w:hAnsi="Times New Roman" w:eastAsia="方正小标宋_GBK" w:cs="Times New Roman"/>
          <w:color w:val="auto"/>
          <w:kern w:val="0"/>
          <w:sz w:val="36"/>
          <w:szCs w:val="36"/>
        </w:rPr>
      </w:pPr>
      <w:r>
        <w:rPr>
          <w:rFonts w:ascii="Times New Roman" w:hAnsi="Times New Roman" w:eastAsia="方正小标宋_GBK" w:cs="Times New Roman"/>
          <w:color w:val="auto"/>
          <w:kern w:val="0"/>
          <w:sz w:val="36"/>
          <w:szCs w:val="36"/>
        </w:rPr>
        <w:t>政府性基金预算财政拨款收入支出决算表</w:t>
      </w:r>
    </w:p>
    <w:p w14:paraId="00845C07">
      <w:pPr>
        <w:widowControl/>
        <w:wordWrap w:val="0"/>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rPr>
        <w:t xml:space="preserve">湘潭县司法局                                                                                                            </w:t>
      </w:r>
      <w:r>
        <w:rPr>
          <w:rFonts w:ascii="Times New Roman" w:hAnsi="Times New Roman" w:eastAsia="仿宋_GB2312" w:cs="Times New Roman"/>
          <w:color w:val="auto"/>
          <w:kern w:val="0"/>
          <w:szCs w:val="21"/>
        </w:rPr>
        <w:t>公开08表</w:t>
      </w:r>
    </w:p>
    <w:p w14:paraId="1A0C8A33">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229"/>
        <w:gridCol w:w="1275"/>
        <w:gridCol w:w="1816"/>
        <w:gridCol w:w="2000"/>
        <w:gridCol w:w="2000"/>
        <w:gridCol w:w="2000"/>
        <w:gridCol w:w="2000"/>
      </w:tblGrid>
      <w:tr w14:paraId="06FF67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30A915F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w:t>
            </w:r>
          </w:p>
        </w:tc>
        <w:tc>
          <w:tcPr>
            <w:tcW w:w="1275" w:type="dxa"/>
            <w:vMerge w:val="restart"/>
            <w:shd w:val="clear" w:color="auto" w:fill="auto"/>
            <w:vAlign w:val="center"/>
          </w:tcPr>
          <w:p w14:paraId="01B0F43D">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年初结转和结余</w:t>
            </w:r>
          </w:p>
        </w:tc>
        <w:tc>
          <w:tcPr>
            <w:tcW w:w="1816" w:type="dxa"/>
            <w:vMerge w:val="restart"/>
            <w:shd w:val="clear" w:color="auto" w:fill="auto"/>
            <w:vAlign w:val="center"/>
          </w:tcPr>
          <w:p w14:paraId="589081D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本年收入</w:t>
            </w:r>
          </w:p>
        </w:tc>
        <w:tc>
          <w:tcPr>
            <w:tcW w:w="6000" w:type="dxa"/>
            <w:gridSpan w:val="3"/>
            <w:shd w:val="clear" w:color="auto" w:fill="auto"/>
            <w:vAlign w:val="center"/>
          </w:tcPr>
          <w:p w14:paraId="6FD4050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本年支出</w:t>
            </w:r>
          </w:p>
        </w:tc>
        <w:tc>
          <w:tcPr>
            <w:tcW w:w="2000" w:type="dxa"/>
            <w:vMerge w:val="restart"/>
            <w:shd w:val="clear" w:color="auto" w:fill="auto"/>
            <w:vAlign w:val="center"/>
          </w:tcPr>
          <w:p w14:paraId="20E8A7C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年末结转和结余</w:t>
            </w:r>
          </w:p>
        </w:tc>
      </w:tr>
      <w:tr w14:paraId="604497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30F122E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功能分类科目编码</w:t>
            </w:r>
          </w:p>
        </w:tc>
        <w:tc>
          <w:tcPr>
            <w:tcW w:w="2229" w:type="dxa"/>
            <w:vMerge w:val="restart"/>
            <w:shd w:val="clear" w:color="auto" w:fill="auto"/>
            <w:vAlign w:val="center"/>
          </w:tcPr>
          <w:p w14:paraId="196389A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科目名称</w:t>
            </w:r>
          </w:p>
        </w:tc>
        <w:tc>
          <w:tcPr>
            <w:tcW w:w="1275" w:type="dxa"/>
            <w:vMerge w:val="continue"/>
            <w:vAlign w:val="center"/>
          </w:tcPr>
          <w:p w14:paraId="314DA7D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color w:val="auto"/>
                <w:kern w:val="0"/>
                <w:szCs w:val="21"/>
              </w:rPr>
            </w:pPr>
          </w:p>
        </w:tc>
        <w:tc>
          <w:tcPr>
            <w:tcW w:w="1816" w:type="dxa"/>
            <w:vMerge w:val="continue"/>
            <w:vAlign w:val="center"/>
          </w:tcPr>
          <w:p w14:paraId="7DB88BD5">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color w:val="auto"/>
                <w:kern w:val="0"/>
                <w:szCs w:val="21"/>
              </w:rPr>
            </w:pPr>
          </w:p>
        </w:tc>
        <w:tc>
          <w:tcPr>
            <w:tcW w:w="2000" w:type="dxa"/>
            <w:vMerge w:val="restart"/>
            <w:shd w:val="clear" w:color="auto" w:fill="auto"/>
            <w:vAlign w:val="center"/>
          </w:tcPr>
          <w:p w14:paraId="5B641CAF">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小计</w:t>
            </w:r>
          </w:p>
        </w:tc>
        <w:tc>
          <w:tcPr>
            <w:tcW w:w="2000" w:type="dxa"/>
            <w:vMerge w:val="restart"/>
            <w:shd w:val="clear" w:color="auto" w:fill="auto"/>
            <w:vAlign w:val="center"/>
          </w:tcPr>
          <w:p w14:paraId="5A0AFB2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基本支出</w:t>
            </w:r>
          </w:p>
        </w:tc>
        <w:tc>
          <w:tcPr>
            <w:tcW w:w="2000" w:type="dxa"/>
            <w:vMerge w:val="restart"/>
            <w:shd w:val="clear" w:color="auto" w:fill="auto"/>
            <w:vAlign w:val="center"/>
          </w:tcPr>
          <w:p w14:paraId="43C351D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项目支出</w:t>
            </w:r>
          </w:p>
        </w:tc>
        <w:tc>
          <w:tcPr>
            <w:tcW w:w="2000" w:type="dxa"/>
            <w:vMerge w:val="continue"/>
            <w:vAlign w:val="center"/>
          </w:tcPr>
          <w:p w14:paraId="0DAD5E2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color w:val="auto"/>
                <w:kern w:val="0"/>
                <w:szCs w:val="21"/>
              </w:rPr>
            </w:pPr>
          </w:p>
        </w:tc>
      </w:tr>
      <w:tr w14:paraId="766D62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3F95852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229" w:type="dxa"/>
            <w:vMerge w:val="continue"/>
            <w:vAlign w:val="center"/>
          </w:tcPr>
          <w:p w14:paraId="49F25CC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75" w:type="dxa"/>
            <w:vMerge w:val="continue"/>
            <w:vAlign w:val="center"/>
          </w:tcPr>
          <w:p w14:paraId="41EF5BC2">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816" w:type="dxa"/>
            <w:vMerge w:val="continue"/>
            <w:vAlign w:val="center"/>
          </w:tcPr>
          <w:p w14:paraId="03BCD4D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743546A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190DB14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75D85BC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014C583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r>
      <w:tr w14:paraId="183CA4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8F4B04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229" w:type="dxa"/>
            <w:vMerge w:val="continue"/>
            <w:vAlign w:val="center"/>
          </w:tcPr>
          <w:p w14:paraId="4739B24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275" w:type="dxa"/>
            <w:vMerge w:val="continue"/>
            <w:vAlign w:val="center"/>
          </w:tcPr>
          <w:p w14:paraId="6596316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816" w:type="dxa"/>
            <w:vMerge w:val="continue"/>
            <w:vAlign w:val="center"/>
          </w:tcPr>
          <w:p w14:paraId="723ADF7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4836D07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3FC9F96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710D801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2000" w:type="dxa"/>
            <w:vMerge w:val="continue"/>
            <w:vAlign w:val="center"/>
          </w:tcPr>
          <w:p w14:paraId="6334AFFF">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r>
      <w:tr w14:paraId="16988E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68F779A8">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栏次</w:t>
            </w:r>
          </w:p>
        </w:tc>
        <w:tc>
          <w:tcPr>
            <w:tcW w:w="1275" w:type="dxa"/>
            <w:shd w:val="clear" w:color="auto" w:fill="auto"/>
            <w:vAlign w:val="center"/>
          </w:tcPr>
          <w:p w14:paraId="45BAFDD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w:t>
            </w:r>
          </w:p>
        </w:tc>
        <w:tc>
          <w:tcPr>
            <w:tcW w:w="1816" w:type="dxa"/>
            <w:shd w:val="clear" w:color="auto" w:fill="auto"/>
            <w:vAlign w:val="center"/>
          </w:tcPr>
          <w:p w14:paraId="353EADA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w:t>
            </w:r>
          </w:p>
        </w:tc>
        <w:tc>
          <w:tcPr>
            <w:tcW w:w="2000" w:type="dxa"/>
            <w:shd w:val="clear" w:color="auto" w:fill="auto"/>
            <w:vAlign w:val="center"/>
          </w:tcPr>
          <w:p w14:paraId="66727AC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w:t>
            </w:r>
          </w:p>
        </w:tc>
        <w:tc>
          <w:tcPr>
            <w:tcW w:w="2000" w:type="dxa"/>
            <w:shd w:val="clear" w:color="auto" w:fill="auto"/>
            <w:vAlign w:val="center"/>
          </w:tcPr>
          <w:p w14:paraId="724554A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w:t>
            </w:r>
          </w:p>
        </w:tc>
        <w:tc>
          <w:tcPr>
            <w:tcW w:w="2000" w:type="dxa"/>
            <w:shd w:val="clear" w:color="auto" w:fill="auto"/>
            <w:vAlign w:val="center"/>
          </w:tcPr>
          <w:p w14:paraId="202F1D5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w:t>
            </w:r>
          </w:p>
        </w:tc>
        <w:tc>
          <w:tcPr>
            <w:tcW w:w="2000" w:type="dxa"/>
            <w:shd w:val="clear" w:color="auto" w:fill="auto"/>
            <w:vAlign w:val="center"/>
          </w:tcPr>
          <w:p w14:paraId="1DEA7EA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6</w:t>
            </w:r>
          </w:p>
        </w:tc>
      </w:tr>
      <w:tr w14:paraId="5E8F85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7D551E9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合计</w:t>
            </w:r>
          </w:p>
        </w:tc>
        <w:tc>
          <w:tcPr>
            <w:tcW w:w="1275" w:type="dxa"/>
            <w:shd w:val="clear" w:color="auto" w:fill="auto"/>
            <w:vAlign w:val="center"/>
          </w:tcPr>
          <w:p w14:paraId="71FD6DC6">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p>
        </w:tc>
        <w:tc>
          <w:tcPr>
            <w:tcW w:w="1816" w:type="dxa"/>
            <w:shd w:val="clear" w:color="auto" w:fill="auto"/>
            <w:vAlign w:val="center"/>
          </w:tcPr>
          <w:p w14:paraId="166D7F82">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2F688B4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4DE6BC33">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4B8543C1">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1B9FE82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06B950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3D77423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372D0DD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rPr>
              <w:t>本单位无此项指标</w:t>
            </w:r>
          </w:p>
        </w:tc>
        <w:tc>
          <w:tcPr>
            <w:tcW w:w="1275" w:type="dxa"/>
            <w:shd w:val="clear" w:color="auto" w:fill="auto"/>
            <w:vAlign w:val="center"/>
          </w:tcPr>
          <w:p w14:paraId="0B99895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19C3CBD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C76B9E6">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9E61FA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03C6C0C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6FEAA76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2EF50D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FFC37C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4214600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275" w:type="dxa"/>
            <w:shd w:val="clear" w:color="auto" w:fill="auto"/>
            <w:vAlign w:val="center"/>
          </w:tcPr>
          <w:p w14:paraId="1017A9B2">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43B27E1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738B1E6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24D8BEFF">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6D22C68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571F5B3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30DBF6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91BBA7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4719835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275" w:type="dxa"/>
            <w:shd w:val="clear" w:color="auto" w:fill="auto"/>
            <w:vAlign w:val="center"/>
          </w:tcPr>
          <w:p w14:paraId="6C1A53F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7BB0D30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65D16B5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211606A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432F989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14DEACE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29BBC2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509423A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72275AF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275" w:type="dxa"/>
            <w:shd w:val="clear" w:color="auto" w:fill="auto"/>
            <w:vAlign w:val="center"/>
          </w:tcPr>
          <w:p w14:paraId="72E5624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2111C01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84A0726">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17BA0F8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575DD78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63EBA885">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642A49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7AE149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20A1540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275" w:type="dxa"/>
            <w:shd w:val="clear" w:color="auto" w:fill="auto"/>
            <w:vAlign w:val="center"/>
          </w:tcPr>
          <w:p w14:paraId="00DAC79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4AD3666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0A19FD8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1CE2F8C6">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E075F9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7AE6FA6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r w14:paraId="65BEFE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5DA7AD24">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229" w:type="dxa"/>
            <w:shd w:val="clear" w:color="auto" w:fill="auto"/>
            <w:vAlign w:val="center"/>
          </w:tcPr>
          <w:p w14:paraId="2C07780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275" w:type="dxa"/>
            <w:shd w:val="clear" w:color="auto" w:fill="auto"/>
            <w:vAlign w:val="center"/>
          </w:tcPr>
          <w:p w14:paraId="7FAEC07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1816" w:type="dxa"/>
            <w:shd w:val="clear" w:color="auto" w:fill="auto"/>
            <w:vAlign w:val="center"/>
          </w:tcPr>
          <w:p w14:paraId="713BBD4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1F7CF27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1A10DA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35F759F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000" w:type="dxa"/>
            <w:shd w:val="clear" w:color="auto" w:fill="auto"/>
            <w:vAlign w:val="center"/>
          </w:tcPr>
          <w:p w14:paraId="04DD50F5">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r>
    </w:tbl>
    <w:p w14:paraId="4882F946">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注：本表反映部门本年度政府性基金预算财政拨款收入、支出及结转和结余情况</w:t>
      </w:r>
    </w:p>
    <w:p w14:paraId="6FD98651">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(若本单位无政府性基金收支</w:t>
      </w:r>
      <w:r>
        <w:rPr>
          <w:rFonts w:hint="eastAsia" w:ascii="Times New Roman" w:hAnsi="Times New Roman" w:eastAsia="仿宋_GB2312" w:cs="Times New Roman"/>
          <w:color w:val="auto"/>
          <w:kern w:val="0"/>
          <w:szCs w:val="21"/>
        </w:rPr>
        <w:t>,请说明：XX单位没有政府性基金收入，也没有使用政府性基金安排的支出，故本表无数据</w:t>
      </w:r>
      <w:r>
        <w:rPr>
          <w:rFonts w:ascii="Times New Roman" w:hAnsi="Times New Roman" w:eastAsia="仿宋_GB2312" w:cs="Times New Roman"/>
          <w:color w:val="auto"/>
          <w:kern w:val="0"/>
          <w:szCs w:val="21"/>
        </w:rPr>
        <w:t>)。</w:t>
      </w:r>
    </w:p>
    <w:p w14:paraId="1F188F26">
      <w:pPr>
        <w:widowControl/>
        <w:jc w:val="left"/>
        <w:rPr>
          <w:rFonts w:ascii="黑体" w:hAnsi="黑体" w:eastAsia="黑体"/>
          <w:color w:val="auto"/>
          <w:szCs w:val="21"/>
        </w:rPr>
      </w:pPr>
      <w:r>
        <w:rPr>
          <w:rFonts w:ascii="黑体" w:hAnsi="黑体" w:eastAsia="黑体"/>
          <w:color w:val="auto"/>
          <w:szCs w:val="21"/>
        </w:rPr>
        <w:br w:type="page"/>
      </w:r>
    </w:p>
    <w:tbl>
      <w:tblPr>
        <w:tblStyle w:val="6"/>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48F97E1D">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7D8665E1">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auto"/>
                <w:kern w:val="0"/>
                <w:sz w:val="32"/>
                <w:szCs w:val="32"/>
              </w:rPr>
            </w:pPr>
            <w:r>
              <w:rPr>
                <w:rFonts w:hint="eastAsia" w:ascii="华文中宋" w:hAnsi="华文中宋" w:eastAsia="华文中宋" w:cs="宋体"/>
                <w:color w:val="auto"/>
                <w:kern w:val="0"/>
                <w:sz w:val="32"/>
                <w:szCs w:val="32"/>
              </w:rPr>
              <w:t>国有资本经营预算财政拨款支出决算表</w:t>
            </w:r>
          </w:p>
        </w:tc>
      </w:tr>
      <w:tr w14:paraId="77850726">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1639E81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560" w:type="dxa"/>
            <w:tcBorders>
              <w:top w:val="nil"/>
              <w:left w:val="nil"/>
              <w:bottom w:val="nil"/>
              <w:right w:val="nil"/>
            </w:tcBorders>
            <w:shd w:val="clear" w:color="000000" w:fill="FFFFFF"/>
            <w:vAlign w:val="center"/>
          </w:tcPr>
          <w:p w14:paraId="3C6F2006">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215" w:type="dxa"/>
            <w:gridSpan w:val="2"/>
            <w:tcBorders>
              <w:top w:val="nil"/>
              <w:left w:val="nil"/>
              <w:bottom w:val="nil"/>
              <w:right w:val="nil"/>
            </w:tcBorders>
            <w:shd w:val="clear" w:color="000000" w:fill="FFFFFF"/>
            <w:vAlign w:val="center"/>
          </w:tcPr>
          <w:p w14:paraId="75CB601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25" w:type="dxa"/>
            <w:tcBorders>
              <w:top w:val="nil"/>
              <w:left w:val="nil"/>
              <w:bottom w:val="nil"/>
              <w:right w:val="nil"/>
            </w:tcBorders>
            <w:shd w:val="clear" w:color="000000" w:fill="FFFFFF"/>
            <w:vAlign w:val="center"/>
          </w:tcPr>
          <w:p w14:paraId="093920E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2620" w:type="dxa"/>
            <w:gridSpan w:val="2"/>
            <w:tcBorders>
              <w:top w:val="nil"/>
              <w:left w:val="nil"/>
              <w:bottom w:val="nil"/>
              <w:right w:val="nil"/>
            </w:tcBorders>
            <w:shd w:val="clear" w:color="000000" w:fill="FFFFFF"/>
            <w:vAlign w:val="center"/>
          </w:tcPr>
          <w:p w14:paraId="25470BC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5510" w:type="dxa"/>
            <w:gridSpan w:val="2"/>
            <w:tcBorders>
              <w:top w:val="nil"/>
              <w:left w:val="nil"/>
              <w:bottom w:val="nil"/>
              <w:right w:val="nil"/>
            </w:tcBorders>
            <w:shd w:val="clear" w:color="000000" w:fill="FFFFFF"/>
            <w:noWrap/>
            <w:vAlign w:val="center"/>
          </w:tcPr>
          <w:p w14:paraId="55312CCD">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公开09表</w:t>
            </w:r>
          </w:p>
        </w:tc>
      </w:tr>
      <w:tr w14:paraId="70BB988D">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3578028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部门：</w:t>
            </w:r>
            <w:r>
              <w:rPr>
                <w:rFonts w:hint="default" w:ascii="宋体" w:hAnsi="宋体" w:eastAsia="宋体" w:cs="宋体"/>
                <w:color w:val="auto"/>
                <w:kern w:val="0"/>
                <w:sz w:val="20"/>
                <w:szCs w:val="20"/>
              </w:rPr>
              <w:t xml:space="preserve"> </w:t>
            </w:r>
          </w:p>
        </w:tc>
        <w:tc>
          <w:tcPr>
            <w:tcW w:w="560" w:type="dxa"/>
            <w:tcBorders>
              <w:top w:val="nil"/>
              <w:left w:val="nil"/>
              <w:bottom w:val="nil"/>
              <w:right w:val="nil"/>
            </w:tcBorders>
            <w:shd w:val="clear" w:color="000000" w:fill="FFFFFF"/>
            <w:vAlign w:val="center"/>
          </w:tcPr>
          <w:p w14:paraId="3A8471EE">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215" w:type="dxa"/>
            <w:gridSpan w:val="2"/>
            <w:tcBorders>
              <w:top w:val="nil"/>
              <w:left w:val="nil"/>
              <w:bottom w:val="nil"/>
              <w:right w:val="nil"/>
            </w:tcBorders>
            <w:shd w:val="clear" w:color="000000" w:fill="FFFFFF"/>
            <w:vAlign w:val="center"/>
          </w:tcPr>
          <w:p w14:paraId="24412325">
            <w:pPr>
              <w:keepNext w:val="0"/>
              <w:keepLines w:val="0"/>
              <w:widowControl/>
              <w:suppressLineNumbers w:val="0"/>
              <w:spacing w:before="0" w:beforeAutospacing="0" w:after="0" w:afterAutospacing="0"/>
              <w:ind w:left="0" w:right="0"/>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湘潭县司法局　</w:t>
            </w:r>
          </w:p>
        </w:tc>
        <w:tc>
          <w:tcPr>
            <w:tcW w:w="1225" w:type="dxa"/>
            <w:tcBorders>
              <w:top w:val="nil"/>
              <w:left w:val="nil"/>
              <w:bottom w:val="single" w:color="auto" w:sz="8" w:space="0"/>
              <w:right w:val="nil"/>
            </w:tcBorders>
            <w:shd w:val="clear" w:color="000000" w:fill="FFFFFF"/>
            <w:vAlign w:val="center"/>
          </w:tcPr>
          <w:p w14:paraId="558EA8A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7BAD2BB2">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5510" w:type="dxa"/>
            <w:gridSpan w:val="2"/>
            <w:tcBorders>
              <w:top w:val="nil"/>
              <w:left w:val="nil"/>
              <w:bottom w:val="nil"/>
              <w:right w:val="nil"/>
            </w:tcBorders>
            <w:shd w:val="clear" w:color="000000" w:fill="FFFFFF"/>
            <w:noWrap/>
            <w:vAlign w:val="center"/>
          </w:tcPr>
          <w:p w14:paraId="59F72630">
            <w:pPr>
              <w:keepNext w:val="0"/>
              <w:keepLines w:val="0"/>
              <w:widowControl/>
              <w:suppressLineNumbers w:val="0"/>
              <w:spacing w:before="0" w:beforeAutospacing="0" w:after="0" w:afterAutospacing="0"/>
              <w:ind w:left="0" w:right="0"/>
              <w:jc w:val="righ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单位：万元</w:t>
            </w:r>
          </w:p>
        </w:tc>
      </w:tr>
      <w:tr w14:paraId="71AF3412">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0FB9E55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145C3927">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本年支出</w:t>
            </w:r>
          </w:p>
        </w:tc>
      </w:tr>
      <w:tr w14:paraId="4B2D890F">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0BA05F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31BA4AA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056B791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E14506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3C0DBA4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项目支出</w:t>
            </w:r>
          </w:p>
        </w:tc>
      </w:tr>
      <w:tr w14:paraId="34061708">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08E18B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6CE621B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60189BF8">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0FBA59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4EC22DB">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r>
      <w:tr w14:paraId="2FEDC86C">
        <w:tblPrEx>
          <w:tblCellMar>
            <w:top w:w="0" w:type="dxa"/>
            <w:left w:w="108" w:type="dxa"/>
            <w:bottom w:w="0" w:type="dxa"/>
            <w:right w:w="108" w:type="dxa"/>
          </w:tblCellMar>
        </w:tblPrEx>
        <w:trPr>
          <w:trHeight w:val="516"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12C3981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603ADC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5E5035D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309039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9D476B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p>
        </w:tc>
      </w:tr>
      <w:tr w14:paraId="20D1A99E">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7B5D773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55ED883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201D84A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43D217F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3</w:t>
            </w:r>
          </w:p>
        </w:tc>
      </w:tr>
      <w:tr w14:paraId="63211B31">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0873103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1F506232">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08999E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5C7A37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7C449EB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D378D6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9D77436">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rPr>
              <w:t>本单位无此项指标</w:t>
            </w:r>
          </w:p>
        </w:tc>
        <w:tc>
          <w:tcPr>
            <w:tcW w:w="2551" w:type="dxa"/>
            <w:gridSpan w:val="2"/>
            <w:tcBorders>
              <w:top w:val="nil"/>
              <w:left w:val="nil"/>
              <w:bottom w:val="single" w:color="auto" w:sz="4" w:space="0"/>
              <w:right w:val="single" w:color="auto" w:sz="4" w:space="0"/>
            </w:tcBorders>
            <w:shd w:val="clear" w:color="auto" w:fill="auto"/>
            <w:vAlign w:val="center"/>
          </w:tcPr>
          <w:p w14:paraId="235EE28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14:paraId="77B3F30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9BE33E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302CEDE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A2C0050">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C5FD39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0A22A55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D0999B9">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3DB559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24D45AB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3B98071">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1C4D5B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7265D12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AFCB78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5D1868D">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22839A3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187BEAA">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EA894F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573AE7E0">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3B63147">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912481A">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4DE0C58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94D9C6D">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7924C76">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192B3A2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4716BE1">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CD6599C">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583DF3F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02923715">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0BE4037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1CF2F174">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0C65F1E3">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0946DC8F">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　</w:t>
            </w:r>
          </w:p>
        </w:tc>
      </w:tr>
      <w:tr w14:paraId="40C5C115">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245709DE">
            <w:pPr>
              <w:keepNext w:val="0"/>
              <w:keepLines w:val="0"/>
              <w:widowControl/>
              <w:suppressLineNumbers w:val="0"/>
              <w:spacing w:before="0" w:beforeAutospacing="0" w:after="0" w:afterAutospacing="0"/>
              <w:ind w:left="0" w:right="0"/>
              <w:jc w:val="left"/>
              <w:rPr>
                <w:rFonts w:hint="default" w:ascii="宋体" w:hAnsi="宋体" w:eastAsia="宋体" w:cs="宋体"/>
                <w:color w:val="auto"/>
                <w:kern w:val="0"/>
                <w:sz w:val="24"/>
                <w:szCs w:val="24"/>
              </w:rPr>
            </w:pPr>
            <w:r>
              <w:rPr>
                <w:rFonts w:hint="eastAsia" w:ascii="宋体" w:hAnsi="宋体" w:eastAsia="宋体" w:cs="宋体"/>
                <w:color w:val="auto"/>
                <w:kern w:val="0"/>
                <w:sz w:val="24"/>
                <w:szCs w:val="24"/>
              </w:rPr>
              <w:t>注：本表反映部门本年度国有资本经营预算财政拨款支出情况。</w:t>
            </w:r>
          </w:p>
        </w:tc>
      </w:tr>
    </w:tbl>
    <w:p w14:paraId="5CBF879C">
      <w:pPr>
        <w:pStyle w:val="10"/>
        <w:rPr>
          <w:color w:val="auto"/>
          <w:sz w:val="72"/>
          <w:szCs w:val="72"/>
        </w:rPr>
        <w:sectPr>
          <w:pgSz w:w="16838" w:h="11906" w:orient="landscape"/>
          <w:pgMar w:top="720" w:right="720" w:bottom="720" w:left="720" w:header="851" w:footer="992" w:gutter="0"/>
          <w:cols w:space="425" w:num="1"/>
          <w:docGrid w:type="lines" w:linePitch="312" w:charSpace="0"/>
        </w:sectPr>
      </w:pPr>
    </w:p>
    <w:p w14:paraId="766F18A4">
      <w:pPr>
        <w:pStyle w:val="10"/>
        <w:rPr>
          <w:color w:val="auto"/>
          <w:sz w:val="72"/>
          <w:szCs w:val="72"/>
        </w:rPr>
      </w:pPr>
    </w:p>
    <w:p w14:paraId="69560C43">
      <w:pPr>
        <w:pStyle w:val="10"/>
        <w:rPr>
          <w:color w:val="auto"/>
          <w:sz w:val="72"/>
          <w:szCs w:val="72"/>
        </w:rPr>
      </w:pPr>
    </w:p>
    <w:p w14:paraId="64BF5496">
      <w:pPr>
        <w:pStyle w:val="10"/>
        <w:rPr>
          <w:color w:val="auto"/>
          <w:sz w:val="72"/>
          <w:szCs w:val="72"/>
        </w:rPr>
      </w:pPr>
    </w:p>
    <w:p w14:paraId="4F4A1F8B">
      <w:pPr>
        <w:pStyle w:val="10"/>
        <w:rPr>
          <w:color w:val="auto"/>
          <w:sz w:val="72"/>
          <w:szCs w:val="72"/>
        </w:rPr>
      </w:pPr>
    </w:p>
    <w:p w14:paraId="338C66FD">
      <w:pPr>
        <w:pStyle w:val="10"/>
        <w:jc w:val="center"/>
        <w:rPr>
          <w:color w:val="auto"/>
          <w:sz w:val="72"/>
          <w:szCs w:val="72"/>
        </w:rPr>
      </w:pPr>
    </w:p>
    <w:p w14:paraId="2367E2F0">
      <w:pPr>
        <w:pStyle w:val="10"/>
        <w:jc w:val="center"/>
        <w:rPr>
          <w:color w:val="auto"/>
          <w:sz w:val="72"/>
          <w:szCs w:val="72"/>
        </w:rPr>
      </w:pPr>
    </w:p>
    <w:p w14:paraId="205CDCA2">
      <w:pPr>
        <w:pStyle w:val="10"/>
        <w:jc w:val="center"/>
        <w:rPr>
          <w:color w:val="auto"/>
          <w:sz w:val="72"/>
          <w:szCs w:val="72"/>
        </w:rPr>
      </w:pPr>
      <w:r>
        <w:rPr>
          <w:rFonts w:hint="eastAsia"/>
          <w:color w:val="auto"/>
          <w:sz w:val="72"/>
          <w:szCs w:val="72"/>
        </w:rPr>
        <w:t>第三部分</w:t>
      </w:r>
    </w:p>
    <w:p w14:paraId="146E042B">
      <w:pPr>
        <w:pStyle w:val="10"/>
        <w:jc w:val="center"/>
        <w:rPr>
          <w:color w:val="auto"/>
          <w:sz w:val="70"/>
          <w:szCs w:val="70"/>
        </w:rPr>
      </w:pPr>
    </w:p>
    <w:p w14:paraId="18C45A14">
      <w:pPr>
        <w:pStyle w:val="10"/>
        <w:jc w:val="center"/>
        <w:rPr>
          <w:color w:val="auto"/>
          <w:sz w:val="70"/>
          <w:szCs w:val="70"/>
        </w:rPr>
      </w:pPr>
      <w:r>
        <w:rPr>
          <w:color w:val="auto"/>
          <w:sz w:val="70"/>
          <w:szCs w:val="70"/>
        </w:rPr>
        <w:t>20</w:t>
      </w:r>
      <w:r>
        <w:rPr>
          <w:rFonts w:hint="eastAsia"/>
          <w:color w:val="auto"/>
          <w:sz w:val="70"/>
          <w:szCs w:val="70"/>
        </w:rPr>
        <w:t>20年度部门决算情况说明</w:t>
      </w:r>
    </w:p>
    <w:p w14:paraId="7515B5E4">
      <w:pPr>
        <w:widowControl/>
        <w:jc w:val="left"/>
        <w:rPr>
          <w:rFonts w:ascii="黑体" w:eastAsia="黑体" w:cs="黑体"/>
          <w:color w:val="auto"/>
          <w:kern w:val="0"/>
          <w:sz w:val="70"/>
          <w:szCs w:val="70"/>
        </w:rPr>
      </w:pPr>
      <w:r>
        <w:rPr>
          <w:color w:val="auto"/>
          <w:sz w:val="70"/>
          <w:szCs w:val="70"/>
        </w:rPr>
        <w:br w:type="page"/>
      </w:r>
    </w:p>
    <w:p w14:paraId="11D9DA26">
      <w:pPr>
        <w:pStyle w:val="10"/>
        <w:rPr>
          <w:rFonts w:asciiTheme="minorEastAsia" w:hAnsiTheme="minorEastAsia" w:eastAsiaTheme="minorEastAsia"/>
          <w:color w:val="auto"/>
          <w:sz w:val="32"/>
          <w:szCs w:val="32"/>
        </w:rPr>
      </w:pPr>
    </w:p>
    <w:p w14:paraId="4FE06B82">
      <w:pPr>
        <w:pStyle w:val="10"/>
        <w:rPr>
          <w:rFonts w:hAnsi="黑体"/>
          <w:b/>
          <w:color w:val="auto"/>
          <w:sz w:val="32"/>
          <w:szCs w:val="32"/>
        </w:rPr>
      </w:pPr>
      <w:r>
        <w:rPr>
          <w:rFonts w:hint="eastAsia" w:hAnsi="黑体"/>
          <w:b/>
          <w:color w:val="auto"/>
          <w:sz w:val="32"/>
          <w:szCs w:val="32"/>
        </w:rPr>
        <w:t>一、收入支出决算总体情况说明</w:t>
      </w:r>
    </w:p>
    <w:p w14:paraId="4B135313">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2020年度收、支总计</w:t>
      </w:r>
      <w:r>
        <w:rPr>
          <w:rFonts w:hint="eastAsia" w:asciiTheme="minorEastAsia" w:hAnsiTheme="minorEastAsia" w:eastAsiaTheme="minorEastAsia"/>
          <w:color w:val="auto"/>
          <w:sz w:val="32"/>
          <w:szCs w:val="32"/>
          <w:lang w:val="en-US" w:eastAsia="zh-CN"/>
        </w:rPr>
        <w:t>2063.70</w:t>
      </w:r>
      <w:r>
        <w:rPr>
          <w:rFonts w:hint="eastAsia" w:asciiTheme="minorEastAsia" w:hAnsiTheme="minorEastAsia" w:eastAsiaTheme="minorEastAsia"/>
          <w:color w:val="auto"/>
          <w:sz w:val="32"/>
          <w:szCs w:val="32"/>
        </w:rPr>
        <w:t>万元。2019年</w:t>
      </w:r>
      <w:r>
        <w:rPr>
          <w:rFonts w:hint="eastAsia" w:asciiTheme="minorEastAsia" w:hAnsiTheme="minorEastAsia" w:eastAsiaTheme="minorEastAsia"/>
          <w:color w:val="auto"/>
          <w:sz w:val="32"/>
          <w:szCs w:val="32"/>
          <w:lang w:val="en-US" w:eastAsia="zh-CN"/>
        </w:rPr>
        <w:t>1905.57</w:t>
      </w:r>
      <w:r>
        <w:rPr>
          <w:rFonts w:hint="eastAsia" w:asciiTheme="minorEastAsia" w:hAnsiTheme="minorEastAsia" w:eastAsiaTheme="minorEastAsia"/>
          <w:color w:val="auto"/>
          <w:sz w:val="32"/>
          <w:szCs w:val="32"/>
        </w:rPr>
        <w:t>万元，与上年相比，增加</w:t>
      </w:r>
      <w:r>
        <w:rPr>
          <w:rFonts w:hint="eastAsia" w:asciiTheme="minorEastAsia" w:hAnsiTheme="minorEastAsia" w:eastAsiaTheme="minorEastAsia"/>
          <w:color w:val="auto"/>
          <w:sz w:val="32"/>
          <w:szCs w:val="32"/>
          <w:lang w:val="en-US" w:eastAsia="zh-CN"/>
        </w:rPr>
        <w:t>158.13</w:t>
      </w:r>
      <w:r>
        <w:rPr>
          <w:rFonts w:hint="eastAsia" w:asciiTheme="minorEastAsia" w:hAnsiTheme="minorEastAsia" w:eastAsiaTheme="minorEastAsia"/>
          <w:color w:val="auto"/>
          <w:sz w:val="32"/>
          <w:szCs w:val="32"/>
        </w:rPr>
        <w:t>万元，增长</w:t>
      </w:r>
      <w:r>
        <w:rPr>
          <w:rFonts w:hint="eastAsia" w:asciiTheme="minorEastAsia" w:hAnsiTheme="minorEastAsia" w:eastAsiaTheme="minorEastAsia"/>
          <w:color w:val="auto"/>
          <w:sz w:val="32"/>
          <w:szCs w:val="32"/>
          <w:lang w:val="en-US" w:eastAsia="zh-CN"/>
        </w:rPr>
        <w:t>8.29</w:t>
      </w:r>
      <w:r>
        <w:rPr>
          <w:rFonts w:hint="eastAsia" w:asciiTheme="minorEastAsia" w:hAnsiTheme="minorEastAsia" w:eastAsiaTheme="minorEastAsia"/>
          <w:color w:val="auto"/>
          <w:sz w:val="32"/>
          <w:szCs w:val="32"/>
        </w:rPr>
        <w:t>%，主要是因为人员经费的增加。</w:t>
      </w:r>
    </w:p>
    <w:p w14:paraId="73F33CE4">
      <w:pPr>
        <w:pStyle w:val="10"/>
        <w:rPr>
          <w:rFonts w:hAnsi="黑体"/>
          <w:b/>
          <w:color w:val="auto"/>
          <w:sz w:val="32"/>
          <w:szCs w:val="32"/>
        </w:rPr>
      </w:pPr>
      <w:r>
        <w:rPr>
          <w:rFonts w:hint="eastAsia" w:hAnsi="黑体"/>
          <w:b/>
          <w:color w:val="auto"/>
          <w:sz w:val="32"/>
          <w:szCs w:val="32"/>
        </w:rPr>
        <w:t>二、收入决算情况说明</w:t>
      </w:r>
    </w:p>
    <w:p w14:paraId="2FF830C3">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本年收入合计1970.64万元，其中：财政拨款收入1970.64万元，占100%；上级补助收入0万元，占0%；事业收入0万元，占0%；经营收入0万元，占0%；附属单位上缴收入0万元，占0%；其他收入0万元，占0%。</w:t>
      </w:r>
    </w:p>
    <w:p w14:paraId="38B871DD">
      <w:pPr>
        <w:pStyle w:val="10"/>
        <w:rPr>
          <w:rFonts w:hAnsi="黑体"/>
          <w:b/>
          <w:color w:val="auto"/>
          <w:sz w:val="32"/>
          <w:szCs w:val="32"/>
        </w:rPr>
      </w:pPr>
      <w:r>
        <w:rPr>
          <w:rFonts w:hint="eastAsia" w:hAnsi="黑体"/>
          <w:b/>
          <w:color w:val="auto"/>
          <w:sz w:val="32"/>
          <w:szCs w:val="32"/>
        </w:rPr>
        <w:t>三、支出决算情况说明</w:t>
      </w:r>
    </w:p>
    <w:p w14:paraId="41638C2E">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本年支出合计1970.64万元，其中：基本支出1560.34万元，占79.18%；项目支出410.30万元，占20.82%；上缴上级支出0万元，占0%；经营支出0万元，占0%；对附属单位补助支出0万元，占0%。</w:t>
      </w:r>
    </w:p>
    <w:p w14:paraId="551BDFBF">
      <w:pPr>
        <w:pStyle w:val="10"/>
        <w:rPr>
          <w:rFonts w:hAnsi="黑体"/>
          <w:b/>
          <w:color w:val="auto"/>
          <w:sz w:val="32"/>
          <w:szCs w:val="32"/>
        </w:rPr>
      </w:pPr>
      <w:r>
        <w:rPr>
          <w:rFonts w:hint="eastAsia" w:hAnsi="黑体"/>
          <w:b/>
          <w:color w:val="auto"/>
          <w:sz w:val="32"/>
          <w:szCs w:val="32"/>
        </w:rPr>
        <w:t>四、财政拨款收入支出决算总体情况说明</w:t>
      </w:r>
    </w:p>
    <w:p w14:paraId="11673CB5">
      <w:pPr>
        <w:pStyle w:val="10"/>
        <w:ind w:firstLine="63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    2020年度财政拨款收、支总计1882.50万元，2019年</w:t>
      </w:r>
      <w:r>
        <w:rPr>
          <w:rFonts w:hint="eastAsia" w:asciiTheme="minorEastAsia" w:hAnsiTheme="minorEastAsia" w:eastAsiaTheme="minorEastAsia"/>
          <w:color w:val="auto"/>
          <w:sz w:val="32"/>
          <w:szCs w:val="32"/>
          <w:lang w:val="en-US" w:eastAsia="zh-CN"/>
        </w:rPr>
        <w:t>1905.57</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减少23.07</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减少1.2</w:t>
      </w:r>
      <w:r>
        <w:rPr>
          <w:rFonts w:hint="eastAsia" w:asciiTheme="minorEastAsia" w:hAnsiTheme="minorEastAsia" w:eastAsiaTheme="minorEastAsia"/>
          <w:color w:val="auto"/>
          <w:sz w:val="32"/>
          <w:szCs w:val="32"/>
        </w:rPr>
        <w:t>%，主要因为</w:t>
      </w:r>
      <w:r>
        <w:rPr>
          <w:rFonts w:hint="eastAsia" w:asciiTheme="minorEastAsia" w:hAnsiTheme="minorEastAsia" w:eastAsiaTheme="minorEastAsia"/>
          <w:color w:val="auto"/>
          <w:sz w:val="32"/>
          <w:szCs w:val="32"/>
          <w:lang w:val="en-US" w:eastAsia="zh-CN"/>
        </w:rPr>
        <w:t>公用经费的压缩</w:t>
      </w:r>
      <w:r>
        <w:rPr>
          <w:rFonts w:hint="eastAsia" w:asciiTheme="minorEastAsia" w:hAnsiTheme="minorEastAsia" w:eastAsiaTheme="minorEastAsia"/>
          <w:color w:val="auto"/>
          <w:sz w:val="32"/>
          <w:szCs w:val="32"/>
        </w:rPr>
        <w:t>。</w:t>
      </w:r>
    </w:p>
    <w:p w14:paraId="7AC0F746">
      <w:pPr>
        <w:pStyle w:val="10"/>
        <w:rPr>
          <w:rFonts w:hAnsi="黑体"/>
          <w:b/>
          <w:color w:val="auto"/>
          <w:sz w:val="32"/>
          <w:szCs w:val="32"/>
        </w:rPr>
      </w:pPr>
      <w:r>
        <w:rPr>
          <w:rFonts w:hint="eastAsia" w:hAnsi="黑体"/>
          <w:b/>
          <w:color w:val="auto"/>
          <w:sz w:val="32"/>
          <w:szCs w:val="32"/>
        </w:rPr>
        <w:t>五、一般公共预算财政拨款支出决算情况说明</w:t>
      </w:r>
    </w:p>
    <w:p w14:paraId="34F4D502">
      <w:pPr>
        <w:pStyle w:val="10"/>
        <w:ind w:firstLine="640" w:firstLineChars="20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（一）财政拨款支出决算总体情况</w:t>
      </w:r>
    </w:p>
    <w:p w14:paraId="476177C9">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2020年度财政拨款支出1882.50万元，占本年支出合计的95.53%，2019年1877.36万元，与上年相比，财政拨款支出增加5.14万元，增长0.2%，主要因为人员经费的增加。</w:t>
      </w:r>
    </w:p>
    <w:p w14:paraId="5FBE680F">
      <w:pPr>
        <w:pStyle w:val="10"/>
        <w:ind w:firstLine="800"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（二）财政拨款支出决算结构情况</w:t>
      </w:r>
    </w:p>
    <w:p w14:paraId="6DAA0814">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2020年度财政拨款支出1882.50万元，主要用于以下方面：公共安全支出（类）支出1882.50万元，占100%；其中：</w:t>
      </w:r>
      <w:r>
        <w:rPr>
          <w:rFonts w:hint="eastAsia" w:asciiTheme="minorEastAsia" w:hAnsiTheme="minorEastAsia" w:eastAsiaTheme="minorEastAsia"/>
          <w:color w:val="auto"/>
          <w:sz w:val="32"/>
          <w:szCs w:val="32"/>
          <w:highlight w:val="none"/>
        </w:rPr>
        <w:t>行政运行15</w:t>
      </w:r>
      <w:r>
        <w:rPr>
          <w:rFonts w:hint="eastAsia" w:asciiTheme="minorEastAsia" w:hAnsiTheme="minorEastAsia" w:eastAsiaTheme="minorEastAsia"/>
          <w:color w:val="auto"/>
          <w:sz w:val="32"/>
          <w:szCs w:val="32"/>
          <w:highlight w:val="none"/>
          <w:lang w:val="en-US" w:eastAsia="zh-CN"/>
        </w:rPr>
        <w:t>00</w:t>
      </w:r>
      <w:r>
        <w:rPr>
          <w:rFonts w:hint="eastAsia" w:asciiTheme="minorEastAsia" w:hAnsiTheme="minorEastAsia" w:eastAsiaTheme="minorEastAsia"/>
          <w:color w:val="auto"/>
          <w:sz w:val="32"/>
          <w:szCs w:val="32"/>
          <w:highlight w:val="none"/>
        </w:rPr>
        <w:t>万元</w:t>
      </w:r>
      <w:r>
        <w:rPr>
          <w:rFonts w:hint="eastAsia" w:asciiTheme="minorEastAsia" w:hAnsiTheme="minorEastAsia" w:eastAsiaTheme="minorEastAsia"/>
          <w:color w:val="auto"/>
          <w:sz w:val="32"/>
          <w:szCs w:val="32"/>
        </w:rPr>
        <w:t>；一般行政管理事务153.64万元；基层司法业务72.33万元；普法宣传22.22万元；律师公证管理4.36万元；法律援助47.1</w:t>
      </w:r>
      <w:r>
        <w:rPr>
          <w:rFonts w:hint="eastAsia" w:asciiTheme="minorEastAsia" w:hAnsiTheme="minorEastAsia" w:eastAsiaTheme="minorEastAsia"/>
          <w:color w:val="auto"/>
          <w:sz w:val="32"/>
          <w:szCs w:val="32"/>
          <w:lang w:val="en-US" w:eastAsia="zh-CN"/>
        </w:rPr>
        <w:t>6</w:t>
      </w:r>
      <w:r>
        <w:rPr>
          <w:rFonts w:hint="eastAsia" w:asciiTheme="minorEastAsia" w:hAnsiTheme="minorEastAsia" w:eastAsiaTheme="minorEastAsia"/>
          <w:color w:val="auto"/>
          <w:sz w:val="32"/>
          <w:szCs w:val="32"/>
        </w:rPr>
        <w:t>万元；</w:t>
      </w:r>
      <w:r>
        <w:rPr>
          <w:rFonts w:hint="eastAsia" w:cs="宋体" w:asciiTheme="minorEastAsia" w:hAnsiTheme="minorEastAsia" w:eastAsiaTheme="minorEastAsia"/>
          <w:color w:val="auto"/>
          <w:sz w:val="32"/>
          <w:szCs w:val="32"/>
        </w:rPr>
        <w:t>社区矫正</w:t>
      </w:r>
      <w:r>
        <w:rPr>
          <w:rFonts w:hint="eastAsia" w:asciiTheme="minorEastAsia" w:hAnsiTheme="minorEastAsia" w:eastAsiaTheme="minorEastAsia"/>
          <w:color w:val="auto"/>
          <w:sz w:val="32"/>
          <w:szCs w:val="32"/>
        </w:rPr>
        <w:t>37.12万元；其他司法支出45.67万元。</w:t>
      </w:r>
    </w:p>
    <w:p w14:paraId="29BE59A5">
      <w:pPr>
        <w:pStyle w:val="10"/>
        <w:ind w:firstLine="800"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（三）财政拨款支出决算具体情况</w:t>
      </w:r>
    </w:p>
    <w:p w14:paraId="5C8C69CE">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2020年度财政拨款支出年初预算数为</w:t>
      </w:r>
      <w:r>
        <w:rPr>
          <w:rFonts w:hint="eastAsia" w:asciiTheme="minorEastAsia" w:hAnsiTheme="minorEastAsia" w:eastAsiaTheme="minorEastAsia"/>
          <w:color w:val="auto"/>
          <w:sz w:val="32"/>
          <w:szCs w:val="32"/>
          <w:lang w:val="en-US" w:eastAsia="zh-CN"/>
        </w:rPr>
        <w:t>1555.5683</w:t>
      </w:r>
      <w:r>
        <w:rPr>
          <w:rFonts w:hint="eastAsia" w:asciiTheme="minorEastAsia" w:hAnsiTheme="minorEastAsia" w:eastAsiaTheme="minorEastAsia"/>
          <w:color w:val="auto"/>
          <w:sz w:val="32"/>
          <w:szCs w:val="32"/>
        </w:rPr>
        <w:t>万元，支出决算数为1882.5</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121.02</w:t>
      </w:r>
      <w:r>
        <w:rPr>
          <w:rFonts w:hint="eastAsia" w:asciiTheme="minorEastAsia" w:hAnsiTheme="minorEastAsia" w:eastAsiaTheme="minorEastAsia"/>
          <w:color w:val="auto"/>
          <w:sz w:val="32"/>
          <w:szCs w:val="32"/>
        </w:rPr>
        <w:t>%，其中：</w:t>
      </w:r>
    </w:p>
    <w:p w14:paraId="3F5AC794">
      <w:pPr>
        <w:pStyle w:val="10"/>
        <w:numPr>
          <w:ilvl w:val="0"/>
          <w:numId w:val="2"/>
        </w:numP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公共安全支出（类）司法（款）行政运行（项）。</w:t>
      </w:r>
    </w:p>
    <w:p w14:paraId="4A6620F8">
      <w:pPr>
        <w:pStyle w:val="5"/>
        <w:widowControl w:val="0"/>
        <w:autoSpaceDE w:val="0"/>
        <w:autoSpaceDN w:val="0"/>
        <w:adjustRightInd w:val="0"/>
        <w:spacing w:before="0" w:beforeAutospacing="0" w:after="0" w:afterAutospacing="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     年初预算为</w:t>
      </w:r>
      <w:r>
        <w:rPr>
          <w:rFonts w:hint="eastAsia" w:asciiTheme="minorEastAsia" w:hAnsiTheme="minorEastAsia" w:eastAsiaTheme="minorEastAsia"/>
          <w:color w:val="auto"/>
          <w:sz w:val="32"/>
          <w:szCs w:val="32"/>
          <w:lang w:val="en-US" w:eastAsia="zh-CN"/>
        </w:rPr>
        <w:t>1255.5683</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1500</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119.47</w:t>
      </w:r>
      <w:r>
        <w:rPr>
          <w:rFonts w:hint="eastAsia" w:asciiTheme="minorEastAsia" w:hAnsiTheme="minorEastAsia" w:eastAsiaTheme="minorEastAsia"/>
          <w:color w:val="auto"/>
          <w:sz w:val="32"/>
          <w:szCs w:val="32"/>
        </w:rPr>
        <w:t>%，决算数大于年初预算数的主要原因是：一是人员政策性增加</w:t>
      </w:r>
      <w:r>
        <w:rPr>
          <w:rFonts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rPr>
        <w:t>二是年中预算的追加。</w:t>
      </w:r>
    </w:p>
    <w:p w14:paraId="794AB34A">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2、公共安全支出（类）司法（款）一般行政管理事务（项）。</w:t>
      </w:r>
    </w:p>
    <w:p w14:paraId="700B7D6A">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90</w:t>
      </w:r>
      <w:r>
        <w:rPr>
          <w:rFonts w:hint="eastAsia" w:asciiTheme="minorEastAsia" w:hAnsiTheme="minorEastAsia" w:eastAsiaTheme="minorEastAsia"/>
          <w:color w:val="auto"/>
          <w:sz w:val="32"/>
          <w:szCs w:val="32"/>
        </w:rPr>
        <w:t>万元，支出决算为153.64万元，完成年初预算的</w:t>
      </w:r>
      <w:r>
        <w:rPr>
          <w:rFonts w:hint="eastAsia" w:asciiTheme="minorEastAsia" w:hAnsiTheme="minorEastAsia" w:eastAsiaTheme="minorEastAsia"/>
          <w:color w:val="auto"/>
          <w:sz w:val="32"/>
          <w:szCs w:val="32"/>
          <w:lang w:val="en-US" w:eastAsia="zh-CN"/>
        </w:rPr>
        <w:t>170.71</w:t>
      </w:r>
      <w:r>
        <w:rPr>
          <w:rFonts w:hint="eastAsia" w:asciiTheme="minorEastAsia" w:hAnsiTheme="minorEastAsia" w:eastAsiaTheme="minorEastAsia"/>
          <w:color w:val="auto"/>
          <w:sz w:val="32"/>
          <w:szCs w:val="32"/>
        </w:rPr>
        <w:t>%，决算数大于年初预算数的主要原因是：政法转移支付资金的拨付。</w:t>
      </w:r>
    </w:p>
    <w:p w14:paraId="68A31D4D">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3、公共安全支出（类）司法（款）基层司法业务（项）。</w:t>
      </w:r>
    </w:p>
    <w:p w14:paraId="7BD6E6A3">
      <w:pPr>
        <w:pStyle w:val="10"/>
        <w:ind w:firstLine="800" w:firstLineChars="250"/>
        <w:rPr>
          <w:color w:val="auto"/>
          <w:shd w:val="clear" w:color="auto" w:fill="FFFFFF"/>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50</w:t>
      </w:r>
      <w:r>
        <w:rPr>
          <w:rFonts w:hint="eastAsia" w:asciiTheme="minorEastAsia" w:hAnsiTheme="minorEastAsia" w:eastAsiaTheme="minorEastAsia"/>
          <w:color w:val="auto"/>
          <w:sz w:val="32"/>
          <w:szCs w:val="32"/>
        </w:rPr>
        <w:t>万元，支出决算为72.33万元，完成年初预算的</w:t>
      </w:r>
      <w:r>
        <w:rPr>
          <w:rFonts w:hint="eastAsia" w:asciiTheme="minorEastAsia" w:hAnsiTheme="minorEastAsia" w:eastAsiaTheme="minorEastAsia"/>
          <w:color w:val="auto"/>
          <w:sz w:val="32"/>
          <w:szCs w:val="32"/>
          <w:lang w:val="en-US" w:eastAsia="zh-CN"/>
        </w:rPr>
        <w:t>144.66</w:t>
      </w:r>
      <w:r>
        <w:rPr>
          <w:rFonts w:hint="eastAsia" w:asciiTheme="minorEastAsia" w:hAnsiTheme="minorEastAsia" w:eastAsiaTheme="minorEastAsia"/>
          <w:color w:val="auto"/>
          <w:sz w:val="32"/>
          <w:szCs w:val="32"/>
        </w:rPr>
        <w:t>%，决算数大于年初预算数的主要原因是：年中预算的追加。</w:t>
      </w:r>
    </w:p>
    <w:p w14:paraId="72CF4986">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4、公共安全支出（类）司法（款）普法宣传（项）。</w:t>
      </w:r>
    </w:p>
    <w:p w14:paraId="5E4AAB9D">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40</w:t>
      </w:r>
      <w:r>
        <w:rPr>
          <w:rFonts w:hint="eastAsia" w:asciiTheme="minorEastAsia" w:hAnsiTheme="minorEastAsia" w:eastAsiaTheme="minorEastAsia"/>
          <w:color w:val="auto"/>
          <w:sz w:val="32"/>
          <w:szCs w:val="32"/>
        </w:rPr>
        <w:t>万元，支出决算为22.22万元，完成年初预算的</w:t>
      </w:r>
      <w:r>
        <w:rPr>
          <w:rFonts w:hint="eastAsia" w:asciiTheme="minorEastAsia" w:hAnsiTheme="minorEastAsia" w:eastAsiaTheme="minorEastAsia"/>
          <w:color w:val="auto"/>
          <w:sz w:val="32"/>
          <w:szCs w:val="32"/>
          <w:lang w:val="en-US" w:eastAsia="zh-CN"/>
        </w:rPr>
        <w:t>55.55</w:t>
      </w:r>
      <w:r>
        <w:rPr>
          <w:rFonts w:hint="eastAsia" w:asciiTheme="minorEastAsia" w:hAnsiTheme="minorEastAsia" w:eastAsiaTheme="minorEastAsia"/>
          <w:color w:val="auto"/>
          <w:sz w:val="32"/>
          <w:szCs w:val="32"/>
        </w:rPr>
        <w:t>%，决算数小于年初预算数的主要原因是：部门之间资金划拨（预算指标划拨）指标的调整。</w:t>
      </w:r>
    </w:p>
    <w:p w14:paraId="5FD3820D">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公共安全支出（类）司法（款）普法宣传（项）。</w:t>
      </w:r>
    </w:p>
    <w:p w14:paraId="4653535F">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4.36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大</w:t>
      </w:r>
      <w:r>
        <w:rPr>
          <w:rFonts w:hint="eastAsia" w:asciiTheme="minorEastAsia" w:hAnsiTheme="minorEastAsia" w:eastAsiaTheme="minorEastAsia"/>
          <w:color w:val="auto"/>
          <w:sz w:val="32"/>
          <w:szCs w:val="32"/>
        </w:rPr>
        <w:t>于年初预算数的主要原因是：部门之间资金划拨（预算指标划拨）指标的调整。</w:t>
      </w:r>
    </w:p>
    <w:p w14:paraId="201D969E">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6、公共安全支出（类）司法（款）法律援助（项）。</w:t>
      </w:r>
    </w:p>
    <w:p w14:paraId="2E4A03EE">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40</w:t>
      </w:r>
      <w:r>
        <w:rPr>
          <w:rFonts w:hint="eastAsia" w:asciiTheme="minorEastAsia" w:hAnsiTheme="minorEastAsia" w:eastAsiaTheme="minorEastAsia"/>
          <w:color w:val="auto"/>
          <w:sz w:val="32"/>
          <w:szCs w:val="32"/>
        </w:rPr>
        <w:t>万元，支出决算为47.1</w:t>
      </w:r>
      <w:r>
        <w:rPr>
          <w:rFonts w:hint="eastAsia" w:asciiTheme="minorEastAsia" w:hAnsiTheme="minorEastAsia" w:eastAsiaTheme="minorEastAsia"/>
          <w:color w:val="auto"/>
          <w:sz w:val="32"/>
          <w:szCs w:val="32"/>
          <w:lang w:val="en-US" w:eastAsia="zh-CN"/>
        </w:rPr>
        <w:t>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117.9</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大</w:t>
      </w:r>
      <w:r>
        <w:rPr>
          <w:rFonts w:hint="eastAsia" w:asciiTheme="minorEastAsia" w:hAnsiTheme="minorEastAsia" w:eastAsiaTheme="minorEastAsia"/>
          <w:color w:val="auto"/>
          <w:sz w:val="32"/>
          <w:szCs w:val="32"/>
        </w:rPr>
        <w:t>于年初预算数的主要原因是：部分法律援助案卷未归档，导致法律援助案件补贴到下一年度发放。</w:t>
      </w:r>
    </w:p>
    <w:p w14:paraId="59AFF6DF">
      <w:pPr>
        <w:pStyle w:val="10"/>
        <w:ind w:firstLine="800" w:firstLineChars="25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7、公共安全支出（类）司法</w:t>
      </w:r>
      <w:r>
        <w:rPr>
          <w:rFonts w:hint="eastAsia" w:cs="宋体" w:asciiTheme="minorEastAsia" w:hAnsiTheme="minorEastAsia" w:eastAsiaTheme="minorEastAsia"/>
          <w:color w:val="auto"/>
          <w:sz w:val="32"/>
          <w:szCs w:val="32"/>
        </w:rPr>
        <w:t>（款）社区矫正（项）。</w:t>
      </w:r>
    </w:p>
    <w:p w14:paraId="7D41B4FD">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80</w:t>
      </w:r>
      <w:r>
        <w:rPr>
          <w:rFonts w:hint="eastAsia" w:asciiTheme="minorEastAsia" w:hAnsiTheme="minorEastAsia" w:eastAsiaTheme="minorEastAsia"/>
          <w:color w:val="auto"/>
          <w:sz w:val="32"/>
          <w:szCs w:val="32"/>
        </w:rPr>
        <w:t>万元，支出决算为37.12万元，完成年初预算的</w:t>
      </w:r>
      <w:r>
        <w:rPr>
          <w:rFonts w:hint="eastAsia" w:asciiTheme="minorEastAsia" w:hAnsiTheme="minorEastAsia" w:eastAsiaTheme="minorEastAsia"/>
          <w:color w:val="auto"/>
          <w:sz w:val="32"/>
          <w:szCs w:val="32"/>
          <w:lang w:val="en-US" w:eastAsia="zh-CN"/>
        </w:rPr>
        <w:t>46.4</w:t>
      </w:r>
      <w:r>
        <w:rPr>
          <w:rFonts w:hint="eastAsia" w:asciiTheme="minorEastAsia" w:hAnsiTheme="minorEastAsia" w:eastAsiaTheme="minorEastAsia"/>
          <w:color w:val="auto"/>
          <w:sz w:val="32"/>
          <w:szCs w:val="32"/>
        </w:rPr>
        <w:t>%，决算数小于年初预算数的主要原因是：存在部门之间资金划拨（预算指标划拨），社区矫正指挥系统未验收导致到下一年度支付。</w:t>
      </w:r>
    </w:p>
    <w:p w14:paraId="292D0EEE">
      <w:pPr>
        <w:pStyle w:val="10"/>
        <w:numPr>
          <w:ilvl w:val="0"/>
          <w:numId w:val="3"/>
        </w:numPr>
        <w:ind w:firstLine="800" w:firstLineChars="250"/>
        <w:rPr>
          <w:rFonts w:hint="eastAsia"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w:t>
      </w:r>
      <w:r>
        <w:rPr>
          <w:rFonts w:hint="eastAsia" w:cs="宋体" w:asciiTheme="minorEastAsia" w:hAnsiTheme="minorEastAsia" w:eastAsiaTheme="minorEastAsia"/>
          <w:color w:val="auto"/>
          <w:sz w:val="32"/>
          <w:szCs w:val="32"/>
        </w:rPr>
        <w:t>（款）</w:t>
      </w:r>
      <w:r>
        <w:rPr>
          <w:rFonts w:hint="eastAsia" w:cs="宋体" w:asciiTheme="minorEastAsia" w:hAnsiTheme="minorEastAsia" w:eastAsiaTheme="minorEastAsia"/>
          <w:color w:val="auto"/>
          <w:sz w:val="32"/>
          <w:szCs w:val="32"/>
          <w:lang w:val="en-US" w:eastAsia="zh-CN"/>
        </w:rPr>
        <w:t>其他司法支出</w:t>
      </w:r>
      <w:r>
        <w:rPr>
          <w:rFonts w:hint="eastAsia" w:cs="宋体" w:asciiTheme="minorEastAsia" w:hAnsiTheme="minorEastAsia" w:eastAsiaTheme="minorEastAsia"/>
          <w:color w:val="auto"/>
          <w:sz w:val="32"/>
          <w:szCs w:val="32"/>
        </w:rPr>
        <w:t>（项）。</w:t>
      </w:r>
    </w:p>
    <w:p w14:paraId="2AF04EE0">
      <w:pPr>
        <w:pStyle w:val="10"/>
        <w:ind w:firstLine="800" w:firstLineChars="250"/>
        <w:rPr>
          <w:rFonts w:hint="eastAsia" w:cs="宋体"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45.67</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val="en-US" w:eastAsia="zh-CN"/>
        </w:rPr>
        <w:t>财政压减了年初预算数</w:t>
      </w:r>
      <w:r>
        <w:rPr>
          <w:rFonts w:hint="eastAsia" w:asciiTheme="minorEastAsia" w:hAnsiTheme="minorEastAsia" w:eastAsiaTheme="minorEastAsia"/>
          <w:color w:val="auto"/>
          <w:sz w:val="32"/>
          <w:szCs w:val="32"/>
        </w:rPr>
        <w:t>。</w:t>
      </w:r>
    </w:p>
    <w:p w14:paraId="4D1106B1">
      <w:pPr>
        <w:pStyle w:val="10"/>
        <w:rPr>
          <w:rFonts w:hAnsi="黑体"/>
          <w:b/>
          <w:color w:val="auto"/>
          <w:sz w:val="32"/>
          <w:szCs w:val="32"/>
        </w:rPr>
      </w:pPr>
      <w:r>
        <w:rPr>
          <w:rFonts w:hint="eastAsia" w:hAnsi="黑体"/>
          <w:b/>
          <w:color w:val="auto"/>
          <w:sz w:val="32"/>
          <w:szCs w:val="32"/>
        </w:rPr>
        <w:t>六、一般公共预算财政拨款基本支出决算情况说明</w:t>
      </w:r>
    </w:p>
    <w:p w14:paraId="16C4538C">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2020年度财政拨款基本支出</w:t>
      </w:r>
      <w:r>
        <w:rPr>
          <w:rFonts w:hint="eastAsia" w:asciiTheme="minorEastAsia" w:hAnsiTheme="minorEastAsia" w:eastAsiaTheme="minorEastAsia"/>
          <w:color w:val="auto"/>
          <w:sz w:val="32"/>
          <w:szCs w:val="32"/>
          <w:lang w:val="en-US" w:eastAsia="zh-CN"/>
        </w:rPr>
        <w:t>1472.2</w:t>
      </w:r>
      <w:r>
        <w:rPr>
          <w:rFonts w:hint="eastAsia" w:asciiTheme="minorEastAsia" w:hAnsiTheme="minorEastAsia" w:eastAsiaTheme="minorEastAsia"/>
          <w:color w:val="auto"/>
          <w:sz w:val="32"/>
          <w:szCs w:val="32"/>
        </w:rPr>
        <w:t>0万元，其中：人员经费</w:t>
      </w:r>
      <w:r>
        <w:rPr>
          <w:rFonts w:hint="eastAsia" w:asciiTheme="minorEastAsia" w:hAnsiTheme="minorEastAsia" w:eastAsiaTheme="minorEastAsia"/>
          <w:color w:val="auto"/>
          <w:sz w:val="32"/>
          <w:szCs w:val="32"/>
          <w:lang w:val="en-US" w:eastAsia="zh-CN"/>
        </w:rPr>
        <w:t>1272.54</w:t>
      </w:r>
      <w:r>
        <w:rPr>
          <w:rFonts w:hint="eastAsia" w:asciiTheme="minorEastAsia" w:hAnsiTheme="minorEastAsia" w:eastAsiaTheme="minorEastAsia"/>
          <w:color w:val="auto"/>
          <w:sz w:val="32"/>
          <w:szCs w:val="32"/>
        </w:rPr>
        <w:t>万元，占基本支出的</w:t>
      </w:r>
      <w:r>
        <w:rPr>
          <w:rFonts w:hint="eastAsia" w:asciiTheme="minorEastAsia" w:hAnsiTheme="minorEastAsia" w:eastAsiaTheme="minorEastAsia"/>
          <w:color w:val="auto"/>
          <w:sz w:val="32"/>
          <w:szCs w:val="32"/>
          <w:lang w:val="en-US" w:eastAsia="zh-CN"/>
        </w:rPr>
        <w:t>86.44</w:t>
      </w:r>
      <w:r>
        <w:rPr>
          <w:rFonts w:hint="eastAsia" w:asciiTheme="minorEastAsia" w:hAnsiTheme="minorEastAsia" w:eastAsiaTheme="minorEastAsia"/>
          <w:color w:val="auto"/>
          <w:sz w:val="32"/>
          <w:szCs w:val="32"/>
        </w:rPr>
        <w:t>%,主要包括基本工资、津贴补贴、奖金、伙食补助费；公用经费199.66万元，占基本支出的1</w:t>
      </w:r>
      <w:r>
        <w:rPr>
          <w:rFonts w:hint="eastAsia" w:asciiTheme="minorEastAsia" w:hAnsiTheme="minorEastAsia" w:eastAsiaTheme="minorEastAsia"/>
          <w:color w:val="auto"/>
          <w:sz w:val="32"/>
          <w:szCs w:val="32"/>
          <w:lang w:val="en-US" w:eastAsia="zh-CN"/>
        </w:rPr>
        <w:t>3.56</w:t>
      </w:r>
      <w:r>
        <w:rPr>
          <w:rFonts w:hint="eastAsia" w:asciiTheme="minorEastAsia" w:hAnsiTheme="minorEastAsia" w:eastAsiaTheme="minorEastAsia"/>
          <w:color w:val="auto"/>
          <w:sz w:val="32"/>
          <w:szCs w:val="32"/>
        </w:rPr>
        <w:t>%，主要包括办公费、印刷费、咨询费、手续费。</w:t>
      </w:r>
    </w:p>
    <w:p w14:paraId="007004B4">
      <w:pPr>
        <w:pStyle w:val="10"/>
        <w:rPr>
          <w:rFonts w:hAnsi="黑体"/>
          <w:b/>
          <w:color w:val="auto"/>
          <w:sz w:val="32"/>
          <w:szCs w:val="32"/>
        </w:rPr>
      </w:pPr>
      <w:r>
        <w:rPr>
          <w:rFonts w:hint="eastAsia" w:hAnsi="黑体"/>
          <w:b/>
          <w:color w:val="auto"/>
          <w:sz w:val="32"/>
          <w:szCs w:val="32"/>
        </w:rPr>
        <w:t>七、一般公共预算财政拨款三公经费支出决算情况说明</w:t>
      </w:r>
    </w:p>
    <w:p w14:paraId="1F733B3C">
      <w:pPr>
        <w:pStyle w:val="1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（一）“三公”经费财政拨款支出决算总体情况说明</w:t>
      </w:r>
    </w:p>
    <w:p w14:paraId="701426C9">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“三公”经费财政拨款支出预算为26.44万元，支出决算为9.01万元，完成预算的34.08%，其中：</w:t>
      </w:r>
    </w:p>
    <w:p w14:paraId="516550C7">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因公出国（境）费支出预算为0万元，支出决算为0万元，完成预算的0%，决算数大于（小于）预算数的主要原因是无，与上年相比减少（增加）0万元，减少（增长）0%,减少（增长）的主要原因是无。</w:t>
      </w:r>
    </w:p>
    <w:p w14:paraId="18F861E6">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公务接待费支出预算为12.04万元，支出决算为0.11万元，完成预算的0.91%，决算数小于预算数的主要原因是执行中央压减各项支出要求，尽量节约资源。与上年相比减少8.45万元，减少</w:t>
      </w:r>
      <w:r>
        <w:rPr>
          <w:rFonts w:hint="eastAsia" w:asciiTheme="minorEastAsia" w:hAnsiTheme="minorEastAsia" w:eastAsiaTheme="minorEastAsia"/>
          <w:color w:val="auto"/>
          <w:sz w:val="32"/>
          <w:szCs w:val="32"/>
          <w:highlight w:val="none"/>
          <w:lang w:val="en-US" w:eastAsia="zh-CN"/>
        </w:rPr>
        <w:t>98.71</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rPr>
        <w:t>减少的主要原因是严格执行中央厉行节约规定，严控公务接待费用支出。</w:t>
      </w:r>
    </w:p>
    <w:p w14:paraId="23F8B234">
      <w:pPr>
        <w:widowControl/>
        <w:spacing w:line="502" w:lineRule="atLeast"/>
        <w:ind w:firstLine="640" w:firstLineChars="200"/>
        <w:jc w:val="left"/>
        <w:rPr>
          <w:rFonts w:asciiTheme="minorEastAsia" w:hAnsiTheme="minorEastAsia"/>
          <w:color w:val="auto"/>
          <w:sz w:val="32"/>
          <w:szCs w:val="32"/>
        </w:rPr>
      </w:pPr>
      <w:r>
        <w:rPr>
          <w:rFonts w:hint="eastAsia" w:asciiTheme="minorEastAsia" w:hAnsiTheme="minorEastAsia"/>
          <w:color w:val="auto"/>
          <w:sz w:val="32"/>
          <w:szCs w:val="32"/>
        </w:rPr>
        <w:t>公务用车购置费及运行维护费支出预算为14.40万元，支出决算为8.9万元，完成预算的61.81%，决算数小于预算数的主要原因是加强公务用车管理，严格遵照公务用车管理办法，坚持使用派车单；，与上年相比减少2.72万元，减少23.40%,减少的主要原因是加强公务用车管理，严格遵照公务用车管理办法，坚持使用派车单。</w:t>
      </w:r>
    </w:p>
    <w:p w14:paraId="24509B9C">
      <w:pPr>
        <w:pStyle w:val="1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（二）“三公”经费财政拨款支出决算具体情况说明</w:t>
      </w:r>
    </w:p>
    <w:p w14:paraId="469FEF2D">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2020年度“三公”经费财政拨款支出决算中，公务接待费支出决算0.11万元，占1.22%,因公出国（境）费支出决算0万元，占0%,公务用车购置费及运行维护费支出决算8.9万元，占98.78%。其中：</w:t>
      </w:r>
    </w:p>
    <w:p w14:paraId="49EB53B5">
      <w:pPr>
        <w:pStyle w:val="10"/>
        <w:ind w:firstLine="640" w:firstLineChars="200"/>
        <w:rPr>
          <w:rFonts w:asciiTheme="minorEastAsia" w:hAnsiTheme="minorEastAsia" w:eastAsiaTheme="minorEastAsia"/>
          <w:b/>
          <w:color w:val="auto"/>
          <w:sz w:val="32"/>
          <w:szCs w:val="32"/>
        </w:rPr>
      </w:pPr>
      <w:r>
        <w:rPr>
          <w:rFonts w:hint="eastAsia" w:asciiTheme="minorEastAsia" w:hAnsiTheme="minorEastAsia" w:eastAsiaTheme="minorEastAsia"/>
          <w:color w:val="auto"/>
          <w:sz w:val="32"/>
          <w:szCs w:val="32"/>
        </w:rPr>
        <w:t>1、因公出国（境）费支出决算为0万元，全年安排因公出国（境）团组0个，累计0人次,开支内容无。</w:t>
      </w:r>
    </w:p>
    <w:p w14:paraId="7CA17654">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2、公务接待费支出决算为0.11万元，全年共接待来访团组0个、来宾30人次，主要是上级司法部门工作调研、督查、兄弟单位考察交流工作经验发生的接待支出。</w:t>
      </w:r>
    </w:p>
    <w:p w14:paraId="68CD0395">
      <w:pPr>
        <w:ind w:firstLine="800" w:firstLineChars="250"/>
        <w:rPr>
          <w:rFonts w:cs="黑体" w:asciiTheme="minorEastAsia" w:hAnsiTheme="minorEastAsia"/>
          <w:color w:val="auto"/>
          <w:kern w:val="0"/>
          <w:sz w:val="32"/>
          <w:szCs w:val="32"/>
        </w:rPr>
      </w:pPr>
      <w:r>
        <w:rPr>
          <w:rFonts w:hint="eastAsia" w:asciiTheme="minorEastAsia" w:hAnsiTheme="minorEastAsia"/>
          <w:color w:val="auto"/>
          <w:sz w:val="32"/>
          <w:szCs w:val="32"/>
        </w:rPr>
        <w:t>3、公务用车购置费及运行维护费支出决算为8.9万元，其中：公务用车购置费0万元，单位本级更新公务用车0辆。公务用车运行维护费8.9万元，主要是公车燃油、维修、保险费用支出，</w:t>
      </w:r>
      <w:r>
        <w:rPr>
          <w:rFonts w:hint="eastAsia" w:asciiTheme="minorEastAsia" w:hAnsiTheme="minorEastAsia"/>
          <w:color w:val="auto"/>
          <w:sz w:val="32"/>
          <w:szCs w:val="32"/>
          <w:lang w:eastAsia="zh-CN"/>
        </w:rPr>
        <w:t>截至</w:t>
      </w:r>
      <w:r>
        <w:rPr>
          <w:rFonts w:hint="eastAsia" w:asciiTheme="minorEastAsia" w:hAnsiTheme="minorEastAsia"/>
          <w:color w:val="auto"/>
          <w:sz w:val="32"/>
          <w:szCs w:val="32"/>
        </w:rPr>
        <w:t>2020年12月31日，我单位开支财政拨款的公务用车保有量为3辆。</w:t>
      </w:r>
    </w:p>
    <w:p w14:paraId="01F4C992">
      <w:pPr>
        <w:pStyle w:val="10"/>
        <w:rPr>
          <w:rFonts w:hAnsi="黑体"/>
          <w:b/>
          <w:color w:val="auto"/>
          <w:sz w:val="32"/>
          <w:szCs w:val="32"/>
        </w:rPr>
      </w:pPr>
      <w:r>
        <w:rPr>
          <w:rFonts w:hint="eastAsia" w:hAnsi="黑体"/>
          <w:b/>
          <w:color w:val="auto"/>
          <w:sz w:val="32"/>
          <w:szCs w:val="32"/>
        </w:rPr>
        <w:t>八、政府性基金预算收入支出决算情况</w:t>
      </w:r>
    </w:p>
    <w:p w14:paraId="7F5A54B5">
      <w:pPr>
        <w:pStyle w:val="10"/>
        <w:rPr>
          <w:rFonts w:hint="eastAsia" w:hAnsi="黑体"/>
          <w:b/>
          <w:color w:val="auto"/>
          <w:sz w:val="32"/>
          <w:szCs w:val="32"/>
        </w:rPr>
      </w:pPr>
      <w:r>
        <w:rPr>
          <w:rFonts w:hint="eastAsia" w:asciiTheme="minorEastAsia" w:hAnsiTheme="minorEastAsia" w:eastAsiaTheme="minorEastAsia"/>
          <w:color w:val="auto"/>
          <w:sz w:val="32"/>
          <w:szCs w:val="32"/>
        </w:rPr>
        <w:t xml:space="preserve">    </w:t>
      </w:r>
      <w:r>
        <w:rPr>
          <w:rFonts w:hint="eastAsia" w:asciiTheme="minorEastAsia" w:hAnsiTheme="minorEastAsia" w:eastAsiaTheme="minorEastAsia" w:cstheme="minorBidi"/>
          <w:color w:val="auto"/>
          <w:kern w:val="2"/>
          <w:sz w:val="32"/>
          <w:szCs w:val="32"/>
        </w:rPr>
        <w:t xml:space="preserve"> 本单位无政府性基金收支</w:t>
      </w:r>
    </w:p>
    <w:p w14:paraId="30325BA3">
      <w:pPr>
        <w:pStyle w:val="5"/>
        <w:keepNext w:val="0"/>
        <w:keepLines w:val="0"/>
        <w:widowControl w:val="0"/>
        <w:suppressLineNumbers w:val="0"/>
        <w:autoSpaceDE w:val="0"/>
        <w:autoSpaceDN w:val="0"/>
        <w:adjustRightInd w:val="0"/>
        <w:spacing w:before="0" w:beforeAutospacing="0" w:after="0" w:afterAutospacing="0" w:line="600" w:lineRule="exact"/>
        <w:ind w:right="0"/>
        <w:jc w:val="left"/>
        <w:outlineLvl w:val="1"/>
        <w:rPr>
          <w:rFonts w:hint="eastAsia" w:ascii="黑体" w:hAnsi="黑体" w:eastAsia="黑体" w:cs="黑体"/>
          <w:b/>
          <w:color w:val="auto"/>
          <w:kern w:val="0"/>
          <w:sz w:val="32"/>
          <w:szCs w:val="32"/>
          <w:lang w:val="en-US" w:eastAsia="zh-CN" w:bidi="ar-SA"/>
        </w:rPr>
      </w:pPr>
      <w:r>
        <w:rPr>
          <w:rFonts w:hint="eastAsia" w:ascii="黑体" w:hAnsi="黑体" w:eastAsia="黑体" w:cs="黑体"/>
          <w:b/>
          <w:color w:val="auto"/>
          <w:kern w:val="0"/>
          <w:sz w:val="32"/>
          <w:szCs w:val="32"/>
          <w:lang w:val="en-US" w:eastAsia="zh-CN" w:bidi="ar-SA"/>
        </w:rPr>
        <w:t>九、国有资本经营预算财政拨款支出决算情况</w:t>
      </w:r>
    </w:p>
    <w:p w14:paraId="250C70C8">
      <w:pPr>
        <w:pStyle w:val="5"/>
        <w:keepNext w:val="0"/>
        <w:keepLines w:val="0"/>
        <w:widowControl w:val="0"/>
        <w:suppressLineNumbers w:val="0"/>
        <w:autoSpaceDE w:val="0"/>
        <w:autoSpaceDN w:val="0"/>
        <w:adjustRightInd w:val="0"/>
        <w:spacing w:before="0" w:beforeAutospacing="0" w:after="0" w:afterAutospacing="0" w:line="600" w:lineRule="exact"/>
        <w:ind w:left="0" w:right="0" w:firstLine="640" w:firstLineChars="200"/>
        <w:jc w:val="left"/>
        <w:rPr>
          <w:rFonts w:hint="eastAsia" w:asciiTheme="minorEastAsia" w:hAnsiTheme="minorEastAsia" w:eastAsiaTheme="minorEastAsia" w:cstheme="minorBidi"/>
          <w:color w:val="auto"/>
          <w:kern w:val="2"/>
          <w:sz w:val="32"/>
          <w:szCs w:val="32"/>
        </w:rPr>
      </w:pPr>
      <w:r>
        <w:rPr>
          <w:rFonts w:hint="eastAsia" w:ascii="Times New Roman" w:hAnsi="Times New Roman" w:eastAsia="仿宋_GB2312" w:cs="Times New Roman"/>
          <w:color w:val="auto"/>
          <w:kern w:val="0"/>
          <w:sz w:val="32"/>
          <w:szCs w:val="32"/>
          <w:lang w:val="en-US" w:eastAsia="zh-CN" w:bidi="ar"/>
        </w:rPr>
        <w:t>本单位无国有资本经营预算支出</w:t>
      </w:r>
    </w:p>
    <w:p w14:paraId="579EEA1E">
      <w:pPr>
        <w:pStyle w:val="5"/>
        <w:keepNext w:val="0"/>
        <w:keepLines w:val="0"/>
        <w:widowControl w:val="0"/>
        <w:suppressLineNumbers w:val="0"/>
        <w:autoSpaceDE w:val="0"/>
        <w:autoSpaceDN w:val="0"/>
        <w:adjustRightInd w:val="0"/>
        <w:spacing w:before="0" w:beforeAutospacing="0" w:after="0" w:afterAutospacing="0" w:line="600" w:lineRule="exact"/>
        <w:ind w:right="0"/>
        <w:jc w:val="left"/>
        <w:outlineLvl w:val="1"/>
        <w:rPr>
          <w:rFonts w:hint="eastAsia" w:ascii="黑体" w:hAnsi="黑体" w:eastAsia="黑体" w:cs="黑体"/>
          <w:b/>
          <w:color w:val="auto"/>
          <w:kern w:val="0"/>
          <w:sz w:val="32"/>
          <w:szCs w:val="32"/>
          <w:lang w:val="en-US" w:eastAsia="zh-CN" w:bidi="ar-SA"/>
        </w:rPr>
      </w:pPr>
      <w:r>
        <w:rPr>
          <w:rFonts w:hint="eastAsia" w:ascii="黑体" w:hAnsi="黑体" w:eastAsia="黑体" w:cs="黑体"/>
          <w:b/>
          <w:color w:val="auto"/>
          <w:kern w:val="0"/>
          <w:sz w:val="32"/>
          <w:szCs w:val="32"/>
          <w:lang w:val="en-US" w:eastAsia="zh-CN" w:bidi="ar-SA"/>
        </w:rPr>
        <w:t>十、预算绩效情况说明</w:t>
      </w:r>
    </w:p>
    <w:p w14:paraId="2134A285">
      <w:pPr>
        <w:numPr>
          <w:ilvl w:val="0"/>
          <w:numId w:val="0"/>
        </w:numPr>
        <w:spacing w:line="220" w:lineRule="atLeast"/>
        <w:ind w:firstLine="960" w:firstLineChars="300"/>
        <w:rPr>
          <w:rFonts w:hint="eastAsia" w:cs="黑体" w:asciiTheme="minorEastAsia" w:hAnsiTheme="minorEastAsia"/>
          <w:color w:val="auto"/>
          <w:kern w:val="0"/>
          <w:sz w:val="32"/>
          <w:szCs w:val="32"/>
        </w:rPr>
      </w:pPr>
      <w:r>
        <w:rPr>
          <w:rFonts w:hint="eastAsia" w:cs="黑体" w:asciiTheme="minorEastAsia" w:hAnsiTheme="minorEastAsia"/>
          <w:color w:val="auto"/>
          <w:kern w:val="0"/>
          <w:sz w:val="32"/>
          <w:szCs w:val="32"/>
        </w:rPr>
        <w:t>本部门为一级预算单位，严格执行并积极开展预算管理及预算绩效评价工作。全年预算绩效评价部门整体支出绩效评价报告1个，已按</w:t>
      </w:r>
      <w:r>
        <w:rPr>
          <w:rFonts w:hint="eastAsia" w:cs="黑体" w:asciiTheme="minorEastAsia" w:hAnsiTheme="minorEastAsia"/>
          <w:color w:val="auto"/>
          <w:kern w:val="0"/>
          <w:sz w:val="32"/>
          <w:szCs w:val="32"/>
          <w:lang w:eastAsia="zh-CN"/>
        </w:rPr>
        <w:t>财政</w:t>
      </w:r>
      <w:r>
        <w:rPr>
          <w:rFonts w:hint="eastAsia" w:cs="黑体" w:asciiTheme="minorEastAsia" w:hAnsiTheme="minorEastAsia"/>
          <w:color w:val="auto"/>
          <w:kern w:val="0"/>
          <w:sz w:val="32"/>
          <w:szCs w:val="32"/>
        </w:rPr>
        <w:t>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14:paraId="71A037D1">
      <w:pPr>
        <w:pStyle w:val="10"/>
        <w:ind w:firstLine="640" w:firstLineChars="200"/>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纳入2020年部门整体支出1970.64万元，本年度发生基本支出1560.34万元，及时足额支付人员工资、福利、五险一金，人员经费到位；项目支出410.30万元。湘潭县司法局实施部门预算绩效管理的单位范围包括：县司法局本级共1家单位。2020年本单位共1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6F31F09D">
      <w:pPr>
        <w:pStyle w:val="5"/>
        <w:keepNext w:val="0"/>
        <w:keepLines w:val="0"/>
        <w:widowControl w:val="0"/>
        <w:suppressLineNumbers w:val="0"/>
        <w:autoSpaceDE w:val="0"/>
        <w:autoSpaceDN w:val="0"/>
        <w:adjustRightInd w:val="0"/>
        <w:spacing w:before="0" w:beforeAutospacing="0" w:after="0" w:afterAutospacing="0" w:line="600" w:lineRule="exact"/>
        <w:ind w:right="0"/>
        <w:jc w:val="left"/>
        <w:outlineLvl w:val="1"/>
        <w:rPr>
          <w:rFonts w:hint="eastAsia" w:ascii="黑体" w:hAnsi="黑体" w:eastAsia="黑体" w:cs="黑体"/>
          <w:b/>
          <w:color w:val="auto"/>
          <w:kern w:val="0"/>
          <w:sz w:val="32"/>
          <w:szCs w:val="32"/>
          <w:lang w:val="en-US" w:eastAsia="zh-CN" w:bidi="ar-SA"/>
        </w:rPr>
      </w:pPr>
      <w:r>
        <w:rPr>
          <w:rFonts w:hint="eastAsia" w:ascii="黑体" w:hAnsi="黑体" w:eastAsia="黑体" w:cs="黑体"/>
          <w:b/>
          <w:color w:val="auto"/>
          <w:kern w:val="0"/>
          <w:sz w:val="32"/>
          <w:szCs w:val="32"/>
          <w:lang w:val="en-US" w:eastAsia="zh-CN" w:bidi="ar-SA"/>
        </w:rPr>
        <w:t>十一、其他重要事项情况说明</w:t>
      </w:r>
    </w:p>
    <w:p w14:paraId="00388E7D">
      <w:pPr>
        <w:keepNext w:val="0"/>
        <w:keepLines w:val="0"/>
        <w:widowControl w:val="0"/>
        <w:suppressLineNumbers w:val="0"/>
        <w:spacing w:before="0" w:beforeAutospacing="0" w:after="0" w:afterAutospacing="0" w:line="600" w:lineRule="exact"/>
        <w:ind w:left="0" w:right="0" w:firstLine="640" w:firstLineChars="200"/>
        <w:jc w:val="both"/>
        <w:outlineLvl w:val="2"/>
        <w:rPr>
          <w:rFonts w:hint="eastAsia" w:ascii="楷体_GB2312" w:eastAsia="楷体_GB2312" w:cs="楷体_GB2312"/>
          <w:b/>
          <w:bCs w:val="0"/>
          <w:color w:val="auto"/>
          <w:kern w:val="0"/>
          <w:sz w:val="32"/>
          <w:szCs w:val="32"/>
          <w:lang w:val="en-US"/>
        </w:rPr>
      </w:pPr>
      <w:r>
        <w:rPr>
          <w:rFonts w:hint="eastAsia" w:ascii="楷体_GB2312" w:hAnsi="Times New Roman" w:eastAsia="楷体_GB2312" w:cs="楷体_GB2312"/>
          <w:b/>
          <w:bCs w:val="0"/>
          <w:color w:val="auto"/>
          <w:kern w:val="0"/>
          <w:sz w:val="32"/>
          <w:szCs w:val="32"/>
          <w:lang w:val="en-US" w:eastAsia="zh-CN" w:bidi="ar"/>
        </w:rPr>
        <w:t>（一）机关运行经费支出情况</w:t>
      </w:r>
    </w:p>
    <w:p w14:paraId="044EFA37">
      <w:pPr>
        <w:ind w:firstLine="960" w:firstLineChars="300"/>
        <w:rPr>
          <w:rFonts w:hint="eastAsia" w:cs="黑体" w:asciiTheme="minorEastAsia" w:hAnsiTheme="minorEastAsia"/>
          <w:color w:val="auto"/>
          <w:kern w:val="0"/>
          <w:sz w:val="32"/>
          <w:szCs w:val="32"/>
        </w:rPr>
      </w:pPr>
      <w:r>
        <w:rPr>
          <w:rFonts w:hint="eastAsia" w:cs="黑体" w:asciiTheme="minorEastAsia" w:hAnsiTheme="minorEastAsia"/>
          <w:color w:val="auto"/>
          <w:kern w:val="0"/>
          <w:sz w:val="32"/>
          <w:szCs w:val="32"/>
          <w:lang w:val="en-US" w:eastAsia="zh-CN"/>
        </w:rPr>
        <w:t>本部门2020年度机关运行经费支出199.66万元（与部门决算中行政单位和参照公务员法管理事业单位一般公共预算财政拨款基本支出中公用经费之和保持衔接），比年初预算数增加15.54万元，增长</w:t>
      </w:r>
      <w:r>
        <w:rPr>
          <w:rFonts w:hint="eastAsia" w:cs="黑体" w:asciiTheme="minorEastAsia" w:hAnsiTheme="minorEastAsia"/>
          <w:color w:val="auto"/>
          <w:kern w:val="0"/>
          <w:sz w:val="32"/>
          <w:szCs w:val="32"/>
          <w:highlight w:val="none"/>
          <w:lang w:val="en-US" w:eastAsia="zh-CN"/>
        </w:rPr>
        <w:t>8.44</w:t>
      </w:r>
      <w:r>
        <w:rPr>
          <w:rFonts w:hint="default" w:cs="黑体" w:asciiTheme="minorEastAsia" w:hAnsiTheme="minorEastAsia"/>
          <w:color w:val="auto"/>
          <w:kern w:val="0"/>
          <w:sz w:val="32"/>
          <w:szCs w:val="32"/>
          <w:highlight w:val="none"/>
          <w:lang w:val="en-US" w:eastAsia="zh-CN"/>
        </w:rPr>
        <w:t xml:space="preserve"> %</w:t>
      </w:r>
      <w:r>
        <w:rPr>
          <w:rFonts w:hint="eastAsia" w:cs="黑体" w:asciiTheme="minorEastAsia" w:hAnsiTheme="minorEastAsia"/>
          <w:color w:val="auto"/>
          <w:kern w:val="0"/>
          <w:sz w:val="32"/>
          <w:szCs w:val="32"/>
          <w:lang w:val="en-US" w:eastAsia="zh-CN"/>
        </w:rPr>
        <w:t>。主要原因是：</w:t>
      </w:r>
      <w:r>
        <w:rPr>
          <w:rFonts w:hint="eastAsia" w:asciiTheme="minorEastAsia" w:hAnsiTheme="minorEastAsia" w:eastAsiaTheme="minorEastAsia"/>
          <w:color w:val="auto"/>
          <w:sz w:val="32"/>
          <w:szCs w:val="32"/>
          <w:lang w:val="en-US" w:eastAsia="zh-CN"/>
        </w:rPr>
        <w:t>财政压减了年初预算数</w:t>
      </w:r>
      <w:r>
        <w:rPr>
          <w:rFonts w:hint="eastAsia" w:asciiTheme="minorEastAsia" w:hAnsiTheme="minorEastAsia"/>
          <w:color w:val="auto"/>
          <w:sz w:val="32"/>
          <w:szCs w:val="32"/>
          <w:lang w:val="en-US" w:eastAsia="zh-CN"/>
        </w:rPr>
        <w:t>，</w:t>
      </w:r>
      <w:r>
        <w:rPr>
          <w:rFonts w:hint="eastAsia" w:cs="黑体" w:asciiTheme="minorEastAsia" w:hAnsiTheme="minorEastAsia"/>
          <w:color w:val="auto"/>
          <w:kern w:val="0"/>
          <w:sz w:val="32"/>
          <w:szCs w:val="32"/>
        </w:rPr>
        <w:t>按照中央要求，厉行节约，降低行政成本。</w:t>
      </w:r>
      <w:r>
        <w:rPr>
          <w:rFonts w:hint="eastAsia" w:cs="黑体" w:asciiTheme="minorEastAsia" w:hAnsiTheme="minorEastAsia"/>
          <w:color w:val="auto"/>
          <w:kern w:val="0"/>
          <w:sz w:val="32"/>
          <w:szCs w:val="32"/>
          <w:lang w:val="en-US" w:eastAsia="zh-CN"/>
        </w:rPr>
        <w:t>（具体增减原因由部门根据实际情况填列</w:t>
      </w:r>
      <w:r>
        <w:rPr>
          <w:rFonts w:hint="default" w:cs="黑体" w:asciiTheme="minorEastAsia" w:hAnsiTheme="minorEastAsia"/>
          <w:color w:val="auto"/>
          <w:kern w:val="0"/>
          <w:sz w:val="32"/>
          <w:szCs w:val="32"/>
          <w:lang w:val="en-US" w:eastAsia="zh-CN"/>
        </w:rPr>
        <w:t>,</w:t>
      </w:r>
      <w:r>
        <w:rPr>
          <w:rFonts w:hint="eastAsia" w:cs="黑体" w:asciiTheme="minorEastAsia" w:hAnsiTheme="minorEastAsia"/>
          <w:color w:val="auto"/>
          <w:kern w:val="0"/>
          <w:sz w:val="32"/>
          <w:szCs w:val="32"/>
          <w:lang w:val="en-US" w:eastAsia="zh-CN"/>
        </w:rPr>
        <w:t>机关运行经费支出口径应在专业名词解释中予以说明）</w:t>
      </w:r>
    </w:p>
    <w:p w14:paraId="2C5C68CD">
      <w:pPr>
        <w:keepNext w:val="0"/>
        <w:keepLines w:val="0"/>
        <w:widowControl w:val="0"/>
        <w:suppressLineNumbers w:val="0"/>
        <w:spacing w:before="0" w:beforeAutospacing="0" w:after="0" w:afterAutospacing="0" w:line="600" w:lineRule="exact"/>
        <w:ind w:left="0" w:right="0" w:firstLine="640" w:firstLineChars="200"/>
        <w:jc w:val="both"/>
        <w:outlineLvl w:val="2"/>
        <w:rPr>
          <w:rFonts w:hint="eastAsia" w:ascii="楷体_GB2312" w:eastAsia="楷体_GB2312" w:cs="楷体_GB2312"/>
          <w:b/>
          <w:bCs w:val="0"/>
          <w:color w:val="auto"/>
          <w:kern w:val="0"/>
          <w:sz w:val="32"/>
          <w:szCs w:val="32"/>
          <w:lang w:val="en-US"/>
        </w:rPr>
      </w:pPr>
      <w:r>
        <w:rPr>
          <w:rFonts w:hint="eastAsia" w:ascii="楷体_GB2312" w:hAnsi="Times New Roman" w:eastAsia="楷体_GB2312" w:cs="楷体_GB2312"/>
          <w:b/>
          <w:bCs w:val="0"/>
          <w:color w:val="auto"/>
          <w:kern w:val="0"/>
          <w:sz w:val="32"/>
          <w:szCs w:val="32"/>
          <w:lang w:val="en-US" w:eastAsia="zh-CN" w:bidi="ar"/>
        </w:rPr>
        <w:t>（二）一般性支出情况</w:t>
      </w:r>
    </w:p>
    <w:p w14:paraId="6013A125">
      <w:pPr>
        <w:keepNext w:val="0"/>
        <w:keepLines w:val="0"/>
        <w:widowControl w:val="0"/>
        <w:suppressLineNumbers w:val="0"/>
        <w:spacing w:before="0" w:beforeAutospacing="0" w:after="0" w:afterAutospacing="0" w:line="600" w:lineRule="exact"/>
        <w:ind w:left="0" w:right="0" w:firstLine="640" w:firstLineChars="200"/>
        <w:jc w:val="both"/>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2020年本部门开支会议费0.58万元，用于召开行政执法竞赛推进会暨司法行政工作会议、扫黑除恶专项斗争等会议，人数150人，内容为以执法竞赛活动为载体，坚定不移地深化全县行政执法体制改革、加强司法行政干警政治和业务培训，严防“涉黑涉恶”保护伞等内容；开支培训费0.33万元，用于开展人民调解、行政执法综合等培训，人数130人，内容为提升人民调解员调解技能、拓展全体执法人员法律知识，提高执法水平等方面。举办等节庆、晚会、论坛、赛事活动，开支0万元。</w:t>
      </w:r>
    </w:p>
    <w:p w14:paraId="087F0200">
      <w:pPr>
        <w:keepNext w:val="0"/>
        <w:keepLines w:val="0"/>
        <w:widowControl w:val="0"/>
        <w:suppressLineNumbers w:val="0"/>
        <w:spacing w:before="0" w:beforeAutospacing="0" w:after="0" w:afterAutospacing="0" w:line="600" w:lineRule="exact"/>
        <w:ind w:left="0" w:right="0" w:firstLine="640" w:firstLineChars="200"/>
        <w:jc w:val="both"/>
        <w:outlineLvl w:val="2"/>
        <w:rPr>
          <w:rFonts w:hint="eastAsia" w:ascii="楷体_GB2312" w:eastAsia="楷体_GB2312" w:cs="楷体_GB2312"/>
          <w:b/>
          <w:bCs w:val="0"/>
          <w:color w:val="auto"/>
          <w:kern w:val="0"/>
          <w:sz w:val="32"/>
          <w:szCs w:val="32"/>
          <w:lang w:val="en-US"/>
        </w:rPr>
      </w:pPr>
      <w:r>
        <w:rPr>
          <w:rFonts w:hint="eastAsia" w:ascii="楷体_GB2312" w:hAnsi="Times New Roman" w:eastAsia="楷体_GB2312" w:cs="楷体_GB2312"/>
          <w:b/>
          <w:bCs w:val="0"/>
          <w:color w:val="auto"/>
          <w:kern w:val="0"/>
          <w:sz w:val="32"/>
          <w:szCs w:val="32"/>
          <w:lang w:val="en-US" w:eastAsia="zh-CN" w:bidi="ar"/>
        </w:rPr>
        <w:t>（三）政府采购支出情况</w:t>
      </w:r>
    </w:p>
    <w:p w14:paraId="2A272338">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本部门2020年度政府采购支出总额51.16万元，其中：政府采购货物支出0万元、政府采购工程支出0 万元、政府采购服务支出51.16万元。授予中小企业合同金额51.16万元，占政府采购支出总额的100%，其中：授予小微企业合同金额51.16万元，占政府采购支出总额的100%。</w:t>
      </w:r>
    </w:p>
    <w:p w14:paraId="2D1FA225">
      <w:pPr>
        <w:keepNext w:val="0"/>
        <w:keepLines w:val="0"/>
        <w:widowControl w:val="0"/>
        <w:suppressLineNumbers w:val="0"/>
        <w:spacing w:before="0" w:beforeAutospacing="0" w:after="0" w:afterAutospacing="0" w:line="600" w:lineRule="exact"/>
        <w:ind w:left="0" w:right="0" w:firstLine="640" w:firstLineChars="200"/>
        <w:jc w:val="both"/>
        <w:outlineLvl w:val="2"/>
        <w:rPr>
          <w:rFonts w:hint="eastAsia" w:ascii="楷体_GB2312" w:eastAsia="楷体_GB2312" w:cs="楷体_GB2312"/>
          <w:b/>
          <w:bCs w:val="0"/>
          <w:color w:val="auto"/>
          <w:kern w:val="0"/>
          <w:sz w:val="32"/>
          <w:szCs w:val="32"/>
          <w:lang w:val="en-US"/>
        </w:rPr>
      </w:pPr>
      <w:r>
        <w:rPr>
          <w:rFonts w:hint="eastAsia" w:ascii="楷体_GB2312" w:hAnsi="Times New Roman" w:eastAsia="楷体_GB2312" w:cs="楷体_GB2312"/>
          <w:b/>
          <w:bCs w:val="0"/>
          <w:color w:val="auto"/>
          <w:kern w:val="0"/>
          <w:sz w:val="32"/>
          <w:szCs w:val="32"/>
          <w:lang w:val="en-US" w:eastAsia="zh-CN" w:bidi="ar"/>
        </w:rPr>
        <w:t>（四）国有资产占用情况</w:t>
      </w:r>
    </w:p>
    <w:p w14:paraId="4730B859">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截至2020年12月31日，本单位共有车辆3辆，其中，主要领导干部用车0辆，机要通信用车0辆、应急保障用车0辆、执法执勤用车3辆、特种专业技术用车0辆、其他用车0辆；单位价值50万元以上通用设备0台（套）；单位价值100万元以上专用设备0台（套）。</w:t>
      </w:r>
    </w:p>
    <w:p w14:paraId="69068014">
      <w:pPr>
        <w:pStyle w:val="10"/>
        <w:rPr>
          <w:rFonts w:hAnsi="黑体"/>
          <w:b/>
          <w:color w:val="auto"/>
          <w:sz w:val="32"/>
          <w:szCs w:val="32"/>
        </w:rPr>
      </w:pPr>
    </w:p>
    <w:p w14:paraId="591E8F4D">
      <w:pPr>
        <w:pStyle w:val="10"/>
        <w:jc w:val="center"/>
        <w:rPr>
          <w:color w:val="auto"/>
          <w:sz w:val="72"/>
          <w:szCs w:val="72"/>
        </w:rPr>
      </w:pPr>
    </w:p>
    <w:p w14:paraId="6A827C1A">
      <w:pPr>
        <w:pStyle w:val="10"/>
        <w:jc w:val="center"/>
        <w:rPr>
          <w:color w:val="auto"/>
          <w:sz w:val="72"/>
          <w:szCs w:val="72"/>
        </w:rPr>
      </w:pPr>
    </w:p>
    <w:p w14:paraId="551AD705">
      <w:pPr>
        <w:pStyle w:val="10"/>
        <w:jc w:val="center"/>
        <w:rPr>
          <w:color w:val="auto"/>
          <w:sz w:val="72"/>
          <w:szCs w:val="72"/>
        </w:rPr>
      </w:pPr>
    </w:p>
    <w:p w14:paraId="64E24698">
      <w:pPr>
        <w:pStyle w:val="10"/>
        <w:jc w:val="center"/>
        <w:rPr>
          <w:color w:val="auto"/>
          <w:sz w:val="72"/>
          <w:szCs w:val="72"/>
        </w:rPr>
      </w:pPr>
    </w:p>
    <w:p w14:paraId="689F25B7">
      <w:pPr>
        <w:pStyle w:val="10"/>
        <w:jc w:val="center"/>
        <w:rPr>
          <w:color w:val="auto"/>
          <w:sz w:val="72"/>
          <w:szCs w:val="72"/>
        </w:rPr>
      </w:pPr>
    </w:p>
    <w:p w14:paraId="7F7ABA4D">
      <w:pPr>
        <w:pStyle w:val="10"/>
        <w:jc w:val="both"/>
        <w:rPr>
          <w:color w:val="auto"/>
          <w:sz w:val="72"/>
          <w:szCs w:val="72"/>
        </w:rPr>
      </w:pPr>
    </w:p>
    <w:p w14:paraId="4A56F68A">
      <w:pPr>
        <w:pStyle w:val="10"/>
        <w:jc w:val="center"/>
        <w:rPr>
          <w:color w:val="auto"/>
          <w:sz w:val="72"/>
          <w:szCs w:val="72"/>
        </w:rPr>
      </w:pPr>
      <w:r>
        <w:rPr>
          <w:rFonts w:hint="eastAsia"/>
          <w:color w:val="auto"/>
          <w:sz w:val="72"/>
          <w:szCs w:val="72"/>
        </w:rPr>
        <w:t>第四部分</w:t>
      </w:r>
    </w:p>
    <w:p w14:paraId="6F64996F">
      <w:pPr>
        <w:jc w:val="center"/>
        <w:rPr>
          <w:rFonts w:ascii="黑体" w:eastAsia="黑体" w:cs="黑体"/>
          <w:color w:val="auto"/>
          <w:kern w:val="0"/>
          <w:sz w:val="70"/>
          <w:szCs w:val="70"/>
        </w:rPr>
      </w:pPr>
    </w:p>
    <w:p w14:paraId="725A9D3B">
      <w:pPr>
        <w:jc w:val="center"/>
        <w:rPr>
          <w:rFonts w:ascii="黑体" w:eastAsia="黑体" w:cs="黑体"/>
          <w:color w:val="auto"/>
          <w:kern w:val="0"/>
          <w:sz w:val="70"/>
          <w:szCs w:val="70"/>
        </w:rPr>
      </w:pPr>
      <w:r>
        <w:rPr>
          <w:rFonts w:hint="eastAsia" w:ascii="黑体" w:eastAsia="黑体" w:cs="黑体"/>
          <w:color w:val="auto"/>
          <w:kern w:val="0"/>
          <w:sz w:val="70"/>
          <w:szCs w:val="70"/>
        </w:rPr>
        <w:t>名词解释</w:t>
      </w:r>
    </w:p>
    <w:p w14:paraId="16024190">
      <w:pPr>
        <w:ind w:firstLine="640" w:firstLineChars="200"/>
        <w:jc w:val="left"/>
        <w:rPr>
          <w:rFonts w:cs="黑体" w:asciiTheme="minorEastAsia" w:hAnsiTheme="minorEastAsia"/>
          <w:color w:val="auto"/>
          <w:kern w:val="0"/>
          <w:sz w:val="32"/>
          <w:szCs w:val="32"/>
        </w:rPr>
      </w:pPr>
    </w:p>
    <w:p w14:paraId="07F3B8E9">
      <w:pPr>
        <w:widowControl/>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1、机关运行经费：是指各部门的公用经费，包括办公费、印刷费、邮电费、差旅费、会议费、福利费、水电费、日常维修费、一般设备购置费、办公用房物理管理费、公务用车运行维护费及其他费用。</w:t>
      </w:r>
    </w:p>
    <w:p w14:paraId="3EBF4CEE">
      <w:pPr>
        <w:widowControl/>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0A51C503">
      <w:pPr>
        <w:widowControl/>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 xml:space="preserve">3、基本支出：是指为保障机构正常运转、完成日常工作任务而发生的人员支出和公用支出。 </w:t>
      </w:r>
    </w:p>
    <w:p w14:paraId="402DB636">
      <w:pPr>
        <w:widowControl/>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4、项目支出：是指在基本支出之外为完成特定行政任务和事业发展目标所发生的支出。</w:t>
      </w:r>
    </w:p>
    <w:p w14:paraId="0B5BD6F4">
      <w:pPr>
        <w:pStyle w:val="10"/>
        <w:jc w:val="center"/>
        <w:rPr>
          <w:color w:val="auto"/>
          <w:sz w:val="72"/>
          <w:szCs w:val="72"/>
        </w:rPr>
      </w:pPr>
    </w:p>
    <w:p w14:paraId="54ABD30B">
      <w:pPr>
        <w:pStyle w:val="10"/>
        <w:jc w:val="center"/>
        <w:rPr>
          <w:color w:val="auto"/>
          <w:sz w:val="72"/>
          <w:szCs w:val="72"/>
        </w:rPr>
      </w:pPr>
    </w:p>
    <w:p w14:paraId="1E0E1173">
      <w:pPr>
        <w:pStyle w:val="10"/>
        <w:jc w:val="center"/>
        <w:rPr>
          <w:color w:val="auto"/>
          <w:sz w:val="72"/>
          <w:szCs w:val="72"/>
        </w:rPr>
      </w:pPr>
    </w:p>
    <w:p w14:paraId="5F900659">
      <w:pPr>
        <w:pStyle w:val="10"/>
        <w:rPr>
          <w:color w:val="auto"/>
          <w:sz w:val="72"/>
          <w:szCs w:val="72"/>
        </w:rPr>
      </w:pPr>
    </w:p>
    <w:p w14:paraId="5B532F03">
      <w:pPr>
        <w:pStyle w:val="10"/>
        <w:jc w:val="center"/>
        <w:rPr>
          <w:color w:val="auto"/>
          <w:sz w:val="72"/>
          <w:szCs w:val="72"/>
        </w:rPr>
      </w:pPr>
    </w:p>
    <w:p w14:paraId="2BBF5BFC">
      <w:pPr>
        <w:pStyle w:val="10"/>
        <w:jc w:val="center"/>
        <w:rPr>
          <w:color w:val="auto"/>
          <w:sz w:val="72"/>
          <w:szCs w:val="72"/>
        </w:rPr>
      </w:pPr>
    </w:p>
    <w:p w14:paraId="474098F5">
      <w:pPr>
        <w:pStyle w:val="10"/>
        <w:jc w:val="center"/>
        <w:rPr>
          <w:color w:val="auto"/>
          <w:sz w:val="72"/>
          <w:szCs w:val="72"/>
        </w:rPr>
      </w:pPr>
      <w:r>
        <w:rPr>
          <w:rFonts w:hint="eastAsia"/>
          <w:color w:val="auto"/>
          <w:sz w:val="72"/>
          <w:szCs w:val="72"/>
        </w:rPr>
        <w:t>第五部分</w:t>
      </w:r>
    </w:p>
    <w:p w14:paraId="34F1BE41">
      <w:pPr>
        <w:jc w:val="center"/>
        <w:rPr>
          <w:rFonts w:ascii="黑体" w:eastAsia="黑体" w:cs="黑体"/>
          <w:color w:val="auto"/>
          <w:kern w:val="0"/>
          <w:sz w:val="70"/>
          <w:szCs w:val="70"/>
        </w:rPr>
      </w:pPr>
    </w:p>
    <w:p w14:paraId="75A03059">
      <w:pPr>
        <w:jc w:val="center"/>
        <w:rPr>
          <w:rFonts w:ascii="黑体" w:eastAsia="黑体" w:cs="黑体"/>
          <w:color w:val="auto"/>
          <w:kern w:val="0"/>
          <w:sz w:val="70"/>
          <w:szCs w:val="70"/>
        </w:rPr>
      </w:pPr>
      <w:r>
        <w:rPr>
          <w:rFonts w:hint="eastAsia" w:ascii="黑体" w:eastAsia="黑体" w:cs="黑体"/>
          <w:color w:val="auto"/>
          <w:kern w:val="0"/>
          <w:sz w:val="70"/>
          <w:szCs w:val="70"/>
        </w:rPr>
        <w:t>附件</w:t>
      </w:r>
    </w:p>
    <w:p w14:paraId="7C4EEA78">
      <w:pPr>
        <w:widowControl/>
        <w:jc w:val="left"/>
        <w:rPr>
          <w:rFonts w:ascii="黑体" w:eastAsia="黑体" w:cs="黑体"/>
          <w:color w:val="auto"/>
          <w:kern w:val="0"/>
          <w:sz w:val="70"/>
          <w:szCs w:val="70"/>
        </w:rPr>
      </w:pPr>
      <w:r>
        <w:rPr>
          <w:rFonts w:ascii="黑体" w:eastAsia="黑体" w:cs="黑体"/>
          <w:color w:val="auto"/>
          <w:kern w:val="0"/>
          <w:sz w:val="70"/>
          <w:szCs w:val="70"/>
        </w:rPr>
        <w:br w:type="page"/>
      </w:r>
    </w:p>
    <w:p w14:paraId="122750C5">
      <w:pPr>
        <w:jc w:val="center"/>
        <w:rPr>
          <w:rFonts w:ascii="黑体" w:eastAsia="黑体" w:cs="黑体"/>
          <w:color w:val="auto"/>
          <w:kern w:val="0"/>
          <w:sz w:val="70"/>
          <w:szCs w:val="70"/>
        </w:rPr>
      </w:pPr>
    </w:p>
    <w:p w14:paraId="01591C48">
      <w:pPr>
        <w:spacing w:line="520" w:lineRule="exact"/>
        <w:jc w:val="center"/>
        <w:rPr>
          <w:rFonts w:ascii="宋体" w:hAnsi="宋体" w:eastAsia="宋体" w:cs="Times New Roman"/>
          <w:b/>
          <w:color w:val="auto"/>
          <w:sz w:val="44"/>
          <w:szCs w:val="44"/>
        </w:rPr>
      </w:pPr>
      <w:r>
        <w:rPr>
          <w:rFonts w:hint="eastAsia" w:ascii="宋体" w:hAnsi="宋体" w:eastAsia="宋体" w:cs="Times New Roman"/>
          <w:b/>
          <w:color w:val="auto"/>
          <w:sz w:val="44"/>
          <w:szCs w:val="44"/>
        </w:rPr>
        <w:t>2020年部门整体支出绩效自评报告</w:t>
      </w:r>
    </w:p>
    <w:p w14:paraId="0288F9FD">
      <w:pPr>
        <w:spacing w:line="520" w:lineRule="exact"/>
        <w:jc w:val="left"/>
        <w:rPr>
          <w:rFonts w:ascii="仿宋_GB2312" w:hAnsi="微软雅黑" w:eastAsia="宋体" w:cs="Times New Roman"/>
          <w:color w:val="auto"/>
          <w:szCs w:val="32"/>
        </w:rPr>
      </w:pPr>
    </w:p>
    <w:p w14:paraId="5289201A">
      <w:pPr>
        <w:tabs>
          <w:tab w:val="center" w:pos="4535"/>
        </w:tabs>
        <w:spacing w:line="520" w:lineRule="exact"/>
        <w:ind w:firstLine="800" w:firstLineChars="250"/>
        <w:jc w:val="left"/>
        <w:rPr>
          <w:rFonts w:ascii="仿宋" w:hAnsi="仿宋" w:eastAsia="仿宋" w:cs="Times New Roman"/>
          <w:b/>
          <w:color w:val="auto"/>
          <w:sz w:val="32"/>
          <w:szCs w:val="32"/>
        </w:rPr>
      </w:pPr>
      <w:r>
        <w:rPr>
          <w:rFonts w:hint="eastAsia" w:ascii="仿宋" w:hAnsi="仿宋" w:eastAsia="仿宋" w:cs="Times New Roman"/>
          <w:color w:val="auto"/>
          <w:sz w:val="32"/>
          <w:szCs w:val="32"/>
        </w:rPr>
        <w:t>根据湘潭县财政局《关于做好2021年度财政支出绩效自评工作的通知》精神，我局对2020年度部门整体支出绩效进行了全面综合评价。整体支出分基本支出和项目支出两部分，基本支出的评价重点是厉行节约保运转，降低行政成本，项目支出的评价重点是规范专项业务的管理促发展，提高资金绩效。现将有关情况报告如下：</w:t>
      </w:r>
    </w:p>
    <w:p w14:paraId="2C655677">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一、部门概况</w:t>
      </w:r>
    </w:p>
    <w:p w14:paraId="6795D2C2">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（一）部门基本情况</w:t>
      </w:r>
    </w:p>
    <w:p w14:paraId="1B62B918">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全局共有人员编制数100名（政法专项编制84人，非参公事业人员16人），</w:t>
      </w:r>
      <w:r>
        <w:rPr>
          <w:rFonts w:hint="eastAsia" w:ascii="仿宋" w:hAnsi="仿宋" w:eastAsia="仿宋" w:cs="Times New Roman"/>
          <w:color w:val="auto"/>
          <w:sz w:val="32"/>
          <w:szCs w:val="32"/>
          <w:lang w:eastAsia="zh-CN"/>
        </w:rPr>
        <w:t>截至</w:t>
      </w:r>
      <w:r>
        <w:rPr>
          <w:rFonts w:hint="eastAsia" w:ascii="仿宋" w:hAnsi="仿宋" w:eastAsia="仿宋" w:cs="Times New Roman"/>
          <w:color w:val="auto"/>
          <w:sz w:val="32"/>
          <w:szCs w:val="32"/>
        </w:rPr>
        <w:t>2020年12月31日，实有89人（政法专项编制73人，非参公事业人员16人）。离退休人员25人，其中退休人员26人。遗属5人。现有公车3辆。</w:t>
      </w:r>
    </w:p>
    <w:p w14:paraId="2E9C81EE">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（二）部门整体支出总体情况</w:t>
      </w:r>
    </w:p>
    <w:p w14:paraId="3512F8DD">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2020年年初预算收入数为1776.57万元。其中：财政一般预算拨款1776.57万元。较去年（2019年年初预算收入为1522.97万元）增加253.60万元，增加了16.65%，增加的主要原因是一般公共预算拨款的支出。</w:t>
      </w:r>
    </w:p>
    <w:p w14:paraId="7E4B3159">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2020年部门整体支出1970.64万元，其中基本支出1560.34万元，项目支出410.30万元 。部门整体支出比上年增加93.28万元，主要原因是主要因为人员经费的增加。</w:t>
      </w:r>
    </w:p>
    <w:p w14:paraId="6FB41BFD">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二、部门整体支出管理及使用情况</w:t>
      </w:r>
    </w:p>
    <w:p w14:paraId="1D3AE3A5">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（一）基本支出</w:t>
      </w:r>
    </w:p>
    <w:p w14:paraId="16DC414B">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2020年基本支出1560.34万元，主要包括：1、工资福利支出1377.60万元。主要为行政事业在职人员基本工资、津贴补贴、社会保障缴费、年终绩效奖和其他工资福利支出等。2、商品和服务支出577.52万元。主要是办公费、印刷费、水电费、邮电费、物业管理费、差旅费、会议费、培训费、劳务费、公务接待费、公务用车运行维护费、其他商品和服务支出等支出。3、对个人和家庭补助支出4.36万元4、资本性支出（基础建设）11.16万元。</w:t>
      </w:r>
    </w:p>
    <w:p w14:paraId="7D31D406">
      <w:pPr>
        <w:widowControl/>
        <w:spacing w:line="502" w:lineRule="atLeast"/>
        <w:ind w:firstLine="640" w:firstLineChars="200"/>
        <w:jc w:val="left"/>
        <w:rPr>
          <w:rFonts w:ascii="仿宋" w:hAnsi="仿宋" w:eastAsia="仿宋" w:cs="Times New Roman"/>
          <w:color w:val="auto"/>
          <w:sz w:val="32"/>
          <w:szCs w:val="32"/>
        </w:rPr>
      </w:pPr>
      <w:r>
        <w:rPr>
          <w:rFonts w:hint="eastAsia" w:ascii="仿宋" w:hAnsi="仿宋" w:eastAsia="仿宋" w:cs="Times New Roman"/>
          <w:color w:val="auto"/>
          <w:sz w:val="32"/>
          <w:szCs w:val="32"/>
        </w:rPr>
        <w:t>“三公”经费年初预算26.44万元，支出9.01万元，其中公务接待费0.11万元，同比上年减少70.18%，减少的主要原因是严格执行中央厉行节约规定，严控公务接待费用支出。公务用车运行维护费8.9万元，比上年减少23.4%。减少的主要原因是加强公务用车管理，严格遵照公务用车管理办法，坚持使用派车单。无公务用车购置费。</w:t>
      </w:r>
    </w:p>
    <w:p w14:paraId="57149523">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（二）项目支出</w:t>
      </w:r>
    </w:p>
    <w:p w14:paraId="3D0DD1DB">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2020年项目支出410.30万元，项目支出主要用于社区矫正与安置帮教、人民调解和三调联动、法律援助、医疗纠纷调处、普法宣传、装备购置等支出。</w:t>
      </w:r>
    </w:p>
    <w:p w14:paraId="1EF5E05F">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（三）项目资金管理情况</w:t>
      </w:r>
    </w:p>
    <w:p w14:paraId="2D5DC362">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1.管理制度健全性。为规范机关财务管理，建立健全财务管理制度，我局制定了《湘潭县司法局政府采购工作规范》等一系列财务管理制度。</w:t>
      </w:r>
    </w:p>
    <w:p w14:paraId="182D0DB3">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2.资金使用合规性。资金的支付严格按照国家财经法规和财务管理制度规定支付；资金拨付有完整的审批程序和手续；经费支出符合部门预算批复的用途；资金使用无截留、挪用、虚列支出等情况。</w:t>
      </w:r>
    </w:p>
    <w:p w14:paraId="655BDFD5">
      <w:pPr>
        <w:tabs>
          <w:tab w:val="center" w:pos="4535"/>
        </w:tabs>
        <w:spacing w:line="520" w:lineRule="exact"/>
        <w:ind w:firstLine="800" w:firstLineChars="250"/>
        <w:jc w:val="left"/>
        <w:rPr>
          <w:rFonts w:ascii="仿宋" w:hAnsi="仿宋" w:eastAsia="仿宋" w:cs="Times New Roman"/>
          <w:color w:val="auto"/>
          <w:sz w:val="32"/>
          <w:szCs w:val="32"/>
        </w:rPr>
      </w:pPr>
      <w:r>
        <w:rPr>
          <w:rFonts w:hint="eastAsia" w:ascii="仿宋" w:hAnsi="仿宋" w:eastAsia="仿宋" w:cs="Times New Roman"/>
          <w:color w:val="auto"/>
          <w:sz w:val="32"/>
          <w:szCs w:val="32"/>
        </w:rPr>
        <w:t>3.会计核算规范性。我局各项财务工作能按照财政的有关规章制度严格执行，能做到准确核算业务，规范管理财务资料。</w:t>
      </w:r>
    </w:p>
    <w:p w14:paraId="791E0547">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三、资产管理情况</w:t>
      </w:r>
    </w:p>
    <w:p w14:paraId="3A03252B">
      <w:pPr>
        <w:tabs>
          <w:tab w:val="center" w:pos="4535"/>
        </w:tabs>
        <w:spacing w:line="520" w:lineRule="exact"/>
        <w:ind w:firstLine="800" w:firstLineChars="250"/>
        <w:jc w:val="left"/>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截至2020年12月31日我局国有资产总计1276.38万元，其中房屋及构筑物5处，面积2791.79平方米，525.39万元；通用设备556件，439.19万元；专用设备21件，3.83万元；家具、用具、装具及动植物1108件，76.32万元；无形资产（土地使用权）2处，面积2958.10平方米，231.64万元。我局综合办公室负责固定资产的申报、购买、登记和处置。购买固定资产时需明确购买资产的原因、数量和用途，经领导审批后交计财装备室，计财装备室履行政府购买手续按规定流程购买，经验货后送达资产申报人。同时及时登记固定资产明细表及资产系统，并将资产发票进行入账处理。</w:t>
      </w:r>
    </w:p>
    <w:p w14:paraId="58821D53">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四、部门整体支出绩效情况</w:t>
      </w:r>
    </w:p>
    <w:p w14:paraId="48998174">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2020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14:paraId="70F47B4B">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（一）、稳步推进全面依法治县工作。</w:t>
      </w:r>
    </w:p>
    <w:p w14:paraId="0476C000">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1.做好了我县涉及优化营商环境的行政规范性文件清理工作。</w:t>
      </w:r>
      <w:r>
        <w:rPr>
          <w:rFonts w:hint="eastAsia" w:ascii="仿宋_GB2312" w:hAnsi="微软雅黑" w:eastAsia="仿宋_GB2312" w:cs="Times New Roman"/>
          <w:color w:val="auto"/>
          <w:sz w:val="32"/>
          <w:szCs w:val="32"/>
          <w:lang w:eastAsia="zh-CN"/>
        </w:rPr>
        <w:t>截至</w:t>
      </w:r>
      <w:r>
        <w:rPr>
          <w:rFonts w:hint="eastAsia" w:ascii="仿宋_GB2312" w:hAnsi="微软雅黑" w:eastAsia="仿宋_GB2312" w:cs="Times New Roman"/>
          <w:color w:val="auto"/>
          <w:sz w:val="32"/>
          <w:szCs w:val="32"/>
        </w:rPr>
        <w:t>12月底，共专项清理营商环境有关规范性文件18件，废止15件，宣布3件失效。</w:t>
      </w:r>
    </w:p>
    <w:p w14:paraId="630F92F7">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推动落实行政执法“三项制度”，建立行政执法事中事后监管制度，严格落实“谁审批谁监管、谁主管谁监管”的行政执法要求，加强对行政执法和行政处罚及相应的行政强制权的指导与监督，2020年，全县行政处罚案件总计10.03万件，到位罚没款3320.86万元，行政强制1273件，拆除违法建筑868处，面积1.9万平方米。</w:t>
      </w:r>
    </w:p>
    <w:p w14:paraId="47892A4A">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3.进一步完善行政复议案件审理机制，畅通行政复议渠道，充分发挥行政复议在防范和化解社会矛盾方面的作用。</w:t>
      </w:r>
      <w:r>
        <w:rPr>
          <w:rFonts w:hint="eastAsia" w:ascii="仿宋_GB2312" w:hAnsi="微软雅黑" w:eastAsia="仿宋_GB2312" w:cs="Times New Roman"/>
          <w:color w:val="auto"/>
          <w:sz w:val="32"/>
          <w:szCs w:val="32"/>
          <w:lang w:eastAsia="zh-CN"/>
        </w:rPr>
        <w:t>截至</w:t>
      </w:r>
      <w:r>
        <w:rPr>
          <w:rFonts w:hint="eastAsia" w:ascii="仿宋_GB2312" w:hAnsi="微软雅黑" w:eastAsia="仿宋_GB2312" w:cs="Times New Roman"/>
          <w:color w:val="auto"/>
          <w:sz w:val="32"/>
          <w:szCs w:val="32"/>
        </w:rPr>
        <w:t>12月底，共接收行政复议案26件，其中依法撤销8件；县政府及各乡镇部门行政诉讼被诉案件31件，大大维护了我县招商引资的良好形象，挽回了县域近六千万的经济损失。</w:t>
      </w:r>
    </w:p>
    <w:p w14:paraId="5E96FA73">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4.推进法治政府建设，凡是未经合法性审查的规范性文件一律不得提交县政府常务会议研究，未经集体研究通过的，不得公开发布。</w:t>
      </w:r>
      <w:r>
        <w:rPr>
          <w:rFonts w:hint="eastAsia" w:ascii="仿宋_GB2312" w:hAnsi="微软雅黑" w:eastAsia="仿宋_GB2312" w:cs="Times New Roman"/>
          <w:color w:val="auto"/>
          <w:sz w:val="32"/>
          <w:szCs w:val="32"/>
          <w:lang w:eastAsia="zh-CN"/>
        </w:rPr>
        <w:t>截至</w:t>
      </w:r>
      <w:r>
        <w:rPr>
          <w:rFonts w:hint="eastAsia" w:ascii="仿宋_GB2312" w:hAnsi="微软雅黑" w:eastAsia="仿宋_GB2312" w:cs="Times New Roman"/>
          <w:color w:val="auto"/>
          <w:sz w:val="32"/>
          <w:szCs w:val="32"/>
        </w:rPr>
        <w:t>12月底，共审核规范性文件80件，县人民政府会议纪要15件，各类合同、公告28件，其他重要文件10件，参加有关合同工作会议20余次。</w:t>
      </w:r>
    </w:p>
    <w:p w14:paraId="667DE09B">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（二）、切实加强社区矫正工作。</w:t>
      </w:r>
    </w:p>
    <w:p w14:paraId="5D9A76EE">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全县共接收社区矫正对象281人，解除社区矫正对象252人，在册社区矫正对象278人，手机APP定位244人、运营商定位15人，定位率100%；警告19人次、记表扬2人次、治安拘留2人；变更居住地15例；跨市县活动审批26例；接受决定机关委托，共对240例拟适用社区矫正对象进行社会调查评估。全部人员管控到位，无一人脱管漏管。    </w:t>
      </w:r>
    </w:p>
    <w:p w14:paraId="503E7B00">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（三）、重点抓好重点人员管控和安置帮教工作。</w:t>
      </w:r>
    </w:p>
    <w:p w14:paraId="63AE1284">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截至12月底，刑满释放人员信息管理系统内共有刑满释放人员3410人。根据刑满释放人员管理五年，解矫对象管理三年的原则，监狱刑释五年期重点管控人员529人，解除社区矫正对象三年期重点管控人员414人，两项合计重点管控人员943人，回执率、衔接率、接送率、帮教率均达到100%。</w:t>
      </w:r>
    </w:p>
    <w:p w14:paraId="2622AFE9">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（四）、扎实开展人民调解工作。</w:t>
      </w:r>
    </w:p>
    <w:p w14:paraId="54A13DD9">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2020年，我县共有人民调解员1484人，共调处各类矛盾纠纷3647件，成功调处3601件，成功率达98.7%。落实了以奖代补资金   万元，全县无“民转刑”案件及群体性事件发生，县婚调委专职调解员谭照被评为“全国模范调解员”。</w:t>
      </w:r>
    </w:p>
    <w:p w14:paraId="0C0C0212">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（五）、全面推进普法依法治理工作。</w:t>
      </w:r>
    </w:p>
    <w:p w14:paraId="492C98E8">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1.扎实开展“法律八进”工作，不止步地的开展普法宣传。一是扎实开展抗疫宣传。疫情期间共出动宣传车50余次，开展法治宣传20余次，发放疫情宣传手册近万份，微信公众号推送稿件10余篇。</w:t>
      </w:r>
    </w:p>
    <w:p w14:paraId="7D13AF9E">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大力推进法治乡村建设工作，完善基层民主法治示范村创建活动。采取试点建设的方式，在全县17个乡镇，每个乡镇确定了2个村(社区)作为创建工作的试点单位，易俗河镇水竹村、花果山社区被评为湘潭市第一批“民主法示范村（社区）”。全年组织全县1100名农村“法律明白人”接受了在线培训，举办了200人参加的普法骨干培训班。</w:t>
      </w:r>
    </w:p>
    <w:p w14:paraId="07CFACA6">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3.积极开展各项法治宣传工作。全年共参与各类法治宣传56次，开展各类法治宣传活动180场次，法治讲座160余场次，发放宣传资料400余万册（份），法治文艺巡演7场，悬挂横幅300余条，张贴标语510幅，添置和更新法治宣传栏268块、解答法律政策咨询2000人次、出动宣传车200台次。精心组织开展全县国家工作人员13600人参加在线学法和考法，全县学法率达100%，考法报考率100%，通过率100%。认真落实“谁主管谁负责、谁执法谁普法、谁服务谁普法”普法责任制。</w:t>
      </w:r>
    </w:p>
    <w:p w14:paraId="4358AC7E">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4.加强与县融媒体中心无缝对接，全年共制作《法治天地》栏目12期，并联合公检法制作了湘潭县</w:t>
      </w:r>
      <w:r>
        <w:rPr>
          <w:rFonts w:hint="eastAsia" w:ascii="仿宋_GB2312" w:hAnsi="微软雅黑" w:eastAsia="仿宋_GB2312" w:cs="Times New Roman"/>
          <w:color w:val="auto"/>
          <w:sz w:val="32"/>
          <w:szCs w:val="32"/>
          <w:lang w:eastAsia="zh-CN"/>
        </w:rPr>
        <w:t>《中华人民共和国民法典》</w:t>
      </w:r>
      <w:r>
        <w:rPr>
          <w:rFonts w:hint="eastAsia" w:ascii="仿宋_GB2312" w:hAnsi="微软雅黑" w:eastAsia="仿宋_GB2312" w:cs="Times New Roman"/>
          <w:color w:val="auto"/>
          <w:sz w:val="32"/>
          <w:szCs w:val="32"/>
        </w:rPr>
        <w:t>微电影，微电影通过情景剧的方式阐述了</w:t>
      </w:r>
      <w:r>
        <w:rPr>
          <w:rFonts w:hint="eastAsia" w:ascii="仿宋_GB2312" w:hAnsi="微软雅黑" w:eastAsia="仿宋_GB2312" w:cs="Times New Roman"/>
          <w:color w:val="auto"/>
          <w:sz w:val="32"/>
          <w:szCs w:val="32"/>
          <w:lang w:eastAsia="zh-CN"/>
        </w:rPr>
        <w:t>《中华人民共和国民法典》</w:t>
      </w:r>
      <w:r>
        <w:rPr>
          <w:rFonts w:hint="eastAsia" w:ascii="仿宋_GB2312" w:hAnsi="微软雅黑" w:eastAsia="仿宋_GB2312" w:cs="Times New Roman"/>
          <w:color w:val="auto"/>
          <w:sz w:val="32"/>
          <w:szCs w:val="32"/>
        </w:rPr>
        <w:t>与人民群众息息相关的七大热点问题，在</w:t>
      </w:r>
      <w:r>
        <w:rPr>
          <w:rFonts w:hint="eastAsia" w:ascii="仿宋_GB2312" w:hAnsi="微软雅黑" w:eastAsia="仿宋_GB2312" w:cs="Times New Roman"/>
          <w:color w:val="auto"/>
          <w:sz w:val="32"/>
          <w:szCs w:val="32"/>
          <w:lang w:eastAsia="zh-CN"/>
        </w:rPr>
        <w:t>“学习强国”学习平台</w:t>
      </w:r>
      <w:bookmarkStart w:id="3" w:name="_GoBack"/>
      <w:bookmarkEnd w:id="3"/>
      <w:r>
        <w:rPr>
          <w:rFonts w:hint="eastAsia" w:ascii="仿宋_GB2312" w:hAnsi="微软雅黑" w:eastAsia="仿宋_GB2312" w:cs="Times New Roman"/>
          <w:color w:val="auto"/>
          <w:sz w:val="32"/>
          <w:szCs w:val="32"/>
        </w:rPr>
        <w:t>，湘潭县发布、中共湘潭县委政法委员会、湘潭县公安、湘潭县法院公众号等新媒体平台同步播出。</w:t>
      </w:r>
    </w:p>
    <w:p w14:paraId="3EE5469B">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（六）、夯实公共法律服务基础。</w:t>
      </w:r>
    </w:p>
    <w:p w14:paraId="3EFEFF47">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1.扎实推进公共法律服务平台建设。</w:t>
      </w:r>
    </w:p>
    <w:p w14:paraId="7187C564">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2020年，进一步完善了全县17个乡镇公共法律服务工作站、355个村级公共法律服务工作点和3550个公共法律服务志愿点的建设工作。县中心2020年接待群众余2000人次，受理法律援助案件376件，引入律师376件、办理公证793件；在如法网平台共录入网络咨询417条，登录法律援助案件376件。</w:t>
      </w:r>
    </w:p>
    <w:p w14:paraId="3D2A1729">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2.创新“一村一法律顾问”工作方式，首创“一村一法律顾问”律师事务所分片责任包干制。</w:t>
      </w:r>
    </w:p>
    <w:p w14:paraId="2EAA0910">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2020年我们按照“属地优先，就近服务”的原则，对全县17个乡镇划分为3个片区，聘请本县三家律师事务所22名律师，实行一所一片区、分片包干的方式免费为村（社区）提供法律服务，并建立了微信服务群。全年，全县共建立村级顾问微信群351个，完成率100%；为村解答法律咨询2249件；推送微信普法信息14684条，进行现场走访911次，参与矛盾纠纷调解165件，举行现场法治宣传26场次，开展现场法治讲座51场次。</w:t>
      </w:r>
    </w:p>
    <w:p w14:paraId="636F4ACA">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3.开展村规民约和居民公约法制审核工作。</w:t>
      </w:r>
    </w:p>
    <w:p w14:paraId="7B20D61B">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从主体、程序、内容三个方面对全县351个村（社区）的村规民约和居民公约进行全面审核，进一步提升乡村(居)治理水平，夯实基层法治基础。</w:t>
      </w:r>
    </w:p>
    <w:p w14:paraId="33542D21">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4.法律援助和公证等民生实事工程稳步推进。</w:t>
      </w:r>
    </w:p>
    <w:p w14:paraId="206B9B1E">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截至12月底，法援中心共受理法援案件376件，其中民事205件，刑事171件，为当事人挽回经济损失5000余万元，免去法律服务费用100余万元；值班律师提供法律帮助300人次，参与办理认罪认罚案件508件。今年以来，县中心共接待群众来信、来电、来访法律咨询800多人次。2020年，全县办理公证事项790件（民事683件，涉外107件），实现了全年无假证、错证的目标。</w:t>
      </w:r>
    </w:p>
    <w:p w14:paraId="50DD7396">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（七）是深入推进扫黑除恶专项斗争。</w:t>
      </w:r>
    </w:p>
    <w:p w14:paraId="01D7F08C">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将扫黑除恶与司法行政各项职能工作有机结合，深入开展以扫黑除恶专项斗争为主要内容的法治宣传活动和矛盾纠纷扫黑除恶“大排查”活动，加强对律师办理涉黑涉恶犯罪案件辩护代理工作的指导、监督和协调，工作形成强大合力。</w:t>
      </w:r>
    </w:p>
    <w:p w14:paraId="20BF2E0E">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（八）是抓好了意识形态工作。</w:t>
      </w:r>
    </w:p>
    <w:p w14:paraId="55DE7480">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成立了意识形态工作领导小组，明确并落实了意识形态工作“四个责任”。制定完善了《湘潭县司法局关于落实意识形态责任制实施方案》，进一步分解任务、压紧压实责任，坚持和完善中心组理论学习制度，严格落实意识形态工作“两个责任”，建立健全工作考核机制。强化理论学习，积极发放《习近平谈治国理政》（第三卷）等重要理论书籍并组织党员干部积极学习，突出宣传思想工作。</w:t>
      </w:r>
    </w:p>
    <w:p w14:paraId="711FB30A">
      <w:pPr>
        <w:widowControl/>
        <w:spacing w:line="520" w:lineRule="exact"/>
        <w:ind w:firstLine="636" w:firstLineChars="199"/>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五、存在的主要问题</w:t>
      </w:r>
    </w:p>
    <w:p w14:paraId="530CE70C">
      <w:pPr>
        <w:snapToGrid w:val="0"/>
        <w:spacing w:line="520" w:lineRule="exact"/>
        <w:ind w:firstLine="480" w:firstLineChars="150"/>
        <w:jc w:val="left"/>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（1）</w:t>
      </w:r>
      <w:r>
        <w:rPr>
          <w:rFonts w:ascii="仿宋_GB2312" w:hAnsi="微软雅黑" w:eastAsia="仿宋_GB2312" w:cs="Times New Roman"/>
          <w:color w:val="auto"/>
          <w:sz w:val="32"/>
          <w:szCs w:val="32"/>
        </w:rPr>
        <w:t>个别绩效目标的实际完成情况受当年社会经济发展及新冠疫情影响较大，从而影响绩效目标的申报,对绩效目标的设定存在一定影响。</w:t>
      </w:r>
    </w:p>
    <w:p w14:paraId="6CE3E9FE">
      <w:pPr>
        <w:snapToGrid w:val="0"/>
        <w:spacing w:line="520" w:lineRule="exact"/>
        <w:ind w:firstLine="480" w:firstLineChars="15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w:t>
      </w:r>
      <w:r>
        <w:rPr>
          <w:rFonts w:ascii="仿宋_GB2312" w:hAnsi="微软雅黑" w:eastAsia="仿宋_GB2312" w:cs="Times New Roman"/>
          <w:color w:val="auto"/>
          <w:sz w:val="32"/>
          <w:szCs w:val="32"/>
        </w:rPr>
        <w:t>有些意识形态领域工作难以用数字表达，整体绩效指标和目标值缺乏规范、科学的标准和参照体系，绩效评价指标设置稍欠科学</w:t>
      </w:r>
      <w:r>
        <w:rPr>
          <w:rFonts w:hint="eastAsia" w:ascii="仿宋_GB2312" w:hAnsi="微软雅黑" w:eastAsia="仿宋_GB2312" w:cs="Times New Roman"/>
          <w:color w:val="auto"/>
          <w:sz w:val="32"/>
          <w:szCs w:val="32"/>
        </w:rPr>
        <w:t>。</w:t>
      </w:r>
    </w:p>
    <w:p w14:paraId="17010915">
      <w:pPr>
        <w:snapToGrid w:val="0"/>
        <w:spacing w:line="520" w:lineRule="exact"/>
        <w:ind w:firstLine="480" w:firstLineChars="150"/>
        <w:jc w:val="left"/>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3）人员编制少和公用经费不足。一是由于司法行政工作社会面广、工作量大，政府购买还没有完全落实，司法行政部门人力不足问题，不能得到有效缓解。二是由于县财政资金特别紧张，导致公用经费近两来未按财政部标准执行。</w:t>
      </w:r>
    </w:p>
    <w:p w14:paraId="2083CF3F">
      <w:pPr>
        <w:snapToGrid w:val="0"/>
        <w:spacing w:line="520" w:lineRule="exact"/>
        <w:ind w:firstLine="640" w:firstLineChars="20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六、改进措施和有关建议</w:t>
      </w:r>
    </w:p>
    <w:p w14:paraId="39E7C5A6">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（1）</w:t>
      </w:r>
      <w:r>
        <w:rPr>
          <w:rFonts w:ascii="仿宋_GB2312" w:hAnsi="微软雅黑" w:eastAsia="仿宋_GB2312" w:cs="Times New Roman"/>
          <w:color w:val="auto"/>
          <w:sz w:val="32"/>
          <w:szCs w:val="32"/>
        </w:rPr>
        <w:t>提高工作预见性，加强与业务部门的沟通和联络，使绩效目标的设定更趋合理、可行。</w:t>
      </w:r>
    </w:p>
    <w:p w14:paraId="04959ED7">
      <w:pPr>
        <w:snapToGrid w:val="0"/>
        <w:spacing w:line="520" w:lineRule="exact"/>
        <w:ind w:firstLine="640" w:firstLineChars="200"/>
        <w:rPr>
          <w:rFonts w:ascii="仿宋_GB2312" w:hAnsi="微软雅黑" w:eastAsia="仿宋_GB2312" w:cs="Times New Roman"/>
          <w:color w:val="auto"/>
          <w:sz w:val="32"/>
          <w:szCs w:val="32"/>
        </w:rPr>
      </w:pPr>
      <w:r>
        <w:rPr>
          <w:rFonts w:hint="eastAsia" w:ascii="仿宋_GB2312" w:hAnsi="微软雅黑" w:eastAsia="仿宋_GB2312" w:cs="Times New Roman"/>
          <w:color w:val="auto"/>
          <w:sz w:val="32"/>
          <w:szCs w:val="32"/>
        </w:rPr>
        <w:t>（2）</w:t>
      </w:r>
      <w:r>
        <w:rPr>
          <w:rFonts w:ascii="仿宋_GB2312" w:hAnsi="微软雅黑" w:eastAsia="仿宋_GB2312" w:cs="Times New Roman"/>
          <w:color w:val="auto"/>
          <w:sz w:val="32"/>
          <w:szCs w:val="32"/>
        </w:rPr>
        <w:t>按照绩效管理的要求，加强预算绩效评价的学习，科学设立绩效目标、建立评价指标体系、完善绩效评价指标库、加强预算执行监控，提高绩效自评质</w:t>
      </w:r>
      <w:r>
        <w:rPr>
          <w:rFonts w:hint="eastAsia" w:ascii="仿宋_GB2312" w:hAnsi="微软雅黑" w:eastAsia="仿宋_GB2312" w:cs="Times New Roman"/>
          <w:color w:val="auto"/>
          <w:sz w:val="32"/>
          <w:szCs w:val="32"/>
        </w:rPr>
        <w:t>量。</w:t>
      </w:r>
    </w:p>
    <w:p w14:paraId="30B72092">
      <w:pPr>
        <w:snapToGrid w:val="0"/>
        <w:spacing w:line="520" w:lineRule="exact"/>
        <w:rPr>
          <w:rFonts w:ascii="仿宋_GB2312" w:hAnsi="微软雅黑" w:eastAsia="仿宋_GB2312" w:cs="Times New Roman"/>
          <w:color w:val="auto"/>
          <w:sz w:val="32"/>
          <w:szCs w:val="32"/>
        </w:rPr>
      </w:pPr>
    </w:p>
    <w:p w14:paraId="7FCEA02B">
      <w:pPr>
        <w:widowControl/>
        <w:spacing w:line="520" w:lineRule="exact"/>
        <w:ind w:firstLine="6720" w:firstLineChars="2100"/>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湘潭县司法局</w:t>
      </w:r>
    </w:p>
    <w:p w14:paraId="2CDE505D">
      <w:pPr>
        <w:widowControl/>
        <w:spacing w:line="520" w:lineRule="exact"/>
        <w:ind w:firstLine="6400" w:firstLineChars="2000"/>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2021年08月02日</w:t>
      </w:r>
    </w:p>
    <w:p w14:paraId="01834BB3">
      <w:pPr>
        <w:ind w:firstLine="640" w:firstLineChars="200"/>
        <w:jc w:val="left"/>
        <w:rPr>
          <w:rFonts w:cs="黑体" w:asciiTheme="minorEastAsia" w:hAnsiTheme="minorEastAsia"/>
          <w:color w:val="auto"/>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2C971C"/>
    <w:multiLevelType w:val="singleLevel"/>
    <w:tmpl w:val="B92C971C"/>
    <w:lvl w:ilvl="0" w:tentative="0">
      <w:start w:val="8"/>
      <w:numFmt w:val="decimal"/>
      <w:suff w:val="nothing"/>
      <w:lvlText w:val="%1、"/>
      <w:lvlJc w:val="left"/>
    </w:lvl>
  </w:abstractNum>
  <w:abstractNum w:abstractNumId="1">
    <w:nsid w:val="1CE37379"/>
    <w:multiLevelType w:val="multilevel"/>
    <w:tmpl w:val="1CE37379"/>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WJiZjBhZWVjNDRlNGEyNzkzZjJkOWQxM2UwZGJiYjcifQ=="/>
  </w:docVars>
  <w:rsids>
    <w:rsidRoot w:val="004506F9"/>
    <w:rsid w:val="00017997"/>
    <w:rsid w:val="0002229B"/>
    <w:rsid w:val="000273BD"/>
    <w:rsid w:val="000415B7"/>
    <w:rsid w:val="00041E3F"/>
    <w:rsid w:val="00055DAA"/>
    <w:rsid w:val="00061F7B"/>
    <w:rsid w:val="000658A3"/>
    <w:rsid w:val="00074155"/>
    <w:rsid w:val="000821C9"/>
    <w:rsid w:val="00083858"/>
    <w:rsid w:val="000A3F69"/>
    <w:rsid w:val="00103957"/>
    <w:rsid w:val="00152C6D"/>
    <w:rsid w:val="00162D39"/>
    <w:rsid w:val="001678BD"/>
    <w:rsid w:val="001A67DB"/>
    <w:rsid w:val="001C3C29"/>
    <w:rsid w:val="001C7AF3"/>
    <w:rsid w:val="001D51E5"/>
    <w:rsid w:val="001E080D"/>
    <w:rsid w:val="001E53D0"/>
    <w:rsid w:val="001F0C3B"/>
    <w:rsid w:val="00202C82"/>
    <w:rsid w:val="00207306"/>
    <w:rsid w:val="00214427"/>
    <w:rsid w:val="0022463D"/>
    <w:rsid w:val="00226CB7"/>
    <w:rsid w:val="00246F90"/>
    <w:rsid w:val="00264552"/>
    <w:rsid w:val="00264EF9"/>
    <w:rsid w:val="00265724"/>
    <w:rsid w:val="0027426B"/>
    <w:rsid w:val="002E0A30"/>
    <w:rsid w:val="003130C4"/>
    <w:rsid w:val="00316C4B"/>
    <w:rsid w:val="0032192B"/>
    <w:rsid w:val="003479BD"/>
    <w:rsid w:val="0037197D"/>
    <w:rsid w:val="00371A73"/>
    <w:rsid w:val="003768D5"/>
    <w:rsid w:val="003B7B27"/>
    <w:rsid w:val="003C47E6"/>
    <w:rsid w:val="003C4FC2"/>
    <w:rsid w:val="003D3C90"/>
    <w:rsid w:val="00416E61"/>
    <w:rsid w:val="0042790C"/>
    <w:rsid w:val="004506F9"/>
    <w:rsid w:val="004717A2"/>
    <w:rsid w:val="00473DF3"/>
    <w:rsid w:val="00487911"/>
    <w:rsid w:val="00491741"/>
    <w:rsid w:val="004B0102"/>
    <w:rsid w:val="00500E5F"/>
    <w:rsid w:val="005122EF"/>
    <w:rsid w:val="0051441A"/>
    <w:rsid w:val="00517C33"/>
    <w:rsid w:val="00523644"/>
    <w:rsid w:val="0054069E"/>
    <w:rsid w:val="00544866"/>
    <w:rsid w:val="005767CC"/>
    <w:rsid w:val="0058565A"/>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2DDD"/>
    <w:rsid w:val="007C4539"/>
    <w:rsid w:val="007F3657"/>
    <w:rsid w:val="00812ED5"/>
    <w:rsid w:val="0081325F"/>
    <w:rsid w:val="008219FA"/>
    <w:rsid w:val="008277D9"/>
    <w:rsid w:val="0084478C"/>
    <w:rsid w:val="0086638C"/>
    <w:rsid w:val="008A0DBE"/>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5A2"/>
    <w:rsid w:val="00A71D9F"/>
    <w:rsid w:val="00A92E9F"/>
    <w:rsid w:val="00B33BEA"/>
    <w:rsid w:val="00B53FF9"/>
    <w:rsid w:val="00B57C9F"/>
    <w:rsid w:val="00B63572"/>
    <w:rsid w:val="00B71198"/>
    <w:rsid w:val="00B845B3"/>
    <w:rsid w:val="00B85D8B"/>
    <w:rsid w:val="00BA269C"/>
    <w:rsid w:val="00BB4A40"/>
    <w:rsid w:val="00BC03A2"/>
    <w:rsid w:val="00BD6C3E"/>
    <w:rsid w:val="00BE3674"/>
    <w:rsid w:val="00C10681"/>
    <w:rsid w:val="00C3049A"/>
    <w:rsid w:val="00C31B1E"/>
    <w:rsid w:val="00C543D1"/>
    <w:rsid w:val="00C77645"/>
    <w:rsid w:val="00CE04C3"/>
    <w:rsid w:val="00CE76A0"/>
    <w:rsid w:val="00D06D46"/>
    <w:rsid w:val="00D148C6"/>
    <w:rsid w:val="00D16C91"/>
    <w:rsid w:val="00D17A8A"/>
    <w:rsid w:val="00D415BA"/>
    <w:rsid w:val="00D644EE"/>
    <w:rsid w:val="00DD06FF"/>
    <w:rsid w:val="00DD5FE9"/>
    <w:rsid w:val="00DF3456"/>
    <w:rsid w:val="00E00C7A"/>
    <w:rsid w:val="00E230DA"/>
    <w:rsid w:val="00E37D6C"/>
    <w:rsid w:val="00E55B68"/>
    <w:rsid w:val="00E67BE6"/>
    <w:rsid w:val="00E8683C"/>
    <w:rsid w:val="00EA2B72"/>
    <w:rsid w:val="00F74360"/>
    <w:rsid w:val="00FB462F"/>
    <w:rsid w:val="00FE16FA"/>
    <w:rsid w:val="00FE328A"/>
    <w:rsid w:val="00FE6269"/>
    <w:rsid w:val="0127533C"/>
    <w:rsid w:val="02851187"/>
    <w:rsid w:val="03D57CF9"/>
    <w:rsid w:val="03E41A3C"/>
    <w:rsid w:val="04FE700A"/>
    <w:rsid w:val="05483AD3"/>
    <w:rsid w:val="0650446B"/>
    <w:rsid w:val="0751016F"/>
    <w:rsid w:val="0CDC2947"/>
    <w:rsid w:val="0D044989"/>
    <w:rsid w:val="0E5C7457"/>
    <w:rsid w:val="0EB126E9"/>
    <w:rsid w:val="0F8C6CB2"/>
    <w:rsid w:val="123E24E6"/>
    <w:rsid w:val="12AA23A4"/>
    <w:rsid w:val="1977008B"/>
    <w:rsid w:val="1ABC0A0C"/>
    <w:rsid w:val="1ACD4355"/>
    <w:rsid w:val="1C3F7586"/>
    <w:rsid w:val="1E6E61A5"/>
    <w:rsid w:val="1F99651E"/>
    <w:rsid w:val="250C2CCA"/>
    <w:rsid w:val="25AD1665"/>
    <w:rsid w:val="261346F4"/>
    <w:rsid w:val="27DA1D77"/>
    <w:rsid w:val="286538C2"/>
    <w:rsid w:val="29253660"/>
    <w:rsid w:val="2B955C99"/>
    <w:rsid w:val="2C4F370C"/>
    <w:rsid w:val="2D5130F0"/>
    <w:rsid w:val="2D5F37E7"/>
    <w:rsid w:val="2D722D3B"/>
    <w:rsid w:val="2EC41B6D"/>
    <w:rsid w:val="2F2F2D21"/>
    <w:rsid w:val="32546E92"/>
    <w:rsid w:val="32C852C0"/>
    <w:rsid w:val="32F9088B"/>
    <w:rsid w:val="357A11D7"/>
    <w:rsid w:val="36440D0A"/>
    <w:rsid w:val="369667C4"/>
    <w:rsid w:val="3862667F"/>
    <w:rsid w:val="38EC419A"/>
    <w:rsid w:val="3A811168"/>
    <w:rsid w:val="3DA16634"/>
    <w:rsid w:val="41EA310E"/>
    <w:rsid w:val="426E3E72"/>
    <w:rsid w:val="43DD4E0B"/>
    <w:rsid w:val="44053316"/>
    <w:rsid w:val="45F613A9"/>
    <w:rsid w:val="47CA527B"/>
    <w:rsid w:val="47D74267"/>
    <w:rsid w:val="48240657"/>
    <w:rsid w:val="49232622"/>
    <w:rsid w:val="4A365275"/>
    <w:rsid w:val="4A3B0ADD"/>
    <w:rsid w:val="4B893EA4"/>
    <w:rsid w:val="4BC76FBB"/>
    <w:rsid w:val="4C673E0C"/>
    <w:rsid w:val="4FB76E58"/>
    <w:rsid w:val="517D0581"/>
    <w:rsid w:val="5349426B"/>
    <w:rsid w:val="556829A3"/>
    <w:rsid w:val="56E84E40"/>
    <w:rsid w:val="58377467"/>
    <w:rsid w:val="58A8095E"/>
    <w:rsid w:val="59260BAB"/>
    <w:rsid w:val="59C95934"/>
    <w:rsid w:val="59E52814"/>
    <w:rsid w:val="5ABE6B2F"/>
    <w:rsid w:val="5AEB0ABF"/>
    <w:rsid w:val="5FC01D30"/>
    <w:rsid w:val="60762418"/>
    <w:rsid w:val="62146170"/>
    <w:rsid w:val="640E0518"/>
    <w:rsid w:val="64B615F5"/>
    <w:rsid w:val="660D737A"/>
    <w:rsid w:val="66E225B5"/>
    <w:rsid w:val="67DA3AA7"/>
    <w:rsid w:val="695D23C7"/>
    <w:rsid w:val="6AAD6A36"/>
    <w:rsid w:val="6EA840E4"/>
    <w:rsid w:val="6EBF142E"/>
    <w:rsid w:val="71533A9C"/>
    <w:rsid w:val="71A30B17"/>
    <w:rsid w:val="73E159A2"/>
    <w:rsid w:val="74F1388F"/>
    <w:rsid w:val="75D4756D"/>
    <w:rsid w:val="7CCF4F32"/>
    <w:rsid w:val="7E863F64"/>
    <w:rsid w:val="7EBB576E"/>
    <w:rsid w:val="7F4869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link w:val="12"/>
    <w:autoRedefine/>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qFormat/>
    <w:uiPriority w:val="99"/>
    <w:rPr>
      <w:sz w:val="18"/>
      <w:szCs w:val="18"/>
    </w:rPr>
  </w:style>
  <w:style w:type="paragraph" w:customStyle="1" w:styleId="10">
    <w:name w:val="Default"/>
    <w:autoRedefine/>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autoRedefine/>
    <w:qFormat/>
    <w:uiPriority w:val="34"/>
    <w:pPr>
      <w:ind w:firstLine="420" w:firstLineChars="200"/>
    </w:pPr>
  </w:style>
  <w:style w:type="character" w:customStyle="1" w:styleId="12">
    <w:name w:val="批注框文本 Char"/>
    <w:basedOn w:val="7"/>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1851</Words>
  <Characters>1900</Characters>
  <Lines>119</Lines>
  <Paragraphs>33</Paragraphs>
  <TotalTime>13</TotalTime>
  <ScaleCrop>false</ScaleCrop>
  <LinksUpToDate>false</LinksUpToDate>
  <CharactersWithSpaces>1902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2021-08-01T06:22:00Z</dcterms:created>
  <dc:creator>李航 null</dc:creator>
  <cp:lastModifiedBy>大旭子专用号～</cp:lastModifiedBy>
  <cp:lastPrinted>2021-07-28T00:12:00Z</cp:lastPrinted>
  <dcterms:modified xsi:type="dcterms:W3CDTF">2025-03-17T07:26:56Z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ACE3F4352CD346F8B7ED5EC6F877738A</vt:lpwstr>
  </property>
  <property fmtid="{D5CDD505-2E9C-101B-9397-08002B2CF9AE}" pid="4" name="KSOTemplateDocerSaveRecord">
    <vt:lpwstr>eyJoZGlkIjoiYWJiZjBhZWVjNDRlNGEyNzkzZjJkOWQxM2UwZGJiYjciLCJ1c2VySWQiOiIzMDQzOTM1OTkifQ==</vt:lpwstr>
  </property>
</Properties>
</file>