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highlight w:val="none"/>
        </w:rPr>
      </w:pPr>
    </w:p>
    <w:p>
      <w:pPr>
        <w:pStyle w:val="13"/>
        <w:jc w:val="center"/>
        <w:rPr>
          <w:sz w:val="56"/>
          <w:szCs w:val="56"/>
          <w:highlight w:val="none"/>
        </w:rPr>
      </w:pPr>
    </w:p>
    <w:p>
      <w:pPr>
        <w:pStyle w:val="13"/>
        <w:jc w:val="center"/>
        <w:rPr>
          <w:sz w:val="84"/>
          <w:szCs w:val="84"/>
          <w:highlight w:val="none"/>
        </w:rPr>
      </w:pPr>
    </w:p>
    <w:p>
      <w:pPr>
        <w:pStyle w:val="13"/>
        <w:jc w:val="center"/>
        <w:rPr>
          <w:sz w:val="84"/>
          <w:szCs w:val="84"/>
          <w:highlight w:val="none"/>
        </w:rPr>
      </w:pPr>
    </w:p>
    <w:p>
      <w:pPr>
        <w:pStyle w:val="13"/>
        <w:jc w:val="center"/>
        <w:rPr>
          <w:sz w:val="84"/>
          <w:szCs w:val="84"/>
          <w:highlight w:val="none"/>
        </w:rPr>
      </w:pPr>
      <w:r>
        <w:rPr>
          <w:rFonts w:hint="eastAsia"/>
          <w:sz w:val="84"/>
          <w:szCs w:val="84"/>
          <w:highlight w:val="none"/>
        </w:rPr>
        <w:t>2022年度</w:t>
      </w:r>
    </w:p>
    <w:p>
      <w:pPr>
        <w:pStyle w:val="13"/>
        <w:jc w:val="center"/>
        <w:rPr>
          <w:sz w:val="84"/>
          <w:szCs w:val="84"/>
          <w:highlight w:val="none"/>
        </w:rPr>
      </w:pPr>
      <w:r>
        <w:rPr>
          <w:rFonts w:hint="eastAsia"/>
          <w:sz w:val="84"/>
          <w:szCs w:val="84"/>
          <w:highlight w:val="none"/>
        </w:rPr>
        <w:t>湘潭县发展和改革局部门</w:t>
      </w:r>
    </w:p>
    <w:p>
      <w:pPr>
        <w:pStyle w:val="13"/>
        <w:jc w:val="center"/>
        <w:rPr>
          <w:sz w:val="84"/>
          <w:szCs w:val="84"/>
          <w:highlight w:val="none"/>
        </w:rPr>
      </w:pPr>
      <w:r>
        <w:rPr>
          <w:rFonts w:hint="eastAsia"/>
          <w:sz w:val="84"/>
          <w:szCs w:val="84"/>
          <w:highlight w:val="none"/>
        </w:rPr>
        <w:t>决算</w:t>
      </w:r>
    </w:p>
    <w:p>
      <w:pPr>
        <w:pStyle w:val="13"/>
        <w:jc w:val="center"/>
        <w:rPr>
          <w:sz w:val="56"/>
          <w:szCs w:val="56"/>
          <w:highlight w:val="none"/>
        </w:rPr>
      </w:pPr>
    </w:p>
    <w:p>
      <w:pPr>
        <w:pStyle w:val="13"/>
        <w:jc w:val="center"/>
        <w:rPr>
          <w:sz w:val="56"/>
          <w:szCs w:val="56"/>
          <w:highlight w:val="none"/>
        </w:rPr>
      </w:pPr>
    </w:p>
    <w:p>
      <w:pPr>
        <w:pStyle w:val="13"/>
        <w:jc w:val="center"/>
        <w:rPr>
          <w:sz w:val="56"/>
          <w:szCs w:val="56"/>
          <w:highlight w:val="none"/>
        </w:rPr>
      </w:pPr>
    </w:p>
    <w:p>
      <w:pPr>
        <w:pStyle w:val="13"/>
        <w:jc w:val="center"/>
        <w:rPr>
          <w:sz w:val="56"/>
          <w:szCs w:val="56"/>
          <w:highlight w:val="none"/>
        </w:rPr>
      </w:pPr>
    </w:p>
    <w:p>
      <w:pPr>
        <w:pStyle w:val="13"/>
        <w:jc w:val="center"/>
        <w:rPr>
          <w:sz w:val="32"/>
          <w:szCs w:val="32"/>
          <w:highlight w:val="none"/>
        </w:rPr>
      </w:pPr>
    </w:p>
    <w:p>
      <w:pPr>
        <w:pStyle w:val="13"/>
        <w:jc w:val="center"/>
        <w:rPr>
          <w:sz w:val="32"/>
          <w:szCs w:val="32"/>
          <w:highlight w:val="none"/>
        </w:rPr>
      </w:pPr>
    </w:p>
    <w:p>
      <w:pPr>
        <w:pStyle w:val="13"/>
        <w:jc w:val="center"/>
        <w:rPr>
          <w:sz w:val="32"/>
          <w:szCs w:val="32"/>
          <w:highlight w:val="none"/>
        </w:rPr>
      </w:pPr>
    </w:p>
    <w:p>
      <w:pPr>
        <w:pStyle w:val="13"/>
        <w:spacing w:line="540" w:lineRule="exact"/>
        <w:jc w:val="center"/>
        <w:rPr>
          <w:sz w:val="56"/>
          <w:szCs w:val="56"/>
          <w:highlight w:val="none"/>
        </w:rPr>
      </w:pPr>
    </w:p>
    <w:p>
      <w:pPr>
        <w:pStyle w:val="13"/>
        <w:spacing w:line="500" w:lineRule="exact"/>
        <w:jc w:val="center"/>
        <w:rPr>
          <w:b/>
          <w:sz w:val="36"/>
          <w:szCs w:val="28"/>
          <w:highlight w:val="none"/>
        </w:rPr>
      </w:pPr>
    </w:p>
    <w:p>
      <w:pPr>
        <w:pStyle w:val="13"/>
        <w:spacing w:line="500" w:lineRule="exact"/>
        <w:jc w:val="center"/>
        <w:rPr>
          <w:b/>
          <w:sz w:val="36"/>
          <w:szCs w:val="28"/>
          <w:highlight w:val="none"/>
        </w:rPr>
      </w:pPr>
    </w:p>
    <w:p>
      <w:pPr>
        <w:pStyle w:val="13"/>
        <w:spacing w:line="500" w:lineRule="exact"/>
        <w:jc w:val="center"/>
        <w:rPr>
          <w:b/>
          <w:sz w:val="36"/>
          <w:szCs w:val="28"/>
          <w:highlight w:val="none"/>
        </w:rPr>
      </w:pPr>
      <w:r>
        <w:rPr>
          <w:rFonts w:hint="eastAsia"/>
          <w:b/>
          <w:sz w:val="36"/>
          <w:szCs w:val="28"/>
          <w:highlight w:val="none"/>
        </w:rPr>
        <w:t>目录</w:t>
      </w:r>
    </w:p>
    <w:p>
      <w:pPr>
        <w:pStyle w:val="13"/>
        <w:spacing w:line="500" w:lineRule="exact"/>
        <w:outlineLvl w:val="0"/>
        <w:rPr>
          <w:rFonts w:ascii="仿宋_GB2312" w:hAnsi="仿宋_GB2312" w:cs="仿宋_GB2312"/>
          <w:b/>
          <w:sz w:val="28"/>
          <w:szCs w:val="28"/>
          <w:highlight w:val="none"/>
        </w:rPr>
      </w:pPr>
      <w:r>
        <w:rPr>
          <w:rFonts w:hint="eastAsia"/>
          <w:b/>
          <w:sz w:val="28"/>
          <w:szCs w:val="28"/>
          <w:highlight w:val="none"/>
        </w:rPr>
        <w:t>第一部分湘潭县发展和改革局单位概况</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一、部门职责</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二、机构设置</w:t>
      </w:r>
    </w:p>
    <w:p>
      <w:pPr>
        <w:pStyle w:val="13"/>
        <w:spacing w:line="500" w:lineRule="exact"/>
        <w:outlineLvl w:val="0"/>
        <w:rPr>
          <w:rFonts w:ascii="仿宋_GB2312" w:hAnsi="仿宋_GB2312" w:cs="仿宋_GB2312"/>
          <w:b/>
          <w:sz w:val="28"/>
          <w:szCs w:val="28"/>
          <w:highlight w:val="none"/>
        </w:rPr>
      </w:pPr>
      <w:r>
        <w:rPr>
          <w:rFonts w:hint="eastAsia" w:hAnsi="仿宋_GB2312"/>
          <w:b/>
          <w:sz w:val="28"/>
          <w:szCs w:val="28"/>
          <w:highlight w:val="none"/>
        </w:rPr>
        <w:t>第二部分</w:t>
      </w:r>
      <w:r>
        <w:rPr>
          <w:rFonts w:hAnsi="仿宋_GB2312"/>
          <w:b/>
          <w:sz w:val="28"/>
          <w:szCs w:val="28"/>
          <w:highlight w:val="none"/>
        </w:rPr>
        <w:t>20</w:t>
      </w:r>
      <w:r>
        <w:rPr>
          <w:rFonts w:hint="eastAsia" w:hAnsi="仿宋_GB2312"/>
          <w:b/>
          <w:sz w:val="28"/>
          <w:szCs w:val="28"/>
          <w:highlight w:val="none"/>
        </w:rPr>
        <w:t>22年度部门决算表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一、收入支出决算总表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二、收入决算表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三、支出决算表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四、财政拨款收入支出决算总表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五、一般公共预算财政拨款支出决算表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六、一般公共预算财政拨款基本支出决算表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七、一般公共预算财政拨款“三公”经费支出决算表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cs="仿宋_GB2312" w:asciiTheme="minorEastAsia" w:hAnsiTheme="minorEastAsia" w:eastAsiaTheme="minorEastAsia"/>
          <w:sz w:val="28"/>
          <w:szCs w:val="28"/>
          <w:highlight w:val="none"/>
        </w:rPr>
        <w:t>八、政府性基金预算财政拨款收入支出决算表</w:t>
      </w:r>
    </w:p>
    <w:p>
      <w:pPr>
        <w:pStyle w:val="13"/>
        <w:spacing w:line="500" w:lineRule="exact"/>
        <w:ind w:firstLine="700" w:firstLineChars="250"/>
        <w:rPr>
          <w:rFonts w:cs="仿宋_GB2312" w:asciiTheme="minorEastAsia" w:hAnsiTheme="minorEastAsia" w:eastAsiaTheme="minorEastAsia"/>
          <w:sz w:val="28"/>
          <w:szCs w:val="28"/>
          <w:highlight w:val="none"/>
        </w:rPr>
      </w:pPr>
      <w:r>
        <w:rPr>
          <w:rFonts w:hint="eastAsia" w:cs="仿宋_GB2312" w:asciiTheme="minorEastAsia" w:hAnsiTheme="minorEastAsia" w:eastAsiaTheme="minorEastAsia"/>
          <w:sz w:val="28"/>
          <w:szCs w:val="28"/>
          <w:highlight w:val="none"/>
        </w:rPr>
        <w:t>九、国有资本经营预算财政拨款支出决算表</w:t>
      </w:r>
    </w:p>
    <w:p>
      <w:pPr>
        <w:pStyle w:val="13"/>
        <w:spacing w:line="500" w:lineRule="exact"/>
        <w:outlineLvl w:val="0"/>
        <w:rPr>
          <w:rFonts w:ascii="仿宋_GB2312" w:hAnsi="仿宋_GB2312" w:cs="仿宋_GB2312"/>
          <w:b/>
          <w:sz w:val="28"/>
          <w:szCs w:val="28"/>
          <w:highlight w:val="none"/>
        </w:rPr>
      </w:pPr>
      <w:r>
        <w:rPr>
          <w:rFonts w:hint="eastAsia" w:hAnsi="仿宋_GB2312"/>
          <w:b/>
          <w:sz w:val="28"/>
          <w:szCs w:val="28"/>
          <w:highlight w:val="none"/>
        </w:rPr>
        <w:t>第三部分</w:t>
      </w:r>
      <w:r>
        <w:rPr>
          <w:rFonts w:hAnsi="仿宋_GB2312"/>
          <w:b/>
          <w:sz w:val="28"/>
          <w:szCs w:val="28"/>
          <w:highlight w:val="none"/>
        </w:rPr>
        <w:t>20</w:t>
      </w:r>
      <w:r>
        <w:rPr>
          <w:rFonts w:hint="eastAsia" w:hAnsi="仿宋_GB2312"/>
          <w:b/>
          <w:sz w:val="28"/>
          <w:szCs w:val="28"/>
          <w:highlight w:val="none"/>
        </w:rPr>
        <w:t>22年度部门决算情况说明</w:t>
      </w:r>
    </w:p>
    <w:p>
      <w:pPr>
        <w:pStyle w:val="13"/>
        <w:spacing w:line="460" w:lineRule="exact"/>
        <w:ind w:firstLine="700" w:firstLineChars="250"/>
        <w:rPr>
          <w:rFonts w:ascii="宋体" w:hAnsi="宋体" w:eastAsia="宋体" w:cs="Times New Roman"/>
          <w:sz w:val="28"/>
          <w:szCs w:val="28"/>
          <w:highlight w:val="none"/>
        </w:rPr>
      </w:pPr>
      <w:r>
        <w:rPr>
          <w:rFonts w:hint="eastAsia" w:ascii="宋体" w:hAnsi="宋体" w:eastAsia="宋体" w:cs="宋体"/>
          <w:sz w:val="28"/>
          <w:szCs w:val="28"/>
          <w:highlight w:val="none"/>
        </w:rPr>
        <w:t>一、收入支出决算总体情况说明</w:t>
      </w:r>
    </w:p>
    <w:p>
      <w:pPr>
        <w:spacing w:line="460" w:lineRule="exact"/>
        <w:ind w:firstLine="700" w:firstLineChars="250"/>
        <w:jc w:val="left"/>
        <w:rPr>
          <w:rFonts w:ascii="仿宋_GB2312" w:eastAsia="仿宋_GB2312" w:cs="Times New Roman"/>
          <w:sz w:val="28"/>
          <w:szCs w:val="28"/>
          <w:highlight w:val="none"/>
        </w:rPr>
      </w:pPr>
      <w:r>
        <w:rPr>
          <w:rFonts w:hint="eastAsia" w:ascii="仿宋_GB2312" w:hAnsi="仿宋_GB2312" w:cs="宋体"/>
          <w:sz w:val="28"/>
          <w:szCs w:val="28"/>
          <w:highlight w:val="none"/>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八、政府性基金预算收入支出决算情况说明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九、国有资本经营预算财政拨款支出决算情况说明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highlight w:val="none"/>
        </w:rPr>
      </w:pPr>
      <w:r>
        <w:rPr>
          <w:rFonts w:hint="eastAsia" w:ascii="仿宋_GB2312" w:hAnsi="仿宋_GB2312" w:cs="宋体"/>
          <w:color w:val="000000"/>
          <w:kern w:val="0"/>
          <w:sz w:val="28"/>
          <w:szCs w:val="28"/>
          <w:highlight w:val="none"/>
        </w:rPr>
        <w:t>十二、关于政府采购支出说明</w:t>
      </w:r>
    </w:p>
    <w:p>
      <w:pPr>
        <w:pStyle w:val="13"/>
        <w:spacing w:line="460" w:lineRule="exact"/>
        <w:ind w:firstLine="700" w:firstLineChars="250"/>
        <w:rPr>
          <w:rFonts w:ascii="仿宋_GB2312" w:hAnsi="仿宋_GB2312" w:eastAsia="宋体" w:cs="Times New Roman"/>
          <w:sz w:val="28"/>
          <w:szCs w:val="28"/>
          <w:highlight w:val="none"/>
        </w:rPr>
      </w:pPr>
      <w:r>
        <w:rPr>
          <w:rFonts w:hint="eastAsia" w:ascii="仿宋_GB2312" w:hAnsi="仿宋_GB2312" w:eastAsia="宋体" w:cs="宋体"/>
          <w:sz w:val="28"/>
          <w:szCs w:val="28"/>
          <w:highlight w:val="none"/>
        </w:rPr>
        <w:t>十三、关于国有资产占用情况说明</w:t>
      </w:r>
    </w:p>
    <w:p>
      <w:pPr>
        <w:pStyle w:val="13"/>
        <w:spacing w:line="460" w:lineRule="exact"/>
        <w:ind w:firstLine="700" w:firstLineChars="250"/>
        <w:rPr>
          <w:rFonts w:ascii="仿宋_GB2312" w:hAnsi="仿宋_GB2312" w:eastAsia="宋体" w:cs="Times New Roman"/>
          <w:sz w:val="28"/>
          <w:szCs w:val="28"/>
          <w:highlight w:val="none"/>
        </w:rPr>
      </w:pPr>
      <w:r>
        <w:rPr>
          <w:rFonts w:hint="eastAsia" w:ascii="仿宋_GB2312" w:hAnsi="仿宋_GB2312" w:eastAsia="宋体" w:cs="宋体"/>
          <w:sz w:val="28"/>
          <w:szCs w:val="28"/>
          <w:highlight w:val="none"/>
        </w:rPr>
        <w:t>十四、关</w:t>
      </w:r>
      <w:r>
        <w:rPr>
          <w:rFonts w:hint="eastAsia" w:ascii="宋体" w:hAnsi="宋体" w:eastAsia="宋体" w:cs="宋体"/>
          <w:sz w:val="28"/>
          <w:szCs w:val="28"/>
          <w:highlight w:val="none"/>
        </w:rPr>
        <w:t>于</w:t>
      </w:r>
      <w:r>
        <w:rPr>
          <w:rFonts w:ascii="宋体" w:hAnsi="宋体" w:eastAsia="宋体" w:cs="宋体"/>
          <w:sz w:val="28"/>
          <w:szCs w:val="28"/>
          <w:highlight w:val="none"/>
        </w:rPr>
        <w:t>20</w:t>
      </w:r>
      <w:r>
        <w:rPr>
          <w:rFonts w:hint="eastAsia" w:ascii="宋体" w:hAnsi="宋体" w:eastAsia="宋体" w:cs="宋体"/>
          <w:sz w:val="28"/>
          <w:szCs w:val="28"/>
          <w:highlight w:val="none"/>
        </w:rPr>
        <w:t>22年</w:t>
      </w:r>
      <w:r>
        <w:rPr>
          <w:rFonts w:hint="eastAsia" w:ascii="仿宋_GB2312" w:hAnsi="仿宋_GB2312" w:eastAsia="宋体" w:cs="宋体"/>
          <w:sz w:val="28"/>
          <w:szCs w:val="28"/>
          <w:highlight w:val="none"/>
        </w:rPr>
        <w:t>度预算绩效情况的说明</w:t>
      </w:r>
    </w:p>
    <w:p>
      <w:pPr>
        <w:autoSpaceDE w:val="0"/>
        <w:autoSpaceDN w:val="0"/>
        <w:adjustRightInd w:val="0"/>
        <w:spacing w:line="500" w:lineRule="exact"/>
        <w:jc w:val="left"/>
        <w:outlineLvl w:val="0"/>
        <w:rPr>
          <w:rFonts w:ascii="黑体" w:hAnsi="黑体" w:eastAsia="黑体" w:cs="黑体"/>
          <w:b/>
          <w:color w:val="000000"/>
          <w:kern w:val="0"/>
          <w:sz w:val="28"/>
          <w:szCs w:val="28"/>
          <w:highlight w:val="none"/>
        </w:rPr>
      </w:pPr>
      <w:r>
        <w:rPr>
          <w:rFonts w:ascii="黑体" w:hAnsi="黑体" w:eastAsia="黑体" w:cs="黑体"/>
          <w:b/>
          <w:color w:val="000000"/>
          <w:kern w:val="0"/>
          <w:sz w:val="28"/>
          <w:szCs w:val="28"/>
          <w:highlight w:val="none"/>
        </w:rPr>
        <w:t>第四部分名词解释</w:t>
      </w:r>
    </w:p>
    <w:p>
      <w:pPr>
        <w:autoSpaceDE w:val="0"/>
        <w:autoSpaceDN w:val="0"/>
        <w:adjustRightInd w:val="0"/>
        <w:spacing w:line="500" w:lineRule="exact"/>
        <w:jc w:val="left"/>
        <w:outlineLvl w:val="0"/>
        <w:rPr>
          <w:rFonts w:ascii="黑体" w:hAnsi="黑体" w:eastAsia="黑体" w:cs="仿宋_GB2312"/>
          <w:b/>
          <w:color w:val="000000"/>
          <w:kern w:val="0"/>
          <w:sz w:val="28"/>
          <w:szCs w:val="28"/>
          <w:highlight w:val="none"/>
        </w:rPr>
      </w:pPr>
      <w:r>
        <w:rPr>
          <w:rFonts w:hint="eastAsia" w:ascii="黑体" w:hAnsi="黑体" w:eastAsia="黑体" w:cs="黑体"/>
          <w:b/>
          <w:color w:val="000000"/>
          <w:kern w:val="0"/>
          <w:sz w:val="28"/>
          <w:szCs w:val="28"/>
          <w:highlight w:val="none"/>
        </w:rPr>
        <w:t>第五部分附件</w:t>
      </w: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rPr>
          <w:sz w:val="72"/>
          <w:szCs w:val="72"/>
          <w:highlight w:val="none"/>
        </w:rPr>
      </w:pPr>
    </w:p>
    <w:p>
      <w:pPr>
        <w:pStyle w:val="13"/>
        <w:jc w:val="center"/>
        <w:rPr>
          <w:sz w:val="84"/>
          <w:szCs w:val="84"/>
          <w:highlight w:val="none"/>
        </w:rPr>
      </w:pPr>
      <w:r>
        <w:rPr>
          <w:rFonts w:hint="eastAsia"/>
          <w:sz w:val="84"/>
          <w:szCs w:val="84"/>
          <w:highlight w:val="none"/>
        </w:rPr>
        <w:t>第一部分</w:t>
      </w:r>
    </w:p>
    <w:p>
      <w:pPr>
        <w:pStyle w:val="13"/>
        <w:jc w:val="center"/>
        <w:rPr>
          <w:sz w:val="84"/>
          <w:szCs w:val="84"/>
          <w:highlight w:val="none"/>
        </w:rPr>
      </w:pPr>
    </w:p>
    <w:p>
      <w:pPr>
        <w:pStyle w:val="13"/>
        <w:jc w:val="center"/>
        <w:outlineLvl w:val="0"/>
        <w:rPr>
          <w:sz w:val="84"/>
          <w:szCs w:val="84"/>
          <w:highlight w:val="none"/>
        </w:rPr>
      </w:pPr>
      <w:r>
        <w:rPr>
          <w:rFonts w:hint="eastAsia"/>
          <w:sz w:val="84"/>
          <w:szCs w:val="84"/>
          <w:highlight w:val="none"/>
        </w:rPr>
        <w:t>湘潭县发展和改革局</w:t>
      </w:r>
    </w:p>
    <w:p>
      <w:pPr>
        <w:pStyle w:val="13"/>
        <w:jc w:val="center"/>
        <w:outlineLvl w:val="0"/>
        <w:rPr>
          <w:sz w:val="84"/>
          <w:szCs w:val="84"/>
          <w:highlight w:val="none"/>
        </w:rPr>
      </w:pPr>
      <w:r>
        <w:rPr>
          <w:rFonts w:hint="eastAsia"/>
          <w:sz w:val="84"/>
          <w:szCs w:val="84"/>
          <w:highlight w:val="none"/>
        </w:rPr>
        <w:t>单位概况</w:t>
      </w: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pPr>
    </w:p>
    <w:p>
      <w:pPr>
        <w:pStyle w:val="14"/>
        <w:ind w:left="720" w:firstLine="0" w:firstLineChars="0"/>
        <w:jc w:val="left"/>
        <w:rPr>
          <w:rFonts w:ascii="黑体" w:hAnsi="黑体" w:eastAsia="黑体"/>
          <w:sz w:val="32"/>
          <w:szCs w:val="32"/>
          <w:highlight w:val="none"/>
        </w:rPr>
      </w:pPr>
    </w:p>
    <w:p>
      <w:pPr>
        <w:pStyle w:val="14"/>
        <w:numPr>
          <w:ilvl w:val="0"/>
          <w:numId w:val="1"/>
        </w:numPr>
        <w:ind w:firstLineChars="0"/>
        <w:jc w:val="left"/>
        <w:outlineLvl w:val="0"/>
        <w:rPr>
          <w:rFonts w:ascii="黑体" w:hAnsi="黑体" w:eastAsia="黑体"/>
          <w:sz w:val="32"/>
          <w:szCs w:val="32"/>
          <w:highlight w:val="none"/>
        </w:rPr>
      </w:pPr>
      <w:r>
        <w:rPr>
          <w:rFonts w:ascii="黑体" w:hAnsi="黑体" w:eastAsia="黑体"/>
          <w:sz w:val="32"/>
          <w:szCs w:val="32"/>
          <w:highlight w:val="none"/>
        </w:rPr>
        <w:t>部门职责</w:t>
      </w:r>
    </w:p>
    <w:p>
      <w:pPr>
        <w:ind w:firstLine="640" w:firstLineChars="200"/>
        <w:jc w:val="left"/>
        <w:outlineLvl w:val="0"/>
        <w:rPr>
          <w:rFonts w:ascii="黑体" w:hAnsi="黑体" w:eastAsia="黑体"/>
          <w:sz w:val="32"/>
          <w:szCs w:val="32"/>
          <w:highlight w:val="none"/>
        </w:rPr>
      </w:pPr>
      <w:r>
        <w:rPr>
          <w:rFonts w:hint="eastAsia" w:asciiTheme="minorEastAsia" w:hAnsiTheme="minorEastAsia"/>
          <w:bCs/>
          <w:sz w:val="32"/>
          <w:szCs w:val="32"/>
          <w:highlight w:val="none"/>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（二）统筹协调经济社会发展。研究分析国内外、县内外经济形势和社会发展情况，监测预测预警全县宏观经济和社会发展态势，提出宏观调控措施和建议，协调解决宏观经济运行中的重大问题。</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（三）参与拟订财政政策、金融政策、土地政策等，汇总、分析政策的执行情况。负责企业债券发行的审查和申报，监督发行企业债券募集资金的使用。</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（十四）组织编制全县国民经济建设和国防建设协调发展的规划、计划，组织实施国民经济动员和装备动员有关工作。</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pStyle w:val="7"/>
        <w:shd w:val="clear" w:color="auto" w:fill="FFFFFF"/>
        <w:spacing w:before="0" w:beforeAutospacing="0" w:after="0" w:afterAutospacing="0" w:line="480" w:lineRule="auto"/>
        <w:ind w:firstLine="480" w:firstLineChars="15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pStyle w:val="7"/>
        <w:shd w:val="clear" w:color="auto" w:fill="FFFFFF"/>
        <w:spacing w:before="0" w:beforeAutospacing="0" w:after="0" w:afterAutospacing="0" w:line="480" w:lineRule="auto"/>
        <w:ind w:firstLine="480" w:firstLineChars="15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（十九）统筹推进信用体系建设工作。</w:t>
      </w:r>
    </w:p>
    <w:p>
      <w:pPr>
        <w:pStyle w:val="7"/>
        <w:shd w:val="clear" w:color="auto" w:fill="FFFFFF"/>
        <w:spacing w:before="0" w:beforeAutospacing="0" w:after="0" w:afterAutospacing="0" w:line="480" w:lineRule="auto"/>
        <w:ind w:firstLine="640" w:firstLineChars="200"/>
        <w:jc w:val="both"/>
        <w:rPr>
          <w:rFonts w:asciiTheme="minorEastAsia" w:hAnsiTheme="minorEastAsia" w:eastAsiaTheme="minorEastAsia" w:cstheme="minorBidi"/>
          <w:bCs/>
          <w:sz w:val="32"/>
          <w:szCs w:val="32"/>
          <w:highlight w:val="none"/>
        </w:rPr>
      </w:pPr>
      <w:r>
        <w:rPr>
          <w:rFonts w:hint="eastAsia" w:asciiTheme="minorEastAsia" w:hAnsiTheme="minorEastAsia" w:eastAsiaTheme="minorEastAsia" w:cstheme="minorBidi"/>
          <w:bCs/>
          <w:sz w:val="32"/>
          <w:szCs w:val="32"/>
          <w:highlight w:val="none"/>
        </w:rPr>
        <w:t>（二十）完成县委、县政府交办的其他任务。</w:t>
      </w:r>
    </w:p>
    <w:p>
      <w:pPr>
        <w:widowControl/>
        <w:spacing w:line="600" w:lineRule="exact"/>
        <w:outlineLvl w:val="0"/>
        <w:rPr>
          <w:rFonts w:ascii="黑体" w:hAnsi="黑体" w:eastAsia="黑体"/>
          <w:bCs/>
          <w:kern w:val="0"/>
          <w:sz w:val="32"/>
          <w:szCs w:val="32"/>
          <w:highlight w:val="none"/>
        </w:rPr>
      </w:pPr>
      <w:r>
        <w:rPr>
          <w:rFonts w:hint="eastAsia" w:ascii="黑体" w:hAnsi="黑体" w:eastAsia="黑体"/>
          <w:bCs/>
          <w:kern w:val="0"/>
          <w:sz w:val="32"/>
          <w:szCs w:val="32"/>
          <w:highlight w:val="none"/>
        </w:rPr>
        <w:t>二、机构设置及决算单位构成</w:t>
      </w:r>
    </w:p>
    <w:p>
      <w:pPr>
        <w:widowControl/>
        <w:spacing w:line="600" w:lineRule="exact"/>
        <w:ind w:firstLine="640" w:firstLineChars="200"/>
        <w:rPr>
          <w:rFonts w:asciiTheme="minorEastAsia" w:hAnsiTheme="minorEastAsia"/>
          <w:bCs/>
          <w:kern w:val="0"/>
          <w:sz w:val="32"/>
          <w:szCs w:val="32"/>
          <w:highlight w:val="none"/>
        </w:rPr>
      </w:pPr>
      <w:r>
        <w:rPr>
          <w:rFonts w:hint="eastAsia" w:asciiTheme="minorEastAsia" w:hAnsiTheme="minorEastAsia"/>
          <w:bCs/>
          <w:kern w:val="0"/>
          <w:sz w:val="32"/>
          <w:szCs w:val="32"/>
          <w:highlight w:val="none"/>
        </w:rPr>
        <w:t>（一）内设机构设置。湘潭县发展和改革局内设机构包括：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湘潭县重点建设项目事务中心、湘潭县政府投资项目评审中心、湘潭县重点项目开发前期服务中心、湘潭县价格监测服务中心、长株潭一体化发展事务中心。2022年本部门核定编制人数44名，其中，行政编制16人，事业编制25人，后勤编制3人；实有在职人员41人，其中，行政人员14人，非参公事业人员26人，机关后勤人员1人；退休人员73人，遗属人员7人。</w:t>
      </w:r>
    </w:p>
    <w:p>
      <w:pPr>
        <w:widowControl/>
        <w:spacing w:line="600" w:lineRule="exact"/>
        <w:ind w:firstLine="640" w:firstLineChars="200"/>
        <w:rPr>
          <w:rFonts w:ascii="仿宋_GB2312" w:hAnsi="宋体" w:eastAsia="仿宋_GB2312" w:cs="Times New Roman"/>
          <w:sz w:val="28"/>
          <w:szCs w:val="28"/>
          <w:highlight w:val="none"/>
        </w:rPr>
      </w:pPr>
      <w:r>
        <w:rPr>
          <w:rFonts w:hint="eastAsia" w:asciiTheme="minorEastAsia" w:hAnsiTheme="minorEastAsia"/>
          <w:bCs/>
          <w:kern w:val="0"/>
          <w:sz w:val="32"/>
          <w:szCs w:val="32"/>
          <w:highlight w:val="none"/>
        </w:rPr>
        <w:t>（二）决算单位构成。湘潭县发展和改革局2022年部门决算</w:t>
      </w:r>
      <w:r>
        <w:rPr>
          <w:rFonts w:hint="eastAsia" w:ascii="宋体" w:hAnsi="宋体" w:cs="宋体"/>
          <w:kern w:val="0"/>
          <w:sz w:val="32"/>
          <w:szCs w:val="32"/>
          <w:highlight w:val="none"/>
        </w:rPr>
        <w:t>汇总公开单位</w:t>
      </w:r>
      <w:r>
        <w:rPr>
          <w:rFonts w:hint="eastAsia" w:asciiTheme="minorEastAsia" w:hAnsiTheme="minorEastAsia"/>
          <w:bCs/>
          <w:kern w:val="0"/>
          <w:sz w:val="32"/>
          <w:szCs w:val="32"/>
          <w:highlight w:val="none"/>
        </w:rPr>
        <w:t>构成包括：湘潭县发展和改革局单位本级，没有其他单位，因此本部门决算仅含本级决算。</w:t>
      </w:r>
    </w:p>
    <w:p>
      <w:pPr>
        <w:widowControl/>
        <w:spacing w:line="600" w:lineRule="exact"/>
        <w:ind w:firstLine="640" w:firstLineChars="200"/>
        <w:rPr>
          <w:rFonts w:asciiTheme="minorEastAsia" w:hAnsiTheme="minorEastAsia"/>
          <w:bCs/>
          <w:kern w:val="0"/>
          <w:sz w:val="32"/>
          <w:szCs w:val="32"/>
          <w:highlight w:val="none"/>
        </w:rPr>
      </w:pPr>
    </w:p>
    <w:p>
      <w:pPr>
        <w:widowControl/>
        <w:spacing w:line="600" w:lineRule="exact"/>
        <w:ind w:firstLine="320" w:firstLineChars="100"/>
        <w:rPr>
          <w:rFonts w:asciiTheme="minorEastAsia" w:hAnsiTheme="minorEastAsia"/>
          <w:bCs/>
          <w:kern w:val="0"/>
          <w:sz w:val="32"/>
          <w:szCs w:val="32"/>
          <w:highlight w:val="none"/>
        </w:rPr>
      </w:pPr>
    </w:p>
    <w:p>
      <w:pPr>
        <w:widowControl/>
        <w:spacing w:line="600" w:lineRule="exact"/>
        <w:ind w:firstLine="320" w:firstLineChars="100"/>
        <w:rPr>
          <w:rFonts w:asciiTheme="minorEastAsia" w:hAnsiTheme="minorEastAsia"/>
          <w:bCs/>
          <w:kern w:val="0"/>
          <w:sz w:val="32"/>
          <w:szCs w:val="32"/>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sz w:val="72"/>
          <w:szCs w:val="72"/>
          <w:highlight w:val="none"/>
        </w:rPr>
      </w:pPr>
    </w:p>
    <w:p>
      <w:pPr>
        <w:jc w:val="center"/>
        <w:rPr>
          <w:sz w:val="72"/>
          <w:szCs w:val="72"/>
          <w:highlight w:val="none"/>
        </w:rPr>
      </w:pPr>
    </w:p>
    <w:p>
      <w:pPr>
        <w:pStyle w:val="13"/>
        <w:jc w:val="center"/>
        <w:rPr>
          <w:sz w:val="84"/>
          <w:szCs w:val="84"/>
          <w:highlight w:val="none"/>
        </w:rPr>
      </w:pPr>
      <w:r>
        <w:rPr>
          <w:rFonts w:hint="eastAsia"/>
          <w:sz w:val="84"/>
          <w:szCs w:val="84"/>
          <w:highlight w:val="none"/>
        </w:rPr>
        <w:t>第二部分</w:t>
      </w:r>
    </w:p>
    <w:p>
      <w:pPr>
        <w:pStyle w:val="13"/>
        <w:jc w:val="center"/>
        <w:rPr>
          <w:sz w:val="84"/>
          <w:szCs w:val="84"/>
          <w:highlight w:val="none"/>
        </w:rPr>
      </w:pPr>
    </w:p>
    <w:p>
      <w:pPr>
        <w:pStyle w:val="13"/>
        <w:jc w:val="center"/>
        <w:rPr>
          <w:sz w:val="84"/>
          <w:szCs w:val="84"/>
          <w:highlight w:val="none"/>
        </w:rPr>
      </w:pPr>
      <w:r>
        <w:rPr>
          <w:rFonts w:hint="eastAsia"/>
          <w:sz w:val="84"/>
          <w:szCs w:val="84"/>
          <w:highlight w:val="none"/>
        </w:rPr>
        <w:t>部门决算表</w:t>
      </w:r>
    </w:p>
    <w:p>
      <w:pPr>
        <w:pStyle w:val="13"/>
        <w:jc w:val="center"/>
        <w:rPr>
          <w:sz w:val="84"/>
          <w:szCs w:val="84"/>
          <w:highlight w:val="none"/>
        </w:rPr>
      </w:pPr>
    </w:p>
    <w:p>
      <w:pPr>
        <w:jc w:val="center"/>
        <w:rPr>
          <w:sz w:val="72"/>
          <w:szCs w:val="72"/>
          <w:highlight w:val="none"/>
        </w:rPr>
      </w:pPr>
    </w:p>
    <w:p>
      <w:pPr>
        <w:jc w:val="center"/>
        <w:rPr>
          <w:sz w:val="72"/>
          <w:szCs w:val="72"/>
          <w:highlight w:val="none"/>
        </w:rPr>
      </w:pPr>
    </w:p>
    <w:p>
      <w:pPr>
        <w:jc w:val="center"/>
        <w:rPr>
          <w:sz w:val="72"/>
          <w:szCs w:val="72"/>
          <w:highlight w:val="none"/>
        </w:rPr>
        <w:sectPr>
          <w:pgSz w:w="11906" w:h="16838"/>
          <w:pgMar w:top="720" w:right="720" w:bottom="720" w:left="720" w:header="851" w:footer="992" w:gutter="0"/>
          <w:cols w:space="425" w:num="1"/>
          <w:docGrid w:type="lines" w:linePitch="312" w:charSpace="0"/>
        </w:sectPr>
      </w:pPr>
    </w:p>
    <w:p>
      <w:pPr>
        <w:jc w:val="left"/>
        <w:rPr>
          <w:sz w:val="32"/>
          <w:szCs w:val="32"/>
          <w:highlight w:val="none"/>
        </w:rPr>
      </w:pPr>
    </w:p>
    <w:tbl>
      <w:tblPr>
        <w:tblStyle w:val="9"/>
        <w:tblpPr w:leftFromText="180" w:rightFromText="180" w:vertAnchor="page" w:horzAnchor="margin" w:tblpXSpec="center" w:tblpY="1203"/>
        <w:tblW w:w="14129" w:type="dxa"/>
        <w:tblInd w:w="0" w:type="dxa"/>
        <w:tblLayout w:type="fixed"/>
        <w:tblCellMar>
          <w:top w:w="0" w:type="dxa"/>
          <w:left w:w="108" w:type="dxa"/>
          <w:bottom w:w="0" w:type="dxa"/>
          <w:right w:w="108" w:type="dxa"/>
        </w:tblCellMar>
      </w:tblPr>
      <w:tblGrid>
        <w:gridCol w:w="4138"/>
        <w:gridCol w:w="450"/>
        <w:gridCol w:w="633"/>
        <w:gridCol w:w="699"/>
        <w:gridCol w:w="237"/>
        <w:gridCol w:w="295"/>
        <w:gridCol w:w="3624"/>
        <w:gridCol w:w="1003"/>
        <w:gridCol w:w="869"/>
        <w:gridCol w:w="659"/>
        <w:gridCol w:w="1522"/>
      </w:tblGrid>
      <w:tr>
        <w:tblPrEx>
          <w:tblCellMar>
            <w:top w:w="0" w:type="dxa"/>
            <w:left w:w="108" w:type="dxa"/>
            <w:bottom w:w="0" w:type="dxa"/>
            <w:right w:w="108" w:type="dxa"/>
          </w:tblCellMar>
        </w:tblPrEx>
        <w:trPr>
          <w:trHeight w:val="355" w:hRule="atLeast"/>
        </w:trPr>
        <w:tc>
          <w:tcPr>
            <w:tcW w:w="14129"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highlight w:val="none"/>
              </w:rPr>
            </w:pPr>
            <w:r>
              <w:rPr>
                <w:rFonts w:hint="eastAsia" w:ascii="华文中宋" w:hAnsi="华文中宋" w:eastAsia="华文中宋" w:cs="宋体"/>
                <w:color w:val="000000"/>
                <w:kern w:val="0"/>
                <w:sz w:val="32"/>
                <w:szCs w:val="32"/>
                <w:highlight w:val="none"/>
              </w:rPr>
              <w:t>收入支出决算总表</w:t>
            </w:r>
          </w:p>
        </w:tc>
      </w:tr>
      <w:tr>
        <w:tblPrEx>
          <w:tblCellMar>
            <w:top w:w="0" w:type="dxa"/>
            <w:left w:w="108" w:type="dxa"/>
            <w:bottom w:w="0" w:type="dxa"/>
            <w:right w:w="108" w:type="dxa"/>
          </w:tblCellMar>
        </w:tblPrEx>
        <w:trPr>
          <w:trHeight w:val="196" w:hRule="atLeast"/>
        </w:trPr>
        <w:tc>
          <w:tcPr>
            <w:tcW w:w="522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公开01表</w:t>
            </w:r>
          </w:p>
        </w:tc>
      </w:tr>
      <w:tr>
        <w:tblPrEx>
          <w:tblCellMar>
            <w:top w:w="0" w:type="dxa"/>
            <w:left w:w="108" w:type="dxa"/>
            <w:bottom w:w="0" w:type="dxa"/>
            <w:right w:w="108" w:type="dxa"/>
          </w:tblCellMar>
        </w:tblPrEx>
        <w:trPr>
          <w:trHeight w:val="296" w:hRule="atLeast"/>
        </w:trPr>
        <w:tc>
          <w:tcPr>
            <w:tcW w:w="5221"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部门：湘潭县发展和改革局</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335" w:hRule="atLeast"/>
        </w:trPr>
        <w:tc>
          <w:tcPr>
            <w:tcW w:w="645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收入</w:t>
            </w:r>
          </w:p>
        </w:tc>
        <w:tc>
          <w:tcPr>
            <w:tcW w:w="767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支出</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决算数</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决算数</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31</w:t>
            </w: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ascii="宋体" w:hAnsi="宋体" w:eastAsia="宋体" w:cs="宋体"/>
                <w:kern w:val="0"/>
                <w:sz w:val="22"/>
                <w:highlight w:val="none"/>
              </w:rPr>
              <w:t>4,133.5</w:t>
            </w:r>
            <w:r>
              <w:rPr>
                <w:rFonts w:hint="eastAsia" w:ascii="宋体" w:hAnsi="宋体" w:eastAsia="宋体" w:cs="宋体"/>
                <w:kern w:val="0"/>
                <w:sz w:val="22"/>
                <w:highlight w:val="none"/>
              </w:rPr>
              <w:t>0</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一、一般公共服务支出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1,723.70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二、政府性基金预算财政拨款收入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二、外交支出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三、国有资本经营预算财政拨款收入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三、国防支出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四、上级补助收入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四、公共安全支出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五、事业收入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五、教育支出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89"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六、经营收入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六、科学技术支出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七、附属单位上缴收入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highlight w:val="none"/>
              </w:rPr>
            </w:pPr>
            <w:r>
              <w:rPr>
                <w:rFonts w:hint="eastAsia" w:ascii="宋体" w:hAnsi="宋体" w:eastAsia="宋体" w:cs="宋体"/>
                <w:color w:val="000000"/>
                <w:kern w:val="0"/>
                <w:sz w:val="22"/>
                <w:highlight w:val="none"/>
              </w:rPr>
              <w:t>七、文化旅游体育与传媒支出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八、其他收入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589.0</w:t>
            </w:r>
            <w:r>
              <w:rPr>
                <w:rFonts w:hint="eastAsia" w:ascii="宋体" w:hAnsi="宋体" w:eastAsia="宋体" w:cs="宋体"/>
                <w:kern w:val="0"/>
                <w:sz w:val="22"/>
                <w:highlight w:val="none"/>
              </w:rPr>
              <w:t>3</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highlight w:val="none"/>
              </w:rPr>
            </w:pPr>
            <w:r>
              <w:rPr>
                <w:rFonts w:hint="eastAsia" w:ascii="宋体" w:hAnsi="宋体" w:eastAsia="宋体" w:cs="宋体"/>
                <w:color w:val="000000"/>
                <w:kern w:val="0"/>
                <w:sz w:val="22"/>
                <w:highlight w:val="none"/>
              </w:rPr>
              <w:t>八、社会保障和就业支出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38</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59.63</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highlight w:val="none"/>
              </w:rPr>
            </w:pPr>
            <w:r>
              <w:rPr>
                <w:rFonts w:hint="eastAsia" w:ascii="宋体" w:hAnsi="宋体" w:eastAsia="宋体" w:cs="宋体"/>
                <w:color w:val="000000"/>
                <w:kern w:val="0"/>
                <w:sz w:val="22"/>
                <w:highlight w:val="none"/>
              </w:rPr>
              <w:t>九、卫生健康支出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39</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28.66</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highlight w:val="none"/>
              </w:rPr>
            </w:pPr>
            <w:r>
              <w:rPr>
                <w:rFonts w:hint="eastAsia" w:ascii="宋体" w:hAnsi="宋体" w:eastAsia="宋体" w:cs="宋体"/>
                <w:color w:val="000000"/>
                <w:kern w:val="0"/>
                <w:sz w:val="22"/>
                <w:highlight w:val="none"/>
              </w:rPr>
              <w:t>十、节能环保支出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40</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533.00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highlight w:val="none"/>
              </w:rPr>
            </w:pPr>
            <w:r>
              <w:rPr>
                <w:rFonts w:hint="eastAsia" w:ascii="宋体" w:hAnsi="宋体" w:eastAsia="宋体" w:cs="宋体"/>
                <w:color w:val="000000"/>
                <w:kern w:val="0"/>
                <w:sz w:val="22"/>
                <w:highlight w:val="none"/>
              </w:rPr>
              <w:t>十一、城乡社区支出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41</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100.00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rPr>
            </w:pPr>
            <w:r>
              <w:rPr>
                <w:rFonts w:hint="eastAsia" w:ascii="宋体" w:hAnsi="宋体" w:eastAsia="宋体" w:cs="宋体"/>
                <w:color w:val="000000"/>
                <w:kern w:val="0"/>
                <w:sz w:val="22"/>
                <w:highlight w:val="none"/>
              </w:rPr>
              <w:t>十二、农林水支出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42</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100.00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十三、交通运输支出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43</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0"/>
                <w:szCs w:val="20"/>
                <w:highlight w:val="none"/>
              </w:rPr>
            </w:pPr>
            <w:r>
              <w:rPr>
                <w:rFonts w:hint="eastAsia" w:ascii="宋体" w:hAnsi="宋体" w:eastAsia="宋体" w:cs="宋体"/>
                <w:color w:val="000000"/>
                <w:kern w:val="0"/>
                <w:sz w:val="22"/>
                <w:highlight w:val="none"/>
              </w:rPr>
              <w:t>十四、资源勘探工业信息等支出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44</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314.35</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十五、商业服务业等支出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十六、金融支出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46</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十七、援助其他地区支出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47</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十八、自然资源海洋气象等支出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48</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19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十九、住房保障支出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49</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637.28</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二十、粮油物资储备支出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50</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1,552.4</w:t>
            </w:r>
            <w:r>
              <w:rPr>
                <w:rFonts w:hint="eastAsia" w:ascii="宋体" w:hAnsi="宋体" w:eastAsia="宋体" w:cs="宋体"/>
                <w:kern w:val="0"/>
                <w:sz w:val="22"/>
                <w:highlight w:val="none"/>
              </w:rPr>
              <w:t>8</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二十一、国有资本经营预算支出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51</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89"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二十二、灾害防治及应急管理支出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二十三、其他支出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0"/>
                <w:szCs w:val="20"/>
                <w:highlight w:val="none"/>
              </w:rPr>
              <w:t>24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二十四、债务还本支出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0"/>
                <w:szCs w:val="20"/>
                <w:highlight w:val="none"/>
              </w:rPr>
              <w:t>25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二十五、债务付息支出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highlight w:val="none"/>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0"/>
                <w:szCs w:val="20"/>
                <w:highlight w:val="none"/>
              </w:rPr>
              <w:t>26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二十六、抗疫特别国债安排的支出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本年收入合计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highlight w:val="none"/>
              </w:rPr>
            </w:pPr>
            <w:r>
              <w:rPr>
                <w:rFonts w:hint="eastAsia" w:ascii="宋体" w:hAnsi="宋体" w:eastAsia="宋体" w:cs="宋体"/>
                <w:b/>
                <w:color w:val="000000"/>
                <w:kern w:val="0"/>
                <w:sz w:val="22"/>
                <w:highlight w:val="none"/>
              </w:rPr>
              <w:t>27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highlight w:val="none"/>
              </w:rPr>
            </w:pPr>
            <w:r>
              <w:rPr>
                <w:rFonts w:ascii="宋体" w:hAnsi="宋体" w:eastAsia="宋体" w:cs="宋体"/>
                <w:b/>
                <w:kern w:val="0"/>
                <w:sz w:val="22"/>
                <w:highlight w:val="none"/>
              </w:rPr>
              <w:t>4,722.53</w:t>
            </w:r>
          </w:p>
        </w:tc>
        <w:tc>
          <w:tcPr>
            <w:tcW w:w="362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本年支出合计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highlight w:val="none"/>
              </w:rPr>
            </w:pPr>
            <w:r>
              <w:rPr>
                <w:rFonts w:hint="eastAsia" w:ascii="宋体" w:hAnsi="宋体" w:eastAsia="宋体" w:cs="宋体"/>
                <w:b/>
                <w:color w:val="000000"/>
                <w:kern w:val="0"/>
                <w:sz w:val="22"/>
                <w:highlight w:val="none"/>
              </w:rPr>
              <w:t>57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highlight w:val="none"/>
              </w:rPr>
            </w:pPr>
            <w:r>
              <w:rPr>
                <w:rFonts w:ascii="宋体" w:hAnsi="宋体" w:eastAsia="宋体" w:cs="宋体"/>
                <w:b/>
                <w:kern w:val="0"/>
                <w:sz w:val="22"/>
                <w:highlight w:val="none"/>
              </w:rPr>
              <w:t>5,049.10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使用非财政拨款结余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28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结余分配</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58</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年初结转和结余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highlight w:val="none"/>
              </w:rPr>
            </w:pPr>
            <w:r>
              <w:rPr>
                <w:rFonts w:hint="eastAsia" w:ascii="宋体" w:hAnsi="宋体" w:eastAsia="宋体" w:cs="宋体"/>
                <w:color w:val="000000"/>
                <w:kern w:val="0"/>
                <w:sz w:val="22"/>
                <w:highlight w:val="none"/>
              </w:rPr>
              <w:t>29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ascii="宋体" w:hAnsi="宋体" w:eastAsia="宋体" w:cs="宋体"/>
                <w:kern w:val="0"/>
                <w:sz w:val="22"/>
                <w:highlight w:val="none"/>
              </w:rPr>
              <w:t>797.20</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 xml:space="preserve">                年末结转和结余</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highlight w:val="none"/>
              </w:rPr>
            </w:pPr>
            <w:r>
              <w:rPr>
                <w:rFonts w:hint="eastAsia" w:ascii="宋体" w:hAnsi="宋体" w:eastAsia="宋体" w:cs="宋体"/>
                <w:color w:val="000000"/>
                <w:kern w:val="0"/>
                <w:sz w:val="22"/>
                <w:highlight w:val="none"/>
              </w:rPr>
              <w:t>59</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r>
              <w:rPr>
                <w:rFonts w:ascii="宋体" w:hAnsi="宋体" w:eastAsia="宋体" w:cs="宋体"/>
                <w:kern w:val="0"/>
                <w:sz w:val="22"/>
                <w:highlight w:val="none"/>
              </w:rPr>
              <w:t>470.63</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highlight w:val="none"/>
              </w:rPr>
            </w:pPr>
            <w:r>
              <w:rPr>
                <w:rFonts w:hint="eastAsia" w:ascii="宋体" w:hAnsi="宋体" w:eastAsia="宋体" w:cs="宋体"/>
                <w:b/>
                <w:bCs/>
                <w:kern w:val="0"/>
                <w:sz w:val="22"/>
                <w:highlight w:val="none"/>
              </w:rPr>
              <w:t>30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highlight w:val="none"/>
              </w:rPr>
            </w:pPr>
            <w:r>
              <w:rPr>
                <w:rFonts w:ascii="宋体" w:hAnsi="宋体" w:eastAsia="宋体" w:cs="宋体"/>
                <w:b/>
                <w:kern w:val="0"/>
                <w:sz w:val="22"/>
                <w:highlight w:val="none"/>
              </w:rPr>
              <w:t>5,519.73</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highlight w:val="none"/>
              </w:rPr>
            </w:pPr>
            <w:r>
              <w:rPr>
                <w:rFonts w:hint="eastAsia" w:ascii="宋体" w:hAnsi="宋体" w:eastAsia="宋体" w:cs="宋体"/>
                <w:b/>
                <w:bCs/>
                <w:kern w:val="0"/>
                <w:sz w:val="22"/>
                <w:highlight w:val="none"/>
              </w:rPr>
              <w:t>总计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highlight w:val="none"/>
              </w:rPr>
            </w:pPr>
            <w:r>
              <w:rPr>
                <w:rFonts w:hint="eastAsia" w:ascii="宋体" w:hAnsi="宋体" w:eastAsia="宋体" w:cs="宋体"/>
                <w:b/>
                <w:color w:val="000000"/>
                <w:kern w:val="0"/>
                <w:sz w:val="22"/>
                <w:highlight w:val="none"/>
              </w:rPr>
              <w:t>60</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highlight w:val="none"/>
              </w:rPr>
            </w:pPr>
            <w:r>
              <w:rPr>
                <w:rFonts w:ascii="宋体" w:hAnsi="宋体" w:eastAsia="宋体" w:cs="宋体"/>
                <w:b/>
                <w:kern w:val="0"/>
                <w:sz w:val="22"/>
                <w:highlight w:val="none"/>
              </w:rPr>
              <w:t>5,519.73</w:t>
            </w:r>
          </w:p>
        </w:tc>
      </w:tr>
      <w:tr>
        <w:tblPrEx>
          <w:tblCellMar>
            <w:top w:w="0" w:type="dxa"/>
            <w:left w:w="108" w:type="dxa"/>
            <w:bottom w:w="0" w:type="dxa"/>
            <w:right w:w="108" w:type="dxa"/>
          </w:tblCellMar>
        </w:tblPrEx>
        <w:trPr>
          <w:trHeight w:val="1006" w:hRule="atLeast"/>
        </w:trPr>
        <w:tc>
          <w:tcPr>
            <w:tcW w:w="14129"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注：1.本表反映部门本年度的总收支和年末结转结余情况。</w:t>
            </w:r>
            <w:r>
              <w:rPr>
                <w:rFonts w:hint="eastAsia" w:ascii="宋体" w:hAnsi="宋体" w:eastAsia="宋体" w:cs="宋体"/>
                <w:kern w:val="0"/>
                <w:sz w:val="24"/>
                <w:szCs w:val="24"/>
                <w:highlight w:val="none"/>
              </w:rPr>
              <w:br w:type="textWrapping"/>
            </w:r>
            <w:r>
              <w:rPr>
                <w:rFonts w:hint="eastAsia" w:ascii="宋体" w:hAnsi="宋体" w:eastAsia="宋体" w:cs="宋体"/>
                <w:kern w:val="0"/>
                <w:sz w:val="24"/>
                <w:szCs w:val="24"/>
                <w:highlight w:val="none"/>
              </w:rPr>
              <w:t xml:space="preserve">    2.本套报表金额单位转换时可能存在尾数误差。</w:t>
            </w:r>
          </w:p>
        </w:tc>
      </w:tr>
    </w:tbl>
    <w:p>
      <w:pPr>
        <w:jc w:val="center"/>
        <w:rPr>
          <w:rFonts w:ascii="黑体" w:hAnsi="黑体" w:eastAsia="黑体"/>
          <w:sz w:val="28"/>
          <w:szCs w:val="28"/>
          <w:highlight w:val="none"/>
        </w:rPr>
        <w:sectPr>
          <w:pgSz w:w="16838" w:h="11906" w:orient="landscape"/>
          <w:pgMar w:top="720" w:right="720" w:bottom="720" w:left="720" w:header="851" w:footer="992" w:gutter="0"/>
          <w:cols w:space="425" w:num="1"/>
          <w:docGrid w:linePitch="312" w:charSpace="0"/>
        </w:sectPr>
      </w:pPr>
    </w:p>
    <w:tbl>
      <w:tblPr>
        <w:tblStyle w:val="9"/>
        <w:tblW w:w="14205" w:type="dxa"/>
        <w:jc w:val="center"/>
        <w:tblLayout w:type="fixed"/>
        <w:tblCellMar>
          <w:top w:w="0" w:type="dxa"/>
          <w:left w:w="0" w:type="dxa"/>
          <w:bottom w:w="0" w:type="dxa"/>
          <w:right w:w="0" w:type="dxa"/>
        </w:tblCellMar>
      </w:tblPr>
      <w:tblGrid>
        <w:gridCol w:w="90"/>
        <w:gridCol w:w="1043"/>
        <w:gridCol w:w="3344"/>
        <w:gridCol w:w="1702"/>
        <w:gridCol w:w="1337"/>
        <w:gridCol w:w="289"/>
        <w:gridCol w:w="1046"/>
        <w:gridCol w:w="314"/>
        <w:gridCol w:w="1021"/>
        <w:gridCol w:w="175"/>
        <w:gridCol w:w="1160"/>
        <w:gridCol w:w="99"/>
        <w:gridCol w:w="1236"/>
        <w:gridCol w:w="150"/>
        <w:gridCol w:w="1199"/>
      </w:tblGrid>
      <w:tr>
        <w:tblPrEx>
          <w:tblCellMar>
            <w:top w:w="0" w:type="dxa"/>
            <w:left w:w="0" w:type="dxa"/>
            <w:bottom w:w="0" w:type="dxa"/>
            <w:right w:w="0" w:type="dxa"/>
          </w:tblCellMar>
        </w:tblPrEx>
        <w:trPr>
          <w:trHeight w:val="661" w:hRule="atLeast"/>
          <w:jc w:val="center"/>
        </w:trPr>
        <w:tc>
          <w:tcPr>
            <w:tcW w:w="14205" w:type="dxa"/>
            <w:gridSpan w:val="15"/>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highlight w:val="none"/>
              </w:rPr>
            </w:pPr>
            <w:r>
              <w:rPr>
                <w:rFonts w:hint="eastAsia" w:ascii="华文中宋" w:hAnsi="华文中宋" w:eastAsia="华文中宋"/>
                <w:color w:val="000000"/>
                <w:sz w:val="32"/>
                <w:szCs w:val="32"/>
                <w:highlight w:val="none"/>
              </w:rPr>
              <w:t>收入决算表</w:t>
            </w:r>
          </w:p>
        </w:tc>
      </w:tr>
      <w:tr>
        <w:tblPrEx>
          <w:tblCellMar>
            <w:top w:w="0" w:type="dxa"/>
            <w:left w:w="0" w:type="dxa"/>
            <w:bottom w:w="0" w:type="dxa"/>
            <w:right w:w="0" w:type="dxa"/>
          </w:tblCellMar>
        </w:tblPrEx>
        <w:trPr>
          <w:trHeight w:val="339" w:hRule="atLeast"/>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highlight w:val="none"/>
              </w:rPr>
            </w:pPr>
            <w:r>
              <w:rPr>
                <w:rFonts w:hint="eastAsia"/>
                <w:color w:val="000000"/>
                <w:sz w:val="20"/>
                <w:szCs w:val="20"/>
                <w:highlight w:val="none"/>
              </w:rPr>
              <w:t>公开02表</w:t>
            </w:r>
          </w:p>
        </w:tc>
      </w:tr>
      <w:tr>
        <w:tblPrEx>
          <w:tblCellMar>
            <w:top w:w="0" w:type="dxa"/>
            <w:left w:w="0" w:type="dxa"/>
            <w:bottom w:w="0" w:type="dxa"/>
            <w:right w:w="0" w:type="dxa"/>
          </w:tblCellMar>
        </w:tblPrEx>
        <w:trPr>
          <w:trHeight w:val="339" w:hRule="atLeast"/>
          <w:jc w:val="center"/>
        </w:trPr>
        <w:tc>
          <w:tcPr>
            <w:tcW w:w="11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highlight w:val="none"/>
              </w:rPr>
            </w:pPr>
            <w:r>
              <w:rPr>
                <w:rFonts w:hint="eastAsia"/>
                <w:color w:val="000000"/>
                <w:sz w:val="20"/>
                <w:szCs w:val="20"/>
                <w:highlight w:val="none"/>
              </w:rPr>
              <w:t>部门：</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highlight w:val="none"/>
              </w:rPr>
            </w:pPr>
            <w:r>
              <w:rPr>
                <w:rFonts w:hint="eastAsia"/>
                <w:highlight w:val="none"/>
              </w:rPr>
              <w:t>湘潭县发展和改革局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highlight w:val="none"/>
              </w:rPr>
            </w:pPr>
            <w:r>
              <w:rPr>
                <w:rFonts w:hint="eastAsia"/>
                <w:color w:val="000000"/>
                <w:sz w:val="20"/>
                <w:szCs w:val="20"/>
                <w:highlight w:val="none"/>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highlight w:val="none"/>
              </w:rPr>
            </w:pPr>
            <w:r>
              <w:rPr>
                <w:rFonts w:hint="eastAsia"/>
                <w:highlight w:val="none"/>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highlight w:val="none"/>
              </w:rPr>
            </w:pPr>
            <w:r>
              <w:rPr>
                <w:rFonts w:hint="eastAsia"/>
                <w:color w:val="000000"/>
                <w:sz w:val="20"/>
                <w:szCs w:val="20"/>
                <w:highlight w:val="none"/>
              </w:rPr>
              <w:t>单位：万元</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项    目</w:t>
            </w:r>
          </w:p>
        </w:tc>
        <w:tc>
          <w:tcPr>
            <w:tcW w:w="17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本年收入合计</w:t>
            </w:r>
          </w:p>
        </w:tc>
        <w:tc>
          <w:tcPr>
            <w:tcW w:w="133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财政拨款收入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上级补助收入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事业收入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经营收入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附属单位上缴收入</w:t>
            </w:r>
          </w:p>
        </w:tc>
        <w:tc>
          <w:tcPr>
            <w:tcW w:w="134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其他收入</w:t>
            </w:r>
          </w:p>
        </w:tc>
      </w:tr>
      <w:tr>
        <w:tblPrEx>
          <w:tblCellMar>
            <w:top w:w="0" w:type="dxa"/>
            <w:left w:w="0" w:type="dxa"/>
            <w:bottom w:w="0" w:type="dxa"/>
            <w:right w:w="0" w:type="dxa"/>
          </w:tblCellMar>
        </w:tblPrEx>
        <w:trPr>
          <w:trHeight w:val="408" w:hRule="atLeast"/>
          <w:jc w:val="center"/>
        </w:trPr>
        <w:tc>
          <w:tcPr>
            <w:tcW w:w="113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功能分类科目编码</w:t>
            </w:r>
          </w:p>
        </w:tc>
        <w:tc>
          <w:tcPr>
            <w:tcW w:w="33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科目名称</w:t>
            </w: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4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r>
      <w:tr>
        <w:tblPrEx>
          <w:tblCellMar>
            <w:top w:w="0" w:type="dxa"/>
            <w:left w:w="0" w:type="dxa"/>
            <w:bottom w:w="0" w:type="dxa"/>
            <w:right w:w="0" w:type="dxa"/>
          </w:tblCellMar>
        </w:tblPrEx>
        <w:trPr>
          <w:trHeight w:val="360" w:hRule="atLeast"/>
          <w:jc w:val="center"/>
        </w:trPr>
        <w:tc>
          <w:tcPr>
            <w:tcW w:w="113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334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c>
          <w:tcPr>
            <w:tcW w:w="134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highlight w:val="none"/>
              </w:rPr>
            </w:pP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栏次</w:t>
            </w:r>
          </w:p>
        </w:tc>
        <w:tc>
          <w:tcPr>
            <w:tcW w:w="17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1</w:t>
            </w:r>
          </w:p>
        </w:tc>
        <w:tc>
          <w:tcPr>
            <w:tcW w:w="133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2</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3</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4</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5</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6</w:t>
            </w:r>
          </w:p>
        </w:tc>
        <w:tc>
          <w:tcPr>
            <w:tcW w:w="134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highlight w:val="none"/>
              </w:rPr>
            </w:pPr>
            <w:r>
              <w:rPr>
                <w:rFonts w:hint="eastAsia"/>
                <w:highlight w:val="none"/>
              </w:rPr>
              <w:t>7</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宋体" w:hAnsi="宋体" w:eastAsia="宋体" w:cs="宋体"/>
                <w:b/>
                <w:bCs/>
                <w:kern w:val="0"/>
                <w:szCs w:val="21"/>
                <w:highlight w:val="none"/>
              </w:rPr>
            </w:pPr>
            <w:r>
              <w:rPr>
                <w:rFonts w:hint="eastAsia" w:ascii="宋体" w:hAnsi="宋体" w:eastAsia="宋体" w:cs="宋体"/>
                <w:b/>
                <w:bCs/>
                <w:kern w:val="0"/>
                <w:szCs w:val="21"/>
                <w:highlight w:val="none"/>
              </w:rPr>
              <w:t>合计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4,722.53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4,133.50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cs="宋体" w:asciiTheme="minorEastAsia" w:hAnsiTheme="minorEastAsia"/>
                <w:b/>
                <w:color w:val="000000"/>
                <w:szCs w:val="21"/>
                <w:highlight w:val="none"/>
              </w:rPr>
              <w:t>589.0</w:t>
            </w:r>
            <w:r>
              <w:rPr>
                <w:rFonts w:hint="eastAsia" w:cs="宋体" w:asciiTheme="minorEastAsia" w:hAnsiTheme="minorEastAsia"/>
                <w:b/>
                <w:color w:val="000000"/>
                <w:szCs w:val="21"/>
                <w:highlight w:val="none"/>
              </w:rPr>
              <w:t>3</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asciiTheme="majorEastAsia" w:hAnsiTheme="majorEastAsia" w:eastAsiaTheme="majorEastAsia"/>
                <w:b/>
                <w:highlight w:val="none"/>
              </w:rPr>
              <w:t>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一般公共服务支出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2,097.13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1,508.10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cs="宋体" w:asciiTheme="minorEastAsia" w:hAnsiTheme="minorEastAsia"/>
                <w:b/>
                <w:color w:val="000000"/>
                <w:szCs w:val="21"/>
                <w:highlight w:val="none"/>
              </w:rPr>
              <w:t>589.0</w:t>
            </w:r>
            <w:r>
              <w:rPr>
                <w:rFonts w:hint="eastAsia" w:cs="宋体" w:asciiTheme="minorEastAsia" w:hAnsiTheme="minorEastAsia"/>
                <w:b/>
                <w:color w:val="000000"/>
                <w:szCs w:val="21"/>
                <w:highlight w:val="none"/>
              </w:rPr>
              <w:t>3</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asciiTheme="majorEastAsia" w:hAnsiTheme="majorEastAsia" w:eastAsiaTheme="majorEastAsia"/>
                <w:b/>
                <w:highlight w:val="none"/>
              </w:rPr>
              <w:t>20104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发展与改革事务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2,097.13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1,508.10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hint="eastAsia" w:cs="宋体" w:asciiTheme="minorEastAsia" w:hAnsiTheme="minorEastAsia"/>
                <w:b/>
                <w:color w:val="000000"/>
                <w:szCs w:val="21"/>
                <w:highlight w:val="none"/>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r>
              <w:rPr>
                <w:rFonts w:cs="宋体" w:asciiTheme="minorEastAsia" w:hAnsiTheme="minorEastAsia"/>
                <w:b/>
                <w:color w:val="000000"/>
                <w:szCs w:val="21"/>
                <w:highlight w:val="none"/>
              </w:rPr>
              <w:t>589.0</w:t>
            </w:r>
            <w:r>
              <w:rPr>
                <w:rFonts w:hint="eastAsia" w:cs="宋体" w:asciiTheme="minorEastAsia" w:hAnsiTheme="minorEastAsia"/>
                <w:b/>
                <w:color w:val="000000"/>
                <w:szCs w:val="21"/>
                <w:highlight w:val="none"/>
              </w:rPr>
              <w:t>3</w:t>
            </w:r>
          </w:p>
        </w:tc>
      </w:tr>
      <w:tr>
        <w:tblPrEx>
          <w:tblCellMar>
            <w:top w:w="0" w:type="dxa"/>
            <w:left w:w="0" w:type="dxa"/>
            <w:bottom w:w="0" w:type="dxa"/>
            <w:right w:w="0" w:type="dxa"/>
          </w:tblCellMar>
        </w:tblPrEx>
        <w:trPr>
          <w:trHeight w:val="435"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行政运行</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573.49</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573.49</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r>
              <w:rPr>
                <w:rFonts w:hint="eastAsia" w:cs="宋体" w:asciiTheme="minorEastAsia" w:hAnsiTheme="minorEastAsia"/>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r>
              <w:rPr>
                <w:rFonts w:hint="eastAsia" w:cs="宋体" w:asciiTheme="minorEastAsia" w:hAnsiTheme="minorEastAsia"/>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r>
              <w:rPr>
                <w:rFonts w:hint="eastAsia" w:cs="宋体" w:asciiTheme="minorEastAsia" w:hAnsiTheme="minorEastAsia"/>
                <w:color w:val="000000"/>
                <w:szCs w:val="21"/>
                <w:highlight w:val="none"/>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r>
              <w:rPr>
                <w:rFonts w:hint="eastAsia" w:cs="宋体" w:asciiTheme="minorEastAsia" w:hAnsiTheme="minorEastAsia"/>
                <w:color w:val="000000"/>
                <w:szCs w:val="21"/>
                <w:highlight w:val="none"/>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一般行政管理事务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60.82</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60.82</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战略规划与实施</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15.49</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15.49</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2010406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社会事业发展规划</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102.56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102.56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物价管理</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3.45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3.45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2010499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其他发展与改革事务支出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1,341.3</w:t>
            </w:r>
            <w:r>
              <w:rPr>
                <w:rFonts w:hint="eastAsia" w:asciiTheme="minorEastAsia" w:hAnsiTheme="minorEastAsia"/>
                <w:szCs w:val="21"/>
                <w:highlight w:val="none"/>
              </w:rPr>
              <w:t>2</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752.29</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r>
              <w:rPr>
                <w:rFonts w:cs="宋体" w:asciiTheme="minorEastAsia" w:hAnsiTheme="minorEastAsia"/>
                <w:color w:val="000000"/>
                <w:szCs w:val="21"/>
                <w:highlight w:val="none"/>
              </w:rPr>
              <w:t>589.0</w:t>
            </w:r>
            <w:r>
              <w:rPr>
                <w:rFonts w:hint="eastAsia" w:cs="宋体" w:asciiTheme="minorEastAsia" w:hAnsiTheme="minorEastAsia"/>
                <w:color w:val="000000"/>
                <w:szCs w:val="21"/>
                <w:highlight w:val="none"/>
              </w:rPr>
              <w:t>3</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asciiTheme="majorEastAsia" w:hAnsiTheme="majorEastAsia" w:eastAsiaTheme="majorEastAsia"/>
                <w:b/>
                <w:highlight w:val="none"/>
              </w:rPr>
              <w:t>208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社会保障和就业支出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59.63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59.63</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asciiTheme="majorEastAsia" w:hAnsiTheme="majorEastAsia" w:eastAsiaTheme="majorEastAsia"/>
                <w:b/>
                <w:highlight w:val="none"/>
              </w:rPr>
              <w:t>20805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行政事业单位养老支出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42.47</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42.47</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highlight w:val="none"/>
              </w:rPr>
            </w:pPr>
            <w:r>
              <w:rPr>
                <w:rFonts w:asciiTheme="majorEastAsia" w:hAnsiTheme="majorEastAsia" w:eastAsiaTheme="majorEastAsia"/>
                <w:highlight w:val="none"/>
              </w:rPr>
              <w:t>2080505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szCs w:val="21"/>
                <w:highlight w:val="none"/>
              </w:rPr>
            </w:pPr>
            <w:r>
              <w:rPr>
                <w:rFonts w:hint="eastAsia" w:asciiTheme="majorEastAsia" w:hAnsiTheme="majorEastAsia" w:eastAsiaTheme="majorEastAsia"/>
                <w:szCs w:val="21"/>
                <w:highlight w:val="none"/>
              </w:rPr>
              <w:t xml:space="preserve">  机关事业单位基本养老保险缴费支出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42.47</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42.47</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asciiTheme="majorEastAsia" w:hAnsiTheme="majorEastAsia" w:eastAsiaTheme="majorEastAsia"/>
                <w:b/>
                <w:highlight w:val="none"/>
              </w:rPr>
              <w:t>20808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ajorEastAsia" w:hAnsiTheme="majorEastAsia" w:eastAsiaTheme="majorEastAsia"/>
                <w:b/>
                <w:highlight w:val="none"/>
              </w:rPr>
            </w:pPr>
            <w:r>
              <w:rPr>
                <w:rFonts w:hint="eastAsia" w:asciiTheme="majorEastAsia" w:hAnsiTheme="majorEastAsia" w:eastAsiaTheme="majorEastAsia"/>
                <w:b/>
                <w:highlight w:val="none"/>
              </w:rPr>
              <w:t>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highlight w:val="none"/>
              </w:rPr>
            </w:pPr>
            <w:r>
              <w:rPr>
                <w:rFonts w:asciiTheme="minorEastAsia" w:hAnsiTheme="minorEastAsia"/>
                <w:b/>
                <w:highlight w:val="none"/>
              </w:rPr>
              <w:t>17.16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highlight w:val="none"/>
              </w:rPr>
            </w:pPr>
            <w:r>
              <w:rPr>
                <w:rFonts w:asciiTheme="minorEastAsia" w:hAnsiTheme="minorEastAsia"/>
                <w:b/>
                <w:highlight w:val="none"/>
              </w:rPr>
              <w:t>17.16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cs="宋体" w:asciiTheme="minorEastAsia" w:hAnsiTheme="minorEastAsia"/>
                <w:color w:val="000000"/>
                <w:szCs w:val="21"/>
                <w:highlight w:val="none"/>
              </w:rPr>
            </w:pPr>
            <w:r>
              <w:rPr>
                <w:rFonts w:asciiTheme="minorEastAsia" w:hAnsiTheme="minorEastAsia"/>
                <w:color w:val="000000"/>
                <w:szCs w:val="21"/>
                <w:highlight w:val="none"/>
              </w:rPr>
              <w:t>2080801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死亡抚恤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17.16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17.16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210</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卫生健康支出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28.66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28.66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21011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行政事业单位医疗</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28.66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28.66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2101101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行政单位医疗</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28.66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28.66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211</w:t>
            </w:r>
          </w:p>
        </w:tc>
        <w:tc>
          <w:tcPr>
            <w:tcW w:w="3344"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节能环保支出</w:t>
            </w:r>
          </w:p>
        </w:tc>
        <w:tc>
          <w:tcPr>
            <w:tcW w:w="170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533.00</w:t>
            </w:r>
          </w:p>
        </w:tc>
        <w:tc>
          <w:tcPr>
            <w:tcW w:w="133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533.00</w:t>
            </w: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其他节能环保支出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533.00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533.00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2119999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其他节能环保支出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533.00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533.00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农林水支出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21305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巩固脱贫衔接乡村振兴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2130599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其他巩固脱贫衔接乡村振兴支出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100.00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314.35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314.35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21599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314.35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314.35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2159999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314.35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314.35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221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住房保障支出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37.28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37.28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22102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住房改革支出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37.28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37.28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2210201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住房公积金</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37.28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37.28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222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粮油物资储备支出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1,552.4</w:t>
            </w:r>
            <w:r>
              <w:rPr>
                <w:rFonts w:hint="eastAsia" w:asciiTheme="minorEastAsia" w:hAnsiTheme="minorEastAsia"/>
                <w:b/>
                <w:szCs w:val="21"/>
                <w:highlight w:val="none"/>
              </w:rPr>
              <w:t>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1,552.4</w:t>
            </w:r>
            <w:r>
              <w:rPr>
                <w:rFonts w:hint="eastAsia" w:asciiTheme="minorEastAsia" w:hAnsiTheme="minorEastAsia"/>
                <w:b/>
                <w:szCs w:val="21"/>
                <w:highlight w:val="none"/>
              </w:rPr>
              <w:t>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22201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粮油物资事务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779.94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779.94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2220112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粮食财务挂账利息补贴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330.00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330.00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2220113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粮食财务挂账消化款</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6.25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6.25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其他粮油物资事务支出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443.69</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443.69</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asciiTheme="minorEastAsia" w:hAnsiTheme="minorEastAsia"/>
                <w:b/>
                <w:szCs w:val="21"/>
                <w:highlight w:val="none"/>
              </w:rPr>
              <w:t>22204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b/>
                <w:szCs w:val="21"/>
                <w:highlight w:val="none"/>
              </w:rPr>
            </w:pPr>
            <w:r>
              <w:rPr>
                <w:rFonts w:hint="eastAsia" w:asciiTheme="minorEastAsia" w:hAnsiTheme="minorEastAsia"/>
                <w:b/>
                <w:szCs w:val="21"/>
                <w:highlight w:val="none"/>
              </w:rPr>
              <w:t>粮油储备</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772.5</w:t>
            </w:r>
            <w:r>
              <w:rPr>
                <w:rFonts w:hint="eastAsia" w:asciiTheme="minorEastAsia" w:hAnsiTheme="minorEastAsia"/>
                <w:b/>
                <w:szCs w:val="21"/>
                <w:highlight w:val="none"/>
              </w:rPr>
              <w:t>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highlight w:val="none"/>
              </w:rPr>
            </w:pPr>
            <w:r>
              <w:rPr>
                <w:rFonts w:asciiTheme="minorEastAsia" w:hAnsiTheme="minorEastAsia"/>
                <w:b/>
                <w:szCs w:val="21"/>
                <w:highlight w:val="none"/>
              </w:rPr>
              <w:t>772.5</w:t>
            </w:r>
            <w:r>
              <w:rPr>
                <w:rFonts w:hint="eastAsia" w:asciiTheme="minorEastAsia" w:hAnsiTheme="minorEastAsia"/>
                <w:b/>
                <w:szCs w:val="21"/>
                <w:highlight w:val="none"/>
              </w:rPr>
              <w:t>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2220401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储备粮油补贴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470.00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470.00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2220402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储备粮油差价补贴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259.36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259.36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asciiTheme="minorEastAsia" w:hAnsiTheme="minorEastAsia"/>
                <w:szCs w:val="21"/>
                <w:highlight w:val="none"/>
              </w:rPr>
              <w:t>2220499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tcPr>
          <w:p>
            <w:pPr>
              <w:rPr>
                <w:rFonts w:asciiTheme="minorEastAsia" w:hAnsiTheme="minorEastAsia"/>
                <w:szCs w:val="21"/>
                <w:highlight w:val="none"/>
              </w:rPr>
            </w:pPr>
            <w:r>
              <w:rPr>
                <w:rFonts w:hint="eastAsia" w:asciiTheme="minorEastAsia" w:hAnsiTheme="minorEastAsia"/>
                <w:szCs w:val="21"/>
                <w:highlight w:val="none"/>
              </w:rPr>
              <w:t xml:space="preserve">  其他粮油储备支出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43.1</w:t>
            </w:r>
            <w:r>
              <w:rPr>
                <w:rFonts w:hint="eastAsia" w:asciiTheme="minorEastAsia" w:hAnsiTheme="minorEastAsia"/>
                <w:szCs w:val="21"/>
                <w:highlight w:val="none"/>
              </w:rPr>
              <w:t>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highlight w:val="none"/>
              </w:rPr>
            </w:pPr>
            <w:r>
              <w:rPr>
                <w:rFonts w:asciiTheme="minorEastAsia" w:hAnsiTheme="minorEastAsia"/>
                <w:szCs w:val="21"/>
                <w:highlight w:val="none"/>
              </w:rPr>
              <w:t>43.1</w:t>
            </w:r>
            <w:r>
              <w:rPr>
                <w:rFonts w:hint="eastAsia" w:asciiTheme="minorEastAsia" w:hAnsiTheme="minorEastAsia"/>
                <w:szCs w:val="21"/>
                <w:highlight w:val="none"/>
              </w:rPr>
              <w:t>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highlight w:val="none"/>
              </w:rPr>
            </w:pPr>
          </w:p>
        </w:tc>
      </w:tr>
      <w:tr>
        <w:tblPrEx>
          <w:tblCellMar>
            <w:top w:w="0" w:type="dxa"/>
            <w:left w:w="0" w:type="dxa"/>
            <w:bottom w:w="0" w:type="dxa"/>
            <w:right w:w="0" w:type="dxa"/>
          </w:tblCellMar>
        </w:tblPrEx>
        <w:trPr>
          <w:trHeight w:val="497" w:hRule="atLeast"/>
          <w:jc w:val="center"/>
        </w:trPr>
        <w:tc>
          <w:tcPr>
            <w:tcW w:w="14205" w:type="dxa"/>
            <w:gridSpan w:val="15"/>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highlight w:val="none"/>
              </w:rPr>
            </w:pPr>
            <w:r>
              <w:rPr>
                <w:rFonts w:hint="eastAsia"/>
                <w:highlight w:val="none"/>
              </w:rPr>
              <w:t>注：本表反映部门本年度取得的各项收入情况。</w:t>
            </w:r>
          </w:p>
        </w:tc>
      </w:tr>
    </w:tbl>
    <w:p>
      <w:pPr>
        <w:widowControl/>
        <w:jc w:val="left"/>
        <w:rPr>
          <w:rFonts w:ascii="Times New Roman" w:hAnsi="Times New Roman" w:eastAsia="黑体" w:cs="Times New Roman"/>
          <w:bCs/>
          <w:kern w:val="0"/>
          <w:sz w:val="32"/>
          <w:szCs w:val="32"/>
          <w:highlight w:val="none"/>
        </w:rPr>
      </w:pPr>
      <w:r>
        <w:rPr>
          <w:rFonts w:ascii="Times New Roman" w:hAnsi="Times New Roman" w:eastAsia="黑体" w:cs="Times New Roman"/>
          <w:bCs/>
          <w:kern w:val="0"/>
          <w:sz w:val="32"/>
          <w:szCs w:val="32"/>
          <w:highlight w:val="none"/>
        </w:rPr>
        <w:br w:type="page"/>
      </w:r>
    </w:p>
    <w:tbl>
      <w:tblPr>
        <w:tblStyle w:val="9"/>
        <w:tblpPr w:leftFromText="180" w:rightFromText="180" w:vertAnchor="text" w:horzAnchor="page" w:tblpXSpec="center" w:tblpY="618"/>
        <w:tblOverlap w:val="never"/>
        <w:tblW w:w="14144" w:type="dxa"/>
        <w:jc w:val="center"/>
        <w:tblLayout w:type="fixed"/>
        <w:tblCellMar>
          <w:top w:w="0" w:type="dxa"/>
          <w:left w:w="108" w:type="dxa"/>
          <w:bottom w:w="0" w:type="dxa"/>
          <w:right w:w="108" w:type="dxa"/>
        </w:tblCellMar>
      </w:tblPr>
      <w:tblGrid>
        <w:gridCol w:w="1518"/>
        <w:gridCol w:w="2907"/>
        <w:gridCol w:w="1739"/>
        <w:gridCol w:w="1415"/>
        <w:gridCol w:w="180"/>
        <w:gridCol w:w="1495"/>
        <w:gridCol w:w="100"/>
        <w:gridCol w:w="1562"/>
        <w:gridCol w:w="33"/>
        <w:gridCol w:w="1453"/>
        <w:gridCol w:w="142"/>
        <w:gridCol w:w="1600"/>
      </w:tblGrid>
      <w:tr>
        <w:tblPrEx>
          <w:tblCellMar>
            <w:top w:w="0" w:type="dxa"/>
            <w:left w:w="108" w:type="dxa"/>
            <w:bottom w:w="0" w:type="dxa"/>
            <w:right w:w="108" w:type="dxa"/>
          </w:tblCellMar>
        </w:tblPrEx>
        <w:trPr>
          <w:trHeight w:val="402" w:hRule="atLeast"/>
          <w:jc w:val="center"/>
        </w:trPr>
        <w:tc>
          <w:tcPr>
            <w:tcW w:w="14144" w:type="dxa"/>
            <w:gridSpan w:val="12"/>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b/>
                <w:color w:val="000000"/>
                <w:kern w:val="0"/>
                <w:szCs w:val="21"/>
                <w:highlight w:val="none"/>
              </w:rPr>
            </w:pPr>
            <w:r>
              <w:rPr>
                <w:rFonts w:hint="eastAsia" w:cs="宋体" w:asciiTheme="majorEastAsia" w:hAnsiTheme="majorEastAsia" w:eastAsiaTheme="majorEastAsia"/>
                <w:b/>
                <w:color w:val="000000"/>
                <w:kern w:val="0"/>
                <w:sz w:val="32"/>
                <w:szCs w:val="32"/>
                <w:highlight w:val="none"/>
              </w:rPr>
              <w:t>支出决算表</w:t>
            </w:r>
          </w:p>
        </w:tc>
      </w:tr>
      <w:tr>
        <w:tblPrEx>
          <w:tblCellMar>
            <w:top w:w="0" w:type="dxa"/>
            <w:left w:w="108" w:type="dxa"/>
            <w:bottom w:w="0" w:type="dxa"/>
            <w:right w:w="108" w:type="dxa"/>
          </w:tblCellMar>
        </w:tblPrEx>
        <w:trPr>
          <w:trHeight w:val="161" w:hRule="atLeast"/>
          <w:jc w:val="center"/>
        </w:trPr>
        <w:tc>
          <w:tcPr>
            <w:tcW w:w="4425" w:type="dxa"/>
            <w:gridSpan w:val="2"/>
            <w:tcBorders>
              <w:top w:val="nil"/>
              <w:left w:val="nil"/>
              <w:bottom w:val="nil"/>
              <w:right w:val="nil"/>
            </w:tcBorders>
            <w:shd w:val="clear" w:color="000000" w:fill="FFFFFF"/>
            <w:noWrap/>
            <w:vAlign w:val="center"/>
          </w:tcPr>
          <w:p>
            <w:pPr>
              <w:widowControl/>
              <w:rPr>
                <w:rFonts w:cs="宋体" w:asciiTheme="majorEastAsia" w:hAnsiTheme="majorEastAsia" w:eastAsiaTheme="majorEastAsia"/>
                <w:kern w:val="0"/>
                <w:szCs w:val="21"/>
                <w:highlight w:val="none"/>
              </w:rPr>
            </w:pPr>
          </w:p>
        </w:tc>
        <w:tc>
          <w:tcPr>
            <w:tcW w:w="1739"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41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675"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662"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486"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742"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Cs w:val="21"/>
                <w:highlight w:val="none"/>
              </w:rPr>
            </w:pPr>
            <w:r>
              <w:rPr>
                <w:rFonts w:hint="eastAsia" w:cs="宋体" w:asciiTheme="majorEastAsia" w:hAnsiTheme="majorEastAsia" w:eastAsiaTheme="majorEastAsia"/>
                <w:color w:val="000000"/>
                <w:kern w:val="0"/>
                <w:szCs w:val="21"/>
                <w:highlight w:val="none"/>
              </w:rPr>
              <w:t>公开03表</w:t>
            </w:r>
          </w:p>
        </w:tc>
      </w:tr>
      <w:tr>
        <w:tblPrEx>
          <w:tblCellMar>
            <w:top w:w="0" w:type="dxa"/>
            <w:left w:w="108" w:type="dxa"/>
            <w:bottom w:w="0" w:type="dxa"/>
            <w:right w:w="108" w:type="dxa"/>
          </w:tblCellMar>
        </w:tblPrEx>
        <w:trPr>
          <w:trHeight w:val="264" w:hRule="atLeast"/>
          <w:jc w:val="center"/>
        </w:trPr>
        <w:tc>
          <w:tcPr>
            <w:tcW w:w="6164" w:type="dxa"/>
            <w:gridSpan w:val="3"/>
            <w:tcBorders>
              <w:top w:val="nil"/>
              <w:left w:val="nil"/>
              <w:bottom w:val="nil"/>
              <w:right w:val="nil"/>
            </w:tcBorders>
            <w:shd w:val="clear" w:color="000000" w:fill="FFFFFF"/>
            <w:noWrap/>
            <w:vAlign w:val="center"/>
          </w:tcPr>
          <w:p>
            <w:pPr>
              <w:widowControl/>
              <w:jc w:val="left"/>
              <w:rPr>
                <w:rFonts w:cs="宋体" w:asciiTheme="majorEastAsia" w:hAnsiTheme="majorEastAsia" w:eastAsiaTheme="majorEastAsia"/>
                <w:kern w:val="0"/>
                <w:szCs w:val="21"/>
                <w:highlight w:val="none"/>
              </w:rPr>
            </w:pPr>
            <w:r>
              <w:rPr>
                <w:rFonts w:hint="eastAsia" w:cs="宋体" w:asciiTheme="majorEastAsia" w:hAnsiTheme="majorEastAsia" w:eastAsiaTheme="majorEastAsia"/>
                <w:color w:val="000000"/>
                <w:kern w:val="0"/>
                <w:szCs w:val="21"/>
                <w:highlight w:val="none"/>
              </w:rPr>
              <w:t>部门</w:t>
            </w:r>
            <w:r>
              <w:rPr>
                <w:rFonts w:hint="eastAsia" w:asciiTheme="majorEastAsia" w:hAnsiTheme="majorEastAsia" w:eastAsiaTheme="majorEastAsia"/>
                <w:szCs w:val="21"/>
                <w:highlight w:val="none"/>
              </w:rPr>
              <w:t>：湘潭县发展和改革局</w:t>
            </w:r>
          </w:p>
        </w:tc>
        <w:tc>
          <w:tcPr>
            <w:tcW w:w="141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675" w:type="dxa"/>
            <w:gridSpan w:val="2"/>
            <w:tcBorders>
              <w:top w:val="nil"/>
              <w:left w:val="nil"/>
              <w:bottom w:val="nil"/>
              <w:right w:val="nil"/>
            </w:tcBorders>
            <w:shd w:val="clear" w:color="000000" w:fill="FFFFFF"/>
            <w:noWrap/>
            <w:vAlign w:val="center"/>
          </w:tcPr>
          <w:p>
            <w:pPr>
              <w:widowControl/>
              <w:jc w:val="center"/>
              <w:rPr>
                <w:rFonts w:cs="宋体" w:asciiTheme="majorEastAsia" w:hAnsiTheme="majorEastAsia" w:eastAsiaTheme="majorEastAsia"/>
                <w:color w:val="000000"/>
                <w:kern w:val="0"/>
                <w:szCs w:val="21"/>
                <w:highlight w:val="none"/>
              </w:rPr>
            </w:pPr>
          </w:p>
        </w:tc>
        <w:tc>
          <w:tcPr>
            <w:tcW w:w="1662"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486"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w:t>
            </w:r>
          </w:p>
        </w:tc>
        <w:tc>
          <w:tcPr>
            <w:tcW w:w="1742"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Cs w:val="21"/>
                <w:highlight w:val="none"/>
              </w:rPr>
            </w:pPr>
            <w:r>
              <w:rPr>
                <w:rFonts w:hint="eastAsia" w:cs="宋体" w:asciiTheme="majorEastAsia" w:hAnsiTheme="majorEastAsia" w:eastAsiaTheme="majorEastAsia"/>
                <w:color w:val="000000"/>
                <w:kern w:val="0"/>
                <w:szCs w:val="21"/>
                <w:highlight w:val="none"/>
              </w:rPr>
              <w:t>单位：万元</w:t>
            </w: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项    目</w:t>
            </w:r>
          </w:p>
        </w:tc>
        <w:tc>
          <w:tcPr>
            <w:tcW w:w="173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本年支出合计</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基本支出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项目支出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上缴上级支出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经营支出</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对附属单位补助支出</w:t>
            </w:r>
          </w:p>
        </w:tc>
      </w:tr>
      <w:tr>
        <w:tblPrEx>
          <w:tblCellMar>
            <w:top w:w="0" w:type="dxa"/>
            <w:left w:w="108" w:type="dxa"/>
            <w:bottom w:w="0" w:type="dxa"/>
            <w:right w:w="108" w:type="dxa"/>
          </w:tblCellMar>
        </w:tblPrEx>
        <w:trPr>
          <w:trHeight w:val="416" w:hRule="atLeast"/>
          <w:jc w:val="center"/>
        </w:trPr>
        <w:tc>
          <w:tcPr>
            <w:tcW w:w="15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功能分类科目</w:t>
            </w:r>
          </w:p>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编码</w:t>
            </w:r>
          </w:p>
        </w:tc>
        <w:tc>
          <w:tcPr>
            <w:tcW w:w="290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科目名称</w:t>
            </w:r>
          </w:p>
        </w:tc>
        <w:tc>
          <w:tcPr>
            <w:tcW w:w="17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290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7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栏次</w:t>
            </w:r>
          </w:p>
        </w:tc>
        <w:tc>
          <w:tcPr>
            <w:tcW w:w="1739" w:type="dxa"/>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1</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2</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3</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4</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5</w:t>
            </w:r>
          </w:p>
        </w:tc>
        <w:tc>
          <w:tcPr>
            <w:tcW w:w="1600" w:type="dxa"/>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6</w:t>
            </w: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b/>
                <w:bCs/>
                <w:kern w:val="0"/>
                <w:szCs w:val="21"/>
                <w:highlight w:val="none"/>
              </w:rPr>
            </w:pPr>
            <w:r>
              <w:rPr>
                <w:rFonts w:hint="eastAsia" w:cs="宋体" w:asciiTheme="majorEastAsia" w:hAnsiTheme="majorEastAsia" w:eastAsiaTheme="majorEastAsia"/>
                <w:b/>
                <w:bCs/>
                <w:kern w:val="0"/>
                <w:szCs w:val="21"/>
                <w:highlight w:val="none"/>
              </w:rPr>
              <w:t>合计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5,049.10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812.49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4,236.6</w:t>
            </w:r>
            <w:r>
              <w:rPr>
                <w:rFonts w:hint="eastAsia" w:asciiTheme="majorEastAsia" w:hAnsiTheme="majorEastAsia" w:eastAsiaTheme="majorEastAsia"/>
                <w:b/>
                <w:highlight w:val="none"/>
              </w:rPr>
              <w:t>1</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201</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b/>
                <w:bCs/>
                <w:color w:val="000000"/>
                <w:szCs w:val="21"/>
                <w:highlight w:val="none"/>
              </w:rPr>
            </w:pPr>
            <w:r>
              <w:rPr>
                <w:rFonts w:hint="eastAsia" w:asciiTheme="majorEastAsia" w:hAnsiTheme="majorEastAsia" w:eastAsiaTheme="majorEastAsia"/>
                <w:b/>
                <w:bCs/>
                <w:color w:val="000000"/>
                <w:szCs w:val="21"/>
                <w:highlight w:val="none"/>
              </w:rPr>
              <w:t>一般公共服务支出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1,723.70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704.08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1,019.62</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20104</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b/>
                <w:color w:val="000000"/>
                <w:szCs w:val="21"/>
                <w:highlight w:val="none"/>
              </w:rPr>
            </w:pPr>
            <w:r>
              <w:rPr>
                <w:rFonts w:hint="eastAsia" w:asciiTheme="majorEastAsia" w:hAnsiTheme="majorEastAsia" w:eastAsiaTheme="majorEastAsia"/>
                <w:b/>
                <w:color w:val="000000"/>
                <w:szCs w:val="21"/>
                <w:highlight w:val="none"/>
              </w:rPr>
              <w:t>发展与改革事务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1,723.70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704.08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1,019.62</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2010401</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行政运行</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573.49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573.49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2010402</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一般行政管理事务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60.82</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60.82</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2010404</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机关服务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15.49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15.49</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2010406</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战略规划与实施</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109.10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109.10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2010408</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社会事业发展规划</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3.45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3.45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2010499</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其他发展与改革事务支出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961.35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130.59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830.76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210</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b/>
                <w:bCs/>
                <w:color w:val="000000"/>
                <w:szCs w:val="21"/>
                <w:highlight w:val="none"/>
              </w:rPr>
            </w:pPr>
            <w:r>
              <w:rPr>
                <w:rFonts w:hint="eastAsia" w:asciiTheme="majorEastAsia" w:hAnsiTheme="majorEastAsia" w:eastAsiaTheme="majorEastAsia"/>
                <w:b/>
                <w:bCs/>
                <w:color w:val="000000"/>
                <w:szCs w:val="21"/>
                <w:highlight w:val="none"/>
              </w:rPr>
              <w:t>社会保障和就业支出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59.63</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42.47</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17.16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20805</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行政事业单位养老支出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42.47</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42.47</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2080505</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机关事业单位基本养老保险缴费支出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42.47</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42.47</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21011</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b/>
                <w:color w:val="000000"/>
                <w:szCs w:val="21"/>
                <w:highlight w:val="none"/>
              </w:rPr>
            </w:pPr>
            <w:r>
              <w:rPr>
                <w:rFonts w:hint="eastAsia" w:asciiTheme="majorEastAsia" w:hAnsiTheme="majorEastAsia" w:eastAsiaTheme="majorEastAsia"/>
                <w:b/>
                <w:color w:val="000000"/>
                <w:szCs w:val="21"/>
                <w:highlight w:val="none"/>
              </w:rPr>
              <w:t>抚恤</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17.16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17.16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2101101</w:t>
            </w:r>
          </w:p>
        </w:tc>
        <w:tc>
          <w:tcPr>
            <w:tcW w:w="2907" w:type="dxa"/>
            <w:tcBorders>
              <w:top w:val="nil"/>
              <w:left w:val="nil"/>
              <w:bottom w:val="single" w:color="auto" w:sz="4" w:space="0"/>
              <w:right w:val="single" w:color="auto" w:sz="4" w:space="0"/>
            </w:tcBorders>
            <w:shd w:val="clear" w:color="000000" w:fill="FFFFFF"/>
            <w:noWrap/>
            <w:vAlign w:val="center"/>
          </w:tcPr>
          <w:p>
            <w:pPr>
              <w:rPr>
                <w:rFonts w:cs="宋体" w:asciiTheme="majorEastAsia" w:hAnsiTheme="majorEastAsia" w:eastAsiaTheme="majorEastAsia"/>
                <w:color w:val="000000"/>
                <w:szCs w:val="21"/>
                <w:highlight w:val="none"/>
              </w:rPr>
            </w:pPr>
            <w:r>
              <w:rPr>
                <w:rFonts w:hint="eastAsia" w:asciiTheme="majorEastAsia" w:hAnsiTheme="majorEastAsia" w:eastAsiaTheme="majorEastAsia"/>
                <w:color w:val="000000"/>
                <w:szCs w:val="21"/>
                <w:highlight w:val="none"/>
              </w:rPr>
              <w:t xml:space="preserve">  死亡抚恤</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17.16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17.16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210</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卫生健康支出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21011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行政事业单位医疗</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2101101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行政单位医疗</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28.66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其他节能环保支出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2119999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其他节能环保支出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533.00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212</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城乡社区支出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21203</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城乡社区公共设施</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2120399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其他城乡社区公共设施支出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213</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农林水支出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21305</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巩固脱贫衔接乡村振兴</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2130599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其他巩固脱贫衔接乡村振兴支出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215</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21599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其他资源勘探工业信息等支出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2159999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其他资源勘探工业信息等支出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highlight w:val="none"/>
              </w:rPr>
            </w:pPr>
            <w:r>
              <w:rPr>
                <w:rFonts w:asciiTheme="majorEastAsia" w:hAnsiTheme="majorEastAsia" w:eastAsiaTheme="majorEastAsia"/>
                <w:highlight w:val="none"/>
              </w:rPr>
              <w:t>314.35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221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住房保障支出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637.28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600.00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22101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保障性安居工程支出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600.00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600.00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2210108</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老旧小区改造</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22102</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住房改革支出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2210201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住房公积金</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37.28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222</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粮油物资储备支出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1,552.4</w:t>
            </w:r>
            <w:r>
              <w:rPr>
                <w:rFonts w:hint="eastAsia" w:asciiTheme="majorEastAsia" w:hAnsiTheme="majorEastAsia" w:eastAsiaTheme="majorEastAsia"/>
                <w:b/>
                <w:highlight w:val="none"/>
              </w:rPr>
              <w:t>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1,552.4</w:t>
            </w:r>
            <w:r>
              <w:rPr>
                <w:rFonts w:hint="eastAsia" w:asciiTheme="majorEastAsia" w:hAnsiTheme="majorEastAsia" w:eastAsiaTheme="majorEastAsia"/>
                <w:b/>
                <w:highlight w:val="none"/>
              </w:rPr>
              <w:t>8</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22201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粮油物资事务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779.94</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779.94</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2220112</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粮食财务挂账利息补贴</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330.00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330.00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2220113</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粮食财务挂账消化款</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6.25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6.25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其他粮油物资事务支出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443.69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443.69</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asciiTheme="majorEastAsia" w:hAnsiTheme="majorEastAsia" w:eastAsiaTheme="majorEastAsia"/>
                <w:b/>
                <w:highlight w:val="none"/>
              </w:rPr>
              <w:t>22204</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b/>
                <w:highlight w:val="none"/>
              </w:rPr>
            </w:pPr>
            <w:r>
              <w:rPr>
                <w:rFonts w:hint="eastAsia" w:asciiTheme="majorEastAsia" w:hAnsiTheme="majorEastAsia" w:eastAsiaTheme="majorEastAsia"/>
                <w:b/>
                <w:highlight w:val="none"/>
              </w:rPr>
              <w:t>粮油储备</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772.5</w:t>
            </w:r>
            <w:r>
              <w:rPr>
                <w:rFonts w:hint="eastAsia" w:asciiTheme="majorEastAsia" w:hAnsiTheme="majorEastAsia" w:eastAsiaTheme="majorEastAsia"/>
                <w:b/>
                <w:highlight w:val="none"/>
              </w:rPr>
              <w:t>4</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highlight w:val="none"/>
              </w:rPr>
            </w:pPr>
            <w:r>
              <w:rPr>
                <w:rFonts w:asciiTheme="majorEastAsia" w:hAnsiTheme="majorEastAsia" w:eastAsiaTheme="majorEastAsia"/>
                <w:b/>
                <w:highlight w:val="none"/>
              </w:rPr>
              <w:t>772.5</w:t>
            </w:r>
            <w:r>
              <w:rPr>
                <w:rFonts w:hint="eastAsia" w:asciiTheme="majorEastAsia" w:hAnsiTheme="majorEastAsia" w:eastAsiaTheme="majorEastAsia"/>
                <w:b/>
                <w:highlight w:val="none"/>
              </w:rPr>
              <w:t>4</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2220401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储备粮油补贴</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470.00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470.00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2220402</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储备粮油差价补贴</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259.36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259.36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asciiTheme="majorEastAsia" w:hAnsiTheme="majorEastAsia" w:eastAsiaTheme="majorEastAsia"/>
                <w:highlight w:val="none"/>
              </w:rPr>
              <w:t>2220499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Theme="majorEastAsia" w:hAnsiTheme="majorEastAsia" w:eastAsiaTheme="majorEastAsia"/>
                <w:highlight w:val="none"/>
              </w:rPr>
            </w:pPr>
            <w:r>
              <w:rPr>
                <w:rFonts w:hint="eastAsia" w:asciiTheme="majorEastAsia" w:hAnsiTheme="majorEastAsia" w:eastAsiaTheme="majorEastAsia"/>
                <w:highlight w:val="none"/>
              </w:rPr>
              <w:t xml:space="preserve">  其他粮油储备支出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43.1</w:t>
            </w:r>
            <w:r>
              <w:rPr>
                <w:rFonts w:hint="eastAsia" w:asciiTheme="majorEastAsia" w:hAnsiTheme="majorEastAsia" w:eastAsiaTheme="majorEastAsia"/>
                <w:highlight w:val="none"/>
              </w:rPr>
              <w:t>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highlight w:val="none"/>
              </w:rPr>
            </w:pPr>
            <w:r>
              <w:rPr>
                <w:rFonts w:asciiTheme="majorEastAsia" w:hAnsiTheme="majorEastAsia" w:eastAsiaTheme="majorEastAsia"/>
                <w:highlight w:val="none"/>
              </w:rPr>
              <w:t>43.1</w:t>
            </w:r>
            <w:r>
              <w:rPr>
                <w:rFonts w:hint="eastAsia" w:asciiTheme="majorEastAsia" w:hAnsiTheme="majorEastAsia" w:eastAsiaTheme="majorEastAsia"/>
                <w:highlight w:val="none"/>
              </w:rPr>
              <w:t>8</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highlight w:val="none"/>
              </w:rPr>
            </w:pPr>
          </w:p>
        </w:tc>
      </w:tr>
      <w:tr>
        <w:tblPrEx>
          <w:tblCellMar>
            <w:top w:w="0" w:type="dxa"/>
            <w:left w:w="108" w:type="dxa"/>
            <w:bottom w:w="0" w:type="dxa"/>
            <w:right w:w="108" w:type="dxa"/>
          </w:tblCellMar>
        </w:tblPrEx>
        <w:trPr>
          <w:trHeight w:val="583" w:hRule="atLeast"/>
          <w:jc w:val="center"/>
        </w:trPr>
        <w:tc>
          <w:tcPr>
            <w:tcW w:w="14144" w:type="dxa"/>
            <w:gridSpan w:val="12"/>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注：本表反映部门本年度各项支出情况。</w:t>
            </w: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p>
            <w:pPr>
              <w:widowControl/>
              <w:jc w:val="left"/>
              <w:rPr>
                <w:rFonts w:cs="宋体" w:asciiTheme="majorEastAsia" w:hAnsiTheme="majorEastAsia" w:eastAsiaTheme="majorEastAsia"/>
                <w:kern w:val="0"/>
                <w:szCs w:val="21"/>
                <w:highlight w:val="none"/>
              </w:rPr>
            </w:pPr>
          </w:p>
        </w:tc>
      </w:tr>
    </w:tbl>
    <w:p>
      <w:pPr>
        <w:widowControl/>
        <w:rPr>
          <w:rFonts w:ascii="Times New Roman" w:hAnsi="Times New Roman" w:eastAsia="方正小标宋_GBK" w:cs="Times New Roman"/>
          <w:color w:val="000000"/>
          <w:kern w:val="0"/>
          <w:sz w:val="36"/>
          <w:szCs w:val="36"/>
          <w:highlight w:val="none"/>
        </w:rPr>
      </w:pPr>
    </w:p>
    <w:p>
      <w:pPr>
        <w:widowControl/>
        <w:ind w:left="93"/>
        <w:jc w:val="center"/>
        <w:rPr>
          <w:rFonts w:ascii="Times New Roman" w:hAnsi="Times New Roman" w:eastAsia="方正小标宋_GBK" w:cs="Times New Roman"/>
          <w:color w:val="000000"/>
          <w:kern w:val="0"/>
          <w:sz w:val="36"/>
          <w:szCs w:val="21"/>
          <w:highlight w:val="none"/>
        </w:rPr>
      </w:pPr>
    </w:p>
    <w:p>
      <w:pPr>
        <w:widowControl/>
        <w:ind w:left="93"/>
        <w:jc w:val="center"/>
        <w:rPr>
          <w:rFonts w:ascii="Times New Roman" w:hAnsi="Times New Roman" w:eastAsia="方正小标宋_GBK" w:cs="Times New Roman"/>
          <w:color w:val="000000"/>
          <w:kern w:val="0"/>
          <w:sz w:val="36"/>
          <w:szCs w:val="21"/>
          <w:highlight w:val="none"/>
        </w:rPr>
      </w:pPr>
    </w:p>
    <w:p>
      <w:pPr>
        <w:widowControl/>
        <w:ind w:left="93"/>
        <w:jc w:val="center"/>
        <w:rPr>
          <w:rFonts w:ascii="Times New Roman" w:hAnsi="Times New Roman" w:eastAsia="方正小标宋_GBK" w:cs="Times New Roman"/>
          <w:color w:val="000000"/>
          <w:kern w:val="0"/>
          <w:sz w:val="36"/>
          <w:szCs w:val="21"/>
          <w:highlight w:val="none"/>
        </w:rPr>
      </w:pPr>
    </w:p>
    <w:p>
      <w:pPr>
        <w:widowControl/>
        <w:ind w:left="93"/>
        <w:jc w:val="center"/>
        <w:rPr>
          <w:rFonts w:ascii="Times New Roman" w:hAnsi="Times New Roman" w:eastAsia="方正小标宋_GBK" w:cs="Times New Roman"/>
          <w:color w:val="000000"/>
          <w:kern w:val="0"/>
          <w:sz w:val="36"/>
          <w:szCs w:val="21"/>
          <w:highlight w:val="none"/>
        </w:rPr>
      </w:pPr>
    </w:p>
    <w:p>
      <w:pPr>
        <w:widowControl/>
        <w:ind w:left="93"/>
        <w:jc w:val="center"/>
        <w:rPr>
          <w:rFonts w:ascii="Times New Roman" w:hAnsi="Times New Roman" w:eastAsia="方正小标宋_GBK" w:cs="Times New Roman"/>
          <w:color w:val="000000"/>
          <w:kern w:val="0"/>
          <w:sz w:val="36"/>
          <w:szCs w:val="21"/>
          <w:highlight w:val="none"/>
        </w:rPr>
      </w:pPr>
    </w:p>
    <w:tbl>
      <w:tblPr>
        <w:tblStyle w:val="9"/>
        <w:tblW w:w="15549" w:type="dxa"/>
        <w:jc w:val="center"/>
        <w:tblLayout w:type="autofit"/>
        <w:tblCellMar>
          <w:top w:w="0" w:type="dxa"/>
          <w:left w:w="108" w:type="dxa"/>
          <w:bottom w:w="0" w:type="dxa"/>
          <w:right w:w="108" w:type="dxa"/>
        </w:tblCellMar>
      </w:tblPr>
      <w:tblGrid>
        <w:gridCol w:w="3596"/>
        <w:gridCol w:w="438"/>
        <w:gridCol w:w="1103"/>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jc w:val="center"/>
        </w:trPr>
        <w:tc>
          <w:tcPr>
            <w:tcW w:w="15549" w:type="dxa"/>
            <w:gridSpan w:val="10"/>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color w:val="000000"/>
                <w:kern w:val="0"/>
                <w:sz w:val="32"/>
                <w:szCs w:val="32"/>
                <w:highlight w:val="none"/>
              </w:rPr>
            </w:pPr>
            <w:bookmarkStart w:id="0" w:name="RANGE!A1:I22"/>
            <w:bookmarkEnd w:id="0"/>
            <w:bookmarkStart w:id="1" w:name="RANGE!A1:F16"/>
          </w:p>
          <w:p>
            <w:pPr>
              <w:widowControl/>
              <w:jc w:val="center"/>
              <w:rPr>
                <w:rFonts w:cs="宋体" w:asciiTheme="majorEastAsia" w:hAnsiTheme="majorEastAsia" w:eastAsiaTheme="majorEastAsia"/>
                <w:color w:val="000000"/>
                <w:kern w:val="0"/>
                <w:sz w:val="32"/>
                <w:szCs w:val="32"/>
                <w:highlight w:val="none"/>
              </w:rPr>
            </w:pPr>
            <w:r>
              <w:rPr>
                <w:rFonts w:hint="eastAsia" w:cs="宋体" w:asciiTheme="majorEastAsia" w:hAnsiTheme="majorEastAsia" w:eastAsiaTheme="majorEastAsia"/>
                <w:color w:val="000000"/>
                <w:kern w:val="0"/>
                <w:sz w:val="32"/>
                <w:szCs w:val="32"/>
                <w:highlight w:val="none"/>
              </w:rPr>
              <w:t>财政拨款收入支出决算总表</w:t>
            </w:r>
          </w:p>
        </w:tc>
      </w:tr>
      <w:tr>
        <w:tblPrEx>
          <w:tblCellMar>
            <w:top w:w="0" w:type="dxa"/>
            <w:left w:w="108" w:type="dxa"/>
            <w:bottom w:w="0" w:type="dxa"/>
            <w:right w:w="108" w:type="dxa"/>
          </w:tblCellMar>
        </w:tblPrEx>
        <w:trPr>
          <w:trHeight w:val="199" w:hRule="atLeast"/>
          <w:jc w:val="center"/>
        </w:trPr>
        <w:tc>
          <w:tcPr>
            <w:tcW w:w="3596"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highlight w:val="none"/>
              </w:rPr>
            </w:pPr>
            <w:r>
              <w:rPr>
                <w:rFonts w:hint="eastAsia" w:cs="宋体" w:asciiTheme="majorEastAsia" w:hAnsiTheme="majorEastAsia" w:eastAsiaTheme="majorEastAsia"/>
                <w:color w:val="000000"/>
                <w:kern w:val="0"/>
                <w:sz w:val="20"/>
                <w:szCs w:val="20"/>
                <w:highlight w:val="none"/>
              </w:rPr>
              <w:t>公开04表</w:t>
            </w:r>
          </w:p>
        </w:tc>
      </w:tr>
      <w:tr>
        <w:tblPrEx>
          <w:tblCellMar>
            <w:top w:w="0" w:type="dxa"/>
            <w:left w:w="108" w:type="dxa"/>
            <w:bottom w:w="0" w:type="dxa"/>
            <w:right w:w="108" w:type="dxa"/>
          </w:tblCellMar>
        </w:tblPrEx>
        <w:trPr>
          <w:trHeight w:val="300" w:hRule="atLeast"/>
          <w:jc w:val="center"/>
        </w:trPr>
        <w:tc>
          <w:tcPr>
            <w:tcW w:w="3596" w:type="dxa"/>
            <w:tcBorders>
              <w:top w:val="nil"/>
              <w:left w:val="nil"/>
              <w:bottom w:val="nil"/>
              <w:right w:val="nil"/>
            </w:tcBorders>
            <w:shd w:val="clear" w:color="000000" w:fill="FFFFFF"/>
            <w:noWrap/>
            <w:vAlign w:val="center"/>
          </w:tcPr>
          <w:p>
            <w:pPr>
              <w:widowControl/>
              <w:jc w:val="left"/>
              <w:rPr>
                <w:rFonts w:cs="宋体" w:asciiTheme="majorEastAsia" w:hAnsiTheme="majorEastAsia" w:eastAsiaTheme="majorEastAsia"/>
                <w:color w:val="000000"/>
                <w:kern w:val="0"/>
                <w:sz w:val="20"/>
                <w:szCs w:val="20"/>
                <w:highlight w:val="none"/>
              </w:rPr>
            </w:pPr>
            <w:r>
              <w:rPr>
                <w:rFonts w:hint="eastAsia" w:cs="宋体" w:asciiTheme="majorEastAsia" w:hAnsiTheme="majorEastAsia" w:eastAsiaTheme="majorEastAsia"/>
                <w:color w:val="000000"/>
                <w:kern w:val="0"/>
                <w:sz w:val="20"/>
                <w:szCs w:val="20"/>
                <w:highlight w:val="none"/>
              </w:rPr>
              <w:t>部门：</w:t>
            </w:r>
            <w:r>
              <w:rPr>
                <w:rFonts w:hint="eastAsia" w:asciiTheme="majorEastAsia" w:hAnsiTheme="majorEastAsia" w:eastAsiaTheme="majorEastAsia"/>
                <w:highlight w:val="none"/>
              </w:rPr>
              <w:t>湘潭县发展和改革局</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highlight w:val="none"/>
              </w:rPr>
            </w:pPr>
            <w:r>
              <w:rPr>
                <w:rFonts w:hint="eastAsia" w:cs="宋体" w:asciiTheme="majorEastAsia" w:hAnsiTheme="majorEastAsia" w:eastAsiaTheme="majorEastAsia"/>
                <w:color w:val="000000"/>
                <w:kern w:val="0"/>
                <w:sz w:val="20"/>
                <w:szCs w:val="20"/>
                <w:highlight w:val="none"/>
              </w:rPr>
              <w:t>单位：万元</w:t>
            </w:r>
          </w:p>
        </w:tc>
      </w:tr>
      <w:tr>
        <w:tblPrEx>
          <w:tblCellMar>
            <w:top w:w="0" w:type="dxa"/>
            <w:left w:w="108" w:type="dxa"/>
            <w:bottom w:w="0" w:type="dxa"/>
            <w:right w:w="108" w:type="dxa"/>
          </w:tblCellMar>
        </w:tblPrEx>
        <w:trPr>
          <w:trHeight w:val="402" w:hRule="atLeast"/>
          <w:jc w:val="center"/>
        </w:trPr>
        <w:tc>
          <w:tcPr>
            <w:tcW w:w="51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支出</w:t>
            </w:r>
          </w:p>
        </w:tc>
      </w:tr>
      <w:tr>
        <w:tblPrEx>
          <w:tblCellMar>
            <w:top w:w="0" w:type="dxa"/>
            <w:left w:w="108" w:type="dxa"/>
            <w:bottom w:w="0" w:type="dxa"/>
            <w:right w:w="108" w:type="dxa"/>
          </w:tblCellMar>
        </w:tblPrEx>
        <w:trPr>
          <w:trHeight w:val="630"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项    目</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highlight w:val="none"/>
              </w:rPr>
            </w:pPr>
            <w:r>
              <w:rPr>
                <w:rFonts w:hint="eastAsia" w:cs="宋体" w:asciiTheme="majorEastAsia" w:hAnsiTheme="majorEastAsia" w:eastAsiaTheme="majorEastAsia"/>
                <w:kern w:val="0"/>
                <w:sz w:val="20"/>
                <w:szCs w:val="20"/>
                <w:highlight w:val="none"/>
              </w:rPr>
              <w:t>行次</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highlight w:val="none"/>
              </w:rPr>
            </w:pPr>
            <w:r>
              <w:rPr>
                <w:rFonts w:hint="eastAsia" w:cs="宋体" w:asciiTheme="majorEastAsia" w:hAnsiTheme="majorEastAsia" w:eastAsiaTheme="majorEastAsia"/>
                <w:kern w:val="0"/>
                <w:sz w:val="20"/>
                <w:szCs w:val="20"/>
                <w:highlight w:val="none"/>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国有资本经营预算财政拨款</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栏    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5</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一、一般公共预算财政拨款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w:t>
            </w:r>
          </w:p>
        </w:tc>
        <w:tc>
          <w:tcPr>
            <w:tcW w:w="110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cs="宋体" w:asciiTheme="majorEastAsia" w:hAnsiTheme="majorEastAsia" w:eastAsiaTheme="majorEastAsia"/>
                <w:color w:val="000000"/>
                <w:sz w:val="22"/>
                <w:highlight w:val="none"/>
              </w:rPr>
              <w:t>4,133.50</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33</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cs="宋体" w:asciiTheme="majorEastAsia" w:hAnsiTheme="majorEastAsia" w:eastAsiaTheme="majorEastAsia"/>
                <w:color w:val="000000"/>
                <w:sz w:val="22"/>
                <w:highlight w:val="none"/>
              </w:rPr>
              <w:t>1,508.10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cs="宋体" w:asciiTheme="majorEastAsia" w:hAnsiTheme="majorEastAsia" w:eastAsiaTheme="majorEastAsia"/>
                <w:color w:val="000000"/>
                <w:sz w:val="22"/>
                <w:highlight w:val="none"/>
              </w:rPr>
              <w:t>1,508.10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二、政府性基金预算财政拨款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w:t>
            </w:r>
          </w:p>
        </w:tc>
        <w:tc>
          <w:tcPr>
            <w:tcW w:w="110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34</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三、国有资本经营预算财政拨款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35</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37</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7</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39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40</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59.63</w:t>
            </w: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59.63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41</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28.66</w:t>
            </w: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28.66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42</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533.00</w:t>
            </w: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533.00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43</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sz w:val="22"/>
                <w:highlight w:val="none"/>
              </w:rPr>
            </w:pPr>
            <w:r>
              <w:rPr>
                <w:rFonts w:hint="eastAsia" w:cs="宋体" w:asciiTheme="majorEastAsia" w:hAnsiTheme="majorEastAsia" w:eastAsiaTheme="majorEastAsia"/>
                <w:color w:val="000000"/>
                <w:kern w:val="0"/>
                <w:sz w:val="22"/>
                <w:highlight w:val="none"/>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color w:val="000000"/>
                <w:kern w:val="0"/>
                <w:sz w:val="22"/>
                <w:highlight w:val="none"/>
              </w:rPr>
            </w:pPr>
            <w:r>
              <w:rPr>
                <w:rFonts w:hint="eastAsia" w:cs="宋体" w:asciiTheme="majorEastAsia" w:hAnsiTheme="majorEastAsia" w:eastAsiaTheme="majorEastAsia"/>
                <w:color w:val="000000"/>
                <w:kern w:val="0"/>
                <w:sz w:val="22"/>
                <w:highlight w:val="none"/>
              </w:rPr>
              <w:t>44</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100.00</w:t>
            </w: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100.00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45</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46</w:t>
            </w:r>
          </w:p>
        </w:tc>
        <w:tc>
          <w:tcPr>
            <w:tcW w:w="1573"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314.35</w:t>
            </w:r>
          </w:p>
        </w:tc>
        <w:tc>
          <w:tcPr>
            <w:tcW w:w="1394" w:type="dxa"/>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highlight w:val="none"/>
              </w:rPr>
            </w:pPr>
            <w:r>
              <w:rPr>
                <w:rFonts w:ascii="宋体" w:hAnsi="宋体" w:eastAsia="宋体" w:cs="宋体"/>
                <w:kern w:val="0"/>
                <w:sz w:val="22"/>
                <w:highlight w:val="none"/>
              </w:rPr>
              <w:t>314.35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color w:val="000000"/>
                <w:kern w:val="0"/>
                <w:sz w:val="22"/>
                <w:highlight w:val="none"/>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17</w:t>
            </w:r>
          </w:p>
        </w:tc>
        <w:tc>
          <w:tcPr>
            <w:tcW w:w="11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bCs/>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19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51</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hint="eastAsia" w:cs="宋体" w:asciiTheme="majorEastAsia" w:hAnsiTheme="majorEastAsia" w:eastAsiaTheme="majorEastAsia"/>
                <w:color w:val="000000"/>
                <w:sz w:val="22"/>
                <w:highlight w:val="none"/>
              </w:rPr>
              <w:t>37.28</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hint="eastAsia" w:cs="宋体" w:asciiTheme="majorEastAsia" w:hAnsiTheme="majorEastAsia" w:eastAsiaTheme="majorEastAsia"/>
                <w:color w:val="000000"/>
                <w:sz w:val="22"/>
                <w:highlight w:val="none"/>
              </w:rPr>
              <w:t>37.28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cs="宋体" w:asciiTheme="majorEastAsia" w:hAnsiTheme="majorEastAsia" w:eastAsiaTheme="majorEastAsia"/>
                <w:color w:val="000000"/>
                <w:sz w:val="22"/>
                <w:highlight w:val="none"/>
              </w:rPr>
              <w:t>1,552.4</w:t>
            </w:r>
            <w:r>
              <w:rPr>
                <w:rFonts w:hint="eastAsia" w:cs="宋体" w:asciiTheme="majorEastAsia" w:hAnsiTheme="majorEastAsia" w:eastAsiaTheme="majorEastAsia"/>
                <w:color w:val="000000"/>
                <w:sz w:val="22"/>
                <w:highlight w:val="none"/>
              </w:rPr>
              <w:t>8</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highlight w:val="none"/>
              </w:rPr>
            </w:pPr>
            <w:r>
              <w:rPr>
                <w:rFonts w:cs="宋体" w:asciiTheme="majorEastAsia" w:hAnsiTheme="majorEastAsia" w:eastAsiaTheme="majorEastAsia"/>
                <w:color w:val="000000"/>
                <w:sz w:val="22"/>
                <w:highlight w:val="none"/>
              </w:rPr>
              <w:t>1,552.4</w:t>
            </w:r>
            <w:r>
              <w:rPr>
                <w:rFonts w:hint="eastAsia" w:cs="宋体" w:asciiTheme="majorEastAsia" w:hAnsiTheme="majorEastAsia" w:eastAsiaTheme="majorEastAsia"/>
                <w:color w:val="000000"/>
                <w:sz w:val="22"/>
                <w:highlight w:val="none"/>
              </w:rPr>
              <w:t>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highlight w:val="none"/>
              </w:rPr>
            </w:pPr>
            <w:r>
              <w:rPr>
                <w:rFonts w:hint="eastAsia" w:cs="宋体" w:asciiTheme="majorEastAsia" w:hAnsiTheme="majorEastAsia" w:eastAsiaTheme="majorEastAsia"/>
                <w:color w:val="000000"/>
                <w:kern w:val="0"/>
                <w:sz w:val="22"/>
                <w:highlight w:val="none"/>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highlight w:val="none"/>
              </w:rPr>
            </w:pPr>
            <w:r>
              <w:rPr>
                <w:rFonts w:hint="eastAsia" w:cs="宋体" w:asciiTheme="majorEastAsia" w:hAnsiTheme="majorEastAsia" w:eastAsiaTheme="majorEastAsia"/>
                <w:color w:val="000000"/>
                <w:kern w:val="0"/>
                <w:sz w:val="22"/>
                <w:highlight w:val="none"/>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highlight w:val="none"/>
              </w:rPr>
            </w:pPr>
            <w:r>
              <w:rPr>
                <w:rFonts w:hint="eastAsia" w:cs="宋体" w:asciiTheme="majorEastAsia" w:hAnsiTheme="majorEastAsia" w:eastAsiaTheme="majorEastAsia"/>
                <w:color w:val="000000"/>
                <w:kern w:val="0"/>
                <w:sz w:val="22"/>
                <w:highlight w:val="none"/>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kern w:val="0"/>
                <w:sz w:val="22"/>
                <w:highlight w:val="none"/>
              </w:rPr>
              <w:t>26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highlight w:val="none"/>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highlight w:val="none"/>
              </w:rPr>
            </w:pPr>
            <w:r>
              <w:rPr>
                <w:rFonts w:hint="eastAsia" w:cs="宋体" w:asciiTheme="majorEastAsia" w:hAnsiTheme="majorEastAsia" w:eastAsiaTheme="majorEastAsia"/>
                <w:color w:val="000000"/>
                <w:kern w:val="0"/>
                <w:sz w:val="22"/>
                <w:highlight w:val="none"/>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highlight w:val="none"/>
              </w:rPr>
            </w:pPr>
            <w:r>
              <w:rPr>
                <w:rFonts w:hint="eastAsia" w:cs="宋体" w:asciiTheme="majorEastAsia" w:hAnsiTheme="majorEastAsia" w:eastAsiaTheme="majorEastAsia"/>
                <w:color w:val="000000"/>
                <w:kern w:val="0"/>
                <w:sz w:val="22"/>
                <w:highlight w:val="none"/>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highlight w:val="none"/>
              </w:rPr>
            </w:pPr>
            <w:r>
              <w:rPr>
                <w:rFonts w:hint="eastAsia" w:cs="宋体" w:asciiTheme="majorEastAsia" w:hAnsiTheme="majorEastAsia" w:eastAsiaTheme="majorEastAsia"/>
                <w:b/>
                <w:kern w:val="0"/>
                <w:sz w:val="22"/>
                <w:highlight w:val="none"/>
              </w:rPr>
              <w:t>本年收入合计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kern w:val="0"/>
                <w:sz w:val="22"/>
                <w:highlight w:val="none"/>
              </w:rPr>
            </w:pPr>
            <w:r>
              <w:rPr>
                <w:rFonts w:hint="eastAsia" w:cs="宋体" w:asciiTheme="majorEastAsia" w:hAnsiTheme="majorEastAsia" w:eastAsiaTheme="majorEastAsia"/>
                <w:b/>
                <w:color w:val="000000"/>
                <w:kern w:val="0"/>
                <w:sz w:val="22"/>
                <w:highlight w:val="none"/>
              </w:rPr>
              <w:t>27</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color w:val="000000"/>
                <w:sz w:val="22"/>
                <w:highlight w:val="none"/>
              </w:rPr>
            </w:pPr>
            <w:r>
              <w:rPr>
                <w:rFonts w:cs="宋体" w:asciiTheme="majorEastAsia" w:hAnsiTheme="majorEastAsia" w:eastAsiaTheme="majorEastAsia"/>
                <w:b/>
                <w:color w:val="000000"/>
                <w:sz w:val="22"/>
                <w:highlight w:val="none"/>
              </w:rPr>
              <w:t>4,133.50</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highlight w:val="none"/>
              </w:rPr>
            </w:pPr>
            <w:r>
              <w:rPr>
                <w:rFonts w:hint="eastAsia" w:cs="宋体" w:asciiTheme="majorEastAsia" w:hAnsiTheme="majorEastAsia" w:eastAsiaTheme="majorEastAsia"/>
                <w:b/>
                <w:kern w:val="0"/>
                <w:sz w:val="22"/>
                <w:highlight w:val="none"/>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kern w:val="0"/>
                <w:sz w:val="22"/>
                <w:highlight w:val="none"/>
              </w:rPr>
            </w:pPr>
            <w:r>
              <w:rPr>
                <w:rFonts w:hint="eastAsia" w:cs="宋体" w:asciiTheme="majorEastAsia" w:hAnsiTheme="majorEastAsia" w:eastAsiaTheme="majorEastAsia"/>
                <w:b/>
                <w:color w:val="000000"/>
                <w:kern w:val="0"/>
                <w:sz w:val="22"/>
                <w:highlight w:val="none"/>
              </w:rPr>
              <w:t>59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 w:val="22"/>
                <w:highlight w:val="none"/>
              </w:rPr>
            </w:pPr>
            <w:r>
              <w:rPr>
                <w:rFonts w:cs="宋体" w:asciiTheme="majorEastAsia" w:hAnsiTheme="majorEastAsia" w:eastAsiaTheme="majorEastAsia"/>
                <w:b/>
                <w:color w:val="000000"/>
                <w:sz w:val="22"/>
                <w:highlight w:val="none"/>
              </w:rPr>
              <w:t>4,133.50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 w:val="22"/>
                <w:highlight w:val="none"/>
              </w:rPr>
            </w:pPr>
            <w:r>
              <w:rPr>
                <w:rFonts w:cs="宋体" w:asciiTheme="majorEastAsia" w:hAnsiTheme="majorEastAsia" w:eastAsiaTheme="majorEastAsia"/>
                <w:b/>
                <w:color w:val="000000"/>
                <w:sz w:val="22"/>
                <w:highlight w:val="none"/>
              </w:rPr>
              <w:t>4,133.50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kern w:val="0"/>
                <w:sz w:val="22"/>
                <w:highlight w:val="none"/>
              </w:rPr>
              <w:t>年初财政拨款结转和结余</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28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年末财政拨款结转和结余</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60</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 xml:space="preserve">     一般公共预算财政拨款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29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highlight w:val="none"/>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61</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 xml:space="preserve">     政府性基金预算财政拨款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30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color w:val="000000"/>
                <w:kern w:val="0"/>
                <w:sz w:val="22"/>
                <w:highlight w:val="none"/>
              </w:rPr>
            </w:pP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highlight w:val="none"/>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62</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 xml:space="preserve">     国有资本经营预算财政拨款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31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color w:val="000000"/>
                <w:kern w:val="0"/>
                <w:sz w:val="22"/>
                <w:highlight w:val="none"/>
              </w:rPr>
            </w:pP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highlight w:val="none"/>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color w:val="000000"/>
                <w:kern w:val="0"/>
                <w:sz w:val="22"/>
                <w:highlight w:val="none"/>
              </w:rPr>
              <w:t>63</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highlight w:val="none"/>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color w:val="000000"/>
                <w:sz w:val="22"/>
                <w:highlight w:val="none"/>
              </w:rPr>
            </w:pPr>
            <w:r>
              <w:rPr>
                <w:rFonts w:hint="eastAsia" w:cs="宋体" w:asciiTheme="majorEastAsia" w:hAnsiTheme="majorEastAsia" w:eastAsiaTheme="majorEastAsia"/>
                <w:b/>
                <w:bCs/>
                <w:color w:val="000000"/>
                <w:kern w:val="0"/>
                <w:sz w:val="22"/>
                <w:highlight w:val="none"/>
              </w:rPr>
              <w:t>总计</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b/>
                <w:bCs/>
                <w:color w:val="000000"/>
                <w:kern w:val="0"/>
                <w:sz w:val="22"/>
                <w:highlight w:val="none"/>
              </w:rPr>
              <w:t>32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sz w:val="22"/>
                <w:highlight w:val="none"/>
              </w:rPr>
            </w:pPr>
            <w:r>
              <w:rPr>
                <w:rFonts w:cs="宋体" w:asciiTheme="majorEastAsia" w:hAnsiTheme="majorEastAsia" w:eastAsiaTheme="majorEastAsia"/>
                <w:b/>
                <w:bCs/>
                <w:color w:val="000000"/>
                <w:sz w:val="22"/>
                <w:highlight w:val="none"/>
              </w:rPr>
              <w:t>4,133.50</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b/>
                <w:bCs/>
                <w:color w:val="000000"/>
                <w:kern w:val="0"/>
                <w:sz w:val="22"/>
                <w:highlight w:val="none"/>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highlight w:val="none"/>
              </w:rPr>
            </w:pPr>
            <w:r>
              <w:rPr>
                <w:rFonts w:hint="eastAsia" w:cs="宋体" w:asciiTheme="majorEastAsia" w:hAnsiTheme="majorEastAsia" w:eastAsiaTheme="majorEastAsia"/>
                <w:b/>
                <w:bCs/>
                <w:color w:val="000000"/>
                <w:kern w:val="0"/>
                <w:sz w:val="22"/>
                <w:highlight w:val="none"/>
              </w:rPr>
              <w:t>64</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color w:val="000000"/>
                <w:sz w:val="22"/>
                <w:highlight w:val="none"/>
              </w:rPr>
            </w:pPr>
            <w:r>
              <w:rPr>
                <w:rFonts w:cs="宋体" w:asciiTheme="majorEastAsia" w:hAnsiTheme="majorEastAsia" w:eastAsiaTheme="majorEastAsia"/>
                <w:b/>
                <w:color w:val="000000"/>
                <w:sz w:val="22"/>
                <w:highlight w:val="none"/>
              </w:rPr>
              <w:t>4,133.50</w:t>
            </w:r>
          </w:p>
        </w:tc>
        <w:tc>
          <w:tcPr>
            <w:tcW w:w="1394"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color w:val="000000"/>
                <w:sz w:val="22"/>
                <w:highlight w:val="none"/>
              </w:rPr>
            </w:pPr>
            <w:r>
              <w:rPr>
                <w:rFonts w:cs="宋体" w:asciiTheme="majorEastAsia" w:hAnsiTheme="majorEastAsia" w:eastAsiaTheme="majorEastAsia"/>
                <w:b/>
                <w:color w:val="000000"/>
                <w:sz w:val="22"/>
                <w:highlight w:val="none"/>
              </w:rPr>
              <w:t>4,133.50</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highlight w:val="none"/>
              </w:rPr>
            </w:pPr>
          </w:p>
        </w:tc>
      </w:tr>
      <w:tr>
        <w:tblPrEx>
          <w:tblCellMar>
            <w:top w:w="0" w:type="dxa"/>
            <w:left w:w="108" w:type="dxa"/>
            <w:bottom w:w="0" w:type="dxa"/>
            <w:right w:w="108" w:type="dxa"/>
          </w:tblCellMar>
        </w:tblPrEx>
        <w:trPr>
          <w:trHeight w:val="585" w:hRule="atLeast"/>
          <w:jc w:val="center"/>
        </w:trPr>
        <w:tc>
          <w:tcPr>
            <w:tcW w:w="15549" w:type="dxa"/>
            <w:gridSpan w:val="10"/>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rPr>
          <w:rFonts w:ascii="Times New Roman" w:hAnsi="Times New Roman" w:eastAsia="方正小标宋_GBK" w:cs="Times New Roman"/>
          <w:kern w:val="0"/>
          <w:sz w:val="36"/>
          <w:szCs w:val="36"/>
          <w:highlight w:val="none"/>
        </w:rPr>
      </w:pPr>
    </w:p>
    <w:p>
      <w:pPr>
        <w:widowControl/>
        <w:jc w:val="center"/>
        <w:outlineLvl w:val="0"/>
        <w:rPr>
          <w:rFonts w:ascii="Times New Roman" w:hAnsi="Times New Roman" w:eastAsia="方正小标宋_GBK" w:cs="Times New Roman"/>
          <w:kern w:val="0"/>
          <w:sz w:val="36"/>
          <w:szCs w:val="36"/>
          <w:highlight w:val="none"/>
        </w:rPr>
      </w:pPr>
      <w:r>
        <w:rPr>
          <w:rFonts w:ascii="Times New Roman" w:hAnsi="Times New Roman" w:eastAsia="方正小标宋_GBK" w:cs="Times New Roman"/>
          <w:kern w:val="0"/>
          <w:sz w:val="36"/>
          <w:szCs w:val="36"/>
          <w:highlight w:val="none"/>
        </w:rPr>
        <w:t>一般公共预算财政拨款支出决算表</w:t>
      </w:r>
      <w:bookmarkEnd w:id="1"/>
    </w:p>
    <w:p>
      <w:pPr>
        <w:widowControl/>
        <w:spacing w:beforeLines="50"/>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部门：  湘潭县发展和改革局                                                                                                 公开05表</w:t>
      </w:r>
    </w:p>
    <w:p>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Cs w:val="21"/>
          <w:highlight w:val="none"/>
        </w:rPr>
        <w:t xml:space="preserve">                                                                                                                                单位：万元</w:t>
      </w:r>
    </w:p>
    <w:tbl>
      <w:tblPr>
        <w:tblStyle w:val="9"/>
        <w:tblW w:w="13778" w:type="dxa"/>
        <w:jc w:val="center"/>
        <w:tblLayout w:type="autofit"/>
        <w:tblCellMar>
          <w:top w:w="0" w:type="dxa"/>
          <w:left w:w="108" w:type="dxa"/>
          <w:bottom w:w="0" w:type="dxa"/>
          <w:right w:w="108" w:type="dxa"/>
        </w:tblCellMar>
      </w:tblPr>
      <w:tblGrid>
        <w:gridCol w:w="1195"/>
        <w:gridCol w:w="3513"/>
        <w:gridCol w:w="2988"/>
        <w:gridCol w:w="3126"/>
        <w:gridCol w:w="2956"/>
      </w:tblGrid>
      <w:tr>
        <w:tblPrEx>
          <w:tblCellMar>
            <w:top w:w="0" w:type="dxa"/>
            <w:left w:w="108" w:type="dxa"/>
            <w:bottom w:w="0" w:type="dxa"/>
            <w:right w:w="108" w:type="dxa"/>
          </w:tblCellMar>
        </w:tblPrEx>
        <w:trPr>
          <w:trHeight w:val="367" w:hRule="atLeast"/>
          <w:jc w:val="center"/>
        </w:trPr>
        <w:tc>
          <w:tcPr>
            <w:tcW w:w="470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项 目</w:t>
            </w:r>
          </w:p>
        </w:tc>
        <w:tc>
          <w:tcPr>
            <w:tcW w:w="9070"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本年支出</w:t>
            </w:r>
          </w:p>
        </w:tc>
      </w:tr>
      <w:tr>
        <w:tblPrEx>
          <w:tblCellMar>
            <w:top w:w="0" w:type="dxa"/>
            <w:left w:w="108" w:type="dxa"/>
            <w:bottom w:w="0" w:type="dxa"/>
            <w:right w:w="108" w:type="dxa"/>
          </w:tblCellMar>
        </w:tblPrEx>
        <w:trPr>
          <w:trHeight w:val="436" w:hRule="atLeast"/>
          <w:jc w:val="center"/>
        </w:trPr>
        <w:tc>
          <w:tcPr>
            <w:tcW w:w="1195"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功能分类科目编码</w:t>
            </w:r>
          </w:p>
        </w:tc>
        <w:tc>
          <w:tcPr>
            <w:tcW w:w="351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科目名称</w:t>
            </w:r>
          </w:p>
        </w:tc>
        <w:tc>
          <w:tcPr>
            <w:tcW w:w="298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小计</w:t>
            </w:r>
          </w:p>
        </w:tc>
        <w:tc>
          <w:tcPr>
            <w:tcW w:w="312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基本支出</w:t>
            </w:r>
          </w:p>
        </w:tc>
        <w:tc>
          <w:tcPr>
            <w:tcW w:w="2956"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cs="宋体" w:asciiTheme="minorEastAsia" w:hAnsiTheme="minorEastAsia"/>
                <w:b/>
                <w:kern w:val="0"/>
                <w:szCs w:val="21"/>
                <w:highlight w:val="none"/>
              </w:rPr>
            </w:pPr>
            <w:r>
              <w:rPr>
                <w:rFonts w:hint="eastAsia" w:cs="宋体" w:asciiTheme="minorEastAsia" w:hAnsiTheme="minorEastAsia"/>
                <w:b/>
                <w:kern w:val="0"/>
                <w:szCs w:val="21"/>
                <w:highlight w:val="none"/>
              </w:rPr>
              <w:t>项目支出</w:t>
            </w:r>
          </w:p>
        </w:tc>
      </w:tr>
      <w:tr>
        <w:tblPrEx>
          <w:tblCellMar>
            <w:top w:w="0" w:type="dxa"/>
            <w:left w:w="108" w:type="dxa"/>
            <w:bottom w:w="0" w:type="dxa"/>
            <w:right w:w="108" w:type="dxa"/>
          </w:tblCellMar>
        </w:tblPrEx>
        <w:trPr>
          <w:trHeight w:val="319" w:hRule="atLeast"/>
          <w:jc w:val="center"/>
        </w:trPr>
        <w:tc>
          <w:tcPr>
            <w:tcW w:w="1195"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inorEastAsia" w:hAnsiTheme="minorEastAsia"/>
                <w:kern w:val="0"/>
                <w:szCs w:val="21"/>
                <w:highlight w:val="none"/>
              </w:rPr>
            </w:pPr>
          </w:p>
        </w:tc>
        <w:tc>
          <w:tcPr>
            <w:tcW w:w="3513"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highlight w:val="none"/>
              </w:rPr>
            </w:pPr>
          </w:p>
        </w:tc>
        <w:tc>
          <w:tcPr>
            <w:tcW w:w="298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highlight w:val="none"/>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highlight w:val="none"/>
              </w:rPr>
            </w:pPr>
          </w:p>
        </w:tc>
        <w:tc>
          <w:tcPr>
            <w:tcW w:w="2956"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inorEastAsia" w:hAnsiTheme="minorEastAsia"/>
                <w:kern w:val="0"/>
                <w:szCs w:val="21"/>
                <w:highlight w:val="none"/>
              </w:rPr>
            </w:pPr>
          </w:p>
        </w:tc>
      </w:tr>
      <w:tr>
        <w:tblPrEx>
          <w:tblCellMar>
            <w:top w:w="0" w:type="dxa"/>
            <w:left w:w="108" w:type="dxa"/>
            <w:bottom w:w="0" w:type="dxa"/>
            <w:right w:w="108" w:type="dxa"/>
          </w:tblCellMar>
        </w:tblPrEx>
        <w:trPr>
          <w:trHeight w:val="272" w:hRule="atLeast"/>
          <w:jc w:val="center"/>
        </w:trPr>
        <w:tc>
          <w:tcPr>
            <w:tcW w:w="1195"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inorEastAsia" w:hAnsiTheme="minorEastAsia"/>
                <w:kern w:val="0"/>
                <w:szCs w:val="21"/>
                <w:highlight w:val="none"/>
              </w:rPr>
            </w:pPr>
          </w:p>
        </w:tc>
        <w:tc>
          <w:tcPr>
            <w:tcW w:w="3513"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highlight w:val="none"/>
              </w:rPr>
            </w:pPr>
          </w:p>
        </w:tc>
        <w:tc>
          <w:tcPr>
            <w:tcW w:w="298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highlight w:val="none"/>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highlight w:val="none"/>
              </w:rPr>
            </w:pPr>
          </w:p>
        </w:tc>
        <w:tc>
          <w:tcPr>
            <w:tcW w:w="2956"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inorEastAsia" w:hAnsiTheme="minorEastAsia"/>
                <w:kern w:val="0"/>
                <w:szCs w:val="21"/>
                <w:highlight w:val="none"/>
              </w:rPr>
            </w:pPr>
          </w:p>
        </w:tc>
      </w:tr>
      <w:tr>
        <w:tblPrEx>
          <w:tblCellMar>
            <w:top w:w="0" w:type="dxa"/>
            <w:left w:w="108" w:type="dxa"/>
            <w:bottom w:w="0" w:type="dxa"/>
            <w:right w:w="108" w:type="dxa"/>
          </w:tblCellMar>
        </w:tblPrEx>
        <w:trPr>
          <w:trHeight w:val="397" w:hRule="atLeast"/>
          <w:jc w:val="center"/>
        </w:trPr>
        <w:tc>
          <w:tcPr>
            <w:tcW w:w="47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highlight w:val="none"/>
              </w:rPr>
            </w:pPr>
            <w:r>
              <w:rPr>
                <w:rFonts w:hint="eastAsia" w:cs="宋体" w:asciiTheme="minorEastAsia" w:hAnsiTheme="minorEastAsia"/>
                <w:kern w:val="0"/>
                <w:szCs w:val="21"/>
                <w:highlight w:val="none"/>
              </w:rPr>
              <w:t>栏次</w:t>
            </w:r>
          </w:p>
        </w:tc>
        <w:tc>
          <w:tcPr>
            <w:tcW w:w="298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highlight w:val="none"/>
              </w:rPr>
            </w:pPr>
            <w:r>
              <w:rPr>
                <w:rFonts w:hint="eastAsia" w:cs="宋体" w:asciiTheme="minorEastAsia" w:hAnsiTheme="minorEastAsia"/>
                <w:kern w:val="0"/>
                <w:szCs w:val="21"/>
                <w:highlight w:val="none"/>
              </w:rPr>
              <w:t>1</w:t>
            </w:r>
          </w:p>
        </w:tc>
        <w:tc>
          <w:tcPr>
            <w:tcW w:w="3126"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highlight w:val="none"/>
              </w:rPr>
            </w:pPr>
            <w:r>
              <w:rPr>
                <w:rFonts w:hint="eastAsia" w:cs="宋体" w:asciiTheme="minorEastAsia" w:hAnsiTheme="minorEastAsia"/>
                <w:kern w:val="0"/>
                <w:szCs w:val="21"/>
                <w:highlight w:val="none"/>
              </w:rPr>
              <w:t>2</w:t>
            </w:r>
          </w:p>
        </w:tc>
        <w:tc>
          <w:tcPr>
            <w:tcW w:w="2956" w:type="dxa"/>
            <w:tcBorders>
              <w:top w:val="nil"/>
              <w:left w:val="nil"/>
              <w:bottom w:val="single" w:color="auto" w:sz="4" w:space="0"/>
              <w:right w:val="single" w:color="auto" w:sz="8" w:space="0"/>
            </w:tcBorders>
            <w:shd w:val="clear" w:color="auto" w:fill="auto"/>
            <w:vAlign w:val="center"/>
          </w:tcPr>
          <w:p>
            <w:pPr>
              <w:widowControl/>
              <w:jc w:val="center"/>
              <w:rPr>
                <w:rFonts w:cs="宋体" w:asciiTheme="minorEastAsia" w:hAnsiTheme="minorEastAsia"/>
                <w:kern w:val="0"/>
                <w:szCs w:val="21"/>
                <w:highlight w:val="none"/>
              </w:rPr>
            </w:pPr>
            <w:r>
              <w:rPr>
                <w:rFonts w:hint="eastAsia" w:cs="宋体" w:asciiTheme="minorEastAsia" w:hAnsiTheme="minorEastAsia"/>
                <w:kern w:val="0"/>
                <w:szCs w:val="21"/>
                <w:highlight w:val="none"/>
              </w:rPr>
              <w:t>3</w:t>
            </w:r>
          </w:p>
        </w:tc>
      </w:tr>
      <w:tr>
        <w:tblPrEx>
          <w:tblCellMar>
            <w:top w:w="0" w:type="dxa"/>
            <w:left w:w="108" w:type="dxa"/>
            <w:bottom w:w="0" w:type="dxa"/>
            <w:right w:w="108" w:type="dxa"/>
          </w:tblCellMar>
        </w:tblPrEx>
        <w:trPr>
          <w:trHeight w:val="397" w:hRule="atLeast"/>
          <w:jc w:val="center"/>
        </w:trPr>
        <w:tc>
          <w:tcPr>
            <w:tcW w:w="47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highlight w:val="none"/>
              </w:rPr>
            </w:pPr>
            <w:r>
              <w:rPr>
                <w:rFonts w:hint="eastAsia" w:cs="宋体" w:asciiTheme="minorEastAsia" w:hAnsiTheme="minorEastAsia"/>
                <w:b/>
                <w:bCs/>
                <w:kern w:val="0"/>
                <w:szCs w:val="21"/>
                <w:highlight w:val="none"/>
              </w:rPr>
              <w:t>合计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highlight w:val="none"/>
              </w:rPr>
            </w:pPr>
            <w:r>
              <w:rPr>
                <w:rFonts w:cs="宋体" w:asciiTheme="minorEastAsia" w:hAnsiTheme="minorEastAsia"/>
                <w:b/>
                <w:bCs/>
                <w:color w:val="000000"/>
                <w:szCs w:val="21"/>
                <w:highlight w:val="none"/>
              </w:rPr>
              <w:t>4,133.50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highlight w:val="none"/>
              </w:rPr>
            </w:pPr>
            <w:r>
              <w:rPr>
                <w:rFonts w:cs="宋体" w:asciiTheme="minorEastAsia" w:hAnsiTheme="minorEastAsia"/>
                <w:b/>
                <w:bCs/>
                <w:color w:val="000000"/>
                <w:szCs w:val="21"/>
                <w:highlight w:val="none"/>
              </w:rPr>
              <w:t>795.69</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inorEastAsia" w:hAnsiTheme="minorEastAsia"/>
                <w:b/>
                <w:bCs/>
                <w:color w:val="000000"/>
                <w:szCs w:val="21"/>
                <w:highlight w:val="none"/>
              </w:rPr>
            </w:pPr>
            <w:r>
              <w:rPr>
                <w:rFonts w:cs="宋体" w:asciiTheme="minorEastAsia" w:hAnsiTheme="minorEastAsia"/>
                <w:b/>
                <w:bCs/>
                <w:color w:val="000000"/>
                <w:szCs w:val="21"/>
                <w:highlight w:val="none"/>
              </w:rPr>
              <w:t>3,337.81</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inorEastAsia" w:hAnsiTheme="minorEastAsia"/>
                <w:b/>
                <w:bCs/>
                <w:color w:val="000000"/>
                <w:szCs w:val="21"/>
                <w:highlight w:val="none"/>
              </w:rPr>
            </w:pPr>
            <w:r>
              <w:rPr>
                <w:rFonts w:hint="eastAsia" w:asciiTheme="minorEastAsia" w:hAnsiTheme="minorEastAsia"/>
                <w:b/>
                <w:bCs/>
                <w:color w:val="000000"/>
                <w:szCs w:val="21"/>
                <w:highlight w:val="none"/>
              </w:rPr>
              <w:t>201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inorEastAsia" w:hAnsiTheme="minorEastAsia"/>
                <w:b/>
                <w:bCs/>
                <w:color w:val="000000"/>
                <w:szCs w:val="21"/>
                <w:highlight w:val="none"/>
              </w:rPr>
            </w:pPr>
            <w:r>
              <w:rPr>
                <w:rFonts w:hint="eastAsia" w:asciiTheme="minorEastAsia" w:hAnsiTheme="minorEastAsia"/>
                <w:b/>
                <w:bCs/>
                <w:color w:val="000000"/>
                <w:szCs w:val="21"/>
                <w:highlight w:val="none"/>
              </w:rPr>
              <w:t>一般公共服务支出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1,508.10</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687.28</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820.8</w:t>
            </w:r>
            <w:r>
              <w:rPr>
                <w:rFonts w:hint="eastAsia" w:asciiTheme="minorEastAsia" w:hAnsiTheme="minorEastAsia"/>
                <w:b/>
                <w:highlight w:val="none"/>
              </w:rPr>
              <w:t>2</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20104</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发展与改革事务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1,508.10</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687.28</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820.8</w:t>
            </w:r>
            <w:r>
              <w:rPr>
                <w:rFonts w:hint="eastAsia" w:asciiTheme="minorEastAsia" w:hAnsiTheme="minorEastAsia"/>
                <w:b/>
                <w:highlight w:val="none"/>
              </w:rPr>
              <w:t>2</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2010401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行政运行</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573.49</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573.49</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2010402</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一般行政管理事务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60.82</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60.82</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2010404</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战略规划与实施</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15.49</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15.49</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2010406</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社会事业发展规划</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102.56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102.56</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2010408</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物价管理</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3.45</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3.45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2010499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其他发展与改革事务支出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752.29</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113.79</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638.</w:t>
            </w:r>
            <w:r>
              <w:rPr>
                <w:rFonts w:hint="eastAsia" w:asciiTheme="minorEastAsia" w:hAnsiTheme="minorEastAsia"/>
                <w:highlight w:val="none"/>
              </w:rPr>
              <w:t>50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208</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社会保障和就业支出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59.63</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42.47</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17.16</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20805</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行政事业单位养老支出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42.47</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42.47</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2080505</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机关事业单位基本养老保险缴费支出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42.47</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42.47</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20808</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抚恤</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17.16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17.16</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2080801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死亡抚恤</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17.16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17.16</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210</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卫生健康支出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28.66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28.66</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21011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行政事业单位医疗</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28.66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28.66</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2101101</w:t>
            </w:r>
          </w:p>
        </w:tc>
        <w:tc>
          <w:tcPr>
            <w:tcW w:w="3513" w:type="dxa"/>
            <w:tcBorders>
              <w:top w:val="single" w:color="auto" w:sz="4" w:space="0"/>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行政单位医疗</w:t>
            </w:r>
          </w:p>
        </w:tc>
        <w:tc>
          <w:tcPr>
            <w:tcW w:w="2988" w:type="dxa"/>
            <w:tcBorders>
              <w:top w:val="single" w:color="auto" w:sz="4" w:space="0"/>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28.66</w:t>
            </w:r>
          </w:p>
        </w:tc>
        <w:tc>
          <w:tcPr>
            <w:tcW w:w="3126" w:type="dxa"/>
            <w:tcBorders>
              <w:top w:val="single" w:color="auto" w:sz="4" w:space="0"/>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28.66</w:t>
            </w:r>
          </w:p>
        </w:tc>
        <w:tc>
          <w:tcPr>
            <w:tcW w:w="2956" w:type="dxa"/>
            <w:tcBorders>
              <w:top w:val="single" w:color="auto" w:sz="4" w:space="0"/>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533.00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533.00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21199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其他节能环保支出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533.00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533.00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2119999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533.00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533.00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213</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农林水支出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21305</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巩固脱贫衔接乡村振兴</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2130599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其他巩固脱贫衔接乡村振兴支出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100.00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215</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314.35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314.35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21599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其他资源勘探工业信息等支出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314.35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314.35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2159999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314.35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color w:val="000000"/>
                <w:szCs w:val="21"/>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314.35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221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住房保障支出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37.28</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37.28</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22102</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住房改革支出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37.28</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37.28</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2210201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住房公积金</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37.28</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37.28</w:t>
            </w: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222</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粮油物资储备支出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1,552.4</w:t>
            </w:r>
            <w:r>
              <w:rPr>
                <w:rFonts w:hint="eastAsia" w:asciiTheme="minorEastAsia" w:hAnsiTheme="minorEastAsia"/>
                <w:b/>
                <w:highlight w:val="none"/>
              </w:rPr>
              <w:t>8</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1,552.4</w:t>
            </w:r>
            <w:r>
              <w:rPr>
                <w:rFonts w:hint="eastAsia" w:asciiTheme="minorEastAsia" w:hAnsiTheme="minorEastAsia"/>
                <w:b/>
                <w:highlight w:val="none"/>
              </w:rPr>
              <w:t>8</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22201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粮油物资事务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779.94</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779.94</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2220112</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粮食财务挂账利息补贴</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330.00</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330.00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2220113</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粮食财务挂账消化款</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6.25</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6.25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2220199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其他粮油物资事务支出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443.69</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443.69</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b/>
                <w:highlight w:val="none"/>
              </w:rPr>
            </w:pPr>
            <w:r>
              <w:rPr>
                <w:rFonts w:asciiTheme="minorEastAsia" w:hAnsiTheme="minorEastAsia"/>
                <w:b/>
                <w:highlight w:val="none"/>
              </w:rPr>
              <w:t>22204</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b/>
                <w:highlight w:val="none"/>
              </w:rPr>
            </w:pPr>
            <w:r>
              <w:rPr>
                <w:rFonts w:hint="eastAsia" w:asciiTheme="minorEastAsia" w:hAnsiTheme="minorEastAsia"/>
                <w:b/>
                <w:highlight w:val="none"/>
              </w:rPr>
              <w:t>粮油储备</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772.5</w:t>
            </w:r>
            <w:r>
              <w:rPr>
                <w:rFonts w:hint="eastAsia" w:asciiTheme="minorEastAsia" w:hAnsiTheme="minorEastAsia"/>
                <w:b/>
                <w:highlight w:val="none"/>
              </w:rPr>
              <w:t>4</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highlight w:val="none"/>
              </w:rPr>
            </w:pPr>
            <w:r>
              <w:rPr>
                <w:rFonts w:asciiTheme="minorEastAsia" w:hAnsiTheme="minorEastAsia"/>
                <w:b/>
                <w:highlight w:val="none"/>
              </w:rPr>
              <w:t>772.5</w:t>
            </w:r>
            <w:r>
              <w:rPr>
                <w:rFonts w:hint="eastAsia" w:asciiTheme="minorEastAsia" w:hAnsiTheme="minorEastAsia"/>
                <w:b/>
                <w:highlight w:val="none"/>
              </w:rPr>
              <w:t>4</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2220401</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储备粮油补贴</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470.00</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470.00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2220402</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储备粮油差价补贴</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259.36</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259.36</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tcPr>
          <w:p>
            <w:pPr>
              <w:rPr>
                <w:rFonts w:asciiTheme="minorEastAsia" w:hAnsiTheme="minorEastAsia"/>
                <w:highlight w:val="none"/>
              </w:rPr>
            </w:pPr>
            <w:r>
              <w:rPr>
                <w:rFonts w:asciiTheme="minorEastAsia" w:hAnsiTheme="minorEastAsia"/>
                <w:highlight w:val="none"/>
              </w:rPr>
              <w:t>2220499</w:t>
            </w:r>
          </w:p>
        </w:tc>
        <w:tc>
          <w:tcPr>
            <w:tcW w:w="3513" w:type="dxa"/>
            <w:tcBorders>
              <w:top w:val="nil"/>
              <w:left w:val="nil"/>
              <w:bottom w:val="single" w:color="auto" w:sz="4" w:space="0"/>
              <w:right w:val="single" w:color="auto" w:sz="4" w:space="0"/>
            </w:tcBorders>
            <w:shd w:val="clear" w:color="auto" w:fill="auto"/>
          </w:tcPr>
          <w:p>
            <w:pPr>
              <w:rPr>
                <w:rFonts w:asciiTheme="minorEastAsia" w:hAnsiTheme="minorEastAsia"/>
                <w:highlight w:val="none"/>
              </w:rPr>
            </w:pPr>
            <w:r>
              <w:rPr>
                <w:rFonts w:hint="eastAsia" w:asciiTheme="minorEastAsia" w:hAnsiTheme="minorEastAsia"/>
                <w:highlight w:val="none"/>
              </w:rPr>
              <w:t xml:space="preserve">  其他粮油储备支出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43.1</w:t>
            </w:r>
            <w:r>
              <w:rPr>
                <w:rFonts w:hint="eastAsia" w:asciiTheme="minorEastAsia" w:hAnsiTheme="minorEastAsia"/>
                <w:highlight w:val="none"/>
              </w:rPr>
              <w:t>8</w:t>
            </w:r>
          </w:p>
        </w:tc>
        <w:tc>
          <w:tcPr>
            <w:tcW w:w="3126"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highlight w:val="none"/>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highlight w:val="none"/>
              </w:rPr>
            </w:pPr>
            <w:r>
              <w:rPr>
                <w:rFonts w:asciiTheme="minorEastAsia" w:hAnsiTheme="minorEastAsia"/>
                <w:highlight w:val="none"/>
              </w:rPr>
              <w:t>43.1</w:t>
            </w:r>
            <w:r>
              <w:rPr>
                <w:rFonts w:hint="eastAsia" w:asciiTheme="minorEastAsia" w:hAnsiTheme="minorEastAsia"/>
                <w:highlight w:val="none"/>
              </w:rPr>
              <w:t>8</w:t>
            </w:r>
          </w:p>
        </w:tc>
      </w:tr>
      <w:tr>
        <w:tblPrEx>
          <w:tblCellMar>
            <w:top w:w="0" w:type="dxa"/>
            <w:left w:w="108" w:type="dxa"/>
            <w:bottom w:w="0" w:type="dxa"/>
            <w:right w:w="108" w:type="dxa"/>
          </w:tblCellMar>
        </w:tblPrEx>
        <w:trPr>
          <w:trHeight w:val="565" w:hRule="atLeast"/>
          <w:jc w:val="center"/>
        </w:trPr>
        <w:tc>
          <w:tcPr>
            <w:tcW w:w="13778" w:type="dxa"/>
            <w:gridSpan w:val="5"/>
            <w:tcBorders>
              <w:top w:val="nil"/>
              <w:left w:val="nil"/>
              <w:bottom w:val="nil"/>
              <w:right w:val="nil"/>
            </w:tcBorders>
            <w:shd w:val="clear" w:color="auto" w:fill="auto"/>
            <w:vAlign w:val="center"/>
          </w:tcPr>
          <w:p>
            <w:pPr>
              <w:widowControl/>
              <w:jc w:val="left"/>
              <w:rPr>
                <w:rFonts w:cs="宋体" w:asciiTheme="minorEastAsia" w:hAnsiTheme="minorEastAsia"/>
                <w:kern w:val="0"/>
                <w:szCs w:val="21"/>
                <w:highlight w:val="none"/>
              </w:rPr>
            </w:pPr>
            <w:r>
              <w:rPr>
                <w:rFonts w:hint="eastAsia" w:cs="宋体" w:asciiTheme="minorEastAsia" w:hAnsiTheme="minorEastAsia"/>
                <w:kern w:val="0"/>
                <w:szCs w:val="21"/>
                <w:highlight w:val="none"/>
              </w:rPr>
              <w:t>注：本表反映部门本年度一般公共预算财政拨款支出情况。</w:t>
            </w:r>
          </w:p>
        </w:tc>
      </w:tr>
    </w:tbl>
    <w:p>
      <w:pPr>
        <w:widowControl/>
        <w:jc w:val="left"/>
        <w:rPr>
          <w:rFonts w:ascii="Times New Roman" w:hAnsi="Times New Roman" w:eastAsia="仿宋_GB2312" w:cs="Times New Roman"/>
          <w:bCs/>
          <w:kern w:val="0"/>
          <w:szCs w:val="21"/>
          <w:highlight w:val="none"/>
        </w:rPr>
      </w:pPr>
    </w:p>
    <w:p>
      <w:pPr>
        <w:widowControl/>
        <w:jc w:val="left"/>
        <w:rPr>
          <w:rFonts w:ascii="Times New Roman" w:hAnsi="Times New Roman" w:eastAsia="仿宋_GB2312" w:cs="Times New Roman"/>
          <w:bCs/>
          <w:kern w:val="0"/>
          <w:szCs w:val="21"/>
          <w:highlight w:val="none"/>
        </w:rPr>
      </w:pPr>
      <w:r>
        <w:rPr>
          <w:rFonts w:ascii="Times New Roman" w:hAnsi="Times New Roman" w:eastAsia="仿宋_GB2312" w:cs="Times New Roman"/>
          <w:bCs/>
          <w:kern w:val="0"/>
          <w:szCs w:val="21"/>
          <w:highlight w:val="none"/>
        </w:rPr>
        <w:br w:type="page"/>
      </w:r>
    </w:p>
    <w:tbl>
      <w:tblPr>
        <w:tblStyle w:val="9"/>
        <w:tblW w:w="15709" w:type="dxa"/>
        <w:tblInd w:w="0" w:type="dxa"/>
        <w:tblLayout w:type="fixed"/>
        <w:tblCellMar>
          <w:top w:w="0" w:type="dxa"/>
          <w:left w:w="108" w:type="dxa"/>
          <w:bottom w:w="0" w:type="dxa"/>
          <w:right w:w="108" w:type="dxa"/>
        </w:tblCellMar>
      </w:tblPr>
      <w:tblGrid>
        <w:gridCol w:w="1032"/>
        <w:gridCol w:w="3471"/>
        <w:gridCol w:w="992"/>
        <w:gridCol w:w="1134"/>
        <w:gridCol w:w="2410"/>
        <w:gridCol w:w="992"/>
        <w:gridCol w:w="1134"/>
        <w:gridCol w:w="3692"/>
        <w:gridCol w:w="852"/>
      </w:tblGrid>
      <w:tr>
        <w:tblPrEx>
          <w:tblCellMar>
            <w:top w:w="0" w:type="dxa"/>
            <w:left w:w="108" w:type="dxa"/>
            <w:bottom w:w="0" w:type="dxa"/>
            <w:right w:w="108" w:type="dxa"/>
          </w:tblCellMar>
        </w:tblPrEx>
        <w:trPr>
          <w:trHeight w:val="113" w:hRule="atLeast"/>
        </w:trPr>
        <w:tc>
          <w:tcPr>
            <w:tcW w:w="15709" w:type="dxa"/>
            <w:gridSpan w:val="9"/>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b/>
                <w:bCs/>
                <w:kern w:val="0"/>
                <w:sz w:val="24"/>
                <w:szCs w:val="40"/>
                <w:highlight w:val="none"/>
              </w:rPr>
            </w:pPr>
            <w:bookmarkStart w:id="2" w:name="RANGE!A1:I34"/>
            <w:r>
              <w:rPr>
                <w:rFonts w:hint="eastAsia" w:cs="宋体" w:asciiTheme="majorEastAsia" w:hAnsiTheme="majorEastAsia" w:eastAsiaTheme="majorEastAsia"/>
                <w:b/>
                <w:bCs/>
                <w:kern w:val="0"/>
                <w:sz w:val="24"/>
                <w:szCs w:val="40"/>
                <w:highlight w:val="none"/>
              </w:rPr>
              <w:t>一般公共预算财政拨款基本支出决算表</w:t>
            </w:r>
            <w:bookmarkEnd w:id="2"/>
          </w:p>
          <w:p>
            <w:pPr>
              <w:widowControl/>
              <w:wordWrap w:val="0"/>
              <w:jc w:val="right"/>
              <w:rPr>
                <w:rFonts w:cs="宋体" w:asciiTheme="majorEastAsia" w:hAnsiTheme="majorEastAsia" w:eastAsiaTheme="majorEastAsia"/>
                <w:kern w:val="0"/>
                <w:szCs w:val="21"/>
                <w:highlight w:val="none"/>
              </w:rPr>
            </w:pPr>
            <w:r>
              <w:rPr>
                <w:rFonts w:hint="eastAsia" w:cs="宋体" w:asciiTheme="majorEastAsia" w:hAnsiTheme="majorEastAsia" w:eastAsiaTheme="majorEastAsia"/>
                <w:kern w:val="0"/>
                <w:szCs w:val="21"/>
                <w:highlight w:val="none"/>
              </w:rPr>
              <w:t xml:space="preserve">  部门： 湘潭县发展和改革局                                                                                                                               公开06表</w:t>
            </w:r>
          </w:p>
          <w:p>
            <w:pPr>
              <w:widowControl/>
              <w:jc w:val="right"/>
              <w:rPr>
                <w:rFonts w:cs="宋体" w:asciiTheme="majorEastAsia" w:hAnsiTheme="majorEastAsia" w:eastAsiaTheme="majorEastAsia"/>
                <w:kern w:val="0"/>
                <w:szCs w:val="32"/>
                <w:highlight w:val="none"/>
              </w:rPr>
            </w:pPr>
            <w:r>
              <w:rPr>
                <w:rFonts w:hint="eastAsia" w:cs="宋体" w:asciiTheme="majorEastAsia" w:hAnsiTheme="majorEastAsia" w:eastAsiaTheme="majorEastAsia"/>
                <w:kern w:val="0"/>
                <w:szCs w:val="21"/>
                <w:highlight w:val="none"/>
              </w:rPr>
              <w:t>单位：万元</w:t>
            </w:r>
          </w:p>
        </w:tc>
      </w:tr>
      <w:tr>
        <w:tblPrEx>
          <w:tblCellMar>
            <w:top w:w="0" w:type="dxa"/>
            <w:left w:w="108" w:type="dxa"/>
            <w:bottom w:w="0" w:type="dxa"/>
            <w:right w:w="108" w:type="dxa"/>
          </w:tblCellMar>
        </w:tblPrEx>
        <w:trPr>
          <w:trHeight w:val="113" w:hRule="atLeast"/>
        </w:trPr>
        <w:tc>
          <w:tcPr>
            <w:tcW w:w="10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 w:val="20"/>
                <w:szCs w:val="20"/>
                <w:highlight w:val="none"/>
              </w:rPr>
              <w:t>经济分类科目编码</w:t>
            </w:r>
          </w:p>
        </w:tc>
        <w:tc>
          <w:tcPr>
            <w:tcW w:w="34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科目名称</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决算数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经济分类科目编码</w:t>
            </w:r>
          </w:p>
        </w:tc>
        <w:tc>
          <w:tcPr>
            <w:tcW w:w="24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科目名称</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决算数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经济分类科目编码</w:t>
            </w:r>
          </w:p>
        </w:tc>
        <w:tc>
          <w:tcPr>
            <w:tcW w:w="36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科目名称</w:t>
            </w:r>
          </w:p>
        </w:tc>
        <w:tc>
          <w:tcPr>
            <w:tcW w:w="8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决算数</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301</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工资福利支出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highlight w:val="none"/>
              </w:rPr>
            </w:pPr>
            <w:r>
              <w:rPr>
                <w:rFonts w:cs="宋体" w:asciiTheme="majorEastAsia" w:hAnsiTheme="majorEastAsia" w:eastAsiaTheme="majorEastAsia"/>
                <w:b/>
                <w:szCs w:val="21"/>
                <w:highlight w:val="none"/>
              </w:rPr>
              <w:t>621.30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302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商品和服务支出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highlight w:val="none"/>
              </w:rPr>
            </w:pPr>
            <w:r>
              <w:rPr>
                <w:rFonts w:cs="宋体" w:asciiTheme="majorEastAsia" w:hAnsiTheme="majorEastAsia" w:eastAsiaTheme="majorEastAsia"/>
                <w:b/>
                <w:szCs w:val="21"/>
                <w:highlight w:val="none"/>
              </w:rPr>
              <w:t>142.</w:t>
            </w:r>
            <w:r>
              <w:rPr>
                <w:rFonts w:hint="eastAsia" w:cs="宋体" w:asciiTheme="majorEastAsia" w:hAnsiTheme="majorEastAsia" w:eastAsiaTheme="majorEastAsia"/>
                <w:b/>
                <w:szCs w:val="21"/>
                <w:highlight w:val="none"/>
              </w:rPr>
              <w:t>07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307</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债务利息及费用支出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30101</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基本工资</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163.18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办公费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27.70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30701</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国内债务付息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30102</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津贴补贴</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印刷费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0.5</w:t>
            </w:r>
            <w:r>
              <w:rPr>
                <w:rFonts w:hint="eastAsia" w:cs="宋体" w:asciiTheme="majorEastAsia" w:hAnsiTheme="majorEastAsia" w:eastAsiaTheme="majorEastAsia"/>
                <w:szCs w:val="21"/>
                <w:highlight w:val="none"/>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30702</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国外债务付息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30103</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奖金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153.49</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30203</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咨询费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4.00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资本性支出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highlight w:val="none"/>
              </w:rPr>
            </w:pPr>
            <w:r>
              <w:rPr>
                <w:rFonts w:cs="宋体" w:asciiTheme="majorEastAsia" w:hAnsiTheme="majorEastAsia" w:eastAsiaTheme="majorEastAsia"/>
                <w:b/>
                <w:bCs/>
                <w:szCs w:val="21"/>
                <w:highlight w:val="none"/>
              </w:rPr>
              <w:t>5.86</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30106</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伙食补助费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21.67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30204</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手续费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31001</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房屋建筑物购建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30107</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绩效工资</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92.25</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30205</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0.68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31002</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办公设备购置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5.86</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30108</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机关事业单位基本养老保险缴费费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49.13</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30206</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电费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8.09</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31003</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专用设备购置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30109</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职业年金缴费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1.44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30207</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邮电费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0.97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31005</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基础设施建设</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30110</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职工基本医疗保险缴费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58.30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30208</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取暖费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31006</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大型修缮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30111</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公务员医疗补助缴费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13.94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30209</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物业管理费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31007</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信息网络及软件购置更新</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30112</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其他社会保障缴费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hint="eastAsia" w:cs="宋体" w:asciiTheme="majorEastAsia" w:hAnsiTheme="majorEastAsia" w:eastAsiaTheme="majorEastAsia"/>
                <w:szCs w:val="21"/>
                <w:highlight w:val="none"/>
              </w:rPr>
              <w:t>2.24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差旅费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18.12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31008</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物资储备</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30113</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住房公积金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57.84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因公出国（境）费用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31009</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土地补偿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30114</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医疗费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30213</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维修（护）费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2.32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31010</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安置补助</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30199</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其他工资福利支出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7.82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30214</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租赁费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31011</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地上附着物和青苗补偿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303</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对个人和家庭的补助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highlight w:val="none"/>
              </w:rPr>
            </w:pPr>
            <w:r>
              <w:rPr>
                <w:rFonts w:cs="宋体" w:asciiTheme="majorEastAsia" w:hAnsiTheme="majorEastAsia" w:eastAsiaTheme="majorEastAsia"/>
                <w:b/>
                <w:bCs/>
                <w:szCs w:val="21"/>
                <w:highlight w:val="none"/>
              </w:rPr>
              <w:t>26.46</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30215</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会议费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0.07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31012</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拆迁补偿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30301</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离休费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30216</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培训费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0.79</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31013</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公务用车购置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30302</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退休费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30217</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公务接待费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0.80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31019</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其他交通工具购置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30303</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退职（役）费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30218</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专用材料费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31021</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文物和陈列品购置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30304</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抚恤金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30224</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被装购置费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31022</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无形资产购置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30305</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生活补助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26.46</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30225</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专用燃料费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31099</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其他资本性支出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30306</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救济费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30226</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劳务费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18.24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399</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其他支出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30307</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医疗费补助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30227</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委托业务费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39906</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赠与</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30308</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助学金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30228</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工会经费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14.98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39907</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国家赔偿费用支出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30309</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奖励金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30229</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福利费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0.9</w:t>
            </w:r>
            <w:r>
              <w:rPr>
                <w:rFonts w:hint="eastAsia" w:cs="宋体" w:asciiTheme="majorEastAsia" w:hAnsiTheme="majorEastAsia" w:eastAsiaTheme="majorEastAsia"/>
                <w:szCs w:val="21"/>
                <w:highlight w:val="none"/>
              </w:rPr>
              <w:t>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39908</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对民间非营利组织和群众性自治组织补贴</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30310</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个人农业生产补贴</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30231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公务用车运行维护费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3.67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39999</w:t>
            </w: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30311</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代缴社会保险费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30239</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其他交通费用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22.04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30399</w:t>
            </w: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其他对个人和家庭的补助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30240</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税金及附加费用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317"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c>
          <w:tcPr>
            <w:tcW w:w="347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30299</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r>
              <w:rPr>
                <w:rFonts w:hint="eastAsia" w:cs="宋体" w:asciiTheme="majorEastAsia" w:hAnsiTheme="majorEastAsia" w:eastAsiaTheme="majorEastAsia"/>
                <w:kern w:val="0"/>
                <w:szCs w:val="20"/>
                <w:highlight w:val="none"/>
              </w:rPr>
              <w:t xml:space="preserve">  其他商品和服务支出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highlight w:val="none"/>
              </w:rPr>
            </w:pPr>
            <w:r>
              <w:rPr>
                <w:rFonts w:cs="宋体" w:asciiTheme="majorEastAsia" w:hAnsiTheme="majorEastAsia" w:eastAsiaTheme="majorEastAsia"/>
                <w:szCs w:val="21"/>
                <w:highlight w:val="none"/>
              </w:rPr>
              <w:t>18.1</w:t>
            </w:r>
            <w:r>
              <w:rPr>
                <w:rFonts w:hint="eastAsia" w:cs="宋体" w:asciiTheme="majorEastAsia" w:hAnsiTheme="majorEastAsia" w:eastAsiaTheme="majorEastAsia"/>
                <w:szCs w:val="21"/>
                <w:highlight w:val="none"/>
              </w:rPr>
              <w:t>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369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highlight w:val="none"/>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highlight w:val="none"/>
              </w:rPr>
            </w:pPr>
          </w:p>
        </w:tc>
      </w:tr>
      <w:tr>
        <w:tblPrEx>
          <w:tblCellMar>
            <w:top w:w="0" w:type="dxa"/>
            <w:left w:w="108" w:type="dxa"/>
            <w:bottom w:w="0" w:type="dxa"/>
            <w:right w:w="108" w:type="dxa"/>
          </w:tblCellMar>
        </w:tblPrEx>
        <w:trPr>
          <w:trHeight w:val="284" w:hRule="exact"/>
        </w:trPr>
        <w:tc>
          <w:tcPr>
            <w:tcW w:w="450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Cs w:val="20"/>
                <w:highlight w:val="none"/>
              </w:rPr>
            </w:pPr>
            <w:r>
              <w:rPr>
                <w:rFonts w:hint="eastAsia" w:cs="宋体" w:asciiTheme="majorEastAsia" w:hAnsiTheme="majorEastAsia" w:eastAsiaTheme="majorEastAsia"/>
                <w:b/>
                <w:kern w:val="0"/>
                <w:szCs w:val="20"/>
                <w:highlight w:val="none"/>
              </w:rPr>
              <w:t>人员经费合计</w:t>
            </w:r>
          </w:p>
        </w:tc>
        <w:tc>
          <w:tcPr>
            <w:tcW w:w="99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kern w:val="0"/>
                <w:szCs w:val="21"/>
                <w:highlight w:val="none"/>
              </w:rPr>
            </w:pPr>
            <w:r>
              <w:rPr>
                <w:rFonts w:hint="eastAsia" w:cs="宋体" w:asciiTheme="majorEastAsia" w:hAnsiTheme="majorEastAsia" w:eastAsiaTheme="majorEastAsia"/>
                <w:b/>
                <w:kern w:val="0"/>
                <w:szCs w:val="21"/>
                <w:highlight w:val="none"/>
              </w:rPr>
              <w:t>647.76</w:t>
            </w:r>
          </w:p>
        </w:tc>
        <w:tc>
          <w:tcPr>
            <w:tcW w:w="9362"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szCs w:val="21"/>
                <w:highlight w:val="none"/>
              </w:rPr>
            </w:pPr>
            <w:r>
              <w:rPr>
                <w:rFonts w:hint="eastAsia" w:asciiTheme="majorEastAsia" w:hAnsiTheme="majorEastAsia" w:eastAsiaTheme="majorEastAsia"/>
                <w:b/>
                <w:szCs w:val="21"/>
                <w:highlight w:val="none"/>
              </w:rPr>
              <w:t>公用经费合计</w:t>
            </w:r>
          </w:p>
        </w:tc>
        <w:tc>
          <w:tcPr>
            <w:tcW w:w="85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highlight w:val="none"/>
              </w:rPr>
            </w:pPr>
            <w:r>
              <w:rPr>
                <w:rFonts w:hint="eastAsia" w:cs="宋体" w:asciiTheme="majorEastAsia" w:hAnsiTheme="majorEastAsia" w:eastAsiaTheme="majorEastAsia"/>
                <w:b/>
                <w:szCs w:val="21"/>
                <w:highlight w:val="none"/>
              </w:rPr>
              <w:t>147．93</w:t>
            </w:r>
          </w:p>
        </w:tc>
      </w:tr>
      <w:tr>
        <w:tblPrEx>
          <w:tblCellMar>
            <w:top w:w="0" w:type="dxa"/>
            <w:left w:w="108" w:type="dxa"/>
            <w:bottom w:w="0" w:type="dxa"/>
            <w:right w:w="108" w:type="dxa"/>
          </w:tblCellMar>
        </w:tblPrEx>
        <w:trPr>
          <w:trHeight w:val="284" w:hRule="exact"/>
        </w:trPr>
        <w:tc>
          <w:tcPr>
            <w:tcW w:w="15709" w:type="dxa"/>
            <w:gridSpan w:val="9"/>
            <w:tcBorders>
              <w:top w:val="nil"/>
              <w:left w:val="nil"/>
              <w:bottom w:val="nil"/>
              <w:right w:val="nil"/>
            </w:tcBorders>
            <w:shd w:val="clear" w:color="auto" w:fill="auto"/>
            <w:noWrap/>
            <w:vAlign w:val="center"/>
          </w:tcPr>
          <w:p>
            <w:pPr>
              <w:widowControl/>
              <w:jc w:val="left"/>
              <w:rPr>
                <w:rFonts w:cs="宋体" w:asciiTheme="majorEastAsia" w:hAnsiTheme="majorEastAsia" w:eastAsiaTheme="majorEastAsia"/>
                <w:kern w:val="0"/>
                <w:szCs w:val="24"/>
                <w:highlight w:val="none"/>
              </w:rPr>
            </w:pPr>
            <w:r>
              <w:rPr>
                <w:rFonts w:hint="eastAsia" w:cs="宋体" w:asciiTheme="majorEastAsia" w:hAnsiTheme="majorEastAsia" w:eastAsiaTheme="majorEastAsia"/>
                <w:kern w:val="0"/>
                <w:szCs w:val="24"/>
                <w:highlight w:val="none"/>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highlight w:val="none"/>
        </w:rPr>
      </w:pPr>
    </w:p>
    <w:p>
      <w:pPr>
        <w:widowControl/>
        <w:jc w:val="center"/>
        <w:rPr>
          <w:rFonts w:ascii="Times New Roman" w:hAnsi="Times New Roman" w:eastAsia="方正小标宋_GBK" w:cs="Times New Roman"/>
          <w:color w:val="000000"/>
          <w:kern w:val="0"/>
          <w:sz w:val="36"/>
          <w:szCs w:val="36"/>
          <w:highlight w:val="none"/>
        </w:rPr>
      </w:pPr>
    </w:p>
    <w:p>
      <w:pPr>
        <w:widowControl/>
        <w:jc w:val="center"/>
        <w:outlineLvl w:val="0"/>
        <w:rPr>
          <w:rFonts w:ascii="Times New Roman" w:hAnsi="Times New Roman" w:eastAsia="方正小标宋_GBK" w:cs="Times New Roman"/>
          <w:color w:val="000000"/>
          <w:kern w:val="0"/>
          <w:sz w:val="36"/>
          <w:szCs w:val="36"/>
          <w:highlight w:val="none"/>
        </w:rPr>
      </w:pPr>
      <w:r>
        <w:rPr>
          <w:rFonts w:hint="eastAsia" w:ascii="Times New Roman" w:hAnsi="Times New Roman" w:eastAsia="方正小标宋_GBK" w:cs="Times New Roman"/>
          <w:color w:val="000000"/>
          <w:kern w:val="0"/>
          <w:sz w:val="36"/>
          <w:szCs w:val="36"/>
          <w:highlight w:val="none"/>
        </w:rPr>
        <w:t>一般公共预算财政拨款“三公”经费支出决算表</w:t>
      </w:r>
    </w:p>
    <w:p>
      <w:pPr>
        <w:widowControl/>
        <w:ind w:firstLine="420" w:firstLineChars="200"/>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部门： 湘潭县发展和改革局                                                                                                   公开07表</w:t>
      </w:r>
    </w:p>
    <w:p>
      <w:pPr>
        <w:widowControl/>
        <w:ind w:right="42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w:t>
            </w:r>
          </w:p>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w:t>
            </w:r>
          </w:p>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eastAsia="宋体" w:cs="宋体"/>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w:t>
            </w:r>
            <w:r>
              <w:rPr>
                <w:rFonts w:hint="eastAsia" w:ascii="宋体" w:hAnsi="宋体" w:eastAsia="宋体" w:cs="宋体"/>
                <w:kern w:val="0"/>
                <w:szCs w:val="21"/>
                <w:highlight w:val="none"/>
              </w:rPr>
              <w:br w:type="textWrapping"/>
            </w:r>
            <w:r>
              <w:rPr>
                <w:rFonts w:hint="eastAsia" w:ascii="宋体" w:hAnsi="宋体" w:eastAsia="宋体" w:cs="宋体"/>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w:t>
            </w:r>
            <w:r>
              <w:rPr>
                <w:rFonts w:hint="eastAsia" w:ascii="宋体" w:hAnsi="宋体" w:eastAsia="宋体" w:cs="宋体"/>
                <w:kern w:val="0"/>
                <w:szCs w:val="21"/>
                <w:highlight w:val="none"/>
              </w:rPr>
              <w:br w:type="textWrapping"/>
            </w:r>
            <w:r>
              <w:rPr>
                <w:rFonts w:hint="eastAsia" w:ascii="宋体" w:hAnsi="宋体" w:eastAsia="宋体" w:cs="宋体"/>
                <w:kern w:val="0"/>
                <w:szCs w:val="21"/>
                <w:highlight w:val="none"/>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highlight w:val="none"/>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宋体" w:hAnsi="宋体" w:eastAsia="宋体" w:cs="宋体"/>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w:t>
            </w:r>
            <w:r>
              <w:rPr>
                <w:rFonts w:hint="eastAsia" w:ascii="宋体" w:hAnsi="宋体" w:eastAsia="宋体" w:cs="宋体"/>
                <w:kern w:val="0"/>
                <w:szCs w:val="21"/>
                <w:highlight w:val="none"/>
              </w:rPr>
              <w:br w:type="textWrapping"/>
            </w:r>
            <w:r>
              <w:rPr>
                <w:rFonts w:hint="eastAsia" w:ascii="宋体" w:hAnsi="宋体" w:eastAsia="宋体" w:cs="宋体"/>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公务用车</w:t>
            </w:r>
            <w:r>
              <w:rPr>
                <w:rFonts w:hint="eastAsia" w:ascii="宋体" w:hAnsi="宋体" w:eastAsia="宋体" w:cs="宋体"/>
                <w:kern w:val="0"/>
                <w:szCs w:val="21"/>
                <w:highlight w:val="none"/>
              </w:rPr>
              <w:br w:type="textWrapping"/>
            </w:r>
            <w:r>
              <w:rPr>
                <w:rFonts w:hint="eastAsia" w:ascii="宋体" w:hAnsi="宋体" w:eastAsia="宋体" w:cs="宋体"/>
                <w:kern w:val="0"/>
                <w:szCs w:val="21"/>
                <w:highlight w:val="none"/>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eastAsia="宋体" w:cs="宋体"/>
                <w:kern w:val="0"/>
                <w:szCs w:val="21"/>
                <w:highlight w:val="none"/>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b/>
                <w:szCs w:val="21"/>
                <w:highlight w:val="none"/>
              </w:rPr>
            </w:pPr>
            <w:r>
              <w:rPr>
                <w:rFonts w:hint="eastAsia" w:asciiTheme="majorEastAsia" w:hAnsiTheme="majorEastAsia" w:eastAsiaTheme="majorEastAsia"/>
                <w:b/>
                <w:szCs w:val="21"/>
                <w:highlight w:val="none"/>
              </w:rPr>
              <w:t>14.3</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9.5</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b/>
                <w:szCs w:val="21"/>
                <w:highlight w:val="none"/>
              </w:rPr>
            </w:pPr>
            <w:r>
              <w:rPr>
                <w:rFonts w:asciiTheme="majorEastAsia" w:hAnsiTheme="majorEastAsia" w:eastAsiaTheme="majorEastAsia"/>
                <w:b/>
                <w:szCs w:val="21"/>
                <w:highlight w:val="none"/>
              </w:rPr>
              <w:t>5.13</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asciiTheme="majorEastAsia" w:hAnsiTheme="majorEastAsia" w:eastAsiaTheme="majorEastAsia"/>
                <w:szCs w:val="21"/>
                <w:highlight w:val="none"/>
              </w:rPr>
              <w:t>3.67</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highlight w:val="none"/>
              </w:rPr>
            </w:pPr>
            <w:r>
              <w:rPr>
                <w:rFonts w:hint="eastAsia" w:asciiTheme="majorEastAsia" w:hAnsiTheme="majorEastAsia" w:eastAsiaTheme="majorEastAsia"/>
                <w:szCs w:val="21"/>
                <w:highlight w:val="none"/>
              </w:rPr>
              <w:t>0</w:t>
            </w:r>
          </w:p>
        </w:tc>
        <w:tc>
          <w:tcPr>
            <w:tcW w:w="1220" w:type="dxa"/>
            <w:tcBorders>
              <w:top w:val="nil"/>
              <w:left w:val="nil"/>
              <w:bottom w:val="single" w:color="auto" w:sz="8" w:space="0"/>
              <w:right w:val="nil"/>
            </w:tcBorders>
            <w:shd w:val="clear" w:color="auto" w:fill="auto"/>
            <w:vAlign w:val="center"/>
          </w:tcPr>
          <w:p>
            <w:pPr>
              <w:jc w:val="center"/>
              <w:rPr>
                <w:rFonts w:cs="宋体" w:asciiTheme="majorEastAsia" w:hAnsiTheme="majorEastAsia" w:eastAsiaTheme="majorEastAsia"/>
                <w:szCs w:val="21"/>
                <w:highlight w:val="none"/>
              </w:rPr>
            </w:pPr>
            <w:r>
              <w:rPr>
                <w:rFonts w:asciiTheme="majorEastAsia" w:hAnsiTheme="majorEastAsia" w:eastAsiaTheme="majorEastAsia"/>
                <w:szCs w:val="21"/>
                <w:highlight w:val="none"/>
              </w:rPr>
              <w:t>3.67</w:t>
            </w:r>
          </w:p>
        </w:tc>
        <w:tc>
          <w:tcPr>
            <w:tcW w:w="1220" w:type="dxa"/>
            <w:tcBorders>
              <w:top w:val="nil"/>
              <w:left w:val="single" w:color="auto" w:sz="4" w:space="0"/>
              <w:bottom w:val="single" w:color="auto" w:sz="8" w:space="0"/>
              <w:right w:val="single" w:color="auto" w:sz="8" w:space="0"/>
            </w:tcBorders>
            <w:shd w:val="clear" w:color="auto" w:fill="auto"/>
            <w:vAlign w:val="center"/>
          </w:tcPr>
          <w:p>
            <w:pPr>
              <w:jc w:val="center"/>
              <w:rPr>
                <w:rFonts w:cs="宋体" w:asciiTheme="majorEastAsia" w:hAnsiTheme="majorEastAsia" w:eastAsiaTheme="majorEastAsia"/>
                <w:bCs/>
                <w:szCs w:val="21"/>
                <w:highlight w:val="none"/>
              </w:rPr>
            </w:pPr>
            <w:r>
              <w:rPr>
                <w:rFonts w:asciiTheme="majorEastAsia" w:hAnsiTheme="majorEastAsia" w:eastAsiaTheme="majorEastAsia"/>
                <w:bCs/>
                <w:szCs w:val="21"/>
                <w:highlight w:val="none"/>
              </w:rPr>
              <w:t>1.46</w:t>
            </w:r>
          </w:p>
        </w:tc>
      </w:tr>
    </w:tbl>
    <w:p>
      <w:pPr>
        <w:widowControl/>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hAns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widowControl/>
        <w:jc w:val="left"/>
        <w:rPr>
          <w:rFonts w:ascii="宋体" w:eastAsia="宋体" w:cs="宋体"/>
          <w:kern w:val="0"/>
          <w:sz w:val="24"/>
          <w:szCs w:val="24"/>
          <w:highlight w:val="none"/>
        </w:rPr>
      </w:pPr>
    </w:p>
    <w:p>
      <w:pPr>
        <w:autoSpaceDE w:val="0"/>
        <w:autoSpaceDN w:val="0"/>
        <w:adjustRightInd w:val="0"/>
        <w:ind w:left="315" w:leftChars="150"/>
        <w:jc w:val="left"/>
        <w:rPr>
          <w:rFonts w:ascii="宋体" w:eastAsia="宋体" w:cs="宋体"/>
          <w:kern w:val="0"/>
          <w:sz w:val="24"/>
          <w:szCs w:val="24"/>
          <w:highlight w:val="none"/>
        </w:rPr>
      </w:pPr>
    </w:p>
    <w:p>
      <w:pPr>
        <w:widowControl/>
        <w:jc w:val="center"/>
        <w:outlineLvl w:val="0"/>
        <w:rPr>
          <w:rFonts w:ascii="Times New Roman" w:hAnsi="Times New Roman" w:eastAsia="方正小标宋_GBK" w:cs="Times New Roman"/>
          <w:kern w:val="0"/>
          <w:sz w:val="36"/>
          <w:szCs w:val="36"/>
          <w:highlight w:val="none"/>
        </w:rPr>
      </w:pPr>
      <w:r>
        <w:rPr>
          <w:rFonts w:ascii="Times New Roman" w:hAnsi="Times New Roman" w:eastAsia="方正小标宋_GBK" w:cs="Times New Roman"/>
          <w:kern w:val="0"/>
          <w:sz w:val="36"/>
          <w:szCs w:val="36"/>
          <w:highlight w:val="none"/>
        </w:rPr>
        <w:t>政府性基金预算财政拨款收入支出决算表</w:t>
      </w:r>
    </w:p>
    <w:p>
      <w:pPr>
        <w:widowControl/>
        <w:wordWrap w:val="0"/>
        <w:ind w:firstLine="420" w:firstLineChars="200"/>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部门：湘潭县发展和改革局                                                                                                     公开08表</w:t>
      </w:r>
    </w:p>
    <w:p>
      <w:pPr>
        <w:widowControl/>
        <w:jc w:val="center"/>
        <w:outlineLvl w:val="0"/>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项 目</w:t>
            </w: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年初结转和结余</w:t>
            </w: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本年收入</w:t>
            </w:r>
          </w:p>
        </w:tc>
        <w:tc>
          <w:tcPr>
            <w:tcW w:w="6000" w:type="dxa"/>
            <w:gridSpan w:val="3"/>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本年支出</w:t>
            </w: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功能分类科目编码</w:t>
            </w:r>
          </w:p>
        </w:tc>
        <w:tc>
          <w:tcPr>
            <w:tcW w:w="132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科目名称</w:t>
            </w:r>
          </w:p>
        </w:tc>
        <w:tc>
          <w:tcPr>
            <w:tcW w:w="2000" w:type="dxa"/>
            <w:vMerge w:val="continue"/>
            <w:vAlign w:val="center"/>
          </w:tcPr>
          <w:p>
            <w:pPr>
              <w:widowControl/>
              <w:jc w:val="left"/>
              <w:rPr>
                <w:rFonts w:ascii="宋体" w:hAnsi="宋体" w:eastAsia="宋体" w:cs="宋体"/>
                <w:b/>
                <w:kern w:val="0"/>
                <w:szCs w:val="21"/>
                <w:highlight w:val="none"/>
              </w:rPr>
            </w:pPr>
          </w:p>
        </w:tc>
        <w:tc>
          <w:tcPr>
            <w:tcW w:w="2000" w:type="dxa"/>
            <w:vMerge w:val="continue"/>
            <w:vAlign w:val="center"/>
          </w:tcPr>
          <w:p>
            <w:pPr>
              <w:widowControl/>
              <w:jc w:val="left"/>
              <w:rPr>
                <w:rFonts w:ascii="宋体" w:hAnsi="宋体" w:eastAsia="宋体" w:cs="宋体"/>
                <w:b/>
                <w:kern w:val="0"/>
                <w:szCs w:val="21"/>
                <w:highlight w:val="none"/>
              </w:rPr>
            </w:pP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小计</w:t>
            </w: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 xml:space="preserve">基本支出  </w:t>
            </w:r>
          </w:p>
        </w:tc>
        <w:tc>
          <w:tcPr>
            <w:tcW w:w="2000" w:type="dxa"/>
            <w:vMerge w:val="restart"/>
            <w:shd w:val="clear" w:color="auto" w:fill="auto"/>
            <w:vAlign w:val="center"/>
          </w:tcPr>
          <w:p>
            <w:pPr>
              <w:widowControl/>
              <w:jc w:val="center"/>
              <w:rPr>
                <w:rFonts w:ascii="宋体" w:hAnsi="宋体" w:eastAsia="宋体" w:cs="宋体"/>
                <w:b/>
                <w:kern w:val="0"/>
                <w:szCs w:val="21"/>
                <w:highlight w:val="none"/>
              </w:rPr>
            </w:pPr>
            <w:r>
              <w:rPr>
                <w:rFonts w:hint="eastAsia" w:ascii="宋体" w:hAnsi="宋体" w:eastAsia="宋体" w:cs="宋体"/>
                <w:b/>
                <w:kern w:val="0"/>
                <w:szCs w:val="21"/>
                <w:highlight w:val="none"/>
              </w:rPr>
              <w:t>项目支出</w:t>
            </w:r>
          </w:p>
        </w:tc>
        <w:tc>
          <w:tcPr>
            <w:tcW w:w="2000" w:type="dxa"/>
            <w:vMerge w:val="continue"/>
            <w:vAlign w:val="center"/>
          </w:tcPr>
          <w:p>
            <w:pPr>
              <w:widowControl/>
              <w:jc w:val="left"/>
              <w:rPr>
                <w:rFonts w:ascii="宋体" w:hAnsi="宋体" w:eastAsia="宋体" w:cs="宋体"/>
                <w:b/>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highlight w:val="none"/>
              </w:rPr>
            </w:pPr>
          </w:p>
        </w:tc>
        <w:tc>
          <w:tcPr>
            <w:tcW w:w="132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highlight w:val="none"/>
              </w:rPr>
            </w:pPr>
          </w:p>
        </w:tc>
        <w:tc>
          <w:tcPr>
            <w:tcW w:w="132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c>
          <w:tcPr>
            <w:tcW w:w="2000" w:type="dxa"/>
            <w:vMerge w:val="continue"/>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栏次</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1</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2</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3</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4</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5</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rPr>
              <w:t>合计</w:t>
            </w:r>
          </w:p>
        </w:tc>
        <w:tc>
          <w:tcPr>
            <w:tcW w:w="2000" w:type="dxa"/>
            <w:shd w:val="clear" w:color="auto" w:fill="auto"/>
            <w:vAlign w:val="center"/>
          </w:tcPr>
          <w:p>
            <w:pPr>
              <w:widowControl/>
              <w:jc w:val="center"/>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0</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0</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0</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0</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0</w:t>
            </w:r>
          </w:p>
        </w:tc>
        <w:tc>
          <w:tcPr>
            <w:tcW w:w="2000" w:type="dxa"/>
            <w:shd w:val="clear" w:color="auto" w:fill="auto"/>
            <w:vAlign w:val="center"/>
          </w:tcPr>
          <w:p>
            <w:pPr>
              <w:widowControl/>
              <w:jc w:val="center"/>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highlight w:val="none"/>
              </w:rPr>
            </w:pPr>
          </w:p>
        </w:tc>
        <w:tc>
          <w:tcPr>
            <w:tcW w:w="132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c>
          <w:tcPr>
            <w:tcW w:w="2000" w:type="dxa"/>
            <w:shd w:val="clear" w:color="auto" w:fill="auto"/>
            <w:vAlign w:val="center"/>
          </w:tcPr>
          <w:p>
            <w:pPr>
              <w:widowControl/>
              <w:jc w:val="left"/>
              <w:rPr>
                <w:rFonts w:ascii="宋体" w:hAnsi="宋体" w:eastAsia="宋体" w:cs="宋体"/>
                <w:kern w:val="0"/>
                <w:szCs w:val="21"/>
                <w:highlight w:val="none"/>
              </w:rPr>
            </w:pPr>
          </w:p>
        </w:tc>
      </w:tr>
    </w:tbl>
    <w:p>
      <w:pPr>
        <w:widowControl/>
        <w:ind w:firstLine="420" w:firstLineChars="200"/>
        <w:jc w:val="left"/>
        <w:rPr>
          <w:rFonts w:ascii="宋体" w:hAnsi="宋体" w:eastAsia="宋体" w:cs="宋体"/>
          <w:kern w:val="0"/>
          <w:szCs w:val="21"/>
          <w:highlight w:val="none"/>
        </w:rPr>
      </w:pPr>
      <w:r>
        <w:rPr>
          <w:rFonts w:hint="eastAsia" w:ascii="宋体" w:hAnsi="宋体" w:eastAsia="宋体" w:cs="宋体"/>
          <w:kern w:val="0"/>
          <w:szCs w:val="21"/>
          <w:highlight w:val="none"/>
        </w:rPr>
        <w:t>注：本表反映部门本年度政府性基金预算财政拨款收入、支出及结转和结余情况</w:t>
      </w:r>
    </w:p>
    <w:p>
      <w:pPr>
        <w:widowControl/>
        <w:ind w:firstLine="480" w:firstLineChars="200"/>
        <w:jc w:val="left"/>
        <w:rPr>
          <w:rFonts w:ascii="宋体" w:hAnsi="宋体" w:eastAsia="宋体" w:cs="宋体"/>
          <w:b w:val="0"/>
          <w:bCs w:val="0"/>
          <w:kern w:val="0"/>
          <w:sz w:val="24"/>
          <w:szCs w:val="24"/>
          <w:highlight w:val="none"/>
        </w:rPr>
      </w:pPr>
      <w:r>
        <w:rPr>
          <w:rFonts w:hint="eastAsia" w:ascii="宋体" w:hAnsi="宋体" w:eastAsia="宋体" w:cs="宋体"/>
          <w:b w:val="0"/>
          <w:bCs w:val="0"/>
          <w:kern w:val="0"/>
          <w:sz w:val="24"/>
          <w:szCs w:val="24"/>
          <w:highlight w:val="none"/>
        </w:rPr>
        <w:t>说明：湘潭县发展和改革局没有政府性基金收入，也没有使用政府性基金安排的支出，故本表无数据。</w:t>
      </w:r>
    </w:p>
    <w:p>
      <w:pPr>
        <w:widowControl/>
        <w:jc w:val="left"/>
        <w:rPr>
          <w:rFonts w:ascii="宋体" w:hAnsi="宋体" w:eastAsia="宋体" w:cs="宋体"/>
          <w:szCs w:val="21"/>
          <w:highlight w:val="none"/>
        </w:rPr>
      </w:pPr>
      <w:r>
        <w:rPr>
          <w:rFonts w:hint="eastAsia" w:ascii="宋体" w:hAnsi="宋体" w:eastAsia="宋体" w:cs="宋体"/>
          <w:szCs w:val="21"/>
          <w:highlight w:val="none"/>
        </w:rPr>
        <w:br w:type="page"/>
      </w:r>
    </w:p>
    <w:p>
      <w:pPr>
        <w:widowControl/>
        <w:jc w:val="left"/>
        <w:rPr>
          <w:rFonts w:ascii="黑体" w:hAnsi="黑体" w:eastAsia="黑体"/>
          <w:szCs w:val="21"/>
          <w:highlight w:val="none"/>
        </w:rPr>
      </w:pPr>
    </w:p>
    <w:p>
      <w:pPr>
        <w:widowControl/>
        <w:jc w:val="left"/>
        <w:rPr>
          <w:rFonts w:ascii="黑体" w:hAnsi="黑体" w:eastAsia="黑体"/>
          <w:szCs w:val="21"/>
          <w:highlight w:val="none"/>
        </w:rPr>
      </w:pPr>
    </w:p>
    <w:tbl>
      <w:tblPr>
        <w:tblStyle w:val="9"/>
        <w:tblW w:w="14190" w:type="dxa"/>
        <w:jc w:val="center"/>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jc w:val="center"/>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highlight w:val="none"/>
              </w:rPr>
            </w:pPr>
            <w:r>
              <w:rPr>
                <w:rFonts w:hint="eastAsia" w:ascii="华文中宋" w:hAnsi="华文中宋" w:eastAsia="华文中宋" w:cs="宋体"/>
                <w:kern w:val="0"/>
                <w:sz w:val="32"/>
                <w:szCs w:val="32"/>
                <w:highlight w:val="none"/>
              </w:rPr>
              <w:t>国有资本经营预算财政拨款支出决算表</w:t>
            </w:r>
          </w:p>
        </w:tc>
      </w:tr>
      <w:tr>
        <w:tblPrEx>
          <w:tblCellMar>
            <w:top w:w="0" w:type="dxa"/>
            <w:left w:w="108" w:type="dxa"/>
            <w:bottom w:w="0" w:type="dxa"/>
            <w:right w:w="108" w:type="dxa"/>
          </w:tblCellMar>
        </w:tblPrEx>
        <w:trPr>
          <w:trHeight w:val="285" w:hRule="atLeast"/>
          <w:jc w:val="center"/>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公开09表</w:t>
            </w:r>
          </w:p>
        </w:tc>
      </w:tr>
      <w:tr>
        <w:tblPrEx>
          <w:tblCellMar>
            <w:top w:w="0" w:type="dxa"/>
            <w:left w:w="108" w:type="dxa"/>
            <w:bottom w:w="0" w:type="dxa"/>
            <w:right w:w="108" w:type="dxa"/>
          </w:tblCellMar>
        </w:tblPrEx>
        <w:trPr>
          <w:trHeight w:val="285" w:hRule="atLeast"/>
          <w:jc w:val="center"/>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highlight w:val="none"/>
              </w:rPr>
            </w:pPr>
            <w:r>
              <w:rPr>
                <w:rFonts w:hint="eastAsia" w:ascii="宋体" w:hAnsi="宋体" w:eastAsia="宋体" w:cs="宋体"/>
                <w:color w:val="000000"/>
                <w:kern w:val="0"/>
                <w:sz w:val="20"/>
                <w:szCs w:val="20"/>
                <w:highlight w:val="none"/>
              </w:rPr>
              <w:t>部门：</w:t>
            </w:r>
            <w:r>
              <w:rPr>
                <w:rFonts w:hint="eastAsia" w:ascii="宋体" w:hAnsi="宋体" w:eastAsia="宋体" w:cs="宋体"/>
                <w:kern w:val="0"/>
                <w:sz w:val="20"/>
                <w:szCs w:val="20"/>
                <w:highlight w:val="none"/>
              </w:rPr>
              <w:t>湘潭县发展和改革局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tblPrEx>
          <w:tblCellMar>
            <w:top w:w="0" w:type="dxa"/>
            <w:left w:w="108" w:type="dxa"/>
            <w:bottom w:w="0" w:type="dxa"/>
            <w:right w:w="108" w:type="dxa"/>
          </w:tblCellMar>
        </w:tblPrEx>
        <w:trPr>
          <w:trHeight w:val="402" w:hRule="atLeast"/>
          <w:jc w:val="center"/>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本年支出</w:t>
            </w:r>
          </w:p>
        </w:tc>
      </w:tr>
      <w:tr>
        <w:tblPrEx>
          <w:tblCellMar>
            <w:top w:w="0" w:type="dxa"/>
            <w:left w:w="108" w:type="dxa"/>
            <w:bottom w:w="0" w:type="dxa"/>
            <w:right w:w="108" w:type="dxa"/>
          </w:tblCellMar>
        </w:tblPrEx>
        <w:trPr>
          <w:trHeight w:val="402" w:hRule="atLeast"/>
          <w:jc w:val="center"/>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项目支出</w:t>
            </w: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r>
      <w:tr>
        <w:tblPrEx>
          <w:tblCellMar>
            <w:top w:w="0" w:type="dxa"/>
            <w:left w:w="108" w:type="dxa"/>
            <w:bottom w:w="0" w:type="dxa"/>
            <w:right w:w="108" w:type="dxa"/>
          </w:tblCellMar>
        </w:tblPrEx>
        <w:trPr>
          <w:trHeight w:val="402" w:hRule="atLeast"/>
          <w:jc w:val="center"/>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Cs w:val="21"/>
                <w:highlight w:val="none"/>
                <w:lang w:val="en-US" w:eastAsia="zh-CN"/>
              </w:rPr>
              <w:t>0</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Cs w:val="21"/>
                <w:highlight w:val="none"/>
                <w:lang w:val="en-US" w:eastAsia="zh-CN"/>
              </w:rPr>
              <w:t>0</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r>
              <w:rPr>
                <w:rFonts w:hint="eastAsia" w:ascii="宋体" w:hAnsi="宋体" w:eastAsia="宋体" w:cs="宋体"/>
                <w:kern w:val="0"/>
                <w:szCs w:val="21"/>
                <w:highlight w:val="none"/>
                <w:lang w:val="en-US" w:eastAsia="zh-CN"/>
              </w:rPr>
              <w:t>0</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highlight w:val="none"/>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highlight w:val="none"/>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highlight w:val="none"/>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highlight w:val="none"/>
              </w:rPr>
            </w:pPr>
          </w:p>
        </w:tc>
      </w:tr>
      <w:tr>
        <w:tblPrEx>
          <w:tblCellMar>
            <w:top w:w="0" w:type="dxa"/>
            <w:left w:w="108" w:type="dxa"/>
            <w:bottom w:w="0" w:type="dxa"/>
            <w:right w:w="108" w:type="dxa"/>
          </w:tblCellMar>
        </w:tblPrEx>
        <w:trPr>
          <w:trHeight w:val="720" w:hRule="atLeast"/>
          <w:jc w:val="center"/>
        </w:trPr>
        <w:tc>
          <w:tcPr>
            <w:tcW w:w="14190" w:type="dxa"/>
            <w:gridSpan w:val="9"/>
            <w:tcBorders>
              <w:top w:val="single" w:color="auto" w:sz="8" w:space="0"/>
              <w:left w:val="nil"/>
              <w:bottom w:val="nil"/>
              <w:right w:val="nil"/>
            </w:tcBorders>
            <w:shd w:val="clear" w:color="auto" w:fill="auto"/>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注：本表反映部门本年度国有资本经营预算财政拨款支出情况。</w:t>
            </w:r>
          </w:p>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说明：湘潭县发展和改革局没有国有资本经营预算收入，也没有使用国有资本经营安排的支出，故本表无数据。</w:t>
            </w:r>
          </w:p>
        </w:tc>
      </w:tr>
    </w:tbl>
    <w:p>
      <w:pPr>
        <w:widowControl/>
        <w:ind w:firstLine="481" w:firstLineChars="200"/>
        <w:jc w:val="left"/>
        <w:rPr>
          <w:rFonts w:ascii="宋体" w:hAnsi="宋体" w:eastAsia="宋体" w:cs="宋体"/>
          <w:b/>
          <w:bCs/>
          <w:kern w:val="0"/>
          <w:sz w:val="24"/>
          <w:szCs w:val="24"/>
          <w:highlight w:val="none"/>
        </w:rPr>
      </w:pPr>
    </w:p>
    <w:p>
      <w:pPr>
        <w:widowControl/>
        <w:ind w:firstLine="481" w:firstLineChars="200"/>
        <w:jc w:val="left"/>
        <w:rPr>
          <w:rFonts w:ascii="宋体" w:hAnsi="宋体" w:eastAsia="宋体" w:cs="宋体"/>
          <w:b/>
          <w:bCs/>
          <w:kern w:val="0"/>
          <w:sz w:val="24"/>
          <w:szCs w:val="24"/>
          <w:highlight w:val="none"/>
        </w:rPr>
      </w:pPr>
    </w:p>
    <w:p>
      <w:pPr>
        <w:widowControl/>
        <w:ind w:firstLine="481" w:firstLineChars="200"/>
        <w:jc w:val="left"/>
        <w:rPr>
          <w:rFonts w:ascii="宋体" w:hAnsi="宋体" w:eastAsia="宋体" w:cs="宋体"/>
          <w:b/>
          <w:bCs/>
          <w:kern w:val="0"/>
          <w:sz w:val="24"/>
          <w:szCs w:val="24"/>
          <w:highlight w:val="none"/>
        </w:rPr>
      </w:pPr>
    </w:p>
    <w:p>
      <w:pPr>
        <w:widowControl/>
        <w:ind w:firstLine="481" w:firstLineChars="200"/>
        <w:jc w:val="left"/>
        <w:rPr>
          <w:rFonts w:ascii="宋体" w:hAnsi="宋体" w:eastAsia="宋体" w:cs="宋体"/>
          <w:b/>
          <w:bCs/>
          <w:kern w:val="0"/>
          <w:sz w:val="24"/>
          <w:szCs w:val="24"/>
          <w:highlight w:val="none"/>
        </w:rPr>
        <w:sectPr>
          <w:pgSz w:w="16838" w:h="11906" w:orient="landscape"/>
          <w:pgMar w:top="720" w:right="720" w:bottom="720" w:left="720" w:header="851" w:footer="992" w:gutter="0"/>
          <w:cols w:space="425" w:num="1"/>
          <w:docGrid w:linePitch="312" w:charSpace="0"/>
        </w:sectPr>
      </w:pPr>
    </w:p>
    <w:p>
      <w:pPr>
        <w:pStyle w:val="13"/>
        <w:rPr>
          <w:sz w:val="72"/>
          <w:szCs w:val="72"/>
          <w:highlight w:val="none"/>
        </w:rPr>
      </w:pPr>
    </w:p>
    <w:p>
      <w:pPr>
        <w:pStyle w:val="13"/>
        <w:rPr>
          <w:sz w:val="72"/>
          <w:szCs w:val="72"/>
          <w:highlight w:val="none"/>
        </w:rPr>
      </w:pPr>
    </w:p>
    <w:p>
      <w:pPr>
        <w:pStyle w:val="13"/>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r>
        <w:rPr>
          <w:rFonts w:hint="eastAsia"/>
          <w:sz w:val="72"/>
          <w:szCs w:val="72"/>
          <w:highlight w:val="none"/>
        </w:rPr>
        <w:t>第三部分</w:t>
      </w:r>
    </w:p>
    <w:p>
      <w:pPr>
        <w:pStyle w:val="13"/>
        <w:jc w:val="center"/>
        <w:rPr>
          <w:sz w:val="70"/>
          <w:szCs w:val="70"/>
          <w:highlight w:val="none"/>
        </w:rPr>
      </w:pPr>
    </w:p>
    <w:p>
      <w:pPr>
        <w:pStyle w:val="13"/>
        <w:jc w:val="center"/>
        <w:outlineLvl w:val="0"/>
        <w:rPr>
          <w:sz w:val="70"/>
          <w:szCs w:val="70"/>
          <w:highlight w:val="none"/>
        </w:rPr>
      </w:pPr>
      <w:r>
        <w:rPr>
          <w:sz w:val="70"/>
          <w:szCs w:val="70"/>
          <w:highlight w:val="none"/>
        </w:rPr>
        <w:t>20</w:t>
      </w:r>
      <w:r>
        <w:rPr>
          <w:rFonts w:hint="eastAsia"/>
          <w:sz w:val="70"/>
          <w:szCs w:val="70"/>
          <w:highlight w:val="none"/>
        </w:rPr>
        <w:t>22年度部门决算情况说明</w:t>
      </w:r>
    </w:p>
    <w:p>
      <w:pPr>
        <w:widowControl/>
        <w:jc w:val="left"/>
        <w:rPr>
          <w:rFonts w:ascii="黑体" w:eastAsia="黑体" w:cs="黑体"/>
          <w:color w:val="000000"/>
          <w:kern w:val="0"/>
          <w:sz w:val="70"/>
          <w:szCs w:val="70"/>
          <w:highlight w:val="none"/>
        </w:rPr>
      </w:pPr>
      <w:r>
        <w:rPr>
          <w:sz w:val="70"/>
          <w:szCs w:val="70"/>
          <w:highlight w:val="none"/>
        </w:rPr>
        <w:br w:type="page"/>
      </w:r>
    </w:p>
    <w:p>
      <w:pPr>
        <w:pStyle w:val="13"/>
        <w:rPr>
          <w:rFonts w:asciiTheme="minorEastAsia" w:hAnsiTheme="minorEastAsia" w:eastAsiaTheme="minorEastAsia"/>
          <w:sz w:val="32"/>
          <w:szCs w:val="32"/>
          <w:highlight w:val="none"/>
        </w:rPr>
      </w:pP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一、收入支出决算总体情况说明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2022度收支总计</w:t>
      </w:r>
      <w:r>
        <w:rPr>
          <w:rFonts w:asciiTheme="minorEastAsia" w:hAnsiTheme="minorEastAsia" w:eastAsiaTheme="minorEastAsia"/>
          <w:sz w:val="32"/>
          <w:szCs w:val="32"/>
          <w:highlight w:val="none"/>
        </w:rPr>
        <w:t>5,519.73</w:t>
      </w:r>
      <w:r>
        <w:rPr>
          <w:rFonts w:hint="eastAsia" w:asciiTheme="minorEastAsia" w:hAnsiTheme="minorEastAsia" w:eastAsiaTheme="minorEastAsia"/>
          <w:sz w:val="32"/>
          <w:szCs w:val="32"/>
          <w:highlight w:val="none"/>
        </w:rPr>
        <w:t>万元（收入总计含年初结转和结余资金797.2万元</w:t>
      </w:r>
      <w:r>
        <w:rPr>
          <w:rFonts w:hint="eastAsia" w:asciiTheme="minorEastAsia" w:hAnsiTheme="minorEastAsia" w:eastAsiaTheme="minorEastAsia"/>
          <w:sz w:val="32"/>
          <w:szCs w:val="32"/>
          <w:highlight w:val="none"/>
          <w:lang w:eastAsia="zh-CN"/>
        </w:rPr>
        <w:t>；支出总计含年末结转和结余资金470.63万元</w:t>
      </w:r>
      <w:r>
        <w:rPr>
          <w:rFonts w:hint="eastAsia" w:asciiTheme="minorEastAsia" w:hAnsiTheme="minorEastAsia" w:eastAsiaTheme="minorEastAsia"/>
          <w:sz w:val="32"/>
          <w:szCs w:val="32"/>
          <w:highlight w:val="none"/>
        </w:rPr>
        <w:t>）。与上年相比，减少4,570.85万元，减少45.30%，主要是因为上级专项资金减少。</w:t>
      </w:r>
    </w:p>
    <w:p>
      <w:pPr>
        <w:pStyle w:val="13"/>
        <w:spacing w:line="600" w:lineRule="exact"/>
        <w:ind w:firstLine="642" w:firstLineChars="200"/>
        <w:rPr>
          <w:rFonts w:hAnsi="黑体"/>
          <w:b/>
          <w:sz w:val="32"/>
          <w:szCs w:val="32"/>
          <w:highlight w:val="none"/>
        </w:rPr>
      </w:pPr>
      <w:r>
        <w:rPr>
          <w:rFonts w:hint="eastAsia" w:hAnsi="黑体"/>
          <w:b/>
          <w:sz w:val="32"/>
          <w:szCs w:val="32"/>
          <w:highlight w:val="none"/>
        </w:rPr>
        <w:t>二、收入决算情况说明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本年收入合计</w:t>
      </w:r>
      <w:r>
        <w:rPr>
          <w:rFonts w:asciiTheme="minorEastAsia" w:hAnsiTheme="minorEastAsia" w:eastAsiaTheme="minorEastAsia"/>
          <w:sz w:val="32"/>
          <w:szCs w:val="32"/>
          <w:highlight w:val="none"/>
        </w:rPr>
        <w:t>4,722.53</w:t>
      </w:r>
      <w:r>
        <w:rPr>
          <w:rFonts w:hint="eastAsia" w:asciiTheme="minorEastAsia" w:hAnsiTheme="minorEastAsia" w:eastAsiaTheme="minorEastAsia"/>
          <w:sz w:val="32"/>
          <w:szCs w:val="32"/>
          <w:highlight w:val="none"/>
        </w:rPr>
        <w:t>万元，其中：财政拨款收入</w:t>
      </w:r>
      <w:r>
        <w:rPr>
          <w:rFonts w:asciiTheme="minorEastAsia" w:hAnsiTheme="minorEastAsia" w:eastAsiaTheme="minorEastAsia"/>
          <w:sz w:val="32"/>
          <w:szCs w:val="32"/>
          <w:highlight w:val="none"/>
        </w:rPr>
        <w:t>4,133.50</w:t>
      </w:r>
      <w:r>
        <w:rPr>
          <w:rFonts w:hint="eastAsia" w:asciiTheme="minorEastAsia" w:hAnsiTheme="minorEastAsia" w:eastAsiaTheme="minorEastAsia"/>
          <w:sz w:val="32"/>
          <w:szCs w:val="32"/>
          <w:highlight w:val="none"/>
        </w:rPr>
        <w:t>万元，占87.53%；上级补助收入0万元，占0%；事业收入0万元，占0%；经营收入0万元，占0%；附属单位上缴收入0万元，占0%；其他收入</w:t>
      </w:r>
      <w:r>
        <w:rPr>
          <w:rFonts w:asciiTheme="minorEastAsia" w:hAnsiTheme="minorEastAsia" w:eastAsiaTheme="minorEastAsia"/>
          <w:sz w:val="32"/>
          <w:szCs w:val="32"/>
          <w:highlight w:val="none"/>
        </w:rPr>
        <w:t>589.0</w:t>
      </w:r>
      <w:r>
        <w:rPr>
          <w:rFonts w:hint="eastAsia" w:asciiTheme="minorEastAsia" w:hAnsiTheme="minorEastAsia" w:eastAsiaTheme="minorEastAsia"/>
          <w:sz w:val="32"/>
          <w:szCs w:val="32"/>
          <w:highlight w:val="none"/>
        </w:rPr>
        <w:t>3万元，占12.47%。</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三、支出决算情况说明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本年支出合计</w:t>
      </w:r>
      <w:r>
        <w:rPr>
          <w:rFonts w:asciiTheme="minorEastAsia" w:hAnsiTheme="minorEastAsia" w:eastAsiaTheme="minorEastAsia"/>
          <w:sz w:val="32"/>
          <w:szCs w:val="32"/>
          <w:highlight w:val="none"/>
        </w:rPr>
        <w:t>5,049.10</w:t>
      </w:r>
      <w:r>
        <w:rPr>
          <w:rFonts w:hint="eastAsia" w:asciiTheme="minorEastAsia" w:hAnsiTheme="minorEastAsia" w:eastAsiaTheme="minorEastAsia"/>
          <w:sz w:val="32"/>
          <w:szCs w:val="32"/>
          <w:highlight w:val="none"/>
        </w:rPr>
        <w:t>万元，其中：基本支出</w:t>
      </w:r>
      <w:r>
        <w:rPr>
          <w:rFonts w:asciiTheme="minorEastAsia" w:hAnsiTheme="minorEastAsia" w:eastAsiaTheme="minorEastAsia"/>
          <w:sz w:val="32"/>
          <w:szCs w:val="32"/>
          <w:highlight w:val="none"/>
        </w:rPr>
        <w:t>812.49</w:t>
      </w:r>
      <w:r>
        <w:rPr>
          <w:rFonts w:hint="eastAsia" w:asciiTheme="minorEastAsia" w:hAnsiTheme="minorEastAsia" w:eastAsiaTheme="minorEastAsia"/>
          <w:sz w:val="32"/>
          <w:szCs w:val="32"/>
          <w:highlight w:val="none"/>
        </w:rPr>
        <w:t>万元，占16.09%；项目支出</w:t>
      </w:r>
      <w:r>
        <w:rPr>
          <w:rFonts w:asciiTheme="minorEastAsia" w:hAnsiTheme="minorEastAsia" w:eastAsiaTheme="minorEastAsia"/>
          <w:sz w:val="32"/>
          <w:szCs w:val="32"/>
          <w:highlight w:val="none"/>
        </w:rPr>
        <w:t>4,236.6</w:t>
      </w:r>
      <w:r>
        <w:rPr>
          <w:rFonts w:hint="eastAsia" w:asciiTheme="minorEastAsia" w:hAnsiTheme="minorEastAsia" w:eastAsiaTheme="minorEastAsia"/>
          <w:sz w:val="32"/>
          <w:szCs w:val="32"/>
          <w:highlight w:val="none"/>
        </w:rPr>
        <w:t>1万元，占83.91%；上缴上级支出0万元，占0%；经营支出0万元，占0%；对附属单位补助支出0万元，占0%。</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四、财政拨款收入支出决算总体情况说明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 xml:space="preserve"> 2022年度财政拨款收支总计</w:t>
      </w:r>
      <w:r>
        <w:rPr>
          <w:rFonts w:asciiTheme="minorEastAsia" w:hAnsiTheme="minorEastAsia" w:eastAsiaTheme="minorEastAsia"/>
          <w:sz w:val="32"/>
          <w:szCs w:val="32"/>
          <w:highlight w:val="none"/>
        </w:rPr>
        <w:t>4,133.50</w:t>
      </w:r>
      <w:r>
        <w:rPr>
          <w:rFonts w:hint="eastAsia" w:asciiTheme="minorEastAsia" w:hAnsiTheme="minorEastAsia" w:eastAsiaTheme="minorEastAsia"/>
          <w:sz w:val="32"/>
          <w:szCs w:val="32"/>
          <w:highlight w:val="none"/>
        </w:rPr>
        <w:t>万元，与上年相比，减少4,835.38万元, 减少53.91%，主要是因为上级专项资金减少。</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五、一般公共预算财政拨款支出决算情况说明</w:t>
      </w:r>
    </w:p>
    <w:p>
      <w:pPr>
        <w:pStyle w:val="13"/>
        <w:spacing w:line="600" w:lineRule="exact"/>
        <w:ind w:firstLine="642" w:firstLineChars="200"/>
        <w:outlineLvl w:val="1"/>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（一）一般公共预算财政拨款支出决算总体情况</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2022年度一般公共预算财政拨款支出</w:t>
      </w:r>
      <w:r>
        <w:rPr>
          <w:rFonts w:asciiTheme="minorEastAsia" w:hAnsiTheme="minorEastAsia" w:eastAsiaTheme="minorEastAsia"/>
          <w:sz w:val="32"/>
          <w:szCs w:val="32"/>
          <w:highlight w:val="none"/>
        </w:rPr>
        <w:t>4,133.50</w:t>
      </w:r>
      <w:r>
        <w:rPr>
          <w:rFonts w:hint="eastAsia" w:asciiTheme="minorEastAsia" w:hAnsiTheme="minorEastAsia" w:eastAsiaTheme="minorEastAsia"/>
          <w:sz w:val="32"/>
          <w:szCs w:val="32"/>
          <w:highlight w:val="none"/>
        </w:rPr>
        <w:t>万元，占本年支出合计的81.87%，与上年相比，财政拨款支出减少4,835.38万元, 减少53.91%，主要是因为上级专项资金减少。</w:t>
      </w:r>
    </w:p>
    <w:p>
      <w:pPr>
        <w:pStyle w:val="13"/>
        <w:spacing w:line="600" w:lineRule="exact"/>
        <w:ind w:firstLine="642" w:firstLineChars="20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（二）一般公共预算财政拨款支出决算结构情况</w:t>
      </w:r>
    </w:p>
    <w:p>
      <w:pPr>
        <w:pStyle w:val="13"/>
        <w:spacing w:line="600" w:lineRule="exact"/>
        <w:ind w:firstLine="640" w:firstLineChars="200"/>
        <w:jc w:val="both"/>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2022年度一般公共预算财政拨款支出</w:t>
      </w:r>
      <w:r>
        <w:rPr>
          <w:rFonts w:asciiTheme="minorEastAsia" w:hAnsiTheme="minorEastAsia" w:eastAsiaTheme="minorEastAsia"/>
          <w:sz w:val="32"/>
          <w:szCs w:val="32"/>
          <w:highlight w:val="none"/>
        </w:rPr>
        <w:t>4,133.50</w:t>
      </w:r>
      <w:r>
        <w:rPr>
          <w:rFonts w:hint="eastAsia" w:asciiTheme="minorEastAsia" w:hAnsiTheme="minorEastAsia" w:eastAsiaTheme="minorEastAsia"/>
          <w:sz w:val="32"/>
          <w:szCs w:val="32"/>
          <w:highlight w:val="none"/>
        </w:rPr>
        <w:t>万元，主要用于以下方面：一般公共服务（类）支出</w:t>
      </w:r>
      <w:r>
        <w:rPr>
          <w:rFonts w:asciiTheme="minorEastAsia" w:hAnsiTheme="minorEastAsia" w:eastAsiaTheme="minorEastAsia"/>
          <w:sz w:val="32"/>
          <w:szCs w:val="32"/>
          <w:highlight w:val="none"/>
        </w:rPr>
        <w:t>1,508.10</w:t>
      </w:r>
      <w:r>
        <w:rPr>
          <w:rFonts w:hint="eastAsia" w:asciiTheme="minorEastAsia" w:hAnsiTheme="minorEastAsia" w:eastAsiaTheme="minorEastAsia"/>
          <w:sz w:val="32"/>
          <w:szCs w:val="32"/>
          <w:highlight w:val="none"/>
        </w:rPr>
        <w:t>万元，占36.49</w:t>
      </w:r>
      <w:r>
        <w:rPr>
          <w:rFonts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rPr>
        <w:t>；社会保障和就业（类)支出</w:t>
      </w:r>
      <w:r>
        <w:rPr>
          <w:rFonts w:asciiTheme="minorEastAsia" w:hAnsiTheme="minorEastAsia" w:eastAsiaTheme="minorEastAsia"/>
          <w:sz w:val="32"/>
          <w:szCs w:val="32"/>
          <w:highlight w:val="none"/>
        </w:rPr>
        <w:t>59.63</w:t>
      </w:r>
      <w:r>
        <w:rPr>
          <w:rFonts w:hint="eastAsia" w:asciiTheme="minorEastAsia" w:hAnsiTheme="minorEastAsia" w:eastAsiaTheme="minorEastAsia"/>
          <w:sz w:val="32"/>
          <w:szCs w:val="32"/>
          <w:highlight w:val="none"/>
        </w:rPr>
        <w:t>万元，占1.44%；卫生健康支出</w:t>
      </w:r>
      <w:r>
        <w:rPr>
          <w:rFonts w:asciiTheme="minorEastAsia" w:hAnsiTheme="minorEastAsia" w:eastAsiaTheme="minorEastAsia"/>
          <w:sz w:val="32"/>
          <w:szCs w:val="32"/>
          <w:highlight w:val="none"/>
        </w:rPr>
        <w:t>28.66</w:t>
      </w:r>
      <w:r>
        <w:rPr>
          <w:rFonts w:hint="eastAsia" w:asciiTheme="minorEastAsia" w:hAnsiTheme="minorEastAsia" w:eastAsiaTheme="minorEastAsia"/>
          <w:sz w:val="32"/>
          <w:szCs w:val="32"/>
          <w:highlight w:val="none"/>
        </w:rPr>
        <w:t>万元，占0.69</w:t>
      </w:r>
      <w:r>
        <w:rPr>
          <w:rFonts w:asciiTheme="minorEastAsia" w:hAnsiTheme="minorEastAsia" w:eastAsiaTheme="minorEastAsia"/>
          <w:sz w:val="32"/>
          <w:szCs w:val="32"/>
          <w:highlight w:val="none"/>
        </w:rPr>
        <w:t>%</w:t>
      </w:r>
      <w:r>
        <w:rPr>
          <w:rFonts w:hint="eastAsia" w:asciiTheme="minorEastAsia" w:hAnsiTheme="minorEastAsia" w:eastAsiaTheme="minorEastAsia"/>
          <w:sz w:val="32"/>
          <w:szCs w:val="32"/>
          <w:highlight w:val="none"/>
        </w:rPr>
        <w:t>；节能环保（类）支出</w:t>
      </w:r>
      <w:r>
        <w:rPr>
          <w:rFonts w:asciiTheme="minorEastAsia" w:hAnsiTheme="minorEastAsia" w:eastAsiaTheme="minorEastAsia"/>
          <w:sz w:val="32"/>
          <w:szCs w:val="32"/>
          <w:highlight w:val="none"/>
        </w:rPr>
        <w:t>533.00</w:t>
      </w:r>
      <w:r>
        <w:rPr>
          <w:rFonts w:hint="eastAsia" w:asciiTheme="minorEastAsia" w:hAnsiTheme="minorEastAsia" w:eastAsiaTheme="minorEastAsia"/>
          <w:sz w:val="32"/>
          <w:szCs w:val="32"/>
          <w:highlight w:val="none"/>
        </w:rPr>
        <w:t>万元，占12.90%；农林水（类）支出</w:t>
      </w:r>
      <w:r>
        <w:rPr>
          <w:rFonts w:asciiTheme="minorEastAsia" w:hAnsiTheme="minorEastAsia" w:eastAsiaTheme="minorEastAsia"/>
          <w:sz w:val="32"/>
          <w:szCs w:val="32"/>
          <w:highlight w:val="none"/>
        </w:rPr>
        <w:t>100.00</w:t>
      </w:r>
      <w:r>
        <w:rPr>
          <w:rFonts w:hint="eastAsia" w:asciiTheme="minorEastAsia" w:hAnsiTheme="minorEastAsia" w:eastAsiaTheme="minorEastAsia"/>
          <w:sz w:val="32"/>
          <w:szCs w:val="32"/>
          <w:highlight w:val="none"/>
        </w:rPr>
        <w:t>万元，占2.42%；资源勘探工业信息等（类）支出</w:t>
      </w:r>
      <w:r>
        <w:rPr>
          <w:rFonts w:asciiTheme="minorEastAsia" w:hAnsiTheme="minorEastAsia" w:eastAsiaTheme="minorEastAsia"/>
          <w:sz w:val="32"/>
          <w:szCs w:val="32"/>
          <w:highlight w:val="none"/>
        </w:rPr>
        <w:t>314.35</w:t>
      </w:r>
      <w:r>
        <w:rPr>
          <w:rFonts w:hint="eastAsia" w:asciiTheme="minorEastAsia" w:hAnsiTheme="minorEastAsia" w:eastAsiaTheme="minorEastAsia"/>
          <w:sz w:val="32"/>
          <w:szCs w:val="32"/>
          <w:highlight w:val="none"/>
        </w:rPr>
        <w:t>万元，占7.6%；住房保障（类）支出</w:t>
      </w:r>
      <w:r>
        <w:rPr>
          <w:rFonts w:asciiTheme="minorEastAsia" w:hAnsiTheme="minorEastAsia" w:eastAsiaTheme="minorEastAsia"/>
          <w:sz w:val="32"/>
          <w:szCs w:val="32"/>
          <w:highlight w:val="none"/>
        </w:rPr>
        <w:t>37.28</w:t>
      </w:r>
      <w:r>
        <w:rPr>
          <w:rFonts w:hint="eastAsia" w:asciiTheme="minorEastAsia" w:hAnsiTheme="minorEastAsia" w:eastAsiaTheme="minorEastAsia"/>
          <w:sz w:val="32"/>
          <w:szCs w:val="32"/>
          <w:highlight w:val="none"/>
        </w:rPr>
        <w:t>万元，占0.9%；粮油物资储备（类）支出</w:t>
      </w:r>
      <w:r>
        <w:rPr>
          <w:rFonts w:asciiTheme="minorEastAsia" w:hAnsiTheme="minorEastAsia" w:eastAsiaTheme="minorEastAsia"/>
          <w:sz w:val="32"/>
          <w:szCs w:val="32"/>
          <w:highlight w:val="none"/>
        </w:rPr>
        <w:t>1,552.4</w:t>
      </w:r>
      <w:r>
        <w:rPr>
          <w:rFonts w:hint="eastAsia" w:asciiTheme="minorEastAsia" w:hAnsiTheme="minorEastAsia" w:eastAsiaTheme="minorEastAsia"/>
          <w:sz w:val="32"/>
          <w:szCs w:val="32"/>
          <w:highlight w:val="none"/>
        </w:rPr>
        <w:t>8万元，占37.56%。</w:t>
      </w:r>
    </w:p>
    <w:p>
      <w:pPr>
        <w:pStyle w:val="13"/>
        <w:spacing w:line="600" w:lineRule="exact"/>
        <w:ind w:firstLine="642" w:firstLineChars="20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（三）一般公共预算财政拨款支出决算具体情况</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2022年度一般公共预算财政拨款支出年初预算数</w:t>
      </w:r>
      <w:r>
        <w:rPr>
          <w:rFonts w:hint="eastAsia" w:asciiTheme="minorEastAsia" w:hAnsiTheme="minorEastAsia" w:eastAsiaTheme="minorEastAsia"/>
          <w:color w:val="auto"/>
          <w:sz w:val="32"/>
          <w:szCs w:val="32"/>
          <w:highlight w:val="none"/>
        </w:rPr>
        <w:t>为</w:t>
      </w:r>
      <w:r>
        <w:rPr>
          <w:rFonts w:asciiTheme="minorEastAsia" w:hAnsiTheme="minorEastAsia" w:eastAsiaTheme="minorEastAsia"/>
          <w:color w:val="auto"/>
          <w:sz w:val="32"/>
          <w:szCs w:val="32"/>
          <w:highlight w:val="none"/>
        </w:rPr>
        <w:t>2</w:t>
      </w:r>
      <w:r>
        <w:rPr>
          <w:rFonts w:hint="eastAsia" w:asciiTheme="minorEastAsia" w:hAnsiTheme="minorEastAsia" w:eastAsiaTheme="minorEastAsia"/>
          <w:color w:val="auto"/>
          <w:sz w:val="32"/>
          <w:szCs w:val="32"/>
          <w:highlight w:val="none"/>
        </w:rPr>
        <w:t>,</w:t>
      </w:r>
      <w:r>
        <w:rPr>
          <w:rFonts w:asciiTheme="minorEastAsia" w:hAnsiTheme="minorEastAsia" w:eastAsiaTheme="minorEastAsia"/>
          <w:color w:val="auto"/>
          <w:sz w:val="32"/>
          <w:szCs w:val="32"/>
          <w:highlight w:val="none"/>
        </w:rPr>
        <w:t>214.12</w:t>
      </w:r>
      <w:r>
        <w:rPr>
          <w:rFonts w:hint="eastAsia" w:asciiTheme="minorEastAsia" w:hAnsiTheme="minorEastAsia" w:eastAsiaTheme="minorEastAsia"/>
          <w:color w:val="auto"/>
          <w:sz w:val="32"/>
          <w:szCs w:val="32"/>
          <w:highlight w:val="none"/>
        </w:rPr>
        <w:t>万元，支出决</w:t>
      </w:r>
      <w:r>
        <w:rPr>
          <w:rFonts w:hint="eastAsia" w:asciiTheme="minorEastAsia" w:hAnsiTheme="minorEastAsia" w:eastAsiaTheme="minorEastAsia"/>
          <w:sz w:val="32"/>
          <w:szCs w:val="32"/>
          <w:highlight w:val="none"/>
        </w:rPr>
        <w:t>算数为</w:t>
      </w:r>
      <w:r>
        <w:rPr>
          <w:rFonts w:asciiTheme="minorEastAsia" w:hAnsiTheme="minorEastAsia" w:eastAsiaTheme="minorEastAsia"/>
          <w:sz w:val="32"/>
          <w:szCs w:val="32"/>
          <w:highlight w:val="none"/>
        </w:rPr>
        <w:t>4,133.50</w:t>
      </w:r>
      <w:r>
        <w:rPr>
          <w:rFonts w:hint="eastAsia" w:asciiTheme="minorEastAsia" w:hAnsiTheme="minorEastAsia" w:eastAsiaTheme="minorEastAsia"/>
          <w:sz w:val="32"/>
          <w:szCs w:val="32"/>
          <w:highlight w:val="none"/>
        </w:rPr>
        <w:t>万元，完成年初预算的186.69%，其中：</w:t>
      </w:r>
    </w:p>
    <w:p>
      <w:pPr>
        <w:pStyle w:val="13"/>
        <w:spacing w:line="600" w:lineRule="exact"/>
        <w:ind w:firstLine="800" w:firstLineChars="250"/>
        <w:outlineLvl w:val="2"/>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1、一般公共服务</w:t>
      </w:r>
      <w:r>
        <w:rPr>
          <w:rFonts w:hint="eastAsia" w:asciiTheme="minorEastAsia" w:hAnsiTheme="minorEastAsia" w:eastAsiaTheme="minorEastAsia"/>
          <w:color w:val="auto"/>
          <w:sz w:val="32"/>
          <w:szCs w:val="32"/>
          <w:highlight w:val="none"/>
        </w:rPr>
        <w:t>支出</w:t>
      </w:r>
      <w:r>
        <w:rPr>
          <w:rFonts w:hint="eastAsia" w:asciiTheme="minorEastAsia" w:hAnsiTheme="minorEastAsia" w:eastAsiaTheme="minorEastAsia"/>
          <w:sz w:val="32"/>
          <w:szCs w:val="32"/>
          <w:highlight w:val="none"/>
        </w:rPr>
        <w:t>（类）发展与改革事务（款）行政运行（项）。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asciiTheme="minorEastAsia" w:hAnsiTheme="minorEastAsia" w:eastAsiaTheme="minorEastAsia"/>
          <w:sz w:val="32"/>
          <w:szCs w:val="32"/>
          <w:highlight w:val="none"/>
        </w:rPr>
        <w:t>422.47</w:t>
      </w:r>
      <w:r>
        <w:rPr>
          <w:rFonts w:hint="eastAsia" w:asciiTheme="minorEastAsia" w:hAnsiTheme="minorEastAsia" w:eastAsiaTheme="minorEastAsia"/>
          <w:sz w:val="32"/>
          <w:szCs w:val="32"/>
          <w:highlight w:val="none"/>
        </w:rPr>
        <w:t>万元，支出</w:t>
      </w:r>
      <w:r>
        <w:rPr>
          <w:rFonts w:hint="eastAsia" w:asciiTheme="minorEastAsia" w:hAnsiTheme="minorEastAsia" w:eastAsiaTheme="minorEastAsia"/>
          <w:color w:val="auto"/>
          <w:sz w:val="32"/>
          <w:szCs w:val="32"/>
          <w:highlight w:val="none"/>
        </w:rPr>
        <w:t>决算为573.49万元，完成年初预算的135.75%，决算数大于年初预算数的主要原因是：使用上年结</w:t>
      </w:r>
      <w:r>
        <w:rPr>
          <w:rFonts w:hint="eastAsia" w:asciiTheme="minorEastAsia" w:hAnsiTheme="minorEastAsia" w:eastAsiaTheme="minorEastAsia"/>
          <w:sz w:val="32"/>
          <w:szCs w:val="32"/>
          <w:highlight w:val="none"/>
        </w:rPr>
        <w:t>余资金及年中追加指标。</w:t>
      </w:r>
    </w:p>
    <w:p>
      <w:pPr>
        <w:pStyle w:val="13"/>
        <w:spacing w:line="600" w:lineRule="exact"/>
        <w:ind w:firstLine="800" w:firstLineChars="250"/>
        <w:outlineLvl w:val="2"/>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2、一般公共服务</w:t>
      </w:r>
      <w:r>
        <w:rPr>
          <w:rFonts w:hint="eastAsia" w:asciiTheme="minorEastAsia" w:hAnsiTheme="minorEastAsia" w:eastAsiaTheme="minorEastAsia"/>
          <w:color w:val="auto"/>
          <w:sz w:val="32"/>
          <w:szCs w:val="32"/>
          <w:highlight w:val="none"/>
        </w:rPr>
        <w:t>支出</w:t>
      </w:r>
      <w:r>
        <w:rPr>
          <w:rFonts w:hint="eastAsia" w:asciiTheme="minorEastAsia" w:hAnsiTheme="minorEastAsia" w:eastAsiaTheme="minorEastAsia"/>
          <w:sz w:val="32"/>
          <w:szCs w:val="32"/>
          <w:highlight w:val="none"/>
        </w:rPr>
        <w:t>（类）发展与改革事务（款）一般行政管理事务（项）。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年初预算为130万元，支出</w:t>
      </w:r>
      <w:r>
        <w:rPr>
          <w:rFonts w:hint="eastAsia" w:asciiTheme="minorEastAsia" w:hAnsiTheme="minorEastAsia" w:eastAsiaTheme="minorEastAsia"/>
          <w:color w:val="auto"/>
          <w:sz w:val="32"/>
          <w:szCs w:val="32"/>
          <w:highlight w:val="none"/>
        </w:rPr>
        <w:t>决算为60.82万元，完成年初预算的46.78%，决算数小于年初预算数的主要原因是:部分支出当年未支付。</w:t>
      </w:r>
    </w:p>
    <w:p>
      <w:pPr>
        <w:pStyle w:val="13"/>
        <w:spacing w:line="600" w:lineRule="exact"/>
        <w:ind w:firstLine="800" w:firstLineChars="250"/>
        <w:outlineLvl w:val="2"/>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3、一般公共服务</w:t>
      </w:r>
      <w:r>
        <w:rPr>
          <w:rFonts w:hint="eastAsia" w:asciiTheme="minorEastAsia" w:hAnsiTheme="minorEastAsia" w:eastAsiaTheme="minorEastAsia"/>
          <w:color w:val="auto"/>
          <w:sz w:val="32"/>
          <w:szCs w:val="32"/>
          <w:highlight w:val="none"/>
        </w:rPr>
        <w:t>支出</w:t>
      </w:r>
      <w:r>
        <w:rPr>
          <w:rFonts w:hint="eastAsia" w:asciiTheme="minorEastAsia" w:hAnsiTheme="minorEastAsia" w:eastAsiaTheme="minorEastAsia"/>
          <w:sz w:val="32"/>
          <w:szCs w:val="32"/>
          <w:highlight w:val="none"/>
        </w:rPr>
        <w:t>（类）发展与改革事务（款）战略规划与实施（项）。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年初预算为</w:t>
      </w:r>
      <w:r>
        <w:rPr>
          <w:rFonts w:hint="eastAsia" w:asciiTheme="minorEastAsia" w:hAnsiTheme="minorEastAsia" w:eastAsiaTheme="minorEastAsia"/>
          <w:color w:val="auto"/>
          <w:sz w:val="32"/>
          <w:szCs w:val="32"/>
          <w:highlight w:val="none"/>
        </w:rPr>
        <w:t>80万元，支出决算为15.49万元，完成年初预算的19.36%，决算数小于年初预算数的主要原因是：部分支出当年未支付。</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4、一般公共服务支出（类）发展与改革事务（款） 社会事业发展规划（项）。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w:t>
      </w:r>
      <w:r>
        <w:rPr>
          <w:rFonts w:asciiTheme="minorEastAsia" w:hAnsiTheme="minorEastAsia" w:eastAsiaTheme="minorEastAsia"/>
          <w:color w:val="auto"/>
          <w:sz w:val="32"/>
          <w:szCs w:val="32"/>
          <w:highlight w:val="none"/>
        </w:rPr>
        <w:t>200.00</w:t>
      </w:r>
      <w:r>
        <w:rPr>
          <w:rFonts w:hint="eastAsia" w:asciiTheme="minorEastAsia" w:hAnsiTheme="minorEastAsia" w:eastAsiaTheme="minorEastAsia"/>
          <w:color w:val="auto"/>
          <w:sz w:val="32"/>
          <w:szCs w:val="32"/>
          <w:highlight w:val="none"/>
        </w:rPr>
        <w:t>万元，支出决算为102.56万元，完成年</w:t>
      </w:r>
      <w:r>
        <w:rPr>
          <w:rFonts w:hint="eastAsia" w:asciiTheme="minorEastAsia" w:hAnsiTheme="minorEastAsia" w:eastAsiaTheme="minorEastAsia"/>
          <w:sz w:val="32"/>
          <w:szCs w:val="32"/>
          <w:highlight w:val="none"/>
        </w:rPr>
        <w:t>初预算的51.28%，决算数</w:t>
      </w:r>
      <w:r>
        <w:rPr>
          <w:rFonts w:hint="eastAsia" w:asciiTheme="minorEastAsia" w:hAnsiTheme="minorEastAsia" w:eastAsiaTheme="minorEastAsia"/>
          <w:color w:val="auto"/>
          <w:sz w:val="32"/>
          <w:szCs w:val="32"/>
          <w:highlight w:val="none"/>
        </w:rPr>
        <w:t>小于</w:t>
      </w:r>
      <w:r>
        <w:rPr>
          <w:rFonts w:hint="eastAsia" w:asciiTheme="minorEastAsia" w:hAnsiTheme="minorEastAsia" w:eastAsiaTheme="minorEastAsia"/>
          <w:sz w:val="32"/>
          <w:szCs w:val="32"/>
          <w:highlight w:val="none"/>
        </w:rPr>
        <w:t>年初预算数的主要原因是:</w:t>
      </w:r>
      <w:r>
        <w:rPr>
          <w:rFonts w:hint="eastAsia" w:asciiTheme="minorEastAsia" w:hAnsiTheme="minorEastAsia" w:eastAsiaTheme="minorEastAsia"/>
          <w:color w:val="auto"/>
          <w:sz w:val="32"/>
          <w:szCs w:val="32"/>
          <w:highlight w:val="none"/>
        </w:rPr>
        <w:t>部分支出当年未支付</w:t>
      </w:r>
      <w:r>
        <w:rPr>
          <w:rFonts w:hint="eastAsia" w:asciiTheme="minorEastAsia" w:hAnsiTheme="minorEastAsia" w:eastAsiaTheme="minorEastAsia"/>
          <w:sz w:val="32"/>
          <w:szCs w:val="32"/>
          <w:highlight w:val="none"/>
        </w:rPr>
        <w:t>。</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5、一般公共服务支出（类）发展与改革事务（款）物价管理（项）。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年初预算为0万元，支出决算为3.45万元，由于预算数为0，无法计算百分比</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color w:val="auto"/>
          <w:sz w:val="32"/>
          <w:szCs w:val="32"/>
          <w:highlight w:val="none"/>
        </w:rPr>
        <w:t>大于</w:t>
      </w:r>
      <w:r>
        <w:rPr>
          <w:rFonts w:hint="eastAsia" w:asciiTheme="minorEastAsia" w:hAnsiTheme="minorEastAsia" w:eastAsiaTheme="minorEastAsia"/>
          <w:sz w:val="32"/>
          <w:szCs w:val="32"/>
          <w:highlight w:val="none"/>
        </w:rPr>
        <w:t>年初预算数的主要原因是:</w:t>
      </w:r>
      <w:r>
        <w:rPr>
          <w:rFonts w:hint="eastAsia" w:asciiTheme="minorEastAsia" w:hAnsiTheme="minorEastAsia" w:eastAsiaTheme="minorEastAsia"/>
          <w:color w:val="auto"/>
          <w:sz w:val="32"/>
          <w:szCs w:val="32"/>
          <w:highlight w:val="none"/>
        </w:rPr>
        <w:t>年中追加指标</w:t>
      </w:r>
      <w:r>
        <w:rPr>
          <w:rFonts w:hint="eastAsia" w:asciiTheme="minorEastAsia" w:hAnsiTheme="minorEastAsia" w:eastAsiaTheme="minorEastAsia"/>
          <w:sz w:val="32"/>
          <w:szCs w:val="32"/>
          <w:highlight w:val="none"/>
        </w:rPr>
        <w:t>。</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6、一般公共服务</w:t>
      </w:r>
      <w:r>
        <w:rPr>
          <w:rFonts w:hint="eastAsia" w:asciiTheme="minorEastAsia" w:hAnsiTheme="minorEastAsia" w:eastAsiaTheme="minorEastAsia"/>
          <w:color w:val="auto"/>
          <w:sz w:val="32"/>
          <w:szCs w:val="32"/>
          <w:highlight w:val="none"/>
        </w:rPr>
        <w:t>支出</w:t>
      </w:r>
      <w:r>
        <w:rPr>
          <w:rFonts w:hint="eastAsia" w:asciiTheme="minorEastAsia" w:hAnsiTheme="minorEastAsia" w:eastAsiaTheme="minorEastAsia"/>
          <w:sz w:val="32"/>
          <w:szCs w:val="32"/>
          <w:highlight w:val="none"/>
        </w:rPr>
        <w:t>（类）发展与改革事务（款） 其他发展与改革事务支出（项）。</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年初预算为</w:t>
      </w:r>
      <w:r>
        <w:rPr>
          <w:rFonts w:asciiTheme="minorEastAsia" w:hAnsiTheme="minorEastAsia" w:eastAsiaTheme="minorEastAsia"/>
          <w:sz w:val="32"/>
          <w:szCs w:val="32"/>
          <w:highlight w:val="none"/>
        </w:rPr>
        <w:t>36.48</w:t>
      </w:r>
      <w:r>
        <w:rPr>
          <w:rFonts w:hint="eastAsia" w:asciiTheme="minorEastAsia" w:hAnsiTheme="minorEastAsia" w:eastAsiaTheme="minorEastAsia"/>
          <w:sz w:val="32"/>
          <w:szCs w:val="32"/>
          <w:highlight w:val="none"/>
        </w:rPr>
        <w:t>万元，支</w:t>
      </w:r>
      <w:r>
        <w:rPr>
          <w:rFonts w:hint="eastAsia" w:asciiTheme="minorEastAsia" w:hAnsiTheme="minorEastAsia" w:eastAsiaTheme="minorEastAsia"/>
          <w:color w:val="auto"/>
          <w:sz w:val="32"/>
          <w:szCs w:val="32"/>
          <w:highlight w:val="none"/>
        </w:rPr>
        <w:t>出决算为752.29万元，完成年初预算的2,062.20%，决算数大于年初预算数的主要原因是：使用上年结转结余资金及本年上级专项资金增加。</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7、社会保障和就业支出（类）行政事业单位养老支出（款）机关事业单位基本养老保险缴费支出（项）。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年初预算为</w:t>
      </w:r>
      <w:r>
        <w:rPr>
          <w:rFonts w:asciiTheme="minorEastAsia" w:hAnsiTheme="minorEastAsia" w:eastAsiaTheme="minorEastAsia"/>
          <w:color w:val="auto"/>
          <w:sz w:val="32"/>
          <w:szCs w:val="32"/>
          <w:highlight w:val="none"/>
        </w:rPr>
        <w:t>39.87</w:t>
      </w:r>
      <w:r>
        <w:rPr>
          <w:rFonts w:hint="eastAsia" w:asciiTheme="minorEastAsia" w:hAnsiTheme="minorEastAsia" w:eastAsiaTheme="minorEastAsia"/>
          <w:color w:val="auto"/>
          <w:sz w:val="32"/>
          <w:szCs w:val="32"/>
          <w:highlight w:val="none"/>
        </w:rPr>
        <w:t>万元，支出决算为42.47万元，完成年初预算的106.52%，决算数大于年初预算数的主要原因是：使用上年结转结余资金。</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8、社会保障和就业支出（类）抚恤（款）死亡抚恤（项）。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年初预算为0万元，支出决算为17.16万元，由于预算数为0，无法计算百分比%，决算数大于年初预算数的主要原因是：年中追加死亡抚恤金支出。</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9、卫生健康支出（类）行政事业单位医疗（款）行政单位医疗（项）。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年初预算为</w:t>
      </w:r>
      <w:r>
        <w:rPr>
          <w:rFonts w:asciiTheme="minorEastAsia" w:hAnsiTheme="minorEastAsia" w:eastAsiaTheme="minorEastAsia"/>
          <w:color w:val="auto"/>
          <w:sz w:val="32"/>
          <w:szCs w:val="32"/>
          <w:highlight w:val="none"/>
        </w:rPr>
        <w:t>28.66</w:t>
      </w:r>
      <w:r>
        <w:rPr>
          <w:rFonts w:hint="eastAsia" w:asciiTheme="minorEastAsia" w:hAnsiTheme="minorEastAsia" w:eastAsiaTheme="minorEastAsia"/>
          <w:color w:val="auto"/>
          <w:sz w:val="32"/>
          <w:szCs w:val="32"/>
          <w:highlight w:val="none"/>
        </w:rPr>
        <w:t>万元，支出决算为</w:t>
      </w:r>
      <w:r>
        <w:rPr>
          <w:rFonts w:asciiTheme="minorEastAsia" w:hAnsiTheme="minorEastAsia" w:eastAsiaTheme="minorEastAsia"/>
          <w:color w:val="auto"/>
          <w:sz w:val="32"/>
          <w:szCs w:val="32"/>
          <w:highlight w:val="none"/>
        </w:rPr>
        <w:t>28.66</w:t>
      </w:r>
      <w:r>
        <w:rPr>
          <w:rFonts w:hint="eastAsia" w:asciiTheme="minorEastAsia" w:hAnsiTheme="minorEastAsia" w:eastAsiaTheme="minorEastAsia"/>
          <w:color w:val="auto"/>
          <w:sz w:val="32"/>
          <w:szCs w:val="32"/>
          <w:highlight w:val="none"/>
        </w:rPr>
        <w:t>万元，完成年初预算的100%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color w:val="auto"/>
          <w:sz w:val="32"/>
          <w:szCs w:val="32"/>
          <w:highlight w:val="none"/>
        </w:rPr>
        <w:t>。</w:t>
      </w:r>
      <w:r>
        <w:rPr>
          <w:rFonts w:asciiTheme="minorEastAsia" w:hAnsiTheme="minorEastAsia" w:eastAsiaTheme="minorEastAsia"/>
          <w:color w:val="auto"/>
          <w:sz w:val="32"/>
          <w:szCs w:val="32"/>
          <w:highlight w:val="none"/>
        </w:rPr>
        <w:t xml:space="preserve"> </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10、节能环保支出（类）其他节能环保支出（款） 其他节能环保支出（项）。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年初预算为0万元，支出决算为533万元，由于预算数为0，无法计算百分比</w:t>
      </w:r>
      <w:r>
        <w:rPr>
          <w:rFonts w:hint="eastAsia" w:asciiTheme="minorEastAsia" w:hAnsiTheme="minorEastAsia" w:eastAsiaTheme="minorEastAsia"/>
          <w:sz w:val="32"/>
          <w:szCs w:val="32"/>
          <w:highlight w:val="none"/>
        </w:rPr>
        <w:t>，决算数大于年初预算数的主要原因是：上级专项资金支出增加。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11、农林水支出（类）巩固脱贫衔接乡村振兴（款）其他巩固脱贫衔接乡村振兴支出（项）。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年初预算为100万元，支出</w:t>
      </w:r>
      <w:r>
        <w:rPr>
          <w:rFonts w:hint="eastAsia" w:asciiTheme="minorEastAsia" w:hAnsiTheme="minorEastAsia" w:eastAsiaTheme="minorEastAsia"/>
          <w:color w:val="auto"/>
          <w:sz w:val="32"/>
          <w:szCs w:val="32"/>
          <w:highlight w:val="none"/>
        </w:rPr>
        <w:t>决算为100万元，完成年初预算的100%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color w:val="auto"/>
          <w:sz w:val="32"/>
          <w:szCs w:val="32"/>
          <w:highlight w:val="none"/>
        </w:rPr>
        <w:t>。</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12、资源勘探工业信息等支出（类）其他资源勘探工业信息等支出（款）其他资源勘探工业信息等支出（项）。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年初预算为0万元，支出决算为314.35万元，由于预算数为0，无法计算百分比，决算数大于年初预算数的主要原因是：上级专项资</w:t>
      </w:r>
      <w:r>
        <w:rPr>
          <w:rFonts w:hint="eastAsia" w:asciiTheme="minorEastAsia" w:hAnsiTheme="minorEastAsia" w:eastAsiaTheme="minorEastAsia"/>
          <w:sz w:val="32"/>
          <w:szCs w:val="32"/>
          <w:highlight w:val="none"/>
        </w:rPr>
        <w:t>金支出增加。</w:t>
      </w:r>
    </w:p>
    <w:p>
      <w:pPr>
        <w:pStyle w:val="13"/>
        <w:spacing w:line="600" w:lineRule="exact"/>
        <w:ind w:firstLine="800" w:firstLineChars="250"/>
        <w:outlineLvl w:val="2"/>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13、住房保障支出（类）住房改革支出（款）住房公积金（项）。</w:t>
      </w:r>
    </w:p>
    <w:p>
      <w:pPr>
        <w:pStyle w:val="13"/>
        <w:spacing w:line="600" w:lineRule="exact"/>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年初预算为37.28万元，支出决</w:t>
      </w:r>
      <w:r>
        <w:rPr>
          <w:rFonts w:hint="eastAsia" w:asciiTheme="minorEastAsia" w:hAnsiTheme="minorEastAsia" w:eastAsiaTheme="minorEastAsia"/>
          <w:color w:val="auto"/>
          <w:sz w:val="32"/>
          <w:szCs w:val="32"/>
          <w:highlight w:val="none"/>
        </w:rPr>
        <w:t>算为</w:t>
      </w:r>
      <w:r>
        <w:rPr>
          <w:rFonts w:hint="eastAsia" w:asciiTheme="minorEastAsia" w:hAnsiTheme="minorEastAsia" w:eastAsiaTheme="minorEastAsia"/>
          <w:sz w:val="32"/>
          <w:szCs w:val="32"/>
          <w:highlight w:val="none"/>
        </w:rPr>
        <w:t>37.28</w:t>
      </w:r>
      <w:r>
        <w:rPr>
          <w:rFonts w:hint="eastAsia" w:asciiTheme="minorEastAsia" w:hAnsiTheme="minorEastAsia" w:eastAsiaTheme="minorEastAsia"/>
          <w:color w:val="auto"/>
          <w:sz w:val="32"/>
          <w:szCs w:val="32"/>
          <w:highlight w:val="none"/>
        </w:rPr>
        <w:t>万元，完成年初预算的100%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color w:val="auto"/>
          <w:sz w:val="32"/>
          <w:szCs w:val="32"/>
          <w:highlight w:val="none"/>
        </w:rPr>
        <w:t>。</w:t>
      </w:r>
      <w:r>
        <w:rPr>
          <w:rFonts w:asciiTheme="minorEastAsia" w:hAnsiTheme="minorEastAsia" w:eastAsiaTheme="minorEastAsia"/>
          <w:color w:val="auto"/>
          <w:sz w:val="32"/>
          <w:szCs w:val="32"/>
          <w:highlight w:val="none"/>
        </w:rPr>
        <w:t xml:space="preserve"> </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14、粮油物资储备支出（类）粮油物资事务（款）粮食财务挂账利息补贴（项）。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w:t>
      </w:r>
      <w:r>
        <w:rPr>
          <w:rFonts w:asciiTheme="minorEastAsia" w:hAnsiTheme="minorEastAsia" w:eastAsiaTheme="minorEastAsia"/>
          <w:color w:val="auto"/>
          <w:sz w:val="32"/>
          <w:szCs w:val="32"/>
          <w:highlight w:val="none"/>
        </w:rPr>
        <w:t>330</w:t>
      </w:r>
      <w:r>
        <w:rPr>
          <w:rFonts w:hint="eastAsia" w:asciiTheme="minorEastAsia" w:hAnsiTheme="minorEastAsia" w:eastAsiaTheme="minorEastAsia"/>
          <w:color w:val="auto"/>
          <w:sz w:val="32"/>
          <w:szCs w:val="32"/>
          <w:highlight w:val="none"/>
        </w:rPr>
        <w:t>万元，支出决算为</w:t>
      </w:r>
      <w:r>
        <w:rPr>
          <w:rFonts w:asciiTheme="minorEastAsia" w:hAnsiTheme="minorEastAsia" w:eastAsiaTheme="minorEastAsia"/>
          <w:color w:val="auto"/>
          <w:sz w:val="32"/>
          <w:szCs w:val="32"/>
          <w:highlight w:val="none"/>
        </w:rPr>
        <w:t>330</w:t>
      </w:r>
      <w:r>
        <w:rPr>
          <w:rFonts w:hint="eastAsia" w:asciiTheme="minorEastAsia" w:hAnsiTheme="minorEastAsia" w:eastAsiaTheme="minorEastAsia"/>
          <w:color w:val="auto"/>
          <w:sz w:val="32"/>
          <w:szCs w:val="32"/>
          <w:highlight w:val="none"/>
        </w:rPr>
        <w:t>万元，完成</w:t>
      </w:r>
      <w:r>
        <w:rPr>
          <w:rFonts w:hint="eastAsia" w:asciiTheme="minorEastAsia" w:hAnsiTheme="minorEastAsia" w:eastAsiaTheme="minorEastAsia"/>
          <w:sz w:val="32"/>
          <w:szCs w:val="32"/>
          <w:highlight w:val="none"/>
        </w:rPr>
        <w:t>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sz w:val="32"/>
          <w:szCs w:val="32"/>
          <w:highlight w:val="none"/>
        </w:rPr>
        <w:t>。</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15、粮油物资储备支出（类）粮油物资事务（款）粮食财务挂账消化款（项）。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年初预算为0万元，支出决算为6.25万元，由于预算数为0，无法计算百分比</w:t>
      </w:r>
      <w:r>
        <w:rPr>
          <w:rFonts w:hint="eastAsia" w:asciiTheme="minorEastAsia" w:hAnsiTheme="minorEastAsia" w:eastAsiaTheme="minorEastAsia"/>
          <w:sz w:val="32"/>
          <w:szCs w:val="32"/>
          <w:highlight w:val="none"/>
        </w:rPr>
        <w:t>，决算数大于年初预算数的主要原因是：年中追加指标。</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16、粮油物资储备支出（类）粮油物资事务（款）其他粮油物资事务支出（项）。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年初预算为0万元，支出决算为</w:t>
      </w:r>
      <w:r>
        <w:rPr>
          <w:rFonts w:asciiTheme="minorEastAsia" w:hAnsiTheme="minorEastAsia" w:eastAsiaTheme="minorEastAsia"/>
          <w:color w:val="auto"/>
          <w:sz w:val="32"/>
          <w:szCs w:val="32"/>
          <w:highlight w:val="none"/>
        </w:rPr>
        <w:t>443.69</w:t>
      </w:r>
      <w:r>
        <w:rPr>
          <w:rFonts w:hint="eastAsia" w:asciiTheme="minorEastAsia" w:hAnsiTheme="minorEastAsia" w:eastAsiaTheme="minorEastAsia"/>
          <w:color w:val="auto"/>
          <w:sz w:val="32"/>
          <w:szCs w:val="32"/>
          <w:highlight w:val="none"/>
        </w:rPr>
        <w:t>万元，由于预算数为0，无法计算百分比</w:t>
      </w:r>
      <w:r>
        <w:rPr>
          <w:rFonts w:hint="eastAsia" w:asciiTheme="minorEastAsia" w:hAnsiTheme="minorEastAsia" w:eastAsiaTheme="minorEastAsia"/>
          <w:sz w:val="32"/>
          <w:szCs w:val="32"/>
          <w:highlight w:val="none"/>
        </w:rPr>
        <w:t>，决算数大于年初预算数的主要原因是：年中追加指标。</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17、粮油物资储备支出（类）粮油储备（款）储备粮油补贴（项）。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年初预算为470万元，支出决算为470万元，完成</w:t>
      </w:r>
      <w:r>
        <w:rPr>
          <w:rFonts w:hint="eastAsia" w:asciiTheme="minorEastAsia" w:hAnsiTheme="minorEastAsia" w:eastAsiaTheme="minorEastAsia"/>
          <w:sz w:val="32"/>
          <w:szCs w:val="32"/>
          <w:highlight w:val="none"/>
        </w:rPr>
        <w:t>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sz w:val="32"/>
          <w:szCs w:val="32"/>
          <w:highlight w:val="none"/>
        </w:rPr>
        <w:t>。</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18、粮油物资储备支出（类）粮油储备（款）储备粮油差价补贴（项）。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年初预算为259.36万元，支出决算为259.36万元，完成</w:t>
      </w:r>
      <w:r>
        <w:rPr>
          <w:rFonts w:hint="eastAsia" w:asciiTheme="minorEastAsia" w:hAnsiTheme="minorEastAsia" w:eastAsiaTheme="minorEastAsia"/>
          <w:sz w:val="32"/>
          <w:szCs w:val="32"/>
          <w:highlight w:val="none"/>
        </w:rPr>
        <w:t>年初预算的100%</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val="en-US" w:eastAsia="zh-CN"/>
        </w:rPr>
        <w:t>等</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严格控制经费开支</w:t>
      </w:r>
      <w:r>
        <w:rPr>
          <w:rFonts w:hint="eastAsia" w:asciiTheme="minorEastAsia" w:hAnsiTheme="minorEastAsia" w:eastAsiaTheme="minorEastAsia"/>
          <w:sz w:val="32"/>
          <w:szCs w:val="32"/>
          <w:highlight w:val="none"/>
        </w:rPr>
        <w:t>。</w:t>
      </w:r>
    </w:p>
    <w:p>
      <w:pPr>
        <w:pStyle w:val="13"/>
        <w:spacing w:line="600" w:lineRule="exact"/>
        <w:ind w:firstLine="800" w:firstLineChars="250"/>
        <w:outlineLvl w:val="2"/>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19、粮油物资储备支出（类）粮油储备（款）其他粮油储备支出（项）。</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color w:val="auto"/>
          <w:sz w:val="32"/>
          <w:szCs w:val="32"/>
          <w:highlight w:val="none"/>
        </w:rPr>
        <w:t>年初预算为80万元，支出决算为</w:t>
      </w:r>
      <w:r>
        <w:rPr>
          <w:rFonts w:asciiTheme="minorEastAsia" w:hAnsiTheme="minorEastAsia" w:eastAsiaTheme="minorEastAsia"/>
          <w:color w:val="auto"/>
          <w:sz w:val="32"/>
          <w:szCs w:val="32"/>
          <w:highlight w:val="none"/>
        </w:rPr>
        <w:t>43.1</w:t>
      </w:r>
      <w:r>
        <w:rPr>
          <w:rFonts w:hint="eastAsia" w:asciiTheme="minorEastAsia" w:hAnsiTheme="minorEastAsia" w:eastAsiaTheme="minorEastAsia"/>
          <w:color w:val="auto"/>
          <w:sz w:val="32"/>
          <w:szCs w:val="32"/>
          <w:highlight w:val="none"/>
        </w:rPr>
        <w:t>8万元，完成</w:t>
      </w:r>
      <w:r>
        <w:rPr>
          <w:rFonts w:hint="eastAsia" w:asciiTheme="minorEastAsia" w:hAnsiTheme="minorEastAsia" w:eastAsiaTheme="minorEastAsia"/>
          <w:sz w:val="32"/>
          <w:szCs w:val="32"/>
          <w:highlight w:val="none"/>
        </w:rPr>
        <w:t>年初预算的53.98%,决算数小于年初预算数的主要原因是：部分资金本年未支付。</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六、一般公共预算财政拨款基本支出决算情况说明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2022年度一般公共预算财政拨款基本支出</w:t>
      </w:r>
      <w:r>
        <w:rPr>
          <w:rFonts w:asciiTheme="minorEastAsia" w:hAnsiTheme="minorEastAsia" w:eastAsiaTheme="minorEastAsia"/>
          <w:sz w:val="32"/>
          <w:szCs w:val="32"/>
          <w:highlight w:val="none"/>
        </w:rPr>
        <w:t>795.69</w:t>
      </w:r>
      <w:r>
        <w:rPr>
          <w:rFonts w:hint="eastAsia" w:asciiTheme="minorEastAsia" w:hAnsiTheme="minorEastAsia" w:eastAsiaTheme="minorEastAsia"/>
          <w:sz w:val="32"/>
          <w:szCs w:val="32"/>
          <w:highlight w:val="none"/>
        </w:rPr>
        <w:t>万元，其中：人员经费647.76万元，占基本支出的81.41%,主要包括基本工资、津贴补贴、奖金、伙食补助费、绩效工资、机关事业单位基本养老保险缴费、职工基本医疗保险缴费、公务员医疗补助缴费、其他社会保障缴费、住房公积金、其他工资福利支出；公用经费147.93万元，占基本支出的18.59%，主要包括办公费、印刷费、咨询费、水费、电费、邮电费、差旅费、维修（护）费、会议费、培训费、公务接待费、劳务费、工会经费、福利费、公务用车运行维护费、其他交通费用、其他商品和服务支出。</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七、一般公共预算财政拨款三公经费支出决算情况说明</w:t>
      </w:r>
    </w:p>
    <w:p>
      <w:pPr>
        <w:pStyle w:val="13"/>
        <w:spacing w:line="600" w:lineRule="exact"/>
        <w:ind w:firstLine="642" w:firstLineChars="200"/>
        <w:outlineLvl w:val="1"/>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（一）“三公”经费财政拨款支出决算总体情况说明</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“三公”经费财政拨款支出预算为14.30万元，支出决算为5.13万元，完成预算的35.87%，其中：</w:t>
      </w:r>
    </w:p>
    <w:p>
      <w:pPr>
        <w:pStyle w:val="13"/>
        <w:spacing w:line="600" w:lineRule="exact"/>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因公出国（境）费支出预算为0万元，支出决算为0万元，</w:t>
      </w:r>
      <w:r>
        <w:rPr>
          <w:rFonts w:hint="eastAsia" w:asciiTheme="minorEastAsia" w:hAnsiTheme="minorEastAsia" w:eastAsiaTheme="minorEastAsia"/>
          <w:color w:val="auto"/>
          <w:sz w:val="32"/>
          <w:szCs w:val="32"/>
          <w:highlight w:val="none"/>
        </w:rPr>
        <w:t>由于预算数为0，无法计算百分比</w:t>
      </w:r>
      <w:r>
        <w:rPr>
          <w:rFonts w:hint="eastAsia" w:asciiTheme="minorEastAsia" w:hAnsiTheme="minorEastAsia" w:eastAsiaTheme="minorEastAsia"/>
          <w:sz w:val="32"/>
          <w:szCs w:val="32"/>
          <w:highlight w:val="none"/>
        </w:rPr>
        <w:t>，决算数与预算数增减无变化</w:t>
      </w:r>
      <w:r>
        <w:rPr>
          <w:rFonts w:hint="eastAsia" w:asciiTheme="minorEastAsia" w:hAnsiTheme="minorEastAsia" w:eastAsiaTheme="minorEastAsia"/>
          <w:sz w:val="32"/>
          <w:szCs w:val="32"/>
          <w:highlight w:val="none"/>
          <w:lang w:eastAsia="zh-CN"/>
        </w:rPr>
        <w:t>，主要原因是厉行节约，未安排</w:t>
      </w:r>
      <w:r>
        <w:rPr>
          <w:rFonts w:hint="eastAsia" w:asciiTheme="minorEastAsia" w:hAnsiTheme="minorEastAsia" w:eastAsiaTheme="minorEastAsia"/>
          <w:sz w:val="32"/>
          <w:szCs w:val="32"/>
          <w:highlight w:val="none"/>
        </w:rPr>
        <w:t>，与上年相比增减无变化</w:t>
      </w:r>
      <w:r>
        <w:rPr>
          <w:rFonts w:hint="eastAsia" w:asciiTheme="minorEastAsia" w:hAnsiTheme="minorEastAsia" w:eastAsiaTheme="minorEastAsia"/>
          <w:sz w:val="32"/>
          <w:szCs w:val="32"/>
          <w:highlight w:val="none"/>
          <w:lang w:eastAsia="zh-CN"/>
        </w:rPr>
        <w:t>，主要原因是厉行节约，未安排</w:t>
      </w:r>
      <w:r>
        <w:rPr>
          <w:rFonts w:hint="eastAsia" w:asciiTheme="minorEastAsia" w:hAnsiTheme="minorEastAsia" w:eastAsiaTheme="minorEastAsia"/>
          <w:sz w:val="32"/>
          <w:szCs w:val="32"/>
          <w:highlight w:val="none"/>
        </w:rPr>
        <w:t>。</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公务接待费支出预算为9.5万元，支出决算为1.46万元，完成预算的15.37%，决算数小于预算数的主要原因是单位按照中央八项规定，坚持厉行节约，反对铺张浪费，从严控制公务支出，规范公务活动；与上年相比减少6.6万元，</w:t>
      </w:r>
      <w:r>
        <w:rPr>
          <w:rFonts w:hint="eastAsia" w:asciiTheme="minorEastAsia" w:hAnsiTheme="minorEastAsia" w:eastAsiaTheme="minorEastAsia"/>
          <w:color w:val="auto"/>
          <w:sz w:val="32"/>
          <w:szCs w:val="32"/>
          <w:highlight w:val="none"/>
        </w:rPr>
        <w:t>减少81.89%,减少</w:t>
      </w:r>
      <w:r>
        <w:rPr>
          <w:rFonts w:hint="eastAsia" w:asciiTheme="minorEastAsia" w:hAnsiTheme="minorEastAsia" w:eastAsiaTheme="minorEastAsia"/>
          <w:sz w:val="32"/>
          <w:szCs w:val="32"/>
          <w:highlight w:val="none"/>
        </w:rPr>
        <w:t>的主要原因是从严控制公务支出，规范公务活动,减少公务接待次数，严控公务接待标准。</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公务用车购置费及运行维护费支出预算为4.8万元，支出决算为3.67万元，完成预算的76.46%，决算数小于预算数的主要原因进一步规范公务用车活动，对公务用车科学化管理。与上年相比增加2.56万元，增长230.63%,增长的主要原因2021年车辆的部分维修费用于今年结算支付。</w:t>
      </w:r>
    </w:p>
    <w:p>
      <w:pPr>
        <w:pStyle w:val="13"/>
        <w:spacing w:line="600" w:lineRule="exact"/>
        <w:outlineLvl w:val="1"/>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（二）“三公”经费财政拨款支出决算具体情况说明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2022年度“三公”经费财政拨款支出决算中，公务接待费支出决算1.46万元，占28.46%,因公出国（境）费支出决算0万元，占0%,公务用车购置费及运行维护费支出决算3.67万元，占71.54%。其中：</w:t>
      </w:r>
    </w:p>
    <w:p>
      <w:pPr>
        <w:pStyle w:val="13"/>
        <w:spacing w:line="600" w:lineRule="exact"/>
        <w:ind w:firstLine="640" w:firstLineChars="200"/>
        <w:rPr>
          <w:rFonts w:asciiTheme="minorEastAsia" w:hAnsiTheme="minorEastAsia" w:eastAsiaTheme="minorEastAsia"/>
          <w:b/>
          <w:sz w:val="32"/>
          <w:szCs w:val="32"/>
          <w:highlight w:val="none"/>
        </w:rPr>
      </w:pPr>
      <w:r>
        <w:rPr>
          <w:rFonts w:hint="eastAsia" w:asciiTheme="minorEastAsia" w:hAnsiTheme="minorEastAsia" w:eastAsiaTheme="minorEastAsia"/>
          <w:sz w:val="32"/>
          <w:szCs w:val="32"/>
          <w:highlight w:val="none"/>
        </w:rPr>
        <w:t>1、因公出国（境）费支出决算为0万元，全年安排因公出国（境）团组0个，累计0人次。</w:t>
      </w:r>
    </w:p>
    <w:p>
      <w:pPr>
        <w:pStyle w:val="13"/>
        <w:spacing w:line="600" w:lineRule="exact"/>
        <w:ind w:firstLine="640" w:firstLineChars="200"/>
        <w:rPr>
          <w:rFonts w:asciiTheme="minorEastAsia" w:hAnsiTheme="minorEastAsia" w:eastAsiaTheme="minorEastAsia"/>
          <w:color w:val="auto"/>
          <w:sz w:val="32"/>
          <w:szCs w:val="32"/>
          <w:highlight w:val="none"/>
        </w:rPr>
      </w:pPr>
      <w:r>
        <w:rPr>
          <w:rFonts w:hint="eastAsia" w:asciiTheme="minorEastAsia" w:hAnsiTheme="minorEastAsia" w:eastAsiaTheme="minorEastAsia"/>
          <w:sz w:val="32"/>
          <w:szCs w:val="32"/>
          <w:highlight w:val="none"/>
        </w:rPr>
        <w:t>2、公务接待费支出决算为1.46万元，全年共接待来访团组25个、来宾</w:t>
      </w:r>
      <w:r>
        <w:rPr>
          <w:rFonts w:hint="eastAsia" w:asciiTheme="minorEastAsia" w:hAnsiTheme="minorEastAsia" w:eastAsiaTheme="minorEastAsia"/>
          <w:color w:val="auto"/>
          <w:sz w:val="32"/>
          <w:szCs w:val="32"/>
          <w:highlight w:val="none"/>
        </w:rPr>
        <w:t>300人次，主要是用于综治维稳、粮食安全考核监督等接待支出。</w:t>
      </w:r>
    </w:p>
    <w:p>
      <w:pPr>
        <w:spacing w:line="600" w:lineRule="exact"/>
        <w:ind w:firstLine="640" w:firstLineChars="200"/>
        <w:rPr>
          <w:rFonts w:cs="黑体" w:asciiTheme="minorEastAsia" w:hAnsiTheme="minorEastAsia"/>
          <w:color w:val="000000"/>
          <w:kern w:val="0"/>
          <w:sz w:val="32"/>
          <w:szCs w:val="32"/>
          <w:highlight w:val="none"/>
        </w:rPr>
      </w:pPr>
      <w:r>
        <w:rPr>
          <w:rFonts w:hint="eastAsia" w:asciiTheme="minorEastAsia" w:hAnsiTheme="minorEastAsia"/>
          <w:sz w:val="32"/>
          <w:szCs w:val="32"/>
          <w:highlight w:val="none"/>
        </w:rPr>
        <w:t>3、公务用车购置费及运行维护费支出决算为3.67万元，其中：公务用车购置费0万元，本单位更新公务用车0辆，购置车辆0辆</w:t>
      </w:r>
      <w:r>
        <w:rPr>
          <w:rFonts w:hint="eastAsia" w:asciiTheme="minorEastAsia" w:hAnsiTheme="minorEastAsia"/>
          <w:color w:val="000000" w:themeColor="text1"/>
          <w:sz w:val="32"/>
          <w:szCs w:val="32"/>
          <w:highlight w:val="none"/>
          <w14:textFill>
            <w14:solidFill>
              <w14:schemeClr w14:val="tx1"/>
            </w14:solidFill>
          </w14:textFill>
        </w:rPr>
        <w:t>。</w:t>
      </w:r>
      <w:r>
        <w:rPr>
          <w:rFonts w:hint="eastAsia" w:asciiTheme="minorEastAsia" w:hAnsiTheme="minorEastAsia"/>
          <w:sz w:val="32"/>
          <w:szCs w:val="32"/>
          <w:highlight w:val="none"/>
        </w:rPr>
        <w:t>公务用车运行维护费3.67万元，主要是公务用车加油、维修费、过路过桥费支出。截</w:t>
      </w:r>
      <w:r>
        <w:rPr>
          <w:rFonts w:hint="eastAsia" w:asciiTheme="minorEastAsia" w:hAnsiTheme="minorEastAsia"/>
          <w:sz w:val="32"/>
          <w:szCs w:val="32"/>
          <w:highlight w:val="none"/>
          <w:lang w:eastAsia="zh-CN"/>
        </w:rPr>
        <w:t>至</w:t>
      </w:r>
      <w:r>
        <w:rPr>
          <w:rFonts w:hint="eastAsia" w:asciiTheme="minorEastAsia" w:hAnsiTheme="minorEastAsia"/>
          <w:sz w:val="32"/>
          <w:szCs w:val="32"/>
          <w:highlight w:val="none"/>
        </w:rPr>
        <w:t>2022年12月31日，我单位开支财政拨款的公务用车保有量为1辆。</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八、政府性基金预算收入支出决算情况</w:t>
      </w:r>
    </w:p>
    <w:p>
      <w:pPr>
        <w:pStyle w:val="13"/>
        <w:spacing w:line="600" w:lineRule="exact"/>
        <w:rPr>
          <w:rFonts w:asciiTheme="minorEastAsia" w:hAnsiTheme="minorEastAsia" w:eastAsiaTheme="minorEastAsia" w:cstheme="minorBidi"/>
          <w:color w:val="auto"/>
          <w:kern w:val="2"/>
          <w:sz w:val="32"/>
          <w:szCs w:val="32"/>
          <w:highlight w:val="none"/>
        </w:rPr>
      </w:pPr>
      <w:r>
        <w:rPr>
          <w:rFonts w:hint="eastAsia" w:asciiTheme="minorEastAsia" w:hAnsiTheme="minorEastAsia" w:eastAsiaTheme="minorEastAsia" w:cstheme="minorBidi"/>
          <w:color w:val="auto"/>
          <w:kern w:val="2"/>
          <w:sz w:val="32"/>
          <w:szCs w:val="32"/>
          <w:highlight w:val="none"/>
        </w:rPr>
        <w:t xml:space="preserve">     本单位2022年度无政府性基金收支。</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九、国有资本经营预算财政拨款支出决算情况</w:t>
      </w:r>
    </w:p>
    <w:p>
      <w:pPr>
        <w:pStyle w:val="13"/>
        <w:spacing w:line="600" w:lineRule="exact"/>
        <w:rPr>
          <w:rFonts w:asciiTheme="minorEastAsia" w:hAnsiTheme="minorEastAsia" w:eastAsiaTheme="minorEastAsia" w:cstheme="minorBidi"/>
          <w:color w:val="auto"/>
          <w:kern w:val="2"/>
          <w:sz w:val="32"/>
          <w:szCs w:val="32"/>
          <w:highlight w:val="none"/>
        </w:rPr>
      </w:pPr>
      <w:r>
        <w:rPr>
          <w:rFonts w:hint="eastAsia" w:asciiTheme="minorEastAsia" w:hAnsiTheme="minorEastAsia" w:eastAsiaTheme="minorEastAsia" w:cstheme="minorBidi"/>
          <w:color w:val="auto"/>
          <w:kern w:val="2"/>
          <w:sz w:val="32"/>
          <w:szCs w:val="32"/>
          <w:highlight w:val="none"/>
        </w:rPr>
        <w:t xml:space="preserve">     本单位2022年度无国有资本经营预算财政拨款支出。</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十、关于机关运行经费支出说明</w:t>
      </w:r>
    </w:p>
    <w:p>
      <w:pPr>
        <w:pStyle w:val="13"/>
        <w:spacing w:line="600" w:lineRule="exact"/>
        <w:ind w:firstLine="640" w:firstLineChars="20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本部门2022年度机关运行经费支出147.93万元，比上年决算数增加26.33万元，增长21.65%。主要原因是上年度有部分费用在本年支付。</w:t>
      </w:r>
    </w:p>
    <w:p>
      <w:pPr>
        <w:pStyle w:val="13"/>
        <w:spacing w:line="600" w:lineRule="exact"/>
        <w:ind w:firstLine="642" w:firstLineChars="200"/>
        <w:rPr>
          <w:rFonts w:hAnsi="黑体"/>
          <w:b/>
          <w:sz w:val="32"/>
          <w:szCs w:val="32"/>
          <w:highlight w:val="none"/>
        </w:rPr>
      </w:pPr>
      <w:r>
        <w:rPr>
          <w:rFonts w:hint="eastAsia" w:hAnsi="黑体"/>
          <w:b/>
          <w:sz w:val="32"/>
          <w:szCs w:val="32"/>
          <w:highlight w:val="none"/>
        </w:rPr>
        <w:t>十一、一般性支出情况</w:t>
      </w:r>
    </w:p>
    <w:p>
      <w:pPr>
        <w:autoSpaceDE w:val="0"/>
        <w:autoSpaceDN w:val="0"/>
        <w:adjustRightInd w:val="0"/>
        <w:spacing w:line="640" w:lineRule="exact"/>
        <w:ind w:firstLine="640" w:firstLineChars="200"/>
        <w:jc w:val="left"/>
        <w:rPr>
          <w:rFonts w:asciiTheme="minorEastAsia" w:hAnsiTheme="minorEastAsia"/>
          <w:sz w:val="32"/>
          <w:szCs w:val="32"/>
          <w:highlight w:val="none"/>
        </w:rPr>
      </w:pPr>
      <w:r>
        <w:rPr>
          <w:rFonts w:hint="eastAsia" w:asciiTheme="minorEastAsia" w:hAnsiTheme="minorEastAsia"/>
          <w:sz w:val="32"/>
          <w:szCs w:val="32"/>
          <w:highlight w:val="none"/>
        </w:rPr>
        <w:t>2022年本部门开支会议费0.07万元，</w:t>
      </w:r>
      <w:r>
        <w:rPr>
          <w:rFonts w:hint="eastAsia" w:ascii="宋体" w:hAnsi="宋体" w:eastAsia="宋体" w:cs="宋体"/>
          <w:sz w:val="32"/>
          <w:szCs w:val="32"/>
          <w:highlight w:val="none"/>
        </w:rPr>
        <w:t>用于召开</w:t>
      </w:r>
      <w:r>
        <w:rPr>
          <w:rFonts w:hint="eastAsia" w:asciiTheme="minorEastAsia" w:hAnsiTheme="minorEastAsia"/>
          <w:sz w:val="32"/>
          <w:szCs w:val="32"/>
          <w:highlight w:val="none"/>
        </w:rPr>
        <w:t>调研</w:t>
      </w:r>
      <w:r>
        <w:rPr>
          <w:rFonts w:hint="eastAsia" w:ascii="宋体" w:hAnsi="宋体" w:eastAsia="宋体" w:cs="宋体"/>
          <w:sz w:val="32"/>
          <w:szCs w:val="32"/>
          <w:highlight w:val="none"/>
        </w:rPr>
        <w:t>会议，</w:t>
      </w:r>
      <w:r>
        <w:rPr>
          <w:rFonts w:hint="eastAsia" w:asciiTheme="minorEastAsia" w:hAnsiTheme="minorEastAsia"/>
          <w:sz w:val="32"/>
          <w:szCs w:val="32"/>
          <w:highlight w:val="none"/>
        </w:rPr>
        <w:t>人数20人，内容为县服务业调研工作会议；开支培训费0.79万元，用于开展网络培训等，人数30人左右，内容为事业单位工作人员管理平台学习培训；</w:t>
      </w:r>
      <w:r>
        <w:rPr>
          <w:rFonts w:asciiTheme="minorEastAsia" w:hAnsiTheme="minorEastAsia"/>
          <w:sz w:val="32"/>
          <w:szCs w:val="32"/>
          <w:highlight w:val="none"/>
        </w:rPr>
        <w:t>举办</w:t>
      </w:r>
      <w:r>
        <w:rPr>
          <w:rFonts w:hint="eastAsia" w:asciiTheme="minorEastAsia" w:hAnsiTheme="minorEastAsia"/>
          <w:sz w:val="32"/>
          <w:szCs w:val="32"/>
          <w:highlight w:val="none"/>
        </w:rPr>
        <w:t>0次</w:t>
      </w:r>
      <w:r>
        <w:rPr>
          <w:rFonts w:asciiTheme="minorEastAsia" w:hAnsiTheme="minorEastAsia"/>
          <w:sz w:val="32"/>
          <w:szCs w:val="32"/>
          <w:highlight w:val="none"/>
        </w:rPr>
        <w:t>节庆、晚会、论坛、赛事活动，开支</w:t>
      </w:r>
      <w:r>
        <w:rPr>
          <w:rFonts w:hint="eastAsia" w:asciiTheme="minorEastAsia" w:hAnsiTheme="minorEastAsia"/>
          <w:sz w:val="32"/>
          <w:szCs w:val="32"/>
          <w:highlight w:val="none"/>
        </w:rPr>
        <w:t>0</w:t>
      </w:r>
      <w:r>
        <w:rPr>
          <w:rFonts w:asciiTheme="minorEastAsia" w:hAnsiTheme="minorEastAsia"/>
          <w:sz w:val="32"/>
          <w:szCs w:val="32"/>
          <w:highlight w:val="none"/>
        </w:rPr>
        <w:t>万元</w:t>
      </w:r>
      <w:r>
        <w:rPr>
          <w:rFonts w:hint="eastAsia" w:asciiTheme="minorEastAsia" w:hAnsiTheme="minorEastAsia"/>
          <w:sz w:val="32"/>
          <w:szCs w:val="32"/>
          <w:highlight w:val="none"/>
        </w:rPr>
        <w:t>。</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十二、关于政府采购支出说明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本部门2022年度政府采购支出总额</w:t>
      </w:r>
      <w:r>
        <w:rPr>
          <w:rFonts w:asciiTheme="minorEastAsia" w:hAnsiTheme="minorEastAsia" w:eastAsiaTheme="minorEastAsia"/>
          <w:sz w:val="32"/>
          <w:szCs w:val="32"/>
          <w:highlight w:val="none"/>
        </w:rPr>
        <w:t>257.80</w:t>
      </w:r>
      <w:r>
        <w:rPr>
          <w:rFonts w:hint="eastAsia" w:asciiTheme="minorEastAsia" w:hAnsiTheme="minorEastAsia" w:eastAsiaTheme="minorEastAsia"/>
          <w:sz w:val="32"/>
          <w:szCs w:val="32"/>
          <w:highlight w:val="none"/>
        </w:rPr>
        <w:t>万元，其中：政府采购货物支出</w:t>
      </w:r>
      <w:r>
        <w:rPr>
          <w:rFonts w:asciiTheme="minorEastAsia" w:hAnsiTheme="minorEastAsia" w:eastAsiaTheme="minorEastAsia"/>
          <w:sz w:val="32"/>
          <w:szCs w:val="32"/>
          <w:highlight w:val="none"/>
        </w:rPr>
        <w:t>25.37</w:t>
      </w:r>
      <w:r>
        <w:rPr>
          <w:rFonts w:hint="eastAsia" w:asciiTheme="minorEastAsia" w:hAnsiTheme="minorEastAsia" w:eastAsiaTheme="minorEastAsia"/>
          <w:sz w:val="32"/>
          <w:szCs w:val="32"/>
          <w:highlight w:val="none"/>
        </w:rPr>
        <w:t>万元、政府采购工程支出0万元、政府采购服务支出</w:t>
      </w:r>
      <w:r>
        <w:rPr>
          <w:rFonts w:asciiTheme="minorEastAsia" w:hAnsiTheme="minorEastAsia" w:eastAsiaTheme="minorEastAsia"/>
          <w:sz w:val="32"/>
          <w:szCs w:val="32"/>
          <w:highlight w:val="none"/>
        </w:rPr>
        <w:t>232.4</w:t>
      </w:r>
      <w:r>
        <w:rPr>
          <w:rFonts w:hint="eastAsia" w:asciiTheme="minorEastAsia" w:hAnsiTheme="minorEastAsia" w:eastAsiaTheme="minorEastAsia"/>
          <w:sz w:val="32"/>
          <w:szCs w:val="32"/>
          <w:highlight w:val="none"/>
        </w:rPr>
        <w:t>3万元。授予中小企业合同金额</w:t>
      </w:r>
      <w:r>
        <w:rPr>
          <w:rFonts w:asciiTheme="minorEastAsia" w:hAnsiTheme="minorEastAsia" w:eastAsiaTheme="minorEastAsia"/>
          <w:sz w:val="32"/>
          <w:szCs w:val="32"/>
          <w:highlight w:val="none"/>
        </w:rPr>
        <w:t>248.83</w:t>
      </w:r>
      <w:r>
        <w:rPr>
          <w:rFonts w:hint="eastAsia" w:asciiTheme="minorEastAsia" w:hAnsiTheme="minorEastAsia" w:eastAsiaTheme="minorEastAsia"/>
          <w:sz w:val="32"/>
          <w:szCs w:val="32"/>
          <w:highlight w:val="none"/>
        </w:rPr>
        <w:t>万元，占政府采购支出总额的96.52%，其中：授予小微企业合同金额</w:t>
      </w:r>
      <w:r>
        <w:rPr>
          <w:rFonts w:asciiTheme="minorEastAsia" w:hAnsiTheme="minorEastAsia" w:eastAsiaTheme="minorEastAsia"/>
          <w:sz w:val="32"/>
          <w:szCs w:val="32"/>
          <w:highlight w:val="none"/>
        </w:rPr>
        <w:t>191.33</w:t>
      </w:r>
      <w:r>
        <w:rPr>
          <w:rFonts w:hint="eastAsia" w:asciiTheme="minorEastAsia" w:hAnsiTheme="minorEastAsia" w:eastAsiaTheme="minorEastAsia"/>
          <w:sz w:val="32"/>
          <w:szCs w:val="32"/>
          <w:highlight w:val="none"/>
        </w:rPr>
        <w:t>万元，占政府采购支出总额的74.22%。</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十三、关于国有资产占用情况说明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截至2022年12月31日，本单位共有车辆1辆，其中，主要领导干部用车0辆，机要通信用车0辆、应急保障用车0辆、执法执勤用车0辆、特种专业技术用车0辆、其他用车1辆；单位价值50万元以上通用设备0台（套）；单位价值100万元以上专用设备0台（套）。</w:t>
      </w:r>
    </w:p>
    <w:p>
      <w:pPr>
        <w:pStyle w:val="13"/>
        <w:spacing w:line="600" w:lineRule="exact"/>
        <w:ind w:firstLine="642" w:firstLineChars="200"/>
        <w:outlineLvl w:val="0"/>
        <w:rPr>
          <w:rFonts w:hAnsi="黑体"/>
          <w:b/>
          <w:sz w:val="32"/>
          <w:szCs w:val="32"/>
          <w:highlight w:val="none"/>
        </w:rPr>
      </w:pPr>
      <w:r>
        <w:rPr>
          <w:rFonts w:hint="eastAsia" w:hAnsi="黑体"/>
          <w:b/>
          <w:sz w:val="32"/>
          <w:szCs w:val="32"/>
          <w:highlight w:val="none"/>
        </w:rPr>
        <w:t>十四、关于2022年度预算绩效情况的说明</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我单位严格执行《湘潭县预算绩效管理实施办法》，加强财政资金的管理，提高财政资金使用的效益，做到了专款专用，收支平衡，保证了单位的正常运行，按要求完成了当年的绩效评价工作，并制定了《湘潭县发展和改革局预算绩效管理实施方案》，确定了我单位绩效管理及自评范围，按要求积极开展绩效自评，并将自评报告在湘潭县人民政府网站及单位官网进行了公开。2022年度我单位无重点绩效评价项目。</w:t>
      </w: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r>
        <w:rPr>
          <w:rFonts w:hint="eastAsia"/>
          <w:sz w:val="72"/>
          <w:szCs w:val="72"/>
          <w:highlight w:val="none"/>
        </w:rPr>
        <w:t>第四部分</w:t>
      </w:r>
    </w:p>
    <w:p>
      <w:pPr>
        <w:jc w:val="center"/>
        <w:rPr>
          <w:rFonts w:ascii="黑体" w:eastAsia="黑体" w:cs="黑体"/>
          <w:color w:val="000000"/>
          <w:kern w:val="0"/>
          <w:sz w:val="70"/>
          <w:szCs w:val="70"/>
          <w:highlight w:val="none"/>
        </w:rPr>
      </w:pPr>
    </w:p>
    <w:p>
      <w:pPr>
        <w:jc w:val="center"/>
        <w:outlineLvl w:val="0"/>
        <w:rPr>
          <w:rFonts w:ascii="黑体" w:eastAsia="黑体" w:cs="黑体"/>
          <w:color w:val="000000"/>
          <w:kern w:val="0"/>
          <w:sz w:val="70"/>
          <w:szCs w:val="70"/>
          <w:highlight w:val="none"/>
        </w:rPr>
      </w:pPr>
      <w:r>
        <w:rPr>
          <w:rFonts w:hint="eastAsia" w:ascii="黑体" w:eastAsia="黑体" w:cs="黑体"/>
          <w:color w:val="000000"/>
          <w:kern w:val="0"/>
          <w:sz w:val="70"/>
          <w:szCs w:val="70"/>
          <w:highlight w:val="none"/>
        </w:rPr>
        <w:t>名词解释</w:t>
      </w:r>
    </w:p>
    <w:p>
      <w:pPr>
        <w:widowControl/>
        <w:jc w:val="left"/>
        <w:rPr>
          <w:rFonts w:ascii="黑体" w:eastAsia="黑体" w:cs="黑体"/>
          <w:color w:val="000000"/>
          <w:kern w:val="0"/>
          <w:sz w:val="70"/>
          <w:szCs w:val="70"/>
          <w:highlight w:val="none"/>
        </w:rPr>
      </w:pPr>
      <w:r>
        <w:rPr>
          <w:rFonts w:ascii="黑体" w:eastAsia="黑体" w:cs="黑体"/>
          <w:color w:val="000000"/>
          <w:kern w:val="0"/>
          <w:sz w:val="70"/>
          <w:szCs w:val="70"/>
          <w:highlight w:val="none"/>
        </w:rPr>
        <w:br w:type="page"/>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一、财政拨款收入：是指行政事业单位从同级财政部门取得的财政预算资金。</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二、基本支出：指为保障机构正常运转、完成日常工作任务而发生的人员支出和公用支出。</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三、项目支出：指在基本支出之外为完成特定行政任务和事业发展目标所发生的支出。</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四、财政拨款结转：是指行政事业单位当年预算已执行但尚未完成，或因故未执行，下一年度需要按照原用途继续使用的财政拨款滚存资金。</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3"/>
        <w:spacing w:line="600" w:lineRule="exact"/>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六、“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3"/>
        <w:spacing w:line="600" w:lineRule="exact"/>
        <w:ind w:firstLine="640" w:firstLineChars="200"/>
        <w:rPr>
          <w:rFonts w:asciiTheme="minorEastAsia" w:hAnsiTheme="minorEastAsia" w:eastAsiaTheme="minorEastAsia"/>
          <w:sz w:val="32"/>
          <w:szCs w:val="3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p>
    <w:p>
      <w:pPr>
        <w:pStyle w:val="13"/>
        <w:jc w:val="center"/>
        <w:rPr>
          <w:sz w:val="72"/>
          <w:szCs w:val="72"/>
          <w:highlight w:val="none"/>
        </w:rPr>
      </w:pPr>
      <w:r>
        <w:rPr>
          <w:rFonts w:hint="eastAsia"/>
          <w:sz w:val="72"/>
          <w:szCs w:val="72"/>
          <w:highlight w:val="none"/>
        </w:rPr>
        <w:t>第五部分</w:t>
      </w:r>
    </w:p>
    <w:p>
      <w:pPr>
        <w:jc w:val="center"/>
        <w:rPr>
          <w:rFonts w:ascii="黑体" w:eastAsia="黑体" w:cs="黑体"/>
          <w:color w:val="000000"/>
          <w:kern w:val="0"/>
          <w:sz w:val="70"/>
          <w:szCs w:val="70"/>
          <w:highlight w:val="none"/>
        </w:rPr>
      </w:pPr>
    </w:p>
    <w:p>
      <w:pPr>
        <w:jc w:val="center"/>
        <w:outlineLvl w:val="0"/>
        <w:rPr>
          <w:rFonts w:ascii="黑体" w:eastAsia="黑体" w:cs="黑体"/>
          <w:color w:val="000000"/>
          <w:kern w:val="0"/>
          <w:sz w:val="70"/>
          <w:szCs w:val="70"/>
          <w:highlight w:val="none"/>
        </w:rPr>
      </w:pPr>
      <w:r>
        <w:rPr>
          <w:rFonts w:hint="eastAsia" w:ascii="黑体" w:eastAsia="黑体" w:cs="黑体"/>
          <w:color w:val="000000"/>
          <w:kern w:val="0"/>
          <w:sz w:val="70"/>
          <w:szCs w:val="70"/>
          <w:highlight w:val="none"/>
        </w:rPr>
        <w:t>附件</w:t>
      </w:r>
    </w:p>
    <w:p>
      <w:pPr>
        <w:spacing w:line="576" w:lineRule="exact"/>
        <w:jc w:val="center"/>
        <w:rPr>
          <w:rFonts w:ascii="黑体" w:eastAsia="黑体" w:cs="黑体"/>
          <w:color w:val="000000"/>
          <w:kern w:val="0"/>
          <w:sz w:val="70"/>
          <w:szCs w:val="70"/>
          <w:highlight w:val="none"/>
        </w:rPr>
      </w:pPr>
    </w:p>
    <w:p>
      <w:pPr>
        <w:spacing w:line="576" w:lineRule="exact"/>
        <w:jc w:val="center"/>
        <w:rPr>
          <w:rFonts w:ascii="黑体" w:eastAsia="黑体" w:cs="黑体"/>
          <w:color w:val="000000"/>
          <w:kern w:val="0"/>
          <w:sz w:val="70"/>
          <w:szCs w:val="70"/>
          <w:highlight w:val="none"/>
        </w:rPr>
      </w:pPr>
      <w:r>
        <w:rPr>
          <w:rFonts w:ascii="黑体" w:eastAsia="黑体" w:cs="黑体"/>
          <w:color w:val="000000"/>
          <w:kern w:val="0"/>
          <w:sz w:val="70"/>
          <w:szCs w:val="70"/>
          <w:highlight w:val="none"/>
        </w:rPr>
        <w:br w:type="page"/>
      </w:r>
    </w:p>
    <w:p>
      <w:pPr>
        <w:spacing w:line="576" w:lineRule="exact"/>
        <w:jc w:val="center"/>
        <w:rPr>
          <w:rFonts w:ascii="黑体" w:eastAsia="黑体" w:cs="黑体"/>
          <w:color w:val="000000"/>
          <w:kern w:val="0"/>
          <w:sz w:val="70"/>
          <w:szCs w:val="70"/>
          <w:highlight w:val="none"/>
        </w:rPr>
      </w:pPr>
    </w:p>
    <w:p>
      <w:pPr>
        <w:spacing w:line="576" w:lineRule="exact"/>
        <w:jc w:val="center"/>
        <w:rPr>
          <w:rFonts w:ascii="宋体" w:hAnsi="宋体" w:eastAsia="宋体" w:cs="方正小标宋简体"/>
          <w:b/>
          <w:bCs/>
          <w:sz w:val="44"/>
          <w:szCs w:val="44"/>
          <w:highlight w:val="none"/>
        </w:rPr>
      </w:pPr>
      <w:r>
        <w:rPr>
          <w:rFonts w:hint="eastAsia" w:ascii="宋体" w:hAnsi="宋体" w:eastAsia="宋体" w:cs="方正小标宋简体"/>
          <w:b/>
          <w:bCs/>
          <w:sz w:val="44"/>
          <w:szCs w:val="44"/>
          <w:highlight w:val="none"/>
        </w:rPr>
        <w:t>湘潭县发展和改革局2022年度部门整体支出</w:t>
      </w:r>
    </w:p>
    <w:p>
      <w:pPr>
        <w:spacing w:line="576" w:lineRule="exact"/>
        <w:jc w:val="center"/>
        <w:rPr>
          <w:rFonts w:ascii="宋体" w:hAnsi="宋体" w:eastAsia="宋体" w:cs="方正小标宋简体"/>
          <w:b/>
          <w:szCs w:val="32"/>
          <w:highlight w:val="none"/>
        </w:rPr>
      </w:pPr>
      <w:r>
        <w:rPr>
          <w:rFonts w:hint="eastAsia" w:ascii="宋体" w:hAnsi="宋体" w:eastAsia="宋体" w:cs="方正小标宋简体"/>
          <w:b/>
          <w:bCs/>
          <w:sz w:val="44"/>
          <w:szCs w:val="44"/>
          <w:highlight w:val="none"/>
        </w:rPr>
        <w:t>绩效评价报告</w:t>
      </w:r>
    </w:p>
    <w:tbl>
      <w:tblPr>
        <w:tblStyle w:val="9"/>
        <w:tblpPr w:leftFromText="180" w:rightFromText="180" w:vertAnchor="text" w:horzAnchor="margin" w:tblpXSpec="center" w:tblpY="844"/>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5"/>
        <w:gridCol w:w="6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单位名称</w:t>
            </w:r>
          </w:p>
        </w:tc>
        <w:tc>
          <w:tcPr>
            <w:tcW w:w="6507"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湘潭县发展和改革局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年度预算金额</w:t>
            </w:r>
          </w:p>
        </w:tc>
        <w:tc>
          <w:tcPr>
            <w:tcW w:w="6507" w:type="dxa"/>
            <w:vAlign w:val="center"/>
          </w:tcPr>
          <w:p>
            <w:pPr>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2022年年初收入预算2214.12万元（一般财政公共预算拨款收入2214.121万元）；其中：基本支出预算514.12万元（人员经费430.39万元，公用经费83.73万元）；项目支出预算1700.00万元。</w:t>
            </w:r>
          </w:p>
          <w:p>
            <w:pPr>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预算调整金额为1204.08万元：本级预算调整金额为107.28万元，其中：基本支出调增18.87万元（职业年金个人账户资金记实、补记资金）；项目支出调增88.41万元；本年预算内收到中央、省级转移支付专项资金指标1,096.80万元。</w:t>
            </w:r>
          </w:p>
          <w:p>
            <w:pPr>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2022年度预算内指标合计3418.20万元（含本级及上级资金指标）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单位基本职能</w:t>
            </w:r>
          </w:p>
        </w:tc>
        <w:tc>
          <w:tcPr>
            <w:tcW w:w="6507" w:type="dxa"/>
            <w:vAlign w:val="center"/>
          </w:tcPr>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一、部门概况</w:t>
            </w:r>
          </w:p>
          <w:p>
            <w:pPr>
              <w:spacing w:line="400" w:lineRule="exact"/>
              <w:ind w:firstLine="480" w:firstLineChars="200"/>
              <w:rPr>
                <w:rFonts w:ascii="仿宋" w:hAnsi="仿宋" w:eastAsia="仿宋" w:cs="仿宋"/>
                <w:sz w:val="24"/>
                <w:szCs w:val="24"/>
                <w:highlight w:val="none"/>
              </w:rPr>
            </w:pPr>
            <w:bookmarkStart w:id="3" w:name="_Toc441073740"/>
            <w:bookmarkStart w:id="4" w:name="_Toc471375420"/>
            <w:bookmarkStart w:id="5" w:name="_Toc407188978"/>
            <w:bookmarkStart w:id="6" w:name="_Toc407188922"/>
            <w:bookmarkStart w:id="7" w:name="_Toc407621608"/>
            <w:r>
              <w:rPr>
                <w:rFonts w:hint="eastAsia" w:ascii="仿宋" w:hAnsi="仿宋" w:eastAsia="仿宋" w:cs="仿宋"/>
                <w:sz w:val="24"/>
                <w:szCs w:val="24"/>
                <w:highlight w:val="none"/>
              </w:rPr>
              <w:t>（一）机构设置及在职人员情况</w:t>
            </w:r>
          </w:p>
          <w:bookmarkEnd w:id="3"/>
          <w:bookmarkEnd w:id="4"/>
          <w:p>
            <w:pPr>
              <w:spacing w:line="400" w:lineRule="exact"/>
              <w:ind w:firstLine="480" w:firstLineChars="200"/>
              <w:rPr>
                <w:rFonts w:ascii="仿宋" w:hAnsi="仿宋" w:eastAsia="仿宋" w:cs="仿宋"/>
                <w:sz w:val="24"/>
                <w:szCs w:val="24"/>
                <w:highlight w:val="none"/>
              </w:rPr>
            </w:pPr>
            <w:bookmarkStart w:id="8" w:name="_Toc441073741"/>
            <w:bookmarkStart w:id="9" w:name="_Toc471375421"/>
            <w:r>
              <w:rPr>
                <w:rFonts w:hint="eastAsia" w:ascii="仿宋" w:hAnsi="仿宋" w:eastAsia="仿宋" w:cs="仿宋"/>
                <w:sz w:val="24"/>
                <w:szCs w:val="24"/>
                <w:highlight w:val="none"/>
              </w:rPr>
              <w:t>湘潭县发展和改革局设内设机构单位内设机构14个，分别为：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湘潭县重点建设项目事务中心、湘潭县政府投资项目评审中心、湘潭县重点项目开发前期服务中心、湘潭县价格监测服务中心、长株潭一体化发展事务中心。</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2022年部门预算编报范围本部门核定编制人数44名，其中，行政编制16人，事业编制25人，后勤编制3人；实有在职人员41人，其中，行政人员14人，非参公事业人员26人，机关后勤人员1人；退休人员73人，遗属人员7人。</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（二）部门主要工作职能</w:t>
            </w:r>
            <w:bookmarkEnd w:id="8"/>
            <w:bookmarkEnd w:id="9"/>
          </w:p>
          <w:bookmarkEnd w:id="5"/>
          <w:bookmarkEnd w:id="6"/>
          <w:bookmarkEnd w:id="7"/>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2、统筹协调经济社会发展。研究分析国内外、县内外经济形势和社会发展情况，监测预测预警全县宏观经济和社会发展态势，提出宏观调控措施和建议，协调解决宏观经济运行中的重大问题。</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3、参与拟订财政政策、金融政策、土地政策等，汇总、分析政策的执行情况。负责企业债券发行的审查和申报，监督发行企业债券募集资金的使用。</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4、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5、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6、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7、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8、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9、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10、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11、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12、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13、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14、组织编制全县国民经济建设和国防建设协调发展的规划、计划，组织实施国民经济动员和装备动员有关工作。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15、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16、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17、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18、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19、统筹推进信用体系建设工作。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20、完成县委、县政府交办的其他任务。</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（三）2022年度发展规划</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深入贯彻县委总体部署，紧扣“三提一领”工作目标任务,坚持稳字当头、稳中求进总要求,坚定信心、迎难而上、扎实工作，聚力抓好经济运行调控、项目稳投资、争资争项等重要工作，推动县域经济高质量发展。</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（四）2022年度工作计划</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聚力抓好经济运行调控。积极应对需求收缩、供给冲击和预期转弱三重压力，加强对主要经济指标的动态监测研判，建立经济运行分析常态化联络对接机制，强化沟通协作配合，“一盘棋”推进经济运行分析调度工作，形成横向互动、合力攻坚的良好氛围，确保各项指标调度工作抓细抓实抓到位，及时为县委</w:t>
            </w:r>
            <w:r>
              <w:rPr>
                <w:rFonts w:hint="eastAsia" w:ascii="仿宋" w:hAnsi="仿宋" w:eastAsia="仿宋" w:cs="仿宋"/>
                <w:sz w:val="24"/>
                <w:szCs w:val="24"/>
                <w:highlight w:val="none"/>
                <w:lang w:eastAsia="zh-CN"/>
              </w:rPr>
              <w:t>县</w:t>
            </w:r>
            <w:r>
              <w:rPr>
                <w:rFonts w:hint="eastAsia" w:ascii="仿宋" w:hAnsi="仿宋" w:eastAsia="仿宋" w:cs="仿宋"/>
                <w:sz w:val="24"/>
                <w:szCs w:val="24"/>
                <w:highlight w:val="none"/>
              </w:rPr>
              <w:t>政府决策提供参考。</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聚力抓项目稳投资。一是推进重点项目建设，始终把重大项目建设作为扩大有效投资的重要抓手，计划2022年铺排重点项目113个以上，年度计划投资138亿元；二是深化项目前期储备，策划包装一批增功能、强基础、利长远的项目；三是规范投资项目管理。抓好国省预算内项目和专项债项目实施，规范项目资金使用和管理，努力提高“四率”（项目开工率、资金拨付率、资金使用率、投资完成率），充分发挥政府性资金引领撬动作用，实现稳投资、促发展。</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聚力抓好争资争项。力争在新能源、制造业、水利、城市老旧管网、城市更新、社区改造、污水处理、医院改造、交通网络、港口码头、园区升级、片区开发、智慧城市、产业数字化、城乡冷链、市政基础设施、教育培训、医卫康养、长江经济带、环境治理、一老一小、保障性住房等方面谋划一批项目，积极争取更多项目、试点纳入国省政策笼子。</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4．聚力抓好改革创新赋能。持续深化要素市场化配置改革，强化创新要素精准供给，更高质量促进要素有序流动。</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5．聚力优化营商环境。持续深化</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放管服</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改革，全力以赴服务项目建设、企业发展，力争做到惠企政策和优质服务走在全省、全市前列。</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6．聚力抓好民生保障。一是深入推进价格公共服务，着力做好价费审批、审核、备案工作和价格成本监测与监审工作，开展农产品价格专项调查；二是真抓实干保粮食安全，全面贯彻落实粮食安全省长责任制，扛牢粮食安全责任，坚守粮食安全底线，深入实施“优质粮油工程”，持续抓好粮食流通重点工作，推进粮食收储体系和粮食产业健康发展，确保按时保质完成国省各项指标任务。</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（五）2022年度绩效目标</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在今年收支预算内，确保完成以下整体目标：</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目标1：全力推进投资增长，积极争取项目资金，确保中央和省市资金顺利到位，固定资产投资稳步增长。</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目标2：充分发挥政府投资的引导作用和放大效应，建立健全科学的政府投资决策、建设和监管制度。</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目标3：加强粮食物资储备和监管，确保地方临储稻谷处置价差及费用的资金拨付与监管工作。</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目标4：加强机关作风建设和内务管理，严格遵守八项规定，控制“三公”消费，厉行节约，遵守单位十项规定，打造一个和谐、文明、服务的机关。</w:t>
            </w:r>
            <w:r>
              <w:rPr>
                <w:rFonts w:hint="eastAsia" w:ascii="仿宋" w:hAnsi="仿宋" w:eastAsia="仿宋" w:cs="仿宋"/>
                <w:sz w:val="24"/>
                <w:szCs w:val="24"/>
                <w:highlight w:val="none"/>
              </w:rPr>
              <w:tab/>
            </w:r>
            <w:r>
              <w:rPr>
                <w:rFonts w:hint="eastAsia" w:ascii="仿宋" w:hAnsi="仿宋" w:eastAsia="仿宋" w:cs="仿宋"/>
                <w:sz w:val="24"/>
                <w:szCs w:val="24"/>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部门整体支出管理和使用基本情况</w:t>
            </w:r>
          </w:p>
        </w:tc>
        <w:tc>
          <w:tcPr>
            <w:tcW w:w="6507" w:type="dxa"/>
            <w:vAlign w:val="center"/>
          </w:tcPr>
          <w:p>
            <w:pPr>
              <w:spacing w:line="400" w:lineRule="exact"/>
              <w:ind w:firstLine="481" w:firstLineChars="200"/>
              <w:rPr>
                <w:rFonts w:ascii="仿宋" w:hAnsi="仿宋" w:eastAsia="仿宋" w:cs="仿宋"/>
                <w:b/>
                <w:sz w:val="24"/>
                <w:szCs w:val="24"/>
                <w:highlight w:val="none"/>
              </w:rPr>
            </w:pPr>
            <w:r>
              <w:rPr>
                <w:rFonts w:hint="eastAsia" w:ascii="仿宋" w:hAnsi="仿宋" w:eastAsia="仿宋" w:cs="仿宋"/>
                <w:b/>
                <w:sz w:val="24"/>
                <w:szCs w:val="24"/>
                <w:highlight w:val="none"/>
              </w:rPr>
              <w:t>一、预算安排情况</w:t>
            </w:r>
          </w:p>
          <w:p>
            <w:pPr>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2022年年初收入预算2214.12万元（一般财政公共预算拨款收入2214.121万元），其中：基本支出预算514.12万元（人员经费430.39万元，公用经费83.73万元）；项目支出预算1700.00万元。</w:t>
            </w:r>
          </w:p>
          <w:p>
            <w:pPr>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预算调整金额为1204.08万元：本级预算调整金额为107.28万元，其中：基本支出调增18.87万元（职业年金个人账户资金记实、补记资金）；项目支出调增88.41万元；本年预算内收到中央、省级转移支付专项资金指标1,096.80万元。</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2022年度预算内指标合计3418.20万元（含本级及上级资金指标）</w:t>
            </w:r>
          </w:p>
          <w:p>
            <w:pPr>
              <w:spacing w:line="400" w:lineRule="exact"/>
              <w:ind w:firstLine="481" w:firstLineChars="200"/>
              <w:rPr>
                <w:rFonts w:ascii="仿宋" w:hAnsi="仿宋" w:eastAsia="仿宋" w:cs="仿宋"/>
                <w:b/>
                <w:sz w:val="24"/>
                <w:szCs w:val="24"/>
                <w:highlight w:val="none"/>
              </w:rPr>
            </w:pPr>
            <w:r>
              <w:rPr>
                <w:rFonts w:hint="eastAsia" w:ascii="仿宋" w:hAnsi="仿宋" w:eastAsia="仿宋" w:cs="仿宋"/>
                <w:b/>
                <w:sz w:val="24"/>
                <w:szCs w:val="24"/>
                <w:highlight w:val="none"/>
              </w:rPr>
              <w:t>二、预算执行情况</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1.2022年部门收入决算情况</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2022年部门决算总收入4,722.53万元，其中一般公共财政拨款收入4,133.50万元，占总收入的87.53%；其他资金收入589.03万元，占总收入的12.47%。</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2.2022年部门支出决算情况</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2022年决算总支出5049.10万元，其中基本支出812.49万元，占总支出的16.09%；项目支出4,236.61元，占总支出的83.91%;</w:t>
            </w:r>
          </w:p>
          <w:p>
            <w:pPr>
              <w:spacing w:line="400" w:lineRule="exact"/>
              <w:ind w:firstLine="600" w:firstLineChars="250"/>
              <w:rPr>
                <w:rFonts w:ascii="仿宋" w:hAnsi="仿宋" w:eastAsia="仿宋" w:cs="仿宋"/>
                <w:sz w:val="24"/>
                <w:szCs w:val="24"/>
                <w:highlight w:val="none"/>
              </w:rPr>
            </w:pPr>
            <w:r>
              <w:rPr>
                <w:rFonts w:hint="eastAsia" w:ascii="仿宋" w:hAnsi="仿宋" w:eastAsia="仿宋" w:cs="仿宋"/>
                <w:sz w:val="24"/>
                <w:szCs w:val="24"/>
                <w:highlight w:val="none"/>
              </w:rPr>
              <w:t>年初结转结余797.20万元，本年收入4,722.53万元，本年支出5,049.10万元，年末结转结余470.63万元，分项目核算结余结转，均为非财政拨款资金结转。</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3.“三公经费”情况：“三公经费”年初预算14.30万元，实际支出5.13万元，“三公经费”控制率为35.87%。</w:t>
            </w:r>
          </w:p>
          <w:p>
            <w:pPr>
              <w:spacing w:line="400" w:lineRule="exact"/>
              <w:ind w:firstLine="480"/>
              <w:rPr>
                <w:rFonts w:ascii="仿宋" w:hAnsi="仿宋" w:eastAsia="仿宋" w:cs="仿宋"/>
                <w:b/>
                <w:sz w:val="24"/>
                <w:szCs w:val="24"/>
                <w:highlight w:val="none"/>
              </w:rPr>
            </w:pPr>
            <w:r>
              <w:rPr>
                <w:rFonts w:hint="eastAsia" w:ascii="仿宋" w:hAnsi="仿宋" w:eastAsia="仿宋" w:cs="仿宋"/>
                <w:b/>
                <w:sz w:val="24"/>
                <w:szCs w:val="24"/>
                <w:highlight w:val="none"/>
              </w:rPr>
              <w:t>三、部门预算支出绩效指标情况分析</w:t>
            </w:r>
          </w:p>
          <w:p>
            <w:pPr>
              <w:spacing w:line="400" w:lineRule="exact"/>
              <w:ind w:firstLine="480"/>
              <w:rPr>
                <w:rFonts w:ascii="仿宋" w:hAnsi="仿宋" w:eastAsia="仿宋" w:cs="仿宋"/>
                <w:b/>
                <w:sz w:val="24"/>
                <w:szCs w:val="24"/>
                <w:highlight w:val="none"/>
              </w:rPr>
            </w:pPr>
            <w:r>
              <w:rPr>
                <w:rFonts w:hint="eastAsia" w:ascii="仿宋" w:hAnsi="仿宋" w:eastAsia="仿宋" w:cs="仿宋"/>
                <w:b/>
                <w:sz w:val="24"/>
                <w:szCs w:val="24"/>
                <w:highlight w:val="none"/>
              </w:rPr>
              <w:t>1.预算执行方面</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（1）预算控制率：我局2022年支出全部在年度预算资金内按计划安排，除了因政策性因素影响产生的人员经费增加，以及中央、省级项目资金的追加外，无其他预算资金的调整。</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预算执行控制率：2022年度预算资金支出总计5,049.10万元，其中：基本支出812.49万元（人员经费支出658.54万元，公用经费支出153.96万元）；基本支出年初预算数为514.12万元，年中政策性追加调资养老保险补缴、政策性调资合计18.87万元，基本支出指标合计532.99万元，基本支出预算控制率152.44%;项目支出决算数4,236.60万元，项目支出年初预算数为1,700.00万元，年中追加本级预算资金88.41万元，中央、省级项目资金下达1,096.80万元，使用年初结转指标2,018.55万元，项目支出预算指标合计4,903.76万元，项目支出预算控制率86.39%。</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（3）“三公经费”控制率：“三公经费”年初预算14.30万元，实际支出5.13万元，“三公经费”控制率为35.87%。</w:t>
            </w:r>
          </w:p>
          <w:p>
            <w:pPr>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（4）年初结转结余797.20万元，本年收入4,722.53万元，本年支出5,049.10万元，年末结转结余470.63万元，分项目核算结余结转。</w:t>
            </w:r>
          </w:p>
          <w:p>
            <w:pPr>
              <w:spacing w:line="400" w:lineRule="exact"/>
              <w:ind w:firstLine="602" w:firstLineChars="250"/>
              <w:rPr>
                <w:rFonts w:ascii="仿宋" w:hAnsi="仿宋" w:eastAsia="仿宋" w:cs="仿宋"/>
                <w:b/>
                <w:sz w:val="24"/>
                <w:szCs w:val="24"/>
                <w:highlight w:val="none"/>
              </w:rPr>
            </w:pPr>
            <w:r>
              <w:rPr>
                <w:rFonts w:hint="eastAsia" w:ascii="仿宋" w:hAnsi="仿宋" w:eastAsia="仿宋" w:cs="仿宋"/>
                <w:b/>
                <w:sz w:val="24"/>
                <w:szCs w:val="24"/>
                <w:highlight w:val="none"/>
              </w:rPr>
              <w:t>2.预算管理方面</w:t>
            </w:r>
          </w:p>
          <w:p>
            <w:pPr>
              <w:spacing w:line="400" w:lineRule="exact"/>
              <w:ind w:firstLine="480"/>
              <w:rPr>
                <w:rFonts w:ascii="仿宋" w:hAnsi="仿宋" w:eastAsia="仿宋" w:cs="仿宋"/>
                <w:sz w:val="24"/>
                <w:szCs w:val="24"/>
                <w:highlight w:val="none"/>
              </w:rPr>
            </w:pPr>
            <w:r>
              <w:rPr>
                <w:rFonts w:hint="eastAsia" w:ascii="仿宋" w:hAnsi="仿宋" w:eastAsia="仿宋" w:cs="仿宋"/>
                <w:sz w:val="24"/>
                <w:szCs w:val="24"/>
                <w:highlight w:val="none"/>
              </w:rPr>
              <w:t>（1）管理制度健全性:我局制定了《财务管理制度》和《内部控制手册》，明确了经费审批权限及程序，经费预算管理、财务收支管理、资产购置与处置、财务监督，开展公用经费使用监督和绩效评估，进一步落实厉行节约的各项规定，确保“三公经费”使用合理合规。</w:t>
            </w:r>
          </w:p>
          <w:p>
            <w:pPr>
              <w:spacing w:line="400" w:lineRule="exact"/>
              <w:ind w:firstLine="480"/>
              <w:rPr>
                <w:rFonts w:ascii="仿宋" w:hAnsi="仿宋" w:eastAsia="仿宋" w:cs="仿宋"/>
                <w:sz w:val="24"/>
                <w:szCs w:val="24"/>
                <w:highlight w:val="none"/>
              </w:rPr>
            </w:pPr>
            <w:r>
              <w:rPr>
                <w:rFonts w:hint="eastAsia" w:ascii="仿宋" w:hAnsi="仿宋" w:eastAsia="仿宋" w:cs="仿宋"/>
                <w:sz w:val="24"/>
                <w:szCs w:val="24"/>
                <w:highlight w:val="none"/>
              </w:rPr>
              <w:t>（2）专账核算：我局项目支出全部分项目单独核算。</w:t>
            </w:r>
          </w:p>
          <w:p>
            <w:pPr>
              <w:spacing w:line="400" w:lineRule="exact"/>
              <w:ind w:firstLine="480"/>
              <w:rPr>
                <w:rFonts w:ascii="仿宋" w:hAnsi="仿宋" w:eastAsia="仿宋" w:cs="仿宋"/>
                <w:sz w:val="24"/>
                <w:szCs w:val="24"/>
                <w:highlight w:val="none"/>
              </w:rPr>
            </w:pPr>
            <w:r>
              <w:rPr>
                <w:rFonts w:hint="eastAsia" w:ascii="仿宋" w:hAnsi="仿宋" w:eastAsia="仿宋" w:cs="仿宋"/>
                <w:sz w:val="24"/>
                <w:szCs w:val="24"/>
                <w:highlight w:val="none"/>
              </w:rPr>
              <w:t>（3）预决算公开：我局按照规定时限和规定内容在单位门户网站以及湘潭县人民政府网站公开部门预算、决算以及绩效自评信息，各项应向社会公开的信息及时、完整、真实。</w:t>
            </w:r>
          </w:p>
          <w:p>
            <w:pPr>
              <w:spacing w:line="400" w:lineRule="exact"/>
              <w:ind w:firstLine="480"/>
              <w:rPr>
                <w:rFonts w:ascii="仿宋" w:hAnsi="仿宋" w:eastAsia="仿宋" w:cs="仿宋"/>
                <w:sz w:val="24"/>
                <w:szCs w:val="24"/>
                <w:highlight w:val="none"/>
              </w:rPr>
            </w:pPr>
            <w:r>
              <w:rPr>
                <w:rFonts w:hint="eastAsia" w:ascii="仿宋" w:hAnsi="仿宋" w:eastAsia="仿宋" w:cs="仿宋"/>
                <w:sz w:val="24"/>
                <w:szCs w:val="24"/>
                <w:highlight w:val="none"/>
              </w:rPr>
              <w:t>（4）政府采购：按照《</w:t>
            </w:r>
            <w:r>
              <w:rPr>
                <w:rFonts w:hint="eastAsia" w:ascii="仿宋" w:hAnsi="仿宋" w:eastAsia="仿宋" w:cs="仿宋"/>
                <w:sz w:val="24"/>
                <w:szCs w:val="24"/>
                <w:highlight w:val="none"/>
                <w:lang w:eastAsia="zh-CN"/>
              </w:rPr>
              <w:t>中华人民共和国</w:t>
            </w:r>
            <w:r>
              <w:rPr>
                <w:rFonts w:hint="eastAsia" w:ascii="仿宋" w:hAnsi="仿宋" w:eastAsia="仿宋" w:cs="仿宋"/>
                <w:sz w:val="24"/>
                <w:szCs w:val="24"/>
                <w:highlight w:val="none"/>
              </w:rPr>
              <w:t>政府采购法》、《政府采购内部控制制度》的要求，对达到政府采购限额的货物和服务都进行了政府采购，采购执行率100%。</w:t>
            </w:r>
          </w:p>
          <w:p>
            <w:pPr>
              <w:spacing w:line="400" w:lineRule="exact"/>
              <w:ind w:firstLine="480"/>
              <w:rPr>
                <w:rFonts w:ascii="仿宋" w:hAnsi="仿宋" w:eastAsia="仿宋" w:cs="仿宋"/>
                <w:sz w:val="24"/>
                <w:szCs w:val="24"/>
                <w:highlight w:val="none"/>
              </w:rPr>
            </w:pPr>
            <w:r>
              <w:rPr>
                <w:rFonts w:hint="eastAsia" w:ascii="仿宋" w:hAnsi="仿宋" w:eastAsia="仿宋" w:cs="仿宋"/>
                <w:sz w:val="24"/>
                <w:szCs w:val="24"/>
                <w:highlight w:val="none"/>
              </w:rPr>
              <w:t>（5）资产管理：我局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部门整体</w:t>
            </w:r>
          </w:p>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支出绩效</w:t>
            </w:r>
          </w:p>
        </w:tc>
        <w:tc>
          <w:tcPr>
            <w:tcW w:w="6507" w:type="dxa"/>
            <w:vAlign w:val="center"/>
          </w:tcPr>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2022年坚决落实“疫情要防住、经济要稳住、发展要安全”的重要指示和国</w:t>
            </w:r>
            <w:r>
              <w:rPr>
                <w:rFonts w:hint="eastAsia" w:ascii="仿宋" w:hAnsi="仿宋" w:eastAsia="仿宋" w:cs="仿宋"/>
                <w:sz w:val="24"/>
                <w:szCs w:val="24"/>
                <w:highlight w:val="none"/>
                <w:lang w:eastAsia="zh-CN"/>
              </w:rPr>
              <w:t>家</w:t>
            </w:r>
            <w:bookmarkStart w:id="10" w:name="_GoBack"/>
            <w:bookmarkEnd w:id="10"/>
            <w:r>
              <w:rPr>
                <w:rFonts w:hint="eastAsia" w:ascii="仿宋" w:hAnsi="仿宋" w:eastAsia="仿宋" w:cs="仿宋"/>
                <w:sz w:val="24"/>
                <w:szCs w:val="24"/>
                <w:highlight w:val="none"/>
              </w:rPr>
              <w:t>、省、市、县经济工作会议精神，紧扣市委市政府加快建设“四区一地一圈一强”决策部署和县委、县政府“三提一领”发展目标，踔厉奋发，扎实推动县域经济高质量发展，较好地完成了各项目标任务：</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1）全年完成地区生产总值595亿元，增长5.5%;固定资产投资304亿元，增长6.8%;全年新增规模服务业企业11家，规模以上服务业企业总量将达52家，规模以上服务业企业营收达20亿元，同比增速14%;城镇居民人均可支配收入44178元，增长4.5%。</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（2）全年开工建设重点项目105个，完成投资148亿元，其中省重点项目投资完成率达150%，市重点项目投资完成率达120%。</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（3）成功争取到位国省预算内资金9801万元，专项债券资金7.06亿元，一般债券资金0.69亿元。共储备2023年中央预算内投资项目44个、总投资41.3亿元，拟争取中央预算内资金9.9亿元。</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4）牵头组织包容普惠创新、获得电力等指标评价工作，顺利通过省市营商环境评价实地调查。积极推进信用体系建设。依托社会信用信息收集平台，做好信用数据归集及信息查询；积极推广“信易贷”平台，全县目前入驻平台企业1127家，通过平台获得银行贷款企业25家，放款金额1.88亿元，为部分中小微企业解决了融资难、融资贵的问题。全面落实减税降费政策,严格清理取消供水供电供气行业不合理收费，最大限度让企业和居民享受了国家政策“红利”。全力落实“在线”审批政务服务平台推广运用，推行“不见面审批”，全年企业备案类项目241件，审批核准类项目31件，实现“平台之外无审批”，做到让信息多跑路,服务对象少跑(不跑)路；整理2010年至2021年认证文书档案1547册。</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5）全面落实“双碳”行动，开展多种形式的全国节能宣传周暨全国低碳日活动，共计发放宣传“双碳”、“节能降碳”资料5万余份，进企业宣传15次，全年开展“两高”企业摸底排查工作12次，下达整改意见1次；继续推进花石尾矿库项目建设，推进杨河循环经济产业园申报工作。全力推进风电、光伏等绿色能源发展。全县已纳入湖南省“十四五”新能源规划风、光电项目2个，光伏总装机容量70兆瓦，风电总装机容量60兆瓦。有序推进绿心生态保护，成功组织申报省级2022年绿心生态补偿专项资金项目4个，争取资金162万元。</w:t>
            </w:r>
          </w:p>
          <w:p>
            <w:pPr>
              <w:widowControl/>
              <w:spacing w:line="40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6）坚决扛牢粮食安全责任重担，切实做好粮食收购工作，确保仓容、资金、仓储、服务保障到位，全面落实收购工作“五个标准化”要求，落实上门预检、预约收购、绿色通道等便利措施，确保了粮食收购市场平稳有序，未发生“卖粮难”现象和负面舆情，我县早稻粮食收购工作获中央二台《经济信息联播》报道，湘潭县落实粮食安全责任制纳入省政府督查激励单位名单。落实重要商品监测品种116个、采集监测数据228次，上报数据4176个。全年受理价格认证案件144宗，办结案件144宗，涉案金额338.7万元，案件办结率100%。完成县云龙小学等三所义务教育阶段非营利性民办学校生均成本监审，有力推动了教育体制机制改革；调整了湘潭县巡游出租车运价；对我县12个中型灌区开展了成本监审并核定我县农业水价标准。全力推进乡村振兴，扎实开展易地扶贫后续扶持，顺利通过巩固拓展脱贫攻坚成果同乡村振兴有效衔接省级考核。全力做好用气用电保障，牵头制定并印发《湘潭县2022年度有序用电应急预案》，组织县供电公司完成“一户一策”、“一企一策”工作，组织县天然气公司采取保民生、保安全有序用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存在的问题</w:t>
            </w:r>
          </w:p>
        </w:tc>
        <w:tc>
          <w:tcPr>
            <w:tcW w:w="6507" w:type="dxa"/>
            <w:vAlign w:val="center"/>
          </w:tcPr>
          <w:p>
            <w:pPr>
              <w:adjustRightInd w:val="0"/>
              <w:snapToGrid w:val="0"/>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1.基本支出预算控制率有待降低。</w:t>
            </w:r>
          </w:p>
          <w:p>
            <w:pPr>
              <w:adjustRightInd w:val="0"/>
              <w:snapToGrid w:val="0"/>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扣除客观因素影响，2022年度我局基本支出预算控制率为152.44%。主要是部分支出年初无预算安排或预算安排不足。</w:t>
            </w:r>
          </w:p>
          <w:p>
            <w:pPr>
              <w:adjustRightInd w:val="0"/>
              <w:snapToGrid w:val="0"/>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2.资产卡片信息更新不及时。主要原因是部分股室变动，资产管理人员未能及时了解各股室资产变动情况，资产系统信息未能及时更新。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改进措施</w:t>
            </w:r>
          </w:p>
        </w:tc>
        <w:tc>
          <w:tcPr>
            <w:tcW w:w="6507" w:type="dxa"/>
            <w:vAlign w:val="center"/>
          </w:tcPr>
          <w:p>
            <w:pPr>
              <w:adjustRightInd w:val="0"/>
              <w:snapToGrid w:val="0"/>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1.加强预算编制的前瞻性，按照新《</w:t>
            </w:r>
            <w:r>
              <w:rPr>
                <w:rFonts w:hint="eastAsia" w:ascii="仿宋" w:hAnsi="仿宋" w:eastAsia="仿宋" w:cs="仿宋"/>
                <w:sz w:val="24"/>
                <w:szCs w:val="24"/>
                <w:highlight w:val="none"/>
                <w:lang w:eastAsia="zh-CN"/>
              </w:rPr>
              <w:t>中华人民共和国</w:t>
            </w:r>
            <w:r>
              <w:rPr>
                <w:rFonts w:hint="eastAsia" w:ascii="仿宋" w:hAnsi="仿宋" w:eastAsia="仿宋" w:cs="仿宋"/>
                <w:sz w:val="24"/>
                <w:szCs w:val="24"/>
                <w:highlight w:val="none"/>
              </w:rPr>
              <w:t>预算法》及其实施条例的相关规定，做好、做细预算基础工作，提高预算的准确性，进一步加强业务股室的预算管理意识，在资金安排和年初预算审核时，结合实际，分类研究，科学测算，合理安排，统一支出标准，进一步提高预算编制的科学性、严谨性和可控性。</w:t>
            </w:r>
          </w:p>
          <w:p>
            <w:pPr>
              <w:adjustRightInd w:val="0"/>
              <w:snapToGrid w:val="0"/>
              <w:spacing w:line="40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2．一是加强与财政资产管理部门的沟通，确保新增资产卡片录入信息符合财政要求；二是增强对资产变动的管理登记，确保资产系统中资产信息的时效性和准确性。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2815"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其他需要说明问题</w:t>
            </w:r>
          </w:p>
        </w:tc>
        <w:tc>
          <w:tcPr>
            <w:tcW w:w="6507" w:type="dxa"/>
            <w:vAlign w:val="center"/>
          </w:tcPr>
          <w:p>
            <w:pPr>
              <w:spacing w:line="40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无</w:t>
            </w:r>
          </w:p>
        </w:tc>
      </w:tr>
    </w:tbl>
    <w:p>
      <w:pPr>
        <w:spacing w:line="576" w:lineRule="exact"/>
        <w:jc w:val="center"/>
        <w:rPr>
          <w:rFonts w:ascii="宋体" w:hAnsi="宋体" w:eastAsia="宋体" w:cs="方正小标宋简体"/>
          <w:b/>
          <w:bCs/>
          <w:sz w:val="44"/>
          <w:szCs w:val="44"/>
          <w:highlight w:val="none"/>
        </w:rPr>
      </w:pPr>
    </w:p>
    <w:p>
      <w:pPr>
        <w:rPr>
          <w:highlight w:val="none"/>
        </w:rPr>
      </w:pPr>
    </w:p>
    <w:p>
      <w:pPr>
        <w:rPr>
          <w:highlight w:val="none"/>
        </w:rPr>
      </w:pPr>
    </w:p>
    <w:p>
      <w:pPr>
        <w:rPr>
          <w:highlight w:val="none"/>
        </w:rPr>
      </w:pPr>
    </w:p>
    <w:p>
      <w:pPr>
        <w:widowControl/>
        <w:jc w:val="left"/>
        <w:rPr>
          <w:rFonts w:ascii="黑体" w:eastAsia="黑体" w:cs="黑体"/>
          <w:color w:val="000000"/>
          <w:kern w:val="0"/>
          <w:sz w:val="70"/>
          <w:szCs w:val="70"/>
          <w:highlight w:val="none"/>
        </w:rPr>
      </w:pPr>
    </w:p>
    <w:sectPr>
      <w:pgSz w:w="11906" w:h="16838"/>
      <w:pgMar w:top="720" w:right="720" w:bottom="720" w:left="72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宋体"/>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jNTcxNGI0Y2E1MGM3NDgwY2Y1MGZkMGZjODVhMDAifQ=="/>
  </w:docVars>
  <w:rsids>
    <w:rsidRoot w:val="004506F9"/>
    <w:rsid w:val="00014CF9"/>
    <w:rsid w:val="000220DE"/>
    <w:rsid w:val="0002229B"/>
    <w:rsid w:val="000273BD"/>
    <w:rsid w:val="000415B7"/>
    <w:rsid w:val="00041E3F"/>
    <w:rsid w:val="0004788B"/>
    <w:rsid w:val="00055DAA"/>
    <w:rsid w:val="00061F7B"/>
    <w:rsid w:val="00062197"/>
    <w:rsid w:val="00062382"/>
    <w:rsid w:val="00064139"/>
    <w:rsid w:val="000658A3"/>
    <w:rsid w:val="00071795"/>
    <w:rsid w:val="00074155"/>
    <w:rsid w:val="00077507"/>
    <w:rsid w:val="00081DF7"/>
    <w:rsid w:val="00092A5A"/>
    <w:rsid w:val="00094EA9"/>
    <w:rsid w:val="000A3F69"/>
    <w:rsid w:val="000A4EFC"/>
    <w:rsid w:val="000E39D1"/>
    <w:rsid w:val="000F6009"/>
    <w:rsid w:val="00103957"/>
    <w:rsid w:val="00131E51"/>
    <w:rsid w:val="00136AD4"/>
    <w:rsid w:val="001527BC"/>
    <w:rsid w:val="00152C6D"/>
    <w:rsid w:val="00155FBC"/>
    <w:rsid w:val="00162D39"/>
    <w:rsid w:val="00166E32"/>
    <w:rsid w:val="001678BD"/>
    <w:rsid w:val="001737CD"/>
    <w:rsid w:val="00175488"/>
    <w:rsid w:val="00177CF0"/>
    <w:rsid w:val="001A67DB"/>
    <w:rsid w:val="001A7DE1"/>
    <w:rsid w:val="001C3C29"/>
    <w:rsid w:val="001C7957"/>
    <w:rsid w:val="001D51E5"/>
    <w:rsid w:val="001E080D"/>
    <w:rsid w:val="001E53D0"/>
    <w:rsid w:val="001F0C3B"/>
    <w:rsid w:val="00202C82"/>
    <w:rsid w:val="00214427"/>
    <w:rsid w:val="00226CB7"/>
    <w:rsid w:val="00234269"/>
    <w:rsid w:val="00245BCF"/>
    <w:rsid w:val="00264466"/>
    <w:rsid w:val="00264552"/>
    <w:rsid w:val="00264EF9"/>
    <w:rsid w:val="00265724"/>
    <w:rsid w:val="0027426B"/>
    <w:rsid w:val="002758E1"/>
    <w:rsid w:val="00285439"/>
    <w:rsid w:val="002B4BE3"/>
    <w:rsid w:val="002D2D3D"/>
    <w:rsid w:val="002D7D6F"/>
    <w:rsid w:val="002E0A30"/>
    <w:rsid w:val="00310C9A"/>
    <w:rsid w:val="003130C4"/>
    <w:rsid w:val="00316C4B"/>
    <w:rsid w:val="0032192B"/>
    <w:rsid w:val="00321D79"/>
    <w:rsid w:val="003226B4"/>
    <w:rsid w:val="00334E4F"/>
    <w:rsid w:val="003479BD"/>
    <w:rsid w:val="00350B87"/>
    <w:rsid w:val="00357C3F"/>
    <w:rsid w:val="0037197D"/>
    <w:rsid w:val="003768D5"/>
    <w:rsid w:val="00381597"/>
    <w:rsid w:val="0039002A"/>
    <w:rsid w:val="00396C61"/>
    <w:rsid w:val="003A59BC"/>
    <w:rsid w:val="003A6BF3"/>
    <w:rsid w:val="003C2D5D"/>
    <w:rsid w:val="003C47E6"/>
    <w:rsid w:val="003C4FC2"/>
    <w:rsid w:val="003D0417"/>
    <w:rsid w:val="003D1370"/>
    <w:rsid w:val="003D7920"/>
    <w:rsid w:val="003E0A7A"/>
    <w:rsid w:val="003E3C21"/>
    <w:rsid w:val="004144F9"/>
    <w:rsid w:val="00416E61"/>
    <w:rsid w:val="0042790C"/>
    <w:rsid w:val="004506F9"/>
    <w:rsid w:val="004717A2"/>
    <w:rsid w:val="00473DF3"/>
    <w:rsid w:val="00487911"/>
    <w:rsid w:val="00491741"/>
    <w:rsid w:val="004A5DAC"/>
    <w:rsid w:val="004F7477"/>
    <w:rsid w:val="00500E5F"/>
    <w:rsid w:val="005122EF"/>
    <w:rsid w:val="0051441A"/>
    <w:rsid w:val="00517C33"/>
    <w:rsid w:val="00523644"/>
    <w:rsid w:val="005373DE"/>
    <w:rsid w:val="0054069E"/>
    <w:rsid w:val="00544866"/>
    <w:rsid w:val="0057034F"/>
    <w:rsid w:val="0057546E"/>
    <w:rsid w:val="005767CC"/>
    <w:rsid w:val="00581E37"/>
    <w:rsid w:val="0058685A"/>
    <w:rsid w:val="00590D9F"/>
    <w:rsid w:val="00595D26"/>
    <w:rsid w:val="005A74E6"/>
    <w:rsid w:val="005B404E"/>
    <w:rsid w:val="005B6411"/>
    <w:rsid w:val="005C3372"/>
    <w:rsid w:val="005D46E2"/>
    <w:rsid w:val="005D4D55"/>
    <w:rsid w:val="005D5B59"/>
    <w:rsid w:val="005D6072"/>
    <w:rsid w:val="005E2CFB"/>
    <w:rsid w:val="005F3D1C"/>
    <w:rsid w:val="005F519C"/>
    <w:rsid w:val="006012A4"/>
    <w:rsid w:val="0062378F"/>
    <w:rsid w:val="00633634"/>
    <w:rsid w:val="00641842"/>
    <w:rsid w:val="00645B99"/>
    <w:rsid w:val="006519EB"/>
    <w:rsid w:val="00651EEC"/>
    <w:rsid w:val="006553BD"/>
    <w:rsid w:val="0067234E"/>
    <w:rsid w:val="00691E8C"/>
    <w:rsid w:val="006A22C4"/>
    <w:rsid w:val="006A351B"/>
    <w:rsid w:val="006B0422"/>
    <w:rsid w:val="006C1B53"/>
    <w:rsid w:val="006C530D"/>
    <w:rsid w:val="006D1F4A"/>
    <w:rsid w:val="006D7730"/>
    <w:rsid w:val="006E5284"/>
    <w:rsid w:val="006F3EB5"/>
    <w:rsid w:val="00702E34"/>
    <w:rsid w:val="00704395"/>
    <w:rsid w:val="00705B24"/>
    <w:rsid w:val="00717621"/>
    <w:rsid w:val="00720FF1"/>
    <w:rsid w:val="0072377C"/>
    <w:rsid w:val="007263BE"/>
    <w:rsid w:val="00727A53"/>
    <w:rsid w:val="007377D2"/>
    <w:rsid w:val="00737C78"/>
    <w:rsid w:val="00745560"/>
    <w:rsid w:val="007534C7"/>
    <w:rsid w:val="00753E98"/>
    <w:rsid w:val="00766A49"/>
    <w:rsid w:val="007705DD"/>
    <w:rsid w:val="00773C71"/>
    <w:rsid w:val="00780762"/>
    <w:rsid w:val="00787B42"/>
    <w:rsid w:val="007966B7"/>
    <w:rsid w:val="007B0A00"/>
    <w:rsid w:val="007B0DC4"/>
    <w:rsid w:val="007B3302"/>
    <w:rsid w:val="007C4539"/>
    <w:rsid w:val="007F0A71"/>
    <w:rsid w:val="007F3657"/>
    <w:rsid w:val="007F6198"/>
    <w:rsid w:val="00812ED5"/>
    <w:rsid w:val="00814FF6"/>
    <w:rsid w:val="00827006"/>
    <w:rsid w:val="008277D9"/>
    <w:rsid w:val="008349C5"/>
    <w:rsid w:val="0084478C"/>
    <w:rsid w:val="0085615F"/>
    <w:rsid w:val="0086638C"/>
    <w:rsid w:val="00870872"/>
    <w:rsid w:val="008A3E8D"/>
    <w:rsid w:val="008A7525"/>
    <w:rsid w:val="008B4800"/>
    <w:rsid w:val="008D6F79"/>
    <w:rsid w:val="008F2081"/>
    <w:rsid w:val="009237C4"/>
    <w:rsid w:val="00944C48"/>
    <w:rsid w:val="00950252"/>
    <w:rsid w:val="00967F5D"/>
    <w:rsid w:val="00971075"/>
    <w:rsid w:val="009A0F95"/>
    <w:rsid w:val="009B3ADF"/>
    <w:rsid w:val="009C3B52"/>
    <w:rsid w:val="009C7AEB"/>
    <w:rsid w:val="009D5F8C"/>
    <w:rsid w:val="009E6817"/>
    <w:rsid w:val="009E6A73"/>
    <w:rsid w:val="009E6E9A"/>
    <w:rsid w:val="009E742F"/>
    <w:rsid w:val="00A01D2B"/>
    <w:rsid w:val="00A039D7"/>
    <w:rsid w:val="00A05FE0"/>
    <w:rsid w:val="00A06840"/>
    <w:rsid w:val="00A36796"/>
    <w:rsid w:val="00A37536"/>
    <w:rsid w:val="00A42218"/>
    <w:rsid w:val="00A53A25"/>
    <w:rsid w:val="00A70249"/>
    <w:rsid w:val="00A70B02"/>
    <w:rsid w:val="00A71D9F"/>
    <w:rsid w:val="00A75A19"/>
    <w:rsid w:val="00A80354"/>
    <w:rsid w:val="00A92E9F"/>
    <w:rsid w:val="00AD3DAC"/>
    <w:rsid w:val="00AE360A"/>
    <w:rsid w:val="00AE6173"/>
    <w:rsid w:val="00AE623A"/>
    <w:rsid w:val="00AF036A"/>
    <w:rsid w:val="00B25969"/>
    <w:rsid w:val="00B33BEA"/>
    <w:rsid w:val="00B55035"/>
    <w:rsid w:val="00B57C9F"/>
    <w:rsid w:val="00B63572"/>
    <w:rsid w:val="00B845B3"/>
    <w:rsid w:val="00B84C90"/>
    <w:rsid w:val="00B85D8B"/>
    <w:rsid w:val="00BA1904"/>
    <w:rsid w:val="00BB3ACC"/>
    <w:rsid w:val="00BB4A40"/>
    <w:rsid w:val="00BD6C3E"/>
    <w:rsid w:val="00BE3674"/>
    <w:rsid w:val="00BF3B09"/>
    <w:rsid w:val="00C05FE5"/>
    <w:rsid w:val="00C10681"/>
    <w:rsid w:val="00C3049A"/>
    <w:rsid w:val="00C31B1E"/>
    <w:rsid w:val="00C44C3C"/>
    <w:rsid w:val="00C45FDD"/>
    <w:rsid w:val="00C51304"/>
    <w:rsid w:val="00C52397"/>
    <w:rsid w:val="00C6670C"/>
    <w:rsid w:val="00C77645"/>
    <w:rsid w:val="00CB35E5"/>
    <w:rsid w:val="00CB5FDE"/>
    <w:rsid w:val="00CB6E89"/>
    <w:rsid w:val="00CB6F7D"/>
    <w:rsid w:val="00CC6B3C"/>
    <w:rsid w:val="00CE04C3"/>
    <w:rsid w:val="00CE3241"/>
    <w:rsid w:val="00CE76A0"/>
    <w:rsid w:val="00CF0223"/>
    <w:rsid w:val="00D048D6"/>
    <w:rsid w:val="00D148C6"/>
    <w:rsid w:val="00D17A8A"/>
    <w:rsid w:val="00D26DD3"/>
    <w:rsid w:val="00D30986"/>
    <w:rsid w:val="00D415BA"/>
    <w:rsid w:val="00D644EE"/>
    <w:rsid w:val="00D82DEF"/>
    <w:rsid w:val="00D94D62"/>
    <w:rsid w:val="00DD06FF"/>
    <w:rsid w:val="00DD5FE9"/>
    <w:rsid w:val="00DF7FC1"/>
    <w:rsid w:val="00E00C7A"/>
    <w:rsid w:val="00E03533"/>
    <w:rsid w:val="00E146C2"/>
    <w:rsid w:val="00E254E5"/>
    <w:rsid w:val="00E31FAE"/>
    <w:rsid w:val="00E37D6C"/>
    <w:rsid w:val="00E43A20"/>
    <w:rsid w:val="00E55B68"/>
    <w:rsid w:val="00E67BE6"/>
    <w:rsid w:val="00E828BC"/>
    <w:rsid w:val="00E8683C"/>
    <w:rsid w:val="00E90D83"/>
    <w:rsid w:val="00EA17BB"/>
    <w:rsid w:val="00EA2B72"/>
    <w:rsid w:val="00EB6743"/>
    <w:rsid w:val="00EC1B65"/>
    <w:rsid w:val="00EE4C4F"/>
    <w:rsid w:val="00F00CA2"/>
    <w:rsid w:val="00F05338"/>
    <w:rsid w:val="00F23261"/>
    <w:rsid w:val="00F6753E"/>
    <w:rsid w:val="00F74360"/>
    <w:rsid w:val="00F74C08"/>
    <w:rsid w:val="00F77F25"/>
    <w:rsid w:val="00FB031F"/>
    <w:rsid w:val="00FB462F"/>
    <w:rsid w:val="00FB540A"/>
    <w:rsid w:val="00FB7667"/>
    <w:rsid w:val="00FD1E4C"/>
    <w:rsid w:val="00FE09F9"/>
    <w:rsid w:val="00FE119A"/>
    <w:rsid w:val="00FE16FA"/>
    <w:rsid w:val="00FE328A"/>
    <w:rsid w:val="00FE6030"/>
    <w:rsid w:val="00FE6269"/>
    <w:rsid w:val="00FE79A6"/>
    <w:rsid w:val="013B45A6"/>
    <w:rsid w:val="044B07DB"/>
    <w:rsid w:val="05092FAB"/>
    <w:rsid w:val="05B35A28"/>
    <w:rsid w:val="05CB2C09"/>
    <w:rsid w:val="065C5C18"/>
    <w:rsid w:val="0A940ED7"/>
    <w:rsid w:val="0DDF2325"/>
    <w:rsid w:val="128D5516"/>
    <w:rsid w:val="15F1161D"/>
    <w:rsid w:val="17ED3F1D"/>
    <w:rsid w:val="1BFB1946"/>
    <w:rsid w:val="1D413725"/>
    <w:rsid w:val="1DBBC23B"/>
    <w:rsid w:val="1DF952B2"/>
    <w:rsid w:val="1EC77564"/>
    <w:rsid w:val="204739EC"/>
    <w:rsid w:val="2221247E"/>
    <w:rsid w:val="23275478"/>
    <w:rsid w:val="23516B3F"/>
    <w:rsid w:val="23B64838"/>
    <w:rsid w:val="25621A2B"/>
    <w:rsid w:val="265F1340"/>
    <w:rsid w:val="266D24DE"/>
    <w:rsid w:val="2C4E7372"/>
    <w:rsid w:val="2CFA6F22"/>
    <w:rsid w:val="2D805D60"/>
    <w:rsid w:val="2F465183"/>
    <w:rsid w:val="308F6174"/>
    <w:rsid w:val="335D186B"/>
    <w:rsid w:val="39FA28E7"/>
    <w:rsid w:val="3BAB2308"/>
    <w:rsid w:val="3E440139"/>
    <w:rsid w:val="407D037A"/>
    <w:rsid w:val="40D4449F"/>
    <w:rsid w:val="41952BC8"/>
    <w:rsid w:val="41F402F3"/>
    <w:rsid w:val="47A0329E"/>
    <w:rsid w:val="47A67D7F"/>
    <w:rsid w:val="49ED476D"/>
    <w:rsid w:val="4C7107E7"/>
    <w:rsid w:val="4DC814FE"/>
    <w:rsid w:val="4FF37764"/>
    <w:rsid w:val="53CD5ADF"/>
    <w:rsid w:val="55EC35D4"/>
    <w:rsid w:val="57715B3F"/>
    <w:rsid w:val="5A574B13"/>
    <w:rsid w:val="5C4467BA"/>
    <w:rsid w:val="5DB65022"/>
    <w:rsid w:val="60B8658C"/>
    <w:rsid w:val="617F59DF"/>
    <w:rsid w:val="64F617CF"/>
    <w:rsid w:val="655140DF"/>
    <w:rsid w:val="66D31BFA"/>
    <w:rsid w:val="67B657F0"/>
    <w:rsid w:val="6B1C5EE7"/>
    <w:rsid w:val="6ED63729"/>
    <w:rsid w:val="71307EC7"/>
    <w:rsid w:val="71551BD5"/>
    <w:rsid w:val="72953EE9"/>
    <w:rsid w:val="75354E5A"/>
    <w:rsid w:val="77FF5A40"/>
    <w:rsid w:val="799D4F45"/>
    <w:rsid w:val="7CFB9393"/>
    <w:rsid w:val="7E8F38CA"/>
    <w:rsid w:val="7F02001D"/>
    <w:rsid w:val="7F1D26BD"/>
    <w:rsid w:val="7F3A5D19"/>
    <w:rsid w:val="7FCFAFE5"/>
    <w:rsid w:val="AB579C97"/>
    <w:rsid w:val="AFFED6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6"/>
    <w:autoRedefine/>
    <w:semiHidden/>
    <w:unhideWhenUsed/>
    <w:qFormat/>
    <w:uiPriority w:val="99"/>
    <w:rPr>
      <w:rFonts w:ascii="宋体" w:eastAsia="宋体"/>
      <w:sz w:val="18"/>
      <w:szCs w:val="18"/>
    </w:rPr>
  </w:style>
  <w:style w:type="paragraph" w:styleId="3">
    <w:name w:val="Body Text Indent"/>
    <w:basedOn w:val="1"/>
    <w:autoRedefine/>
    <w:semiHidden/>
    <w:qFormat/>
    <w:uiPriority w:val="99"/>
    <w:pPr>
      <w:spacing w:after="120"/>
      <w:ind w:left="420" w:leftChars="200"/>
    </w:pPr>
  </w:style>
  <w:style w:type="paragraph" w:styleId="4">
    <w:name w:val="Balloon Text"/>
    <w:basedOn w:val="1"/>
    <w:link w:val="15"/>
    <w:autoRedefine/>
    <w:semiHidden/>
    <w:unhideWhenUsed/>
    <w:qFormat/>
    <w:uiPriority w:val="99"/>
    <w:rPr>
      <w:sz w:val="18"/>
      <w:szCs w:val="18"/>
    </w:r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3"/>
    <w:autoRedefine/>
    <w:unhideWhenUsed/>
    <w:qFormat/>
    <w:uiPriority w:val="99"/>
    <w:pPr>
      <w:spacing w:before="100" w:beforeAutospacing="1"/>
      <w:ind w:firstLine="420"/>
    </w:pPr>
    <w:rPr>
      <w:sz w:val="22"/>
    </w:rPr>
  </w:style>
  <w:style w:type="character" w:customStyle="1" w:styleId="11">
    <w:name w:val="页眉 Char"/>
    <w:basedOn w:val="10"/>
    <w:link w:val="6"/>
    <w:autoRedefine/>
    <w:qFormat/>
    <w:uiPriority w:val="99"/>
    <w:rPr>
      <w:sz w:val="18"/>
      <w:szCs w:val="18"/>
    </w:rPr>
  </w:style>
  <w:style w:type="character" w:customStyle="1" w:styleId="12">
    <w:name w:val="页脚 Char"/>
    <w:basedOn w:val="10"/>
    <w:link w:val="5"/>
    <w:autoRedefine/>
    <w:qFormat/>
    <w:uiPriority w:val="99"/>
    <w:rPr>
      <w:sz w:val="18"/>
      <w:szCs w:val="18"/>
    </w:rPr>
  </w:style>
  <w:style w:type="paragraph" w:customStyle="1" w:styleId="13">
    <w:name w:val="Default"/>
    <w:autoRedefine/>
    <w:qFormat/>
    <w:uiPriority w:val="99"/>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autoRedefine/>
    <w:qFormat/>
    <w:uiPriority w:val="34"/>
    <w:pPr>
      <w:ind w:firstLine="420" w:firstLineChars="200"/>
    </w:pPr>
  </w:style>
  <w:style w:type="character" w:customStyle="1" w:styleId="15">
    <w:name w:val="批注框文本 Char"/>
    <w:basedOn w:val="10"/>
    <w:link w:val="4"/>
    <w:autoRedefine/>
    <w:semiHidden/>
    <w:qFormat/>
    <w:uiPriority w:val="99"/>
    <w:rPr>
      <w:sz w:val="18"/>
      <w:szCs w:val="18"/>
    </w:rPr>
  </w:style>
  <w:style w:type="character" w:customStyle="1" w:styleId="16">
    <w:name w:val="文档结构图 Char"/>
    <w:basedOn w:val="10"/>
    <w:link w:val="2"/>
    <w:autoRedefine/>
    <w:semiHidden/>
    <w:qFormat/>
    <w:uiPriority w:val="99"/>
    <w:rPr>
      <w:rFonts w:ascii="宋体" w:hAnsiTheme="minorHAnsi"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086B2D3B-511C-4A0B-A84E-A0FB9C5D2AA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19137</Words>
  <Characters>22915</Characters>
  <Lines>190</Lines>
  <Paragraphs>53</Paragraphs>
  <TotalTime>4</TotalTime>
  <ScaleCrop>false</ScaleCrop>
  <LinksUpToDate>false</LinksUpToDate>
  <CharactersWithSpaces>24180</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2023-08-03T08:00:00Z</dcterms:created>
  <dc:creator>李航 null</dc:creator>
  <cp:lastModifiedBy>WPS_1721360342</cp:lastModifiedBy>
  <cp:lastPrinted>2023-07-20T07:34:00Z</cp:lastPrinted>
  <dcterms:modified xsi:type="dcterms:W3CDTF">2025-03-17T09:26:35Z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184DFDB358804207807EB15A6FE65CE1_13</vt:lpwstr>
  </property>
</Properties>
</file>