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9"/>
        <w:gridCol w:w="1333"/>
        <w:gridCol w:w="1362"/>
        <w:gridCol w:w="100"/>
        <w:gridCol w:w="891"/>
        <w:gridCol w:w="143"/>
        <w:gridCol w:w="1276"/>
        <w:gridCol w:w="434"/>
        <w:gridCol w:w="113"/>
        <w:gridCol w:w="1320"/>
        <w:gridCol w:w="1592"/>
        <w:gridCol w:w="1105"/>
      </w:tblGrid>
      <w:tr w14:paraId="6641F9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493" w:hRule="atLeast"/>
        </w:trPr>
        <w:tc>
          <w:tcPr>
            <w:tcW w:w="9413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02DBA5"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</w:p>
          <w:p w14:paraId="4C7BAB68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eastAsia="zh-CN"/>
              </w:rPr>
              <w:t>2025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 w14:paraId="19AE9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36" w:hRule="atLeast"/>
        </w:trPr>
        <w:tc>
          <w:tcPr>
            <w:tcW w:w="9413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1ADF252"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 w14:paraId="0EEC3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64" w:hRule="atLeast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D51C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6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605C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7231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9CC8B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看守所</w:t>
            </w:r>
          </w:p>
        </w:tc>
      </w:tr>
      <w:tr w14:paraId="7479B6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4554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340A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E3D7A1A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海棠南路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308号</w:t>
            </w:r>
          </w:p>
        </w:tc>
      </w:tr>
      <w:tr w14:paraId="4E016A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8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1250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F13DF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3051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伍卫彬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9989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9409F55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13807327118</w:t>
            </w:r>
          </w:p>
        </w:tc>
      </w:tr>
      <w:tr w14:paraId="491B24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9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D369C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5F22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48D6D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8F44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FDF9FED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27</w:t>
            </w:r>
          </w:p>
        </w:tc>
      </w:tr>
      <w:tr w14:paraId="000223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66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F2DB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7195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260A24F">
            <w:pPr>
              <w:widowControl/>
              <w:spacing w:line="24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看守所是羁押依法被逮捕、刑事拘留的人犯的机关。对被羁押的犯罪嫌疑人、被告人实行警戒看守，管理教育；对依法由看守所执行刑罚的罪犯执行刑罚；保障侦查机关、检察机关、审判机关、辩护人等诉讼参与人依法进行诉讼活动；保障犯罪嫌疑人、被告人的诉讼权利和其他合法权益；将罪犯交付执行刑罚；完成县委、县政府及上级业务主管部门交办的其他工作任务。 </w:t>
            </w:r>
          </w:p>
        </w:tc>
      </w:tr>
      <w:tr w14:paraId="32D368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81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1E85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9B5B4D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 w14:paraId="7EBAF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8A7E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C3BB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1835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20B2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A8F4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8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06E3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BD9940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105" w:type="dxa"/>
            <w:noWrap w:val="0"/>
            <w:vAlign w:val="center"/>
          </w:tcPr>
          <w:p w14:paraId="109F831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C4353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4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F866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5615C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312.80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6B90B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312.80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73AF7"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38E5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CCB7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992502"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289405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9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32EBC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B974F6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 w14:paraId="67160E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3F39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BD2A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DAD5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8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477D26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 w14:paraId="1E2668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C6E9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FBDEA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312.80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2D036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48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7D89635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312.80</w:t>
            </w:r>
          </w:p>
        </w:tc>
      </w:tr>
      <w:tr w14:paraId="548F5A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7AA9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BAB4C6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 w14:paraId="0E3317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843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3291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8F72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45F2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41A1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EDA623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 w14:paraId="16044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7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A08B5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7401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2493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0E29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8AA035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2EA465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CA80A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 w14:paraId="2D90FCA9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 w14:paraId="009019A6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 w14:paraId="0D9A35CA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 w14:paraId="62D16441"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593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 w14:paraId="49D56562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09A7449D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2DF884AE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31B3EEBE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 w14:paraId="42B67B8C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1、保障人员支出和单位正常运转；</w:t>
            </w:r>
          </w:p>
          <w:p w14:paraId="2AF3B945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2、严格按照财务规章制度做好各项支出；</w:t>
            </w:r>
          </w:p>
          <w:p w14:paraId="6E878C8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3、加强财务监督，杜绝不合理开支。</w:t>
            </w:r>
          </w:p>
        </w:tc>
      </w:tr>
      <w:tr w14:paraId="07B4E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F0BC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AB7858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514A6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2B8F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52D5F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DAEAD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9C1B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4FB8C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40E0A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24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A3032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CA89AF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EA9AD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AB64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 w14:paraId="2C96B3B7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 w14:paraId="2B936441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 w14:paraId="51142EF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 w14:paraId="7C9C13EF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 w14:paraId="1A8A5C4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 w14:paraId="23F95A7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 w14:paraId="510A86B4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 w14:paraId="0325A56C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 w14:paraId="4426799B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 w14:paraId="50A7B9AF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 w14:paraId="700D9127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7BA9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7CB7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E9D0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55F6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B767AB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 w14:paraId="325F6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8D97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B221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0B5B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DF73F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对新收押入所在押人员进行入所教育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EAD05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150次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A749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7680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2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76EF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761E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E563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A4A080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协助破案工作（提供线索破获案件）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A3762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20条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C5D8F3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38B16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7CFB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D8A3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7A99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3619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羁押人员的档案管理，做到内容完整，一人一档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79E2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CD9A74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0AF1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B0E8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9ABF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B301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214A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警示教育，预防犯罪，提高全民遵纪守法意识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632D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3C86B3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F3C71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30EE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0CBE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3D11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5BD5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彰显政府的公信力、执行力，警示全民遵纪守法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44C8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ED1737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1FA07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84C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DB5F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4840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07F0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财政预算资金及时到位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5BFB6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12月底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2F1403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636DC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A5C2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B1BE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FA01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1A00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全年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C1C4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12个月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B26BEA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A617F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88F23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33E2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4E54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4C05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预算经费使用率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A3BE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6D3700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D790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1E69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ECAD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2B8E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40B20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监所专项经费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5AC1F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292.80万元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462F53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F0308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9623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59F1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9C96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4743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武警专项经费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70821">
            <w:pPr>
              <w:widowControl/>
              <w:spacing w:line="240" w:lineRule="exact"/>
              <w:jc w:val="center"/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</w:rPr>
              <w:t>≤</w:t>
            </w:r>
            <w:r>
              <w:rPr>
                <w:rFonts w:hint="eastAsia" w:ascii="Arial" w:hAnsi="Arial" w:eastAsia="仿宋_GB2312" w:cs="Arial"/>
                <w:kern w:val="0"/>
                <w:sz w:val="24"/>
                <w:lang w:val="en-US" w:eastAsia="zh-CN"/>
              </w:rPr>
              <w:t>20万元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FCFDEB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A169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A45E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20FDF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B4C1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7F72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被羁押人员无重大安全事故发生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DD44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0次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1D3F13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926FA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FE0E2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2A42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F7C0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2FAE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加强队伍建设，通过廉政教育、观看警示教育片的教育和平时加强政治学习，民警无违纪和无执法过错。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453B8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0%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C48B56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8A61D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76183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E1D1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E267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F768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FCFD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47E99E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46669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CD8D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143F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D4EC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3BC4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CA7A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7FE625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86A5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93202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5C4A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F010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8CF5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FF0B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58FF5B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44DEE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53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A53C2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868F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2387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24FA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2732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FFB34E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C8B08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876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66F45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D9E6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C99E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73F2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8E25C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9C88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CAEA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731" w:hRule="atLeast"/>
        </w:trPr>
        <w:tc>
          <w:tcPr>
            <w:tcW w:w="84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E8DF3D9"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 w14:paraId="4886933C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6F6DEE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F5A9AF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244F744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2DB6110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14CABA4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6A973C0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 w14:paraId="7EA5D3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677" w:hRule="atLeast"/>
        </w:trPr>
        <w:tc>
          <w:tcPr>
            <w:tcW w:w="849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 w14:paraId="3F2C6844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941149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1584D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31438D6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0BCE6EB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0A4FFAB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1377EE1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 w14:paraId="687F19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701" w:hRule="atLeast"/>
        </w:trPr>
        <w:tc>
          <w:tcPr>
            <w:tcW w:w="849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 w14:paraId="1E521ED4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 w14:paraId="6762ECCE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6CEF0F9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72886BB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21B8FC8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7D93B1F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4C4793C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 w14:paraId="7E6A63C2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2465D56B"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刘述兵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伍卫彬</w:t>
      </w:r>
    </w:p>
    <w:p w14:paraId="16B1C0C9"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 w14:paraId="30F7D1AE"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2025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19</w:t>
      </w:r>
      <w:r>
        <w:rPr>
          <w:rFonts w:hint="eastAsia" w:ascii="仿宋_GB2312" w:hAnsi="宋体" w:eastAsia="仿宋_GB2312" w:cs="宋体"/>
          <w:kern w:val="0"/>
          <w:sz w:val="24"/>
        </w:rPr>
        <w:t>日</w:t>
      </w:r>
    </w:p>
    <w:p w14:paraId="0781C374">
      <w:pPr>
        <w:spacing w:line="480" w:lineRule="exact"/>
        <w:ind w:right="26"/>
        <w:rPr>
          <w:rFonts w:hint="eastAsia" w:ascii="仿宋_GB2312" w:hAnsi="宋体" w:eastAsia="仿宋_GB2312" w:cs="宋体"/>
          <w:kern w:val="0"/>
          <w:sz w:val="24"/>
        </w:rPr>
      </w:pPr>
    </w:p>
    <w:p w14:paraId="14FD3D3D"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 w14:paraId="41B09BF7"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 w14:paraId="07DF0725">
      <w:pPr>
        <w:rPr>
          <w:rFonts w:hint="eastAsia"/>
        </w:rPr>
      </w:pPr>
    </w:p>
    <w:p w14:paraId="37B71B32">
      <w:pPr>
        <w:rPr>
          <w:rFonts w:hint="eastAsia"/>
        </w:rPr>
      </w:pPr>
    </w:p>
    <w:p w14:paraId="0C35775C">
      <w:pPr>
        <w:rPr>
          <w:rFonts w:hint="eastAsia"/>
        </w:rPr>
      </w:pPr>
    </w:p>
    <w:p w14:paraId="4C4EB6D9">
      <w:pPr>
        <w:rPr>
          <w:rFonts w:hint="eastAsia"/>
        </w:rPr>
      </w:pPr>
    </w:p>
    <w:p w14:paraId="76431AC1">
      <w:pPr>
        <w:pStyle w:val="2"/>
        <w:rPr>
          <w:rFonts w:hint="eastAsia"/>
        </w:rPr>
      </w:pPr>
    </w:p>
    <w:p w14:paraId="4AC1136F">
      <w:pPr>
        <w:pStyle w:val="2"/>
        <w:rPr>
          <w:rFonts w:hint="eastAsia"/>
        </w:rPr>
      </w:pPr>
    </w:p>
    <w:p w14:paraId="2735909D">
      <w:pPr>
        <w:pStyle w:val="2"/>
        <w:rPr>
          <w:rFonts w:hint="eastAsia"/>
        </w:rPr>
      </w:pPr>
    </w:p>
    <w:p w14:paraId="31CD33CA">
      <w:pPr>
        <w:pStyle w:val="2"/>
        <w:rPr>
          <w:rFonts w:hint="eastAsia"/>
        </w:rPr>
      </w:pPr>
    </w:p>
    <w:p w14:paraId="12515AE8">
      <w:pPr>
        <w:pStyle w:val="2"/>
        <w:rPr>
          <w:rFonts w:hint="eastAsia"/>
        </w:rPr>
      </w:pPr>
    </w:p>
    <w:p w14:paraId="7123E535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52F58316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0"/>
      </w:tblGrid>
      <w:tr w14:paraId="4F3CE7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tbl>
            <w:tblPr>
              <w:tblStyle w:val="4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80"/>
              <w:gridCol w:w="1420"/>
              <w:gridCol w:w="1320"/>
              <w:gridCol w:w="880"/>
              <w:gridCol w:w="1300"/>
              <w:gridCol w:w="1080"/>
              <w:gridCol w:w="1120"/>
              <w:gridCol w:w="265"/>
              <w:gridCol w:w="1575"/>
            </w:tblGrid>
            <w:tr w14:paraId="74EEFCB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5" w:hRule="atLeast"/>
              </w:trPr>
              <w:tc>
                <w:tcPr>
                  <w:tcW w:w="9640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 w14:paraId="62338484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44"/>
                      <w:szCs w:val="4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44"/>
                      <w:szCs w:val="44"/>
                    </w:rPr>
                    <w:t>项目支出绩效目标申报表</w:t>
                  </w:r>
                </w:p>
              </w:tc>
            </w:tr>
            <w:tr w14:paraId="0A3F643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0" w:hRule="atLeast"/>
              </w:trPr>
              <w:tc>
                <w:tcPr>
                  <w:tcW w:w="9640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 w14:paraId="6F032B3B">
                  <w:pPr>
                    <w:widowControl/>
                    <w:jc w:val="center"/>
                    <w:rPr>
                      <w:rFonts w:ascii="楷体_GB2312" w:hAnsi="宋体" w:eastAsia="楷体_GB2312" w:cs="宋体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楷体_GB2312" w:hAnsi="宋体" w:eastAsia="楷体_GB2312" w:cs="宋体"/>
                      <w:kern w:val="0"/>
                      <w:sz w:val="32"/>
                      <w:szCs w:val="32"/>
                    </w:rPr>
                    <w:t>（</w:t>
                  </w:r>
                  <w:r>
                    <w:rPr>
                      <w:rFonts w:hint="eastAsia" w:ascii="楷体_GB2312" w:hAnsi="宋体" w:eastAsia="楷体_GB2312" w:cs="宋体"/>
                      <w:kern w:val="0"/>
                      <w:sz w:val="32"/>
                      <w:szCs w:val="32"/>
                      <w:lang w:eastAsia="zh-CN"/>
                    </w:rPr>
                    <w:t>2025</w:t>
                  </w:r>
                  <w:r>
                    <w:rPr>
                      <w:rFonts w:hint="eastAsia" w:ascii="楷体_GB2312" w:hAnsi="宋体" w:eastAsia="楷体_GB2312" w:cs="宋体"/>
                      <w:kern w:val="0"/>
                      <w:sz w:val="32"/>
                      <w:szCs w:val="32"/>
                    </w:rPr>
                    <w:t>年度）</w:t>
                  </w:r>
                </w:p>
              </w:tc>
            </w:tr>
            <w:tr w14:paraId="749986A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5" w:hRule="atLeast"/>
              </w:trPr>
              <w:tc>
                <w:tcPr>
                  <w:tcW w:w="9640" w:type="dxa"/>
                  <w:gridSpan w:val="9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noWrap w:val="0"/>
                  <w:vAlign w:val="center"/>
                </w:tcPr>
                <w:p w14:paraId="30D6BF53">
                  <w:pPr>
                    <w:widowControl/>
                    <w:jc w:val="left"/>
                    <w:rPr>
                      <w:rFonts w:ascii="楷体_GB2312" w:hAnsi="宋体" w:eastAsia="楷体_GB2312" w:cs="宋体"/>
                      <w:kern w:val="0"/>
                      <w:sz w:val="24"/>
                    </w:rPr>
                  </w:pPr>
                  <w:r>
                    <w:rPr>
                      <w:rFonts w:hint="eastAsia" w:ascii="楷体_GB2312" w:hAnsi="宋体" w:eastAsia="楷体_GB2312" w:cs="宋体"/>
                      <w:kern w:val="0"/>
                      <w:sz w:val="24"/>
                    </w:rPr>
                    <w:t xml:space="preserve"> 填报单位（盖章）湘潭县看守所</w:t>
                  </w:r>
                </w:p>
              </w:tc>
            </w:tr>
            <w:tr w14:paraId="020A514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5755FE5"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项目</w:t>
                  </w:r>
                </w:p>
                <w:p w14:paraId="17EF1F0B"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基本</w:t>
                  </w:r>
                </w:p>
                <w:p w14:paraId="34AFCA13">
                  <w:pPr>
                    <w:widowControl/>
                    <w:jc w:val="center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信息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7F0A0A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项目名称</w:t>
                  </w: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8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AEEBE6C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看守专项经费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CB8AFD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项目属性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8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 w14:paraId="4A36555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延续专项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☑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   新增专项□    </w:t>
                  </w:r>
                </w:p>
              </w:tc>
            </w:tr>
            <w:tr w14:paraId="390C8AF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9D93057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A624EA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主管部门</w:t>
                  </w: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2BA0B85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湘潭县看守所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A5070CE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项目负责人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A58C168"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刘述兵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CF6B3AC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联系电话</w:t>
                  </w:r>
                </w:p>
              </w:tc>
              <w:tc>
                <w:tcPr>
                  <w:tcW w:w="1840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8" w:space="0"/>
                  </w:tcBorders>
                  <w:noWrap w:val="0"/>
                  <w:vAlign w:val="center"/>
                </w:tcPr>
                <w:p w14:paraId="7B2BE9E6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13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907322098</w:t>
                  </w:r>
                </w:p>
              </w:tc>
            </w:tr>
            <w:tr w14:paraId="0EAE4DD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D772C4A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3A0A3A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资金总额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 w14:paraId="6AE70B9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叁佰壹拾伍万元整</w:t>
                  </w:r>
                </w:p>
              </w:tc>
            </w:tr>
            <w:tr w14:paraId="6A21DAC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A708AD1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855AE2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项目起止时间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 w14:paraId="6906DFBC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2025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年1月至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2025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年12月 </w:t>
                  </w:r>
                </w:p>
              </w:tc>
            </w:tr>
            <w:tr w14:paraId="343A66E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7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C156910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5D59F7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项目概况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top"/>
                </w:tcPr>
                <w:p w14:paraId="1459607D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 对被羁押的犯罪嫌疑人、被告人实行警戒看守，管理教育；保障侦查机关、检察机关、审判机关、辩护人等诉讼参与人依法进行诉讼活动；保障犯罪嫌疑人、被告人的诉讼权利和其他合法权益；将罪犯交付执行刑罚；对依法由看守所执行刑罚的罪犯执行刑罚。 湘潭县看守所月关押在押人员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40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0人。</w:t>
                  </w:r>
                </w:p>
              </w:tc>
            </w:tr>
            <w:tr w14:paraId="4662554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CB280A1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5B03094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项目立</w:t>
                  </w:r>
                </w:p>
                <w:p w14:paraId="23ECA95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项情况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5D8DD3C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项目立</w:t>
                  </w:r>
                </w:p>
                <w:p w14:paraId="2E425C1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项依据</w:t>
                  </w:r>
                </w:p>
              </w:tc>
              <w:tc>
                <w:tcPr>
                  <w:tcW w:w="6220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 w14:paraId="1B68634F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1、公安部、财政部关于印发《看守所经费开支范围和管理办法的规定》；2、《湖南省财政厅 湖南省公安厅关于加强全省公安监管场所经费保障的通知》。</w:t>
                  </w:r>
                </w:p>
              </w:tc>
            </w:tr>
            <w:tr w14:paraId="34D3246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914143D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877C342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44C45BE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项目申报</w:t>
                  </w:r>
                </w:p>
                <w:p w14:paraId="3B8FFCC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的可行性</w:t>
                  </w:r>
                </w:p>
              </w:tc>
              <w:tc>
                <w:tcPr>
                  <w:tcW w:w="6220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 w14:paraId="605B9320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1、各级政策文件的要求；2、县委县政府历年来对县监管场所经费保障工作的重视；3、省财政配套经费的拨付。</w:t>
                  </w:r>
                </w:p>
              </w:tc>
            </w:tr>
            <w:tr w14:paraId="2A6E379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58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DC1EF8B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4986E77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B07F19C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项目申报</w:t>
                  </w:r>
                </w:p>
                <w:p w14:paraId="7D550DA1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的必要性</w:t>
                  </w:r>
                </w:p>
              </w:tc>
              <w:tc>
                <w:tcPr>
                  <w:tcW w:w="6220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 w14:paraId="0AE25A1B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1、充分发挥看守所监管看守、教育人犯和社会治安综合治理等方面的职能作用，保障刑事诉讼活动的顺利进行；2、保障监所安全，维护湘潭县大局稳定；3、提高政策的有效性，提升服务效能。</w:t>
                  </w:r>
                </w:p>
              </w:tc>
            </w:tr>
            <w:tr w14:paraId="69DC717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46B6201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1A0DE6D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项目实施</w:t>
                  </w:r>
                </w:p>
                <w:p w14:paraId="72B9F5EC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进度计划</w:t>
                  </w: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26FF14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项目实施内容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5B1DE5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计划开始时间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 w14:paraId="2C0600A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计划完成时间</w:t>
                  </w:r>
                </w:p>
              </w:tc>
            </w:tr>
            <w:tr w14:paraId="15A878A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740D7E1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2F4497F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B909F5B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给养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费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6AD2FF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2025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-1-1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 w14:paraId="10BE5EE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2025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-12-31</w:t>
                  </w:r>
                </w:p>
              </w:tc>
            </w:tr>
            <w:tr w14:paraId="09B95EF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19250B5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3D98084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CA00CC8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2、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商品和服务支出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34C919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2025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-1-1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 w14:paraId="17A07C4D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2025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-12-31</w:t>
                  </w:r>
                </w:p>
              </w:tc>
            </w:tr>
            <w:tr w14:paraId="168C6CA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2D8D5D2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C7EED17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61178C37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513F051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 w14:paraId="084C7D8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</w:tr>
            <w:tr w14:paraId="1CD858A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742687C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2C4F6B9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23CE2F5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D7B34B1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 w14:paraId="530205F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</w:tr>
            <w:tr w14:paraId="1203BFC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99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F0C1A4A"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项目</w:t>
                  </w:r>
                </w:p>
                <w:p w14:paraId="39A4459D"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支出</w:t>
                  </w:r>
                </w:p>
                <w:p w14:paraId="5976D47C"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绩效</w:t>
                  </w:r>
                </w:p>
                <w:p w14:paraId="1DB19653">
                  <w:pPr>
                    <w:widowControl/>
                    <w:jc w:val="center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目标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B2052B7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项目长期</w:t>
                  </w:r>
                </w:p>
                <w:p w14:paraId="523DBAD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绩效目标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F49A7EC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  保障看守所在押人员的正常生活，稳定监区秩序，确保监所安全，保障刑事诉讼活动顺利进行，确保全县社会治安大局稳定。</w:t>
                  </w:r>
                </w:p>
              </w:tc>
            </w:tr>
            <w:tr w14:paraId="191E670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69ABFFB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65DC4FF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项目年度</w:t>
                  </w:r>
                </w:p>
                <w:p w14:paraId="4488948C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绩效目标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4D40B6A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1、确保监所安全、稳定监区秩序；2、加强经费保障和管理，保障在押人员的正常生活；3、服务好公检法司等部门的办案需求，保障刑事诉讼活动顺利进行。</w:t>
                  </w:r>
                </w:p>
              </w:tc>
            </w:tr>
            <w:tr w14:paraId="5772C86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3050A5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项目</w:t>
                  </w:r>
                </w:p>
                <w:p w14:paraId="2341947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支出</w:t>
                  </w:r>
                </w:p>
                <w:p w14:paraId="76DDD3D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绩效</w:t>
                  </w:r>
                </w:p>
                <w:p w14:paraId="66179CDE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目标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447303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0E0FC3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一级指标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557A68E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二级指标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CDB21C9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指标内容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F8D320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指标值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E78DBE9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备注</w:t>
                  </w:r>
                </w:p>
              </w:tc>
            </w:tr>
            <w:tr w14:paraId="3371A69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8EDD772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AB6A59A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项目年度</w:t>
                  </w:r>
                </w:p>
                <w:p w14:paraId="3599DFC4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绩效指标</w:t>
                  </w:r>
                </w:p>
              </w:tc>
              <w:tc>
                <w:tcPr>
                  <w:tcW w:w="1320" w:type="dxa"/>
                  <w:vMerge w:val="restart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17C4F2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产出指标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 w14:paraId="6164590D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数量指标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31C9E057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对新收押入所在押人员进行入所教育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246951D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default" w:ascii="Arial" w:hAnsi="Arial" w:eastAsia="仿宋_GB2312" w:cs="Arial"/>
                      <w:kern w:val="0"/>
                      <w:sz w:val="24"/>
                    </w:rPr>
                    <w:t>≥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150次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804E08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 w14:paraId="62F9EC9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6BC9C57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BD40D38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E7ADDE9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8DDF33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top"/>
                </w:tcPr>
                <w:p w14:paraId="53F43AE8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协助破案工作（提供线索破获案件）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08928A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default" w:ascii="Arial" w:hAnsi="Arial" w:eastAsia="仿宋_GB2312" w:cs="Arial"/>
                      <w:kern w:val="0"/>
                      <w:sz w:val="24"/>
                      <w:lang w:val="en-US" w:eastAsia="zh-CN"/>
                    </w:rPr>
                    <w:t>≥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20条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EDB326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 w14:paraId="5FCD3B3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64876B1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CA671C8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987EAD4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 w14:paraId="31DFC8F0"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质量指标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73D392BC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羁押人员的档案管理，做到内容完整，一人一档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6AB45A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100%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A57CC21"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 w14:paraId="03FE949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EAB6546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22722D1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301C72E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 w14:paraId="44AD27E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72082FF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警示教育，预防犯罪，提高全民遵纪守法意识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2D083C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长期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8D63D3B"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 w14:paraId="3269602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A4E758C">
                  <w:pPr>
                    <w:widowControl/>
                    <w:jc w:val="left"/>
                  </w:pPr>
                </w:p>
                <w:p w14:paraId="1A212BAE">
                  <w:pPr>
                    <w:pStyle w:val="2"/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0BDB7BA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F6753B5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96CD948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517BA65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彰显政府的公信力、执行力，警示全民遵纪守法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8A24C8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长期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014502C"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 w14:paraId="6A34386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A806087">
                  <w:pPr>
                    <w:pStyle w:val="2"/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8D3E86B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D02A80E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 w14:paraId="53C32A89"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时效指标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6B90D0D0"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财政预算资金及时到位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42CEFA8"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0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  <w:lang w:val="en-US" w:eastAsia="zh-CN"/>
                    </w:rPr>
                    <w:t>12月底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860FB0F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  <w:lang w:val="en-US" w:eastAsia="zh-CN" w:bidi="ar-SA"/>
                    </w:rPr>
                  </w:pPr>
                </w:p>
              </w:tc>
            </w:tr>
            <w:tr w14:paraId="5821AE0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BBD47C2">
                  <w:pPr>
                    <w:pStyle w:val="2"/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B4C7130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684BFB6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3B82C4E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2A943A4E"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全年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A1B38D9"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  <w:lang w:val="en-US" w:eastAsia="zh-CN"/>
                    </w:rPr>
                    <w:t>12个月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06F5AAE"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 w14:paraId="22B07CC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E8552B9">
                  <w:pPr>
                    <w:widowControl/>
                    <w:jc w:val="left"/>
                  </w:pPr>
                </w:p>
                <w:p w14:paraId="33602A88">
                  <w:pPr>
                    <w:pStyle w:val="2"/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230CB97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C0458AA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 w14:paraId="07D2DA87"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成本指标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683F5CD9"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预算经费使用率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453971E"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100%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3FA5EB6"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 w14:paraId="2B0739C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021BBE9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207A86D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9BC7C4B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 w14:paraId="4167EF53">
                  <w:pPr>
                    <w:widowControl/>
                    <w:jc w:val="both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41F9B911">
                  <w:pPr>
                    <w:widowControl/>
                    <w:spacing w:line="240" w:lineRule="exact"/>
                    <w:jc w:val="center"/>
                    <w:rPr>
                      <w:rFonts w:hint="default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监所专项经费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4983C82">
                  <w:pPr>
                    <w:widowControl/>
                    <w:spacing w:line="240" w:lineRule="exact"/>
                    <w:jc w:val="center"/>
                    <w:rPr>
                      <w:rFonts w:hint="default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仿宋_GB2312" w:cs="Arial"/>
                      <w:kern w:val="0"/>
                      <w:sz w:val="24"/>
                    </w:rPr>
                    <w:t>≤</w:t>
                  </w:r>
                  <w:r>
                    <w:rPr>
                      <w:rFonts w:hint="eastAsia" w:ascii="Arial" w:hAnsi="Arial" w:eastAsia="仿宋_GB2312" w:cs="Arial"/>
                      <w:kern w:val="0"/>
                      <w:sz w:val="24"/>
                      <w:lang w:val="en-US" w:eastAsia="zh-CN"/>
                    </w:rPr>
                    <w:t>292.80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万元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56EB2FC"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 w14:paraId="478389C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ED2133C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DC9CA61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5748FFC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23DFDC7">
                  <w:pPr>
                    <w:widowControl/>
                    <w:jc w:val="both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4EC94A69"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武警专项执勤设施设备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3033EC9">
                  <w:pPr>
                    <w:widowControl/>
                    <w:spacing w:line="240" w:lineRule="exact"/>
                    <w:jc w:val="center"/>
                    <w:rPr>
                      <w:rFonts w:hint="default" w:ascii="Arial" w:hAnsi="Arial" w:eastAsia="仿宋_GB2312" w:cs="Arial"/>
                      <w:kern w:val="0"/>
                      <w:sz w:val="24"/>
                      <w:lang w:val="en-US" w:eastAsia="zh-CN"/>
                    </w:rPr>
                  </w:pPr>
                  <w:r>
                    <w:rPr>
                      <w:rFonts w:hint="default" w:ascii="Arial" w:hAnsi="Arial" w:eastAsia="仿宋_GB2312" w:cs="Arial"/>
                      <w:kern w:val="0"/>
                      <w:sz w:val="24"/>
                    </w:rPr>
                    <w:t>≤</w:t>
                  </w:r>
                  <w:r>
                    <w:rPr>
                      <w:rFonts w:hint="eastAsia" w:ascii="Arial" w:hAnsi="Arial" w:eastAsia="仿宋_GB2312" w:cs="Arial"/>
                      <w:kern w:val="0"/>
                      <w:sz w:val="24"/>
                      <w:lang w:val="en-US" w:eastAsia="zh-CN"/>
                    </w:rPr>
                    <w:t>20万元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BC77837"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 w14:paraId="2649A46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7A3426D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F41F84B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C15FB1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效益指标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 w14:paraId="49321B31"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经济效益指标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4677455"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被羁押人员无重大安全事故发生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8392BBE"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color w:val="333333"/>
                      <w:kern w:val="0"/>
                      <w:sz w:val="24"/>
                      <w:szCs w:val="24"/>
                      <w:shd w:val="clear" w:color="auto" w:fill="FFFFFF"/>
                      <w:lang w:val="en-US" w:eastAsia="zh-CN"/>
                    </w:rPr>
                    <w:t>0次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5D67842"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 w14:paraId="3531591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FA2AA73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A8C1E16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F67782C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EEA7047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AEA60DE"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加强队伍建设，通过廉政教育、观看警示教育片的教育和平时加强政治学习，民警无违纪和无执法过错。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D14FBCC"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0%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E7C3F53"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 w14:paraId="4E9862E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3805A97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B846F00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61EB0C4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C8DC6E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社会效益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E39752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警示教育，预防犯罪，提高全民遵纪守法意识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3CCCEA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长期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F247E4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 w14:paraId="0536D60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DB95C93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E8D1BD6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C943C02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FCBF54E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生态效益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1E04502E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对周边环境的影响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8041B2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无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D7FE65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 w14:paraId="414F40A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86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6FCD16E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00B1917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E6AF1D1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 w14:paraId="1556889D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可持续影响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B330ED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彰显政府的公信力、执行力，警示全民遵纪守法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BB6278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长期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285E345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 w14:paraId="71D009D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75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F812F9E"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36F129A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873C809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1C7F8E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社会公众或服务对象满意度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3C5357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群众满意率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A975808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9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  <w:lang w:val="en-US" w:eastAsia="zh-CN"/>
                    </w:rPr>
                    <w:t>5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001A064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 w14:paraId="15D1569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10" w:hRule="atLeast"/>
              </w:trPr>
              <w:tc>
                <w:tcPr>
                  <w:tcW w:w="680" w:type="dxa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27A6B8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A52AD7D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单位已有的（或拟订的）保证项目实施的制度、措施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 w14:paraId="273A5EEE"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项目组织机构：湘潭县看守所</w:t>
                  </w:r>
                </w:p>
                <w:p w14:paraId="13032309"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相关管理制度：《财务管理工作制度》《精细化考核办法》</w:t>
                  </w:r>
                </w:p>
                <w:p w14:paraId="49F1D23A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工作措施 （方案、规划等）：《湘潭县看守所工作规程》</w:t>
                  </w:r>
                </w:p>
              </w:tc>
            </w:tr>
            <w:tr w14:paraId="3746504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 w14:paraId="2784768A"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财政部门审核</w:t>
                  </w:r>
                </w:p>
                <w:p w14:paraId="358C2091">
                  <w:pPr>
                    <w:widowControl/>
                    <w:jc w:val="center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意见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032483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审核股室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F6F078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审核的主要内容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 w14:paraId="64808274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审核意见</w:t>
                  </w:r>
                </w:p>
              </w:tc>
            </w:tr>
            <w:tr w14:paraId="680C9E8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5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 w14:paraId="7E834975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50C8E53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财政归口</w:t>
                  </w:r>
                </w:p>
                <w:p w14:paraId="1990C21D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业务股室</w:t>
                  </w:r>
                </w:p>
                <w:p w14:paraId="1B650504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审核意见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85F075E"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1、是否立项及项目属性确定；</w:t>
                  </w:r>
                </w:p>
                <w:p w14:paraId="670789DD"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2、绩效目标设定是否合理；</w:t>
                  </w:r>
                </w:p>
                <w:p w14:paraId="08A89788"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3、预算资金可供量是否合理；</w:t>
                  </w:r>
                </w:p>
                <w:p w14:paraId="183476CF"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4、项目、资金及财务管理措施；</w:t>
                  </w:r>
                </w:p>
                <w:p w14:paraId="48AA586A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5、其他。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bottom"/>
                </w:tcPr>
                <w:p w14:paraId="69590863"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审核人：           年   月   日</w:t>
                  </w:r>
                </w:p>
              </w:tc>
            </w:tr>
            <w:tr w14:paraId="3DC2972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4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 w14:paraId="7BE112D7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6588BE7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绩效评价</w:t>
                  </w:r>
                </w:p>
                <w:p w14:paraId="65FF5C96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股审核意见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505EFA2"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1、填报内容是否完整；</w:t>
                  </w:r>
                </w:p>
                <w:p w14:paraId="6DFAE695"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2、是否设定量化的绩效目标；</w:t>
                  </w:r>
                </w:p>
                <w:p w14:paraId="7E1F630B"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3、是否有适当、细化的绩效指标，及其与绩效目标的对应性；</w:t>
                  </w:r>
                </w:p>
                <w:p w14:paraId="41D86D43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4、其他。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bottom"/>
                </w:tcPr>
                <w:p w14:paraId="234B93E2"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审核人：           年   月   日</w:t>
                  </w:r>
                </w:p>
              </w:tc>
            </w:tr>
            <w:tr w14:paraId="0FE7B7D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95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 w14:paraId="76FB39DA"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4" w:space="0"/>
                  </w:tcBorders>
                  <w:noWrap w:val="0"/>
                  <w:vAlign w:val="center"/>
                </w:tcPr>
                <w:p w14:paraId="399B17C3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预算股</w:t>
                  </w:r>
                </w:p>
                <w:p w14:paraId="5ED8E0EE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审核意见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4" w:space="0"/>
                  </w:tcBorders>
                  <w:noWrap w:val="0"/>
                  <w:vAlign w:val="center"/>
                </w:tcPr>
                <w:p w14:paraId="20EF9A8F"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1、县委、县政府已确定的项目；</w:t>
                  </w:r>
                </w:p>
                <w:p w14:paraId="28C7DFB3"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2、财政待安排项目；</w:t>
                  </w:r>
                </w:p>
                <w:p w14:paraId="21641DFD"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3、是否进入备选项目；</w:t>
                  </w:r>
                </w:p>
                <w:p w14:paraId="5ACC5422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4、财政项目预算资金安排可供量与完成项目绩效目标的保障度。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000000" w:sz="8" w:space="0"/>
                  </w:tcBorders>
                  <w:noWrap w:val="0"/>
                  <w:vAlign w:val="bottom"/>
                </w:tcPr>
                <w:p w14:paraId="2798B710"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审核人：           年   月   日</w:t>
                  </w:r>
                </w:p>
              </w:tc>
            </w:tr>
            <w:tr w14:paraId="726C2F4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5" w:hRule="atLeast"/>
              </w:trPr>
              <w:tc>
                <w:tcPr>
                  <w:tcW w:w="430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 w14:paraId="0D9A3725"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单位负责人：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刘述兵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 w14:paraId="2903082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 w14:paraId="3413460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填报人： 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 w14:paraId="05FB3222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伍卫彬</w:t>
                  </w:r>
                </w:p>
              </w:tc>
            </w:tr>
            <w:tr w14:paraId="4A4B84A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 w14:paraId="52210864"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960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 w14:paraId="74541D9E"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填报日期：   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2025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年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1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月 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19</w:t>
                  </w:r>
                  <w:bookmarkStart w:id="0" w:name="_GoBack"/>
                  <w:bookmarkEnd w:id="0"/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日</w:t>
                  </w:r>
                </w:p>
              </w:tc>
            </w:tr>
          </w:tbl>
          <w:p w14:paraId="6D44E0AA"/>
        </w:tc>
      </w:tr>
    </w:tbl>
    <w:p w14:paraId="491730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zOTQyODdmODU1YTkzNDYwN2JiN2ZlMzdiZTY4ODMifQ=="/>
  </w:docVars>
  <w:rsids>
    <w:rsidRoot w:val="584F4D6D"/>
    <w:rsid w:val="00202659"/>
    <w:rsid w:val="1D3C6909"/>
    <w:rsid w:val="5599108F"/>
    <w:rsid w:val="584F4D6D"/>
    <w:rsid w:val="63886EC0"/>
    <w:rsid w:val="649D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2442</Words>
  <Characters>2586</Characters>
  <Lines>0</Lines>
  <Paragraphs>0</Paragraphs>
  <TotalTime>13</TotalTime>
  <ScaleCrop>false</ScaleCrop>
  <LinksUpToDate>false</LinksUpToDate>
  <CharactersWithSpaces>2801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2022-12-10T06:51:00Z</dcterms:created>
  <dc:creator>A维维佗 </dc:creator>
  <cp:lastModifiedBy>丛华</cp:lastModifiedBy>
  <dcterms:modified xsi:type="dcterms:W3CDTF">2025-01-19T10:06:27Z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395EC4CAF1E34FD0B8DCADDBD7FF6816</vt:lpwstr>
  </property>
  <property fmtid="{D5CDD505-2E9C-101B-9397-08002B2CF9AE}" pid="4" name="KSOTemplateDocerSaveRecord">
    <vt:lpwstr>eyJoZGlkIjoiMGIwZjJlYjk4YzhiOTlmMDkxODMxZDJmOTRmYmU2MTkiLCJ1c2VySWQiOiI3MDc1NDMxNDQifQ==</vt:lpwstr>
  </property>
</Properties>
</file>