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633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72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年湘潭县看守所部门预算</w:t>
      </w:r>
    </w:p>
    <w:p w14:paraId="4B6352C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 w14:paraId="55EF945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 w14:paraId="3397F68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 w14:paraId="111E0E0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center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目 录</w:t>
      </w:r>
    </w:p>
    <w:p w14:paraId="43BEE15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 xml:space="preserve">　　第一部分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年部门预算说明</w:t>
      </w:r>
    </w:p>
    <w:p w14:paraId="2ECA4D1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 xml:space="preserve">　　第二部分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年部门预算表</w:t>
      </w:r>
    </w:p>
    <w:p w14:paraId="47136AA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1、部门收支总体情况表</w:t>
      </w:r>
    </w:p>
    <w:p w14:paraId="76FE51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2、部门收入总体情况表</w:t>
      </w:r>
    </w:p>
    <w:p w14:paraId="0FE0D3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3、部门支出总体情况表</w:t>
      </w:r>
    </w:p>
    <w:p w14:paraId="42F51DC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4、财政拨款收支情况表</w:t>
      </w:r>
    </w:p>
    <w:p w14:paraId="2D40E4A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5、一般公共预算支出表</w:t>
      </w:r>
    </w:p>
    <w:p w14:paraId="5D2FDC9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6、一般公共预算基本支出表</w:t>
      </w:r>
    </w:p>
    <w:p w14:paraId="58399D8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7、一般公共预算“三公”经费支出表</w:t>
      </w:r>
    </w:p>
    <w:p w14:paraId="0F84A26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8、政府性基金预算支出情况表</w:t>
      </w:r>
    </w:p>
    <w:p w14:paraId="64F9B48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注：以上部门预算报表中，空表表示本部门无相关收支情况。</w:t>
      </w:r>
    </w:p>
    <w:p w14:paraId="3D82E77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 w14:paraId="2D9CE61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 w14:paraId="76A88B6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 w14:paraId="712A49F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 w14:paraId="67396BD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 w14:paraId="7698C5A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 w14:paraId="7BE168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 w14:paraId="21E111F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 w14:paraId="291E248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88" w:beforeAutospacing="0" w:after="0" w:afterAutospacing="0" w:line="26" w:lineRule="atLeast"/>
        <w:ind w:left="0" w:right="0"/>
        <w:jc w:val="center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第一部分 部门预算说明</w:t>
      </w:r>
    </w:p>
    <w:p w14:paraId="73831D3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一、部门基本概况</w:t>
      </w:r>
    </w:p>
    <w:p w14:paraId="2FF9EB7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（一）职能职责</w:t>
      </w:r>
    </w:p>
    <w:p w14:paraId="258E122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看守所是羁押依法被逮捕、刑事拘留的人犯的机关。</w:t>
      </w:r>
    </w:p>
    <w:p w14:paraId="2AF9F99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1、对被羁押的犯罪嫌疑人、被告人实行警戒看守，管理教育；</w:t>
      </w:r>
    </w:p>
    <w:p w14:paraId="65762EA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2、对依法由看守所执行刑罚的罪犯执行刑罚；</w:t>
      </w:r>
    </w:p>
    <w:p w14:paraId="2B3921E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3、保障侦查机关、检察机关、审判机关、辩护人等诉讼参与人依法进行诉讼活动；</w:t>
      </w:r>
    </w:p>
    <w:p w14:paraId="7E5FECF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4、保障犯罪嫌疑人、被告人的诉讼权利和其他合法权益；</w:t>
      </w:r>
    </w:p>
    <w:p w14:paraId="5CB2BE7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5、将罪犯交付执行刑罚；。</w:t>
      </w:r>
    </w:p>
    <w:p w14:paraId="0A219E6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6、完成县委、县政府及上级业务主管部门交办的其他工作任务。</w:t>
      </w:r>
    </w:p>
    <w:p w14:paraId="441306B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（二）机构设置</w:t>
      </w:r>
    </w:p>
    <w:p w14:paraId="29F2B2E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湘潭县看守所属湘潭县公安局二级机构，股级，核定政法专项编制 27名。现有编制人数27人，实有在职人员27人，公用运兵车1台。</w:t>
      </w:r>
    </w:p>
    <w:p w14:paraId="7B3F84E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二、部门预算单位构成</w:t>
      </w:r>
    </w:p>
    <w:p w14:paraId="059637D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湘潭县看守所属湘潭县公安局二级机构，人员编制由县公安局统一管理，但看守专项部分属县财政一级预算单位。因此，纳入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年部门预算编制范围的只有看守专项经费。</w:t>
      </w:r>
    </w:p>
    <w:p w14:paraId="2FEC3FE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三、部门收支总体情况</w:t>
      </w:r>
    </w:p>
    <w:p w14:paraId="339FDE5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（一）收入预算：包括一般公共预算、政府性基金、国有资本经营预算等财政拨款收入，以及经营收入、事业收入等单位资金。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年本部门收入预算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312.80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万元，其中，一般公共预算拨款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312.80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万元，政府性基金预算拨款0万元，国有资本经营预算拨款0万元，纳入专户管理的非税收入0万元。收入较去年减少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增加13.50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万元，主要是财政压缩一般公共预算开支，减少项目经费。</w:t>
      </w:r>
    </w:p>
    <w:p w14:paraId="0140A46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（二）支出预算：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年本部门支出预算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312.80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万元，其中，一般公共服务0万元，公共安全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312.80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万元，教育0万元，科学技术0万元。支出较去年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增加13.50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万元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，主要是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增加武警中队专项经费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。</w:t>
      </w:r>
    </w:p>
    <w:p w14:paraId="130C26D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四、一般公共预算拨款支出</w:t>
      </w:r>
    </w:p>
    <w:p w14:paraId="4D954C9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年本部门一般公共预算拨款支出预算0万元，其中，一般公共服务支出0万元，占0 %；公共安全支出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312.80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万元，占100 %。具体安排情况如下：</w:t>
      </w:r>
    </w:p>
    <w:p w14:paraId="049FD8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（一）基本支出：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年本部门基本支出预算数0万元。</w:t>
      </w:r>
    </w:p>
    <w:p w14:paraId="2D9294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（二）项目支出：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年本部门项目支出预算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312.80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万元，主要是部门为完成特定行政工作任务或事业发展目标而发生的支出，包括有关事业发展专项、专项业务费、基本建设支出等，其中：看守专项经费支出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292.80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万元，一般公共预算经费支出292.80万元，主要用于机关服务支出71.1万元，包括工勤人员工资补助、福利费、伙食补助费、公杂费等；主要用于人犯生活给养费支出预算166.70万元，包括伙食费、被装费、水电费、燃气费、医疗社会化服务等；主要用于信息化建设支出27万元，包括用于通信、监控、警械等设备购置维护；主要用于其他监狱支出预算28万元，包括用于保证工作正常运转必须开支的其他商品服务费用等支出。武警中队专项经费20万元，包括水电费、营房修缮费、执勤设施设备维护更新费等。，包括水电费、营房修缮费、执勤设施设备维护更新费等。</w:t>
      </w:r>
    </w:p>
    <w:p w14:paraId="3D1D7A9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五、政府性基金预算支出</w:t>
      </w:r>
    </w:p>
    <w:p w14:paraId="44A3CA8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本部门无政府性基金安排的支出。</w:t>
      </w:r>
    </w:p>
    <w:p w14:paraId="139926F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六、其他重要事项的情况说明</w:t>
      </w:r>
    </w:p>
    <w:p w14:paraId="1457C18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（一）机关运行经费：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年年本部门机关本级的机关运行经费0万元，与上年预算相比持平，主要是本单位只有项目支出，无基本支出。</w:t>
      </w:r>
    </w:p>
    <w:p w14:paraId="3DB78CB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（二）“三公”经费预算：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年本部门机关本级的“三公”经费预算数为0万元，其中，公务接待费0万元，公务用车购置及运行费0万元（其中，公务用车购置费0万元，公务用车运行费0万元），因公出国（境）费0万元。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年“三公”经费预算较202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年相比持平。</w:t>
      </w:r>
    </w:p>
    <w:p w14:paraId="6380011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（三）一般性支出情况：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年本部门会议费预算0万元；培训费预算0万元；拟举办0次节庆、晚会、论坛、赛事活动，经费预算0 万元。</w:t>
      </w:r>
    </w:p>
    <w:p w14:paraId="0DDE80D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（四）政府采购情况：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年本部门政府采购预算总额40万元，其中，货物类采购预算20万元；工程类采购预算10万元；服务类采购预10万元。</w:t>
      </w:r>
    </w:p>
    <w:p w14:paraId="5CEE3F3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（五）国有资产占用使用及新增资产配置情况：截至20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24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12月底，本部门共有公务用车1辆，其中，机要通信用车0辆，应急保障用车0辆，执法执勤用车1辆，特种专业技术用车0辆，其他按照规定配备的公务用车0辆；单位价值50万元以上通用设备0台，单位价值100万元以上专用设备0台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 w14:paraId="3A21544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（六）预算绩效目标说明：本部门所有支出实行绩效目标管理。纳入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年部门整体支出绩效目标的金额为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312.80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万元，其中，基本支出0万元，项目支出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312.80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万元，具体绩效目标详见报表。本单位无重点绩效。</w:t>
      </w:r>
    </w:p>
    <w:p w14:paraId="461E8BB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七、名词解释</w:t>
      </w:r>
    </w:p>
    <w:p w14:paraId="7F88E0C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179D2AD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 w14:paraId="61DE00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textAlignment w:val="auto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820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2025-01-19T09:39:33Z</dcterms:created>
  <dc:creator>Administrator</dc:creator>
  <cp:lastModifiedBy>丛华</cp:lastModifiedBy>
  <dcterms:modified xsi:type="dcterms:W3CDTF">2025-01-19T09:56:14Z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eyJoZGlkIjoiMGIwZjJlYjk4YzhiOTlmMDkxODMxZDJmOTRmYmU2MTkiLCJ1c2VySWQiOiI3MDc1NDMxNDQifQ==</vt:lpwstr>
  </property>
  <property fmtid="{D5CDD505-2E9C-101B-9397-08002B2CF9AE}" pid="4" name="ICV">
    <vt:lpwstr>2F0DBD83371B4676837DAFF705F3C605_12</vt:lpwstr>
  </property>
</Properties>
</file>