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A72CD6">
      <w:pPr>
        <w:widowControl/>
        <w:spacing w:line="480" w:lineRule="auto"/>
        <w:jc w:val="center"/>
        <w:rPr>
          <w:rFonts w:hint="eastAsia" w:ascii="方正小标宋简体" w:hAnsi="宋体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202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  <w:lang w:val="en-US" w:eastAsia="zh-CN"/>
        </w:rPr>
        <w:t>5</w:t>
      </w: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年湘潭县拘留所部门预算</w:t>
      </w:r>
    </w:p>
    <w:p w14:paraId="654F3D6E">
      <w:pPr>
        <w:widowControl/>
        <w:spacing w:line="480" w:lineRule="auto"/>
        <w:jc w:val="center"/>
        <w:rPr>
          <w:rFonts w:hint="eastAsia" w:ascii="宋体" w:hAnsi="宋体" w:eastAsia="宋体" w:cs="宋体"/>
          <w:kern w:val="0"/>
          <w:sz w:val="24"/>
          <w:szCs w:val="24"/>
        </w:rPr>
      </w:pPr>
    </w:p>
    <w:p w14:paraId="2683A67A">
      <w:pPr>
        <w:widowControl/>
        <w:spacing w:line="480" w:lineRule="auto"/>
        <w:jc w:val="center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目 录</w:t>
      </w:r>
    </w:p>
    <w:p w14:paraId="3ABB9FDB">
      <w:pPr>
        <w:widowControl/>
        <w:spacing w:line="480" w:lineRule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　　第一部分 202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5</w:t>
      </w:r>
      <w:r>
        <w:rPr>
          <w:rFonts w:ascii="宋体" w:hAnsi="宋体" w:eastAsia="宋体" w:cs="宋体"/>
          <w:kern w:val="0"/>
          <w:sz w:val="24"/>
          <w:szCs w:val="24"/>
        </w:rPr>
        <w:t>年部门预算说明</w:t>
      </w:r>
    </w:p>
    <w:p w14:paraId="783C3129">
      <w:pPr>
        <w:widowControl/>
        <w:spacing w:line="480" w:lineRule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　　第二部分 202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5</w:t>
      </w:r>
      <w:r>
        <w:rPr>
          <w:rFonts w:ascii="宋体" w:hAnsi="宋体" w:eastAsia="宋体" w:cs="宋体"/>
          <w:kern w:val="0"/>
          <w:sz w:val="24"/>
          <w:szCs w:val="24"/>
        </w:rPr>
        <w:t>年部门预算表</w:t>
      </w:r>
    </w:p>
    <w:p w14:paraId="277FE6F3">
      <w:pPr>
        <w:widowControl/>
        <w:spacing w:line="480" w:lineRule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　　1、部门收支总体情况表</w:t>
      </w:r>
    </w:p>
    <w:p w14:paraId="707CE612">
      <w:pPr>
        <w:widowControl/>
        <w:spacing w:line="480" w:lineRule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　　2、部门收入总体情况表</w:t>
      </w:r>
    </w:p>
    <w:p w14:paraId="4E1A3770">
      <w:pPr>
        <w:widowControl/>
        <w:spacing w:line="480" w:lineRule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　　3、部门支出总体情况表</w:t>
      </w:r>
    </w:p>
    <w:p w14:paraId="48EA6A99">
      <w:pPr>
        <w:widowControl/>
        <w:spacing w:line="480" w:lineRule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　　4、财政拨款收支情况表</w:t>
      </w:r>
    </w:p>
    <w:p w14:paraId="11232B70">
      <w:pPr>
        <w:widowControl/>
        <w:spacing w:line="480" w:lineRule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　　5、一般公共预算支出表</w:t>
      </w:r>
    </w:p>
    <w:p w14:paraId="77922FA9">
      <w:pPr>
        <w:widowControl/>
        <w:spacing w:line="480" w:lineRule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　　6、一般公共预算基本支出表</w:t>
      </w:r>
    </w:p>
    <w:p w14:paraId="1130094A">
      <w:pPr>
        <w:widowControl/>
        <w:spacing w:line="480" w:lineRule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　　7、一般公共预算“三公”经费支出表</w:t>
      </w:r>
    </w:p>
    <w:p w14:paraId="12DC068D">
      <w:pPr>
        <w:widowControl/>
        <w:spacing w:line="480" w:lineRule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　　8、政府性基金预算支出情况表</w:t>
      </w:r>
    </w:p>
    <w:p w14:paraId="54DD135A">
      <w:pPr>
        <w:widowControl/>
        <w:spacing w:line="480" w:lineRule="auto"/>
        <w:ind w:firstLine="48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注：以上部门预算报表中，空表表示本部门无相关收支情况。</w:t>
      </w:r>
    </w:p>
    <w:p w14:paraId="2476B1FE">
      <w:pPr>
        <w:widowControl/>
        <w:spacing w:line="480" w:lineRule="auto"/>
        <w:ind w:firstLine="480"/>
        <w:rPr>
          <w:rFonts w:ascii="宋体" w:hAnsi="宋体" w:eastAsia="宋体" w:cs="宋体"/>
          <w:kern w:val="0"/>
          <w:sz w:val="24"/>
          <w:szCs w:val="24"/>
        </w:rPr>
      </w:pPr>
    </w:p>
    <w:p w14:paraId="189C34BF">
      <w:pPr>
        <w:widowControl/>
        <w:spacing w:line="480" w:lineRule="auto"/>
        <w:ind w:firstLine="480"/>
        <w:rPr>
          <w:rFonts w:ascii="宋体" w:hAnsi="宋体" w:eastAsia="宋体" w:cs="宋体"/>
          <w:kern w:val="0"/>
          <w:sz w:val="24"/>
          <w:szCs w:val="24"/>
        </w:rPr>
      </w:pPr>
    </w:p>
    <w:p w14:paraId="2CC785F5">
      <w:pPr>
        <w:widowControl/>
        <w:spacing w:line="480" w:lineRule="auto"/>
        <w:ind w:firstLine="480"/>
        <w:rPr>
          <w:rFonts w:ascii="宋体" w:hAnsi="宋体" w:eastAsia="宋体" w:cs="宋体"/>
          <w:kern w:val="0"/>
          <w:sz w:val="24"/>
          <w:szCs w:val="24"/>
        </w:rPr>
      </w:pPr>
    </w:p>
    <w:p w14:paraId="6EC34AC8">
      <w:pPr>
        <w:widowControl/>
        <w:spacing w:line="480" w:lineRule="auto"/>
        <w:ind w:firstLine="480"/>
        <w:rPr>
          <w:rFonts w:ascii="宋体" w:hAnsi="宋体" w:eastAsia="宋体" w:cs="宋体"/>
          <w:kern w:val="0"/>
          <w:sz w:val="24"/>
          <w:szCs w:val="24"/>
        </w:rPr>
      </w:pPr>
    </w:p>
    <w:p w14:paraId="281BA26C">
      <w:pPr>
        <w:widowControl/>
        <w:spacing w:line="480" w:lineRule="auto"/>
        <w:ind w:firstLine="480"/>
        <w:rPr>
          <w:rFonts w:ascii="宋体" w:hAnsi="宋体" w:eastAsia="宋体" w:cs="宋体"/>
          <w:kern w:val="0"/>
          <w:sz w:val="24"/>
          <w:szCs w:val="24"/>
        </w:rPr>
      </w:pPr>
    </w:p>
    <w:p w14:paraId="666AD640">
      <w:pPr>
        <w:widowControl/>
        <w:spacing w:line="480" w:lineRule="auto"/>
        <w:ind w:firstLine="480"/>
        <w:rPr>
          <w:rFonts w:ascii="宋体" w:hAnsi="宋体" w:eastAsia="宋体" w:cs="宋体"/>
          <w:kern w:val="0"/>
          <w:sz w:val="24"/>
          <w:szCs w:val="24"/>
        </w:rPr>
      </w:pPr>
    </w:p>
    <w:p w14:paraId="7F2B1C27">
      <w:pPr>
        <w:widowControl/>
        <w:spacing w:line="480" w:lineRule="auto"/>
        <w:ind w:firstLine="480"/>
        <w:rPr>
          <w:rFonts w:ascii="宋体" w:hAnsi="宋体" w:eastAsia="宋体" w:cs="宋体"/>
          <w:kern w:val="0"/>
          <w:sz w:val="24"/>
          <w:szCs w:val="24"/>
        </w:rPr>
      </w:pPr>
    </w:p>
    <w:p w14:paraId="4DA2FDB3">
      <w:pPr>
        <w:widowControl/>
        <w:spacing w:line="480" w:lineRule="auto"/>
        <w:ind w:firstLine="480"/>
        <w:rPr>
          <w:rFonts w:ascii="宋体" w:hAnsi="宋体" w:eastAsia="宋体" w:cs="宋体"/>
          <w:kern w:val="0"/>
          <w:sz w:val="24"/>
          <w:szCs w:val="24"/>
        </w:rPr>
      </w:pPr>
    </w:p>
    <w:p w14:paraId="74EC16BB">
      <w:pPr>
        <w:pStyle w:val="2"/>
        <w:bidi w:val="0"/>
        <w:jc w:val="center"/>
        <w:rPr>
          <w:sz w:val="32"/>
          <w:szCs w:val="32"/>
        </w:rPr>
      </w:pPr>
      <w:r>
        <w:rPr>
          <w:sz w:val="32"/>
          <w:szCs w:val="32"/>
        </w:rPr>
        <w:t>第一部分 部门预算说明</w:t>
      </w:r>
    </w:p>
    <w:p w14:paraId="6A9AA8B7">
      <w:pPr>
        <w:widowControl/>
        <w:spacing w:line="480" w:lineRule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　　一、部门基本概况</w:t>
      </w:r>
    </w:p>
    <w:p w14:paraId="7539AFB6">
      <w:pPr>
        <w:widowControl/>
        <w:spacing w:line="480" w:lineRule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　　（一）职能职责</w:t>
      </w:r>
    </w:p>
    <w:p w14:paraId="2058FADD">
      <w:pPr>
        <w:widowControl/>
        <w:spacing w:line="480" w:lineRule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　　拘留所是公安机关对被裁决拘留处罚的人执行拘留的场所，依据法律规定，行驶国家行政强制权力，对违反治安管理被裁决拘留人执行处罚；完成县委、县政府及上级业务主管部门交办的其他工作任务。</w:t>
      </w:r>
    </w:p>
    <w:p w14:paraId="463F3D1F">
      <w:pPr>
        <w:widowControl/>
        <w:spacing w:line="480" w:lineRule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　　（二）机构设置</w:t>
      </w:r>
    </w:p>
    <w:p w14:paraId="52A730FB">
      <w:pPr>
        <w:widowControl/>
        <w:spacing w:line="480" w:lineRule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　　湘潭县拘留所属湘潭县公安局二级机构，股级，核定政法专项编制 12名。现有编制人数11人，实有在职人员11人。</w:t>
      </w:r>
    </w:p>
    <w:p w14:paraId="39EFBB62">
      <w:pPr>
        <w:widowControl/>
        <w:spacing w:line="480" w:lineRule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　　二、部门预算单位构成</w:t>
      </w:r>
    </w:p>
    <w:p w14:paraId="040E1D6F">
      <w:pPr>
        <w:widowControl/>
        <w:spacing w:line="480" w:lineRule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　　湘潭县拘留所属湘潭县公安局二级机构，人员编制由县公安局统一管理，但拘留专项部份属县财政一级预算单位。因此，纳入20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25</w:t>
      </w:r>
      <w:r>
        <w:rPr>
          <w:rFonts w:ascii="宋体" w:hAnsi="宋体" w:eastAsia="宋体" w:cs="宋体"/>
          <w:kern w:val="0"/>
          <w:sz w:val="24"/>
          <w:szCs w:val="24"/>
        </w:rPr>
        <w:t>年部门预算编制范围的只有拘留专项经费。</w:t>
      </w:r>
    </w:p>
    <w:p w14:paraId="5F91C509">
      <w:pPr>
        <w:widowControl/>
        <w:spacing w:line="480" w:lineRule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　　三、部门收支总体情况</w:t>
      </w:r>
    </w:p>
    <w:p w14:paraId="61ADFF87">
      <w:pPr>
        <w:widowControl/>
        <w:spacing w:line="480" w:lineRule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　　（一）收入预算：包括一般公共预算、政府性基金、国有资本经营预算等财政拨款收入，以及经营收入、事业收入等单位资金。202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5</w:t>
      </w:r>
      <w:r>
        <w:rPr>
          <w:rFonts w:ascii="宋体" w:hAnsi="宋体" w:eastAsia="宋体" w:cs="宋体"/>
          <w:kern w:val="0"/>
          <w:sz w:val="24"/>
          <w:szCs w:val="24"/>
        </w:rPr>
        <w:t>年本部门收入预算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64.20</w:t>
      </w:r>
      <w:r>
        <w:rPr>
          <w:rFonts w:ascii="宋体" w:hAnsi="宋体" w:eastAsia="宋体" w:cs="宋体"/>
          <w:kern w:val="0"/>
          <w:sz w:val="24"/>
          <w:szCs w:val="24"/>
        </w:rPr>
        <w:t>万元，其中，一般公共预算拨款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64.2</w:t>
      </w:r>
      <w:r>
        <w:rPr>
          <w:rFonts w:ascii="宋体" w:hAnsi="宋体" w:eastAsia="宋体" w:cs="宋体"/>
          <w:kern w:val="0"/>
          <w:sz w:val="24"/>
          <w:szCs w:val="24"/>
        </w:rPr>
        <w:t>万元，政府性基金预算拨款0万元，国有资本经营预算拨款0万元，纳入专户管理的非税收入0万元。收入较去年减少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7.1</w:t>
      </w:r>
      <w:r>
        <w:rPr>
          <w:rFonts w:ascii="宋体" w:hAnsi="宋体" w:eastAsia="宋体" w:cs="宋体"/>
          <w:kern w:val="0"/>
          <w:sz w:val="24"/>
          <w:szCs w:val="24"/>
        </w:rPr>
        <w:t>万元，主要是财政压缩一般公共预算开支，减少项目经费。</w:t>
      </w:r>
    </w:p>
    <w:p w14:paraId="48E39F1F">
      <w:pPr>
        <w:widowControl/>
        <w:spacing w:line="480" w:lineRule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　　（二）支出预算：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2025</w:t>
      </w:r>
      <w:r>
        <w:rPr>
          <w:rFonts w:ascii="宋体" w:hAnsi="宋体" w:eastAsia="宋体" w:cs="宋体"/>
          <w:kern w:val="0"/>
          <w:sz w:val="24"/>
          <w:szCs w:val="24"/>
        </w:rPr>
        <w:t>年本部门支出预算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64.2</w:t>
      </w:r>
      <w:r>
        <w:rPr>
          <w:rFonts w:ascii="宋体" w:hAnsi="宋体" w:eastAsia="宋体" w:cs="宋体"/>
          <w:kern w:val="0"/>
          <w:sz w:val="24"/>
          <w:szCs w:val="24"/>
        </w:rPr>
        <w:t>万元，其中，一般公共服务0万元，公共安全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64.2</w:t>
      </w:r>
      <w:r>
        <w:rPr>
          <w:rFonts w:ascii="宋体" w:hAnsi="宋体" w:eastAsia="宋体" w:cs="宋体"/>
          <w:kern w:val="0"/>
          <w:sz w:val="24"/>
          <w:szCs w:val="24"/>
        </w:rPr>
        <w:t>万元，教育0万元，科学技术0万元。支出较去年减少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7.1</w:t>
      </w:r>
      <w:r>
        <w:rPr>
          <w:rFonts w:ascii="宋体" w:hAnsi="宋体" w:eastAsia="宋体" w:cs="宋体"/>
          <w:kern w:val="0"/>
          <w:sz w:val="24"/>
          <w:szCs w:val="24"/>
        </w:rPr>
        <w:t>万元，主要是财政压缩一般公共预算开支，减少项目经费。</w:t>
      </w:r>
    </w:p>
    <w:p w14:paraId="28DE8EA9">
      <w:pPr>
        <w:widowControl/>
        <w:spacing w:line="480" w:lineRule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　　四、一般公共预算拨款支出</w:t>
      </w:r>
    </w:p>
    <w:p w14:paraId="0697E446">
      <w:pPr>
        <w:widowControl/>
        <w:spacing w:line="480" w:lineRule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　　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2025</w:t>
      </w:r>
      <w:r>
        <w:rPr>
          <w:rFonts w:ascii="宋体" w:hAnsi="宋体" w:eastAsia="宋体" w:cs="宋体"/>
          <w:kern w:val="0"/>
          <w:sz w:val="24"/>
          <w:szCs w:val="24"/>
        </w:rPr>
        <w:t>年本部门一般公共预算拨款支出预算0万元，其中，一般公共服务支出0万元，占0 %；公共安全支出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64.2</w:t>
      </w:r>
      <w:r>
        <w:rPr>
          <w:rFonts w:ascii="宋体" w:hAnsi="宋体" w:eastAsia="宋体" w:cs="宋体"/>
          <w:kern w:val="0"/>
          <w:sz w:val="24"/>
          <w:szCs w:val="24"/>
        </w:rPr>
        <w:t>万元，占100%。具体安排情况如下：</w:t>
      </w:r>
    </w:p>
    <w:p w14:paraId="0FE53C2A">
      <w:pPr>
        <w:widowControl/>
        <w:spacing w:line="480" w:lineRule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　　（一）基本支出：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2025</w:t>
      </w:r>
      <w:r>
        <w:rPr>
          <w:rFonts w:ascii="宋体" w:hAnsi="宋体" w:eastAsia="宋体" w:cs="宋体"/>
          <w:kern w:val="0"/>
          <w:sz w:val="24"/>
          <w:szCs w:val="24"/>
        </w:rPr>
        <w:t>年本部门基本支出预算数0万元。</w:t>
      </w:r>
    </w:p>
    <w:p w14:paraId="5263D785">
      <w:pPr>
        <w:widowControl/>
        <w:spacing w:line="480" w:lineRule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　　（二）项目支出：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2025</w:t>
      </w:r>
      <w:r>
        <w:rPr>
          <w:rFonts w:ascii="宋体" w:hAnsi="宋体" w:eastAsia="宋体" w:cs="宋体"/>
          <w:kern w:val="0"/>
          <w:sz w:val="24"/>
          <w:szCs w:val="24"/>
        </w:rPr>
        <w:t>年本部门项目支出预算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64.2</w:t>
      </w:r>
      <w:r>
        <w:rPr>
          <w:rFonts w:ascii="宋体" w:hAnsi="宋体" w:eastAsia="宋体" w:cs="宋体"/>
          <w:kern w:val="0"/>
          <w:sz w:val="24"/>
          <w:szCs w:val="24"/>
        </w:rPr>
        <w:t>万元，主要是部门为完成特定行政工作任务或事业发展目标而发生的支出，包括有关事业发展专项、专项业务费、基本建设支出等，其中：拘留专项经费支出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64.2</w:t>
      </w:r>
      <w:r>
        <w:rPr>
          <w:rFonts w:ascii="宋体" w:hAnsi="宋体" w:eastAsia="宋体" w:cs="宋体"/>
          <w:kern w:val="0"/>
          <w:sz w:val="24"/>
          <w:szCs w:val="24"/>
        </w:rPr>
        <w:t>万元，</w:t>
      </w:r>
      <w:r>
        <w:rPr>
          <w:rFonts w:hint="eastAsia" w:ascii="宋体" w:hAnsi="宋体" w:eastAsia="宋体" w:cs="宋体"/>
          <w:kern w:val="0"/>
          <w:sz w:val="24"/>
          <w:szCs w:val="24"/>
        </w:rPr>
        <w:t>用于机关服务支出11.8万元，包括工勤人员工资补助、福利费、公杂费等；用于罪犯生活及医疗卫生支出预算31.6万元，包括伙食费、被装费、水电费、燃料费、医疗社会化服务等；用于信息化建设支出预算18万元，包括用于通信、监控、警械等设备购置维护，用于其他监狱支出预算2.7万元，包括用于保证工作正常运转必须开支的商品服务费用等支出；</w:t>
      </w:r>
      <w:r>
        <w:rPr>
          <w:rFonts w:ascii="宋体" w:hAnsi="宋体" w:eastAsia="宋体" w:cs="宋体"/>
          <w:kern w:val="0"/>
          <w:sz w:val="24"/>
          <w:szCs w:val="24"/>
        </w:rPr>
        <w:t>，包括用于保证工作正常运转必须开支的商品服务费用等支出。</w:t>
      </w:r>
    </w:p>
    <w:p w14:paraId="2A383FD1">
      <w:pPr>
        <w:widowControl/>
        <w:spacing w:line="480" w:lineRule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　　五、政府性基金预算支出</w:t>
      </w:r>
    </w:p>
    <w:p w14:paraId="75F207D2">
      <w:pPr>
        <w:widowControl/>
        <w:spacing w:line="480" w:lineRule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　　本部门无政府性基金安排的支出。</w:t>
      </w:r>
    </w:p>
    <w:p w14:paraId="3D7602D4">
      <w:pPr>
        <w:widowControl/>
        <w:spacing w:line="480" w:lineRule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　　六、其他重要事项的情况说明</w:t>
      </w:r>
    </w:p>
    <w:p w14:paraId="4CC90783">
      <w:pPr>
        <w:widowControl/>
        <w:spacing w:line="480" w:lineRule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　　（一）机关运行经费：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2025</w:t>
      </w:r>
      <w:r>
        <w:rPr>
          <w:rFonts w:ascii="宋体" w:hAnsi="宋体" w:eastAsia="宋体" w:cs="宋体"/>
          <w:kern w:val="0"/>
          <w:sz w:val="24"/>
          <w:szCs w:val="24"/>
        </w:rPr>
        <w:t>年年本部门机关本级的机关运行经费0万元，比上年预算持平，主要是本单位只有项目支出，无基本支出。</w:t>
      </w:r>
    </w:p>
    <w:p w14:paraId="56581DFC">
      <w:pPr>
        <w:widowControl/>
        <w:spacing w:line="480" w:lineRule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　　（二）“三公”经费预算：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2025</w:t>
      </w:r>
      <w:r>
        <w:rPr>
          <w:rFonts w:ascii="宋体" w:hAnsi="宋体" w:eastAsia="宋体" w:cs="宋体"/>
          <w:kern w:val="0"/>
          <w:sz w:val="24"/>
          <w:szCs w:val="24"/>
        </w:rPr>
        <w:t>年本部门机关本级的“三公”经费预算数为0万元，其中，公务接待费0万元，公务用车购置及运行费0万元（其中，公务用车购置费0万元，公务用车运行费0万元），因公出国（境）费0万元。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2025</w:t>
      </w:r>
      <w:r>
        <w:rPr>
          <w:rFonts w:ascii="宋体" w:hAnsi="宋体" w:eastAsia="宋体" w:cs="宋体"/>
          <w:kern w:val="0"/>
          <w:sz w:val="24"/>
          <w:szCs w:val="24"/>
        </w:rPr>
        <w:t>年“三公”经费预算较</w:t>
      </w:r>
      <w:bookmarkStart w:id="0" w:name="_GoBack"/>
      <w:bookmarkEnd w:id="0"/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2024</w:t>
      </w:r>
      <w:r>
        <w:rPr>
          <w:rFonts w:ascii="宋体" w:hAnsi="宋体" w:eastAsia="宋体" w:cs="宋体"/>
          <w:kern w:val="0"/>
          <w:sz w:val="24"/>
          <w:szCs w:val="24"/>
        </w:rPr>
        <w:t>年减少0万元，与去年持平。</w:t>
      </w:r>
    </w:p>
    <w:p w14:paraId="77391EBA">
      <w:pPr>
        <w:widowControl/>
        <w:spacing w:line="480" w:lineRule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　　（三）一般性支出情况：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2025</w:t>
      </w:r>
      <w:r>
        <w:rPr>
          <w:rFonts w:ascii="宋体" w:hAnsi="宋体" w:eastAsia="宋体" w:cs="宋体"/>
          <w:kern w:val="0"/>
          <w:sz w:val="24"/>
          <w:szCs w:val="24"/>
        </w:rPr>
        <w:t>年本部门会议费预算0万元；培训费预算0万元；拟举办0次节庆、晚会、论坛、赛事活动，经费预算0 万元。</w:t>
      </w:r>
    </w:p>
    <w:p w14:paraId="678FDBAF">
      <w:pPr>
        <w:widowControl/>
        <w:spacing w:line="480" w:lineRule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　　（四）政府采购情况：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2025</w:t>
      </w:r>
      <w:r>
        <w:rPr>
          <w:rFonts w:ascii="宋体" w:hAnsi="宋体" w:eastAsia="宋体" w:cs="宋体"/>
          <w:kern w:val="0"/>
          <w:sz w:val="24"/>
          <w:szCs w:val="24"/>
        </w:rPr>
        <w:t>年本部门政府采购预算总额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16</w:t>
      </w:r>
      <w:r>
        <w:rPr>
          <w:rFonts w:ascii="宋体" w:hAnsi="宋体" w:eastAsia="宋体" w:cs="宋体"/>
          <w:kern w:val="0"/>
          <w:sz w:val="24"/>
          <w:szCs w:val="24"/>
        </w:rPr>
        <w:t>万元，其中，货物类采购预算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8</w:t>
      </w:r>
      <w:r>
        <w:rPr>
          <w:rFonts w:ascii="宋体" w:hAnsi="宋体" w:eastAsia="宋体" w:cs="宋体"/>
          <w:kern w:val="0"/>
          <w:sz w:val="24"/>
          <w:szCs w:val="24"/>
        </w:rPr>
        <w:t>万元；工程类采购预算5万元；服务类采购预3万元。</w:t>
      </w:r>
    </w:p>
    <w:p w14:paraId="220C5D79">
      <w:pPr>
        <w:widowControl/>
        <w:spacing w:line="480" w:lineRule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　　（五）国有资产占用使用及新增资产配置情况：截至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2024</w:t>
      </w:r>
      <w:r>
        <w:rPr>
          <w:rFonts w:ascii="宋体" w:hAnsi="宋体" w:eastAsia="宋体" w:cs="宋体"/>
          <w:kern w:val="0"/>
          <w:sz w:val="24"/>
          <w:szCs w:val="24"/>
        </w:rPr>
        <w:t>年12月底，本部门共有公务用车1辆，其中，机要通信用车0辆，应急保障用车0辆，执法执勤用车1辆，特种专业技术用车0辆，其他按照规定配备的公务用车0辆；单位价值50万元以上通用设备0台，单位价值100万元以上专用设备0台。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2025</w:t>
      </w:r>
      <w:r>
        <w:rPr>
          <w:rFonts w:ascii="宋体" w:hAnsi="宋体" w:eastAsia="宋体" w:cs="宋体"/>
          <w:kern w:val="0"/>
          <w:sz w:val="24"/>
          <w:szCs w:val="24"/>
        </w:rPr>
        <w:t>年拟新增配置公务用车0辆，其中，机要通信用车0辆，应急保障用车0辆，执法执勤用车0辆，特种专业技术用车0辆，其他按照规定配备的公务用车0辆；新增配备单位价值50万元以上通用设备0台，单位价值100万元以上专用设备0台。</w:t>
      </w:r>
    </w:p>
    <w:p w14:paraId="202A675B">
      <w:pPr>
        <w:widowControl/>
        <w:spacing w:line="480" w:lineRule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　　（六）预算绩效目标说明：本部门所有支出实行绩效目标管理。纳入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2025</w:t>
      </w:r>
      <w:r>
        <w:rPr>
          <w:rFonts w:ascii="宋体" w:hAnsi="宋体" w:eastAsia="宋体" w:cs="宋体"/>
          <w:kern w:val="0"/>
          <w:sz w:val="24"/>
          <w:szCs w:val="24"/>
        </w:rPr>
        <w:t>年部门整体支出绩效目标的金额为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64.2</w:t>
      </w:r>
      <w:r>
        <w:rPr>
          <w:rFonts w:ascii="宋体" w:hAnsi="宋体" w:eastAsia="宋体" w:cs="宋体"/>
          <w:kern w:val="0"/>
          <w:sz w:val="24"/>
          <w:szCs w:val="24"/>
        </w:rPr>
        <w:t>万元，其中，基本支出0万元，项目支出</w:t>
      </w:r>
      <w:r>
        <w:rPr>
          <w:rFonts w:hint="eastAsia" w:ascii="宋体" w:hAnsi="宋体" w:eastAsia="宋体" w:cs="宋体"/>
          <w:kern w:val="0"/>
          <w:sz w:val="24"/>
          <w:szCs w:val="24"/>
          <w:lang w:eastAsia="zh-CN"/>
        </w:rPr>
        <w:t>64.2</w:t>
      </w:r>
      <w:r>
        <w:rPr>
          <w:rFonts w:ascii="宋体" w:hAnsi="宋体" w:eastAsia="宋体" w:cs="宋体"/>
          <w:kern w:val="0"/>
          <w:sz w:val="24"/>
          <w:szCs w:val="24"/>
        </w:rPr>
        <w:t>万元，具体绩效目标详见报表。本单位无重点绩效。</w:t>
      </w:r>
    </w:p>
    <w:p w14:paraId="2D762590">
      <w:pPr>
        <w:widowControl/>
        <w:spacing w:line="480" w:lineRule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　　七、名词解释</w:t>
      </w:r>
    </w:p>
    <w:p w14:paraId="4F1B9B3F">
      <w:pPr>
        <w:widowControl/>
        <w:spacing w:line="480" w:lineRule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　　1、机关运行经费：是指各部门的公用经费，包括办公及印刷费、邮电费、差旅费、会议费、福利费、日常维修费、专用资料及一般设备购置费、办公用房水电费、办公用房取暖费、办公用房物业管理费、公务用车运行维护费以及其他费用。</w:t>
      </w:r>
    </w:p>
    <w:p w14:paraId="5FF2238D">
      <w:pPr>
        <w:widowControl/>
        <w:spacing w:line="480" w:lineRule="auto"/>
        <w:ind w:firstLine="480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ascii="宋体" w:hAnsi="宋体" w:eastAsia="宋体" w:cs="宋体"/>
          <w:kern w:val="0"/>
          <w:sz w:val="24"/>
          <w:szCs w:val="24"/>
        </w:rPr>
        <w:t>2、“三公”经费：纳入省（市/县）财政预算管理的“三公“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住宿费、伙食费、培训费、公杂费等等支出。</w:t>
      </w:r>
    </w:p>
    <w:p w14:paraId="0E5AFC2D">
      <w:pPr>
        <w:widowControl/>
        <w:spacing w:line="480" w:lineRule="auto"/>
        <w:ind w:firstLine="480"/>
        <w:rPr>
          <w:rFonts w:ascii="宋体" w:hAnsi="宋体" w:eastAsia="宋体" w:cs="宋体"/>
          <w:kern w:val="0"/>
          <w:sz w:val="24"/>
          <w:szCs w:val="24"/>
        </w:rPr>
      </w:pPr>
    </w:p>
    <w:p w14:paraId="39C28290">
      <w:pPr>
        <w:widowControl/>
        <w:spacing w:line="480" w:lineRule="auto"/>
        <w:ind w:firstLine="480"/>
        <w:rPr>
          <w:rFonts w:ascii="宋体" w:hAnsi="宋体" w:eastAsia="宋体" w:cs="宋体"/>
          <w:kern w:val="0"/>
          <w:sz w:val="24"/>
          <w:szCs w:val="24"/>
        </w:rPr>
      </w:pPr>
    </w:p>
    <w:p w14:paraId="401F886A">
      <w:pPr>
        <w:widowControl/>
        <w:spacing w:line="480" w:lineRule="auto"/>
        <w:ind w:firstLine="480"/>
        <w:rPr>
          <w:rFonts w:ascii="宋体" w:hAnsi="宋体" w:eastAsia="宋体" w:cs="宋体"/>
          <w:kern w:val="0"/>
          <w:sz w:val="24"/>
          <w:szCs w:val="24"/>
        </w:rPr>
      </w:pPr>
    </w:p>
    <w:p w14:paraId="0F938BC0">
      <w:pPr>
        <w:widowControl/>
        <w:spacing w:line="480" w:lineRule="auto"/>
        <w:rPr>
          <w:rFonts w:ascii="宋体" w:hAnsi="宋体" w:eastAsia="宋体" w:cs="宋体"/>
          <w:kern w:val="0"/>
          <w:sz w:val="24"/>
          <w:szCs w:val="24"/>
        </w:rPr>
      </w:pPr>
    </w:p>
    <w:p w14:paraId="3B85F22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1" w:fontKey="{E59E6784-350A-44D1-A53A-434609689DC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00BB"/>
    <w:rsid w:val="0003660F"/>
    <w:rsid w:val="00046151"/>
    <w:rsid w:val="00055CF1"/>
    <w:rsid w:val="000A3EB1"/>
    <w:rsid w:val="000C1152"/>
    <w:rsid w:val="000D0351"/>
    <w:rsid w:val="00106997"/>
    <w:rsid w:val="00124E5F"/>
    <w:rsid w:val="0013148E"/>
    <w:rsid w:val="001702C8"/>
    <w:rsid w:val="001975AA"/>
    <w:rsid w:val="001C7F57"/>
    <w:rsid w:val="001F5A07"/>
    <w:rsid w:val="001F731D"/>
    <w:rsid w:val="00257C82"/>
    <w:rsid w:val="0027157A"/>
    <w:rsid w:val="002A7F73"/>
    <w:rsid w:val="002C44D2"/>
    <w:rsid w:val="002E5C44"/>
    <w:rsid w:val="00380255"/>
    <w:rsid w:val="003A550E"/>
    <w:rsid w:val="003E4631"/>
    <w:rsid w:val="003F08E8"/>
    <w:rsid w:val="00406D8A"/>
    <w:rsid w:val="00413EC5"/>
    <w:rsid w:val="00435931"/>
    <w:rsid w:val="0043731F"/>
    <w:rsid w:val="00471EC8"/>
    <w:rsid w:val="00482BDA"/>
    <w:rsid w:val="004C7CD1"/>
    <w:rsid w:val="004F1E96"/>
    <w:rsid w:val="00502F0A"/>
    <w:rsid w:val="0051036E"/>
    <w:rsid w:val="00511CC7"/>
    <w:rsid w:val="0053700B"/>
    <w:rsid w:val="00557EDF"/>
    <w:rsid w:val="0056482B"/>
    <w:rsid w:val="00582B64"/>
    <w:rsid w:val="005B27C4"/>
    <w:rsid w:val="005B6BCC"/>
    <w:rsid w:val="005C00E6"/>
    <w:rsid w:val="005C4F63"/>
    <w:rsid w:val="00631AD0"/>
    <w:rsid w:val="00633495"/>
    <w:rsid w:val="00635A61"/>
    <w:rsid w:val="00642166"/>
    <w:rsid w:val="006506CD"/>
    <w:rsid w:val="006B7945"/>
    <w:rsid w:val="006E17B9"/>
    <w:rsid w:val="006E750D"/>
    <w:rsid w:val="007216AE"/>
    <w:rsid w:val="007230A0"/>
    <w:rsid w:val="00727626"/>
    <w:rsid w:val="00757926"/>
    <w:rsid w:val="007C1519"/>
    <w:rsid w:val="007D495E"/>
    <w:rsid w:val="007F47BB"/>
    <w:rsid w:val="00800480"/>
    <w:rsid w:val="008212A8"/>
    <w:rsid w:val="00821E14"/>
    <w:rsid w:val="00833868"/>
    <w:rsid w:val="00897925"/>
    <w:rsid w:val="00897A0B"/>
    <w:rsid w:val="008A4016"/>
    <w:rsid w:val="008B5048"/>
    <w:rsid w:val="009253D8"/>
    <w:rsid w:val="009550D9"/>
    <w:rsid w:val="009A415B"/>
    <w:rsid w:val="009E3337"/>
    <w:rsid w:val="009F1A94"/>
    <w:rsid w:val="00A5507D"/>
    <w:rsid w:val="00A5656A"/>
    <w:rsid w:val="00A675F8"/>
    <w:rsid w:val="00AE275F"/>
    <w:rsid w:val="00B21432"/>
    <w:rsid w:val="00BA0B48"/>
    <w:rsid w:val="00BB514E"/>
    <w:rsid w:val="00BC1BAB"/>
    <w:rsid w:val="00BC42A9"/>
    <w:rsid w:val="00BC4BE1"/>
    <w:rsid w:val="00BF63A1"/>
    <w:rsid w:val="00C047E8"/>
    <w:rsid w:val="00C064F6"/>
    <w:rsid w:val="00C27DB7"/>
    <w:rsid w:val="00C42F0A"/>
    <w:rsid w:val="00C61F06"/>
    <w:rsid w:val="00C65914"/>
    <w:rsid w:val="00C92DFD"/>
    <w:rsid w:val="00CA353C"/>
    <w:rsid w:val="00CC00FA"/>
    <w:rsid w:val="00CD5F70"/>
    <w:rsid w:val="00CE2493"/>
    <w:rsid w:val="00D149BC"/>
    <w:rsid w:val="00D1716B"/>
    <w:rsid w:val="00D26D06"/>
    <w:rsid w:val="00D351C0"/>
    <w:rsid w:val="00D4031E"/>
    <w:rsid w:val="00D573C5"/>
    <w:rsid w:val="00D619F7"/>
    <w:rsid w:val="00D74B1E"/>
    <w:rsid w:val="00D91838"/>
    <w:rsid w:val="00D94F3C"/>
    <w:rsid w:val="00DF1029"/>
    <w:rsid w:val="00DF46A7"/>
    <w:rsid w:val="00E60113"/>
    <w:rsid w:val="00E7464F"/>
    <w:rsid w:val="00E84CB1"/>
    <w:rsid w:val="00E87860"/>
    <w:rsid w:val="00EA24D0"/>
    <w:rsid w:val="00EA752B"/>
    <w:rsid w:val="00EB0E79"/>
    <w:rsid w:val="00EB6710"/>
    <w:rsid w:val="00F050EA"/>
    <w:rsid w:val="00F0628E"/>
    <w:rsid w:val="00F3531E"/>
    <w:rsid w:val="00F47F16"/>
    <w:rsid w:val="00F600BB"/>
    <w:rsid w:val="00FB7879"/>
    <w:rsid w:val="00FE5134"/>
    <w:rsid w:val="28FA6247"/>
    <w:rsid w:val="56BA7352"/>
    <w:rsid w:val="66396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6">
    <w:name w:val="font31"/>
    <w:basedOn w:val="5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5</Pages>
  <Words>2039</Words>
  <Characters>2148</Characters>
  <Lines>34</Lines>
  <Paragraphs>9</Paragraphs>
  <TotalTime>22</TotalTime>
  <ScaleCrop>false</ScaleCrop>
  <LinksUpToDate>false</LinksUpToDate>
  <CharactersWithSpaces>2225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2024-06-11T00:09:00Z</dcterms:created>
  <dc:creator>MM</dc:creator>
  <cp:lastModifiedBy>丛华</cp:lastModifiedBy>
  <dcterms:modified xsi:type="dcterms:W3CDTF">2025-01-19T09:56:36Z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eyJoZGlkIjoiMGIwZjJlYjk4YzhiOTlmMDkxODMxZDJmOTRmYmU2MTkiLCJ1c2VySWQiOiI3MDc1NDMxNDQifQ==</vt:lpwstr>
  </property>
  <property fmtid="{D5CDD505-2E9C-101B-9397-08002B2CF9AE}" pid="3" name="KSOProductBuildVer">
    <vt:lpwstr>2052-12.1.0.19770</vt:lpwstr>
  </property>
  <property fmtid="{D5CDD505-2E9C-101B-9397-08002B2CF9AE}" pid="4" name="ICV">
    <vt:lpwstr>FAB137B41EFB4AD0A7ADCA117F957788_13</vt:lpwstr>
  </property>
</Properties>
</file>