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B23F84">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14:paraId="1DB820A6">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湘潭县谭家山镇202</w:t>
      </w:r>
      <w:r>
        <w:rPr>
          <w:rFonts w:hint="eastAsia" w:ascii="方正小标宋_GBK" w:hAnsi="方正小标宋_GBK" w:eastAsia="方正小标宋_GBK" w:cs="方正小标宋_GBK"/>
          <w:sz w:val="44"/>
          <w:szCs w:val="44"/>
          <w:lang w:val="en-US" w:eastAsia="zh-CN"/>
        </w:rPr>
        <w:t>4</w:t>
      </w:r>
      <w:r>
        <w:rPr>
          <w:rFonts w:hint="eastAsia" w:ascii="方正小标宋_GBK" w:hAnsi="方正小标宋_GBK" w:eastAsia="方正小标宋_GBK" w:cs="方正小标宋_GBK"/>
          <w:sz w:val="44"/>
          <w:szCs w:val="44"/>
        </w:rPr>
        <w:t>年政府信息公开工作</w:t>
      </w:r>
    </w:p>
    <w:p w14:paraId="668AC233">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年度报告</w:t>
      </w:r>
    </w:p>
    <w:p w14:paraId="73E6DE70">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sz w:val="32"/>
          <w:lang w:val="en-US" w:eastAsia="zh-CN"/>
        </w:rPr>
      </w:pPr>
    </w:p>
    <w:p w14:paraId="2C8AF3A3">
      <w:pPr>
        <w:rPr>
          <w:rFonts w:hint="eastAsia" w:ascii="黑体" w:hAnsi="黑体" w:eastAsia="黑体" w:cs="黑体"/>
          <w:sz w:val="32"/>
          <w:lang w:val="en-US" w:eastAsia="zh-CN"/>
        </w:rPr>
      </w:pPr>
      <w:r>
        <w:rPr>
          <w:rFonts w:hint="eastAsia"/>
          <w:sz w:val="32"/>
          <w:lang w:val="en-US" w:eastAsia="zh-CN"/>
        </w:rPr>
        <w:t>根据《中华人民共和国政府信息公开条例》（国务院令第711号）规定，以及《国务院办公厅政府信息与政务公开办公室关于印发〈中华人民共和国政府信息公开工作年度报告格式〉的通知》（国办公开办函〔2021〕30号）要求编制本报告。本报告所列数据的统计期限为2024年1月1日至2024年12月31日。</w:t>
      </w:r>
    </w:p>
    <w:p w14:paraId="1D3598C6">
      <w:pPr>
        <w:rPr>
          <w:rFonts w:hint="eastAsia" w:ascii="黑体" w:hAnsi="黑体" w:eastAsia="黑体" w:cs="黑体"/>
          <w:sz w:val="32"/>
          <w:lang w:val="en-US" w:eastAsia="zh-CN"/>
        </w:rPr>
      </w:pPr>
      <w:r>
        <w:rPr>
          <w:rFonts w:hint="eastAsia" w:ascii="黑体" w:hAnsi="黑体" w:eastAsia="黑体" w:cs="黑体"/>
          <w:sz w:val="32"/>
          <w:lang w:val="en-US" w:eastAsia="zh-CN"/>
        </w:rPr>
        <w:t>一、总体情况</w:t>
      </w:r>
    </w:p>
    <w:p w14:paraId="550F0CF4">
      <w:pPr>
        <w:rPr>
          <w:rFonts w:hint="eastAsia"/>
          <w:sz w:val="32"/>
          <w:lang w:val="en-US" w:eastAsia="zh-CN"/>
        </w:rPr>
      </w:pPr>
      <w:r>
        <w:rPr>
          <w:rFonts w:hint="eastAsia"/>
          <w:sz w:val="32"/>
          <w:lang w:val="en-US" w:eastAsia="zh-CN"/>
        </w:rPr>
        <w:t>2024年，谭家山镇政府及其工作部门紧紧围绕县委、县政府中心工作，认真贯彻实施《条例》，部署和落实2024年重点工作安排，加强领导、明确责任，及时部署、积极推动，健全制度、拓展形式，加强检查、抓好监督，平稳、有序地推进政府信息公开工作。在服务经济社会发展、转变政府职能、保证行政权力公开透明运行和保障公民知情权、参与权、表达权、监督权等方面发挥了积极作用。全年主要做好了以下几项工作：</w:t>
      </w:r>
    </w:p>
    <w:p w14:paraId="59838305">
      <w:pPr>
        <w:rPr>
          <w:rFonts w:hint="eastAsia"/>
          <w:sz w:val="32"/>
          <w:lang w:val="en-US" w:eastAsia="zh-CN"/>
        </w:rPr>
      </w:pPr>
      <w:r>
        <w:rPr>
          <w:rFonts w:hint="eastAsia"/>
          <w:sz w:val="32"/>
          <w:lang w:val="en-US" w:eastAsia="zh-CN"/>
        </w:rPr>
        <w:t>1.主动公开方面</w:t>
      </w:r>
    </w:p>
    <w:p w14:paraId="295E44C9">
      <w:pPr>
        <w:rPr>
          <w:rFonts w:hint="eastAsia"/>
          <w:sz w:val="32"/>
          <w:lang w:val="en-US" w:eastAsia="zh-CN"/>
        </w:rPr>
      </w:pPr>
      <w:r>
        <w:rPr>
          <w:rFonts w:hint="eastAsia"/>
          <w:sz w:val="32"/>
          <w:lang w:val="en-US" w:eastAsia="zh-CN"/>
        </w:rPr>
        <w:t>2024年，我镇累计主动公开政府信息条（其中政务公开93条、财政信息4条、其他信息1条），更新信息2条，及时公开了各类重要内容。</w:t>
      </w:r>
    </w:p>
    <w:p w14:paraId="70B54C13">
      <w:pPr>
        <w:rPr>
          <w:rFonts w:hint="eastAsia"/>
          <w:sz w:val="32"/>
          <w:lang w:val="en-US" w:eastAsia="zh-CN"/>
        </w:rPr>
      </w:pPr>
      <w:r>
        <w:rPr>
          <w:rFonts w:hint="eastAsia"/>
          <w:sz w:val="32"/>
          <w:lang w:val="en-US" w:eastAsia="zh-CN"/>
        </w:rPr>
        <w:t>2.依申请公开方面</w:t>
      </w:r>
    </w:p>
    <w:p w14:paraId="0B2AFDC8">
      <w:pPr>
        <w:rPr>
          <w:rFonts w:hint="eastAsia"/>
          <w:sz w:val="32"/>
          <w:lang w:val="en-US" w:eastAsia="zh-CN"/>
        </w:rPr>
      </w:pPr>
      <w:r>
        <w:rPr>
          <w:rFonts w:hint="eastAsia"/>
          <w:sz w:val="32"/>
          <w:lang w:val="en-US" w:eastAsia="zh-CN"/>
        </w:rPr>
        <w:t>2024年，我镇没有收到政府信息公开申请，全年没有一件因政府信息公开工作被申请行政复议、提起行政诉讼。</w:t>
      </w:r>
    </w:p>
    <w:p w14:paraId="1C136B6F">
      <w:pPr>
        <w:rPr>
          <w:rFonts w:hint="eastAsia"/>
          <w:sz w:val="32"/>
          <w:lang w:val="en-US" w:eastAsia="zh-CN"/>
        </w:rPr>
      </w:pPr>
      <w:r>
        <w:rPr>
          <w:rFonts w:hint="eastAsia"/>
          <w:sz w:val="32"/>
          <w:lang w:val="en-US" w:eastAsia="zh-CN"/>
        </w:rPr>
        <w:t>3.政府信息管理方面</w:t>
      </w:r>
    </w:p>
    <w:p w14:paraId="35AEB591">
      <w:pPr>
        <w:rPr>
          <w:rFonts w:hint="eastAsia"/>
          <w:sz w:val="32"/>
          <w:lang w:val="en-US" w:eastAsia="zh-CN"/>
        </w:rPr>
      </w:pPr>
      <w:r>
        <w:rPr>
          <w:rFonts w:hint="eastAsia"/>
          <w:sz w:val="32"/>
          <w:lang w:val="en-US" w:eastAsia="zh-CN"/>
        </w:rPr>
        <w:t>健全和完善了政务公开工作制度，规范了政务公开工作指南、工作职责、办事流程等标准。对现有规范性文件进行了全面梳理，对公布的所有规范性文件逐个进行检查，确保每个规范性文件完整包括标题、文号、发文日期、全文及有效性等。对规范性文件进行文字、图片、视频等多种形式详细政策解读。</w:t>
      </w:r>
    </w:p>
    <w:p w14:paraId="6B666B43">
      <w:pPr>
        <w:rPr>
          <w:rFonts w:hint="eastAsia"/>
          <w:sz w:val="32"/>
          <w:lang w:val="en-US" w:eastAsia="zh-CN"/>
        </w:rPr>
      </w:pPr>
      <w:r>
        <w:rPr>
          <w:rFonts w:hint="eastAsia"/>
          <w:sz w:val="32"/>
          <w:lang w:val="en-US" w:eastAsia="zh-CN"/>
        </w:rPr>
        <w:t>4.政府信息公开平台建设方面</w:t>
      </w:r>
    </w:p>
    <w:p w14:paraId="0BF27B6F">
      <w:pPr>
        <w:rPr>
          <w:rFonts w:hint="eastAsia"/>
          <w:sz w:val="32"/>
          <w:lang w:val="en-US" w:eastAsia="zh-CN"/>
        </w:rPr>
      </w:pPr>
      <w:r>
        <w:rPr>
          <w:rFonts w:hint="eastAsia"/>
          <w:sz w:val="32"/>
          <w:lang w:val="en-US" w:eastAsia="zh-CN"/>
        </w:rPr>
        <w:t>积极配合县政府做好政府信息公开网站的维护工作，按要求完成各项任务。</w:t>
      </w:r>
    </w:p>
    <w:p w14:paraId="7004365F">
      <w:pPr>
        <w:rPr>
          <w:rFonts w:hint="eastAsia"/>
          <w:sz w:val="32"/>
          <w:lang w:val="en-US" w:eastAsia="zh-CN"/>
        </w:rPr>
      </w:pPr>
      <w:r>
        <w:rPr>
          <w:rFonts w:hint="eastAsia"/>
          <w:sz w:val="32"/>
          <w:lang w:val="en-US" w:eastAsia="zh-CN"/>
        </w:rPr>
        <w:t>5.监督保障方面</w:t>
      </w:r>
    </w:p>
    <w:p w14:paraId="1A6F104C">
      <w:pPr>
        <w:rPr>
          <w:rFonts w:hint="eastAsia"/>
          <w:sz w:val="32"/>
          <w:lang w:val="en-US" w:eastAsia="zh-CN"/>
        </w:rPr>
      </w:pPr>
      <w:r>
        <w:rPr>
          <w:rFonts w:hint="eastAsia"/>
          <w:sz w:val="32"/>
          <w:lang w:val="en-US" w:eastAsia="zh-CN"/>
        </w:rPr>
        <w:t>党政办公室负责镇政务信息公开工作，从事人员1人。公开发布的内容均由站办所拟稿，站办所长、分管领导审核，无误后由党政办公室发布。在政务公开工作中，按照“三个结合”的工作思路，确保政务公开工作见实效。把政务公开与目标考核相结合；把政务公开与开展行风评议相结合；把政务公开与党风廉政建设相结合。</w:t>
      </w:r>
    </w:p>
    <w:p w14:paraId="62F3262D">
      <w:pPr>
        <w:rPr>
          <w:rFonts w:hint="eastAsia"/>
          <w:sz w:val="32"/>
          <w:lang w:val="en-US" w:eastAsia="zh-CN"/>
        </w:rPr>
      </w:pPr>
    </w:p>
    <w:p w14:paraId="12E54784">
      <w:pPr>
        <w:rPr>
          <w:rFonts w:hint="eastAsia"/>
          <w:sz w:val="32"/>
          <w:lang w:val="en-US" w:eastAsia="zh-CN"/>
        </w:rPr>
      </w:pPr>
    </w:p>
    <w:p w14:paraId="112D1F02">
      <w:pPr>
        <w:rPr>
          <w:rFonts w:hint="eastAsia"/>
          <w:sz w:val="32"/>
          <w:lang w:val="en-US" w:eastAsia="zh-CN"/>
        </w:rPr>
      </w:pPr>
    </w:p>
    <w:p w14:paraId="4C77A486">
      <w:pPr>
        <w:rPr>
          <w:rFonts w:hint="eastAsia" w:ascii="黑体" w:hAnsi="黑体" w:eastAsia="黑体" w:cs="黑体"/>
          <w:sz w:val="32"/>
          <w:lang w:val="en-US" w:eastAsia="zh-CN"/>
        </w:rPr>
      </w:pPr>
      <w:r>
        <w:rPr>
          <w:rFonts w:hint="eastAsia" w:ascii="黑体" w:hAnsi="黑体" w:eastAsia="黑体" w:cs="黑体"/>
          <w:sz w:val="32"/>
          <w:lang w:val="en-US" w:eastAsia="zh-CN"/>
        </w:rPr>
        <w:t>二、主动公开政府信息情况</w:t>
      </w:r>
    </w:p>
    <w:tbl>
      <w:tblPr>
        <w:tblStyle w:val="11"/>
        <w:tblW w:w="906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16"/>
        <w:gridCol w:w="1880"/>
        <w:gridCol w:w="1978"/>
        <w:gridCol w:w="2094"/>
      </w:tblGrid>
      <w:tr w14:paraId="772685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9068" w:type="dxa"/>
            <w:gridSpan w:val="4"/>
            <w:shd w:val="clear" w:color="auto" w:fill="C6D9F1"/>
            <w:vAlign w:val="center"/>
          </w:tcPr>
          <w:p w14:paraId="21E65A8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第二十条第（一）项</w:t>
            </w:r>
          </w:p>
        </w:tc>
      </w:tr>
      <w:tr w14:paraId="6CAFD6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3116" w:type="dxa"/>
            <w:vAlign w:val="center"/>
          </w:tcPr>
          <w:p w14:paraId="1D91AD0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信息内容</w:t>
            </w:r>
          </w:p>
        </w:tc>
        <w:tc>
          <w:tcPr>
            <w:tcW w:w="1880" w:type="dxa"/>
            <w:vAlign w:val="center"/>
          </w:tcPr>
          <w:p w14:paraId="75447D1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本年制发件数</w:t>
            </w:r>
          </w:p>
        </w:tc>
        <w:tc>
          <w:tcPr>
            <w:tcW w:w="1978" w:type="dxa"/>
            <w:vAlign w:val="center"/>
          </w:tcPr>
          <w:p w14:paraId="5D6D1CF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本年废止件数</w:t>
            </w:r>
          </w:p>
        </w:tc>
        <w:tc>
          <w:tcPr>
            <w:tcW w:w="2094" w:type="dxa"/>
            <w:vAlign w:val="center"/>
          </w:tcPr>
          <w:p w14:paraId="2A9E6105">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现行有效件数</w:t>
            </w:r>
          </w:p>
        </w:tc>
      </w:tr>
      <w:tr w14:paraId="72E5C3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3116" w:type="dxa"/>
            <w:vAlign w:val="center"/>
          </w:tcPr>
          <w:p w14:paraId="1F0FA44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规章</w:t>
            </w:r>
          </w:p>
        </w:tc>
        <w:tc>
          <w:tcPr>
            <w:tcW w:w="1880" w:type="dxa"/>
            <w:vAlign w:val="center"/>
          </w:tcPr>
          <w:p w14:paraId="6F4A93E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1978" w:type="dxa"/>
            <w:vAlign w:val="center"/>
          </w:tcPr>
          <w:p w14:paraId="2F94217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2094" w:type="dxa"/>
            <w:vAlign w:val="center"/>
          </w:tcPr>
          <w:p w14:paraId="4CCA9C6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48BFC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4E9410E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行政规范性文件</w:t>
            </w:r>
          </w:p>
        </w:tc>
        <w:tc>
          <w:tcPr>
            <w:tcW w:w="1880" w:type="dxa"/>
            <w:vAlign w:val="center"/>
          </w:tcPr>
          <w:p w14:paraId="6D9AB1B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1978" w:type="dxa"/>
            <w:vAlign w:val="center"/>
          </w:tcPr>
          <w:p w14:paraId="3E4113D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2094" w:type="dxa"/>
            <w:vAlign w:val="center"/>
          </w:tcPr>
          <w:p w14:paraId="43937B4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5ED23D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9068" w:type="dxa"/>
            <w:gridSpan w:val="4"/>
            <w:shd w:val="clear" w:color="auto" w:fill="C6D9F1"/>
            <w:vAlign w:val="center"/>
          </w:tcPr>
          <w:p w14:paraId="5604CFF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第二十条第（五）项</w:t>
            </w:r>
          </w:p>
        </w:tc>
      </w:tr>
      <w:tr w14:paraId="58D447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08CD4870">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信息内容</w:t>
            </w:r>
          </w:p>
        </w:tc>
        <w:tc>
          <w:tcPr>
            <w:tcW w:w="5952" w:type="dxa"/>
            <w:gridSpan w:val="3"/>
            <w:vAlign w:val="center"/>
          </w:tcPr>
          <w:p w14:paraId="67445E1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本年处理决定数量</w:t>
            </w:r>
          </w:p>
        </w:tc>
      </w:tr>
      <w:tr w14:paraId="2F4B6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3CAFD90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行政许可</w:t>
            </w:r>
          </w:p>
        </w:tc>
        <w:tc>
          <w:tcPr>
            <w:tcW w:w="5952" w:type="dxa"/>
            <w:gridSpan w:val="3"/>
            <w:vAlign w:val="center"/>
          </w:tcPr>
          <w:p w14:paraId="1926A8C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4D0537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9068" w:type="dxa"/>
            <w:gridSpan w:val="4"/>
            <w:shd w:val="clear" w:color="auto" w:fill="C6D9F1"/>
            <w:vAlign w:val="center"/>
          </w:tcPr>
          <w:p w14:paraId="0A0C977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ascii="Arial" w:hAnsi="Arial" w:eastAsia="Arial" w:cs="Arial"/>
                <w:snapToGrid w:val="0"/>
                <w:color w:val="000000"/>
                <w:kern w:val="0"/>
                <w:sz w:val="21"/>
                <w:szCs w:val="21"/>
                <w:lang w:val="en-US" w:eastAsia="en-US" w:bidi="ar-SA"/>
              </w:rPr>
            </w:pPr>
          </w:p>
          <w:p w14:paraId="4AA61E7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第二十条第（六）项</w:t>
            </w:r>
          </w:p>
        </w:tc>
      </w:tr>
      <w:tr w14:paraId="705426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7206B56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信息内容</w:t>
            </w:r>
          </w:p>
        </w:tc>
        <w:tc>
          <w:tcPr>
            <w:tcW w:w="5952" w:type="dxa"/>
            <w:gridSpan w:val="3"/>
            <w:vAlign w:val="center"/>
          </w:tcPr>
          <w:p w14:paraId="015C324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本年处理决定数量</w:t>
            </w:r>
          </w:p>
        </w:tc>
      </w:tr>
      <w:tr w14:paraId="5DE2E6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6F53667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行政处罚</w:t>
            </w:r>
          </w:p>
        </w:tc>
        <w:tc>
          <w:tcPr>
            <w:tcW w:w="5952" w:type="dxa"/>
            <w:gridSpan w:val="3"/>
            <w:vAlign w:val="center"/>
          </w:tcPr>
          <w:p w14:paraId="76B2F8B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2</w:t>
            </w:r>
            <w:bookmarkStart w:id="0" w:name="_GoBack"/>
            <w:bookmarkEnd w:id="0"/>
          </w:p>
        </w:tc>
      </w:tr>
      <w:tr w14:paraId="3699BF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055628EB">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行政强制</w:t>
            </w:r>
          </w:p>
        </w:tc>
        <w:tc>
          <w:tcPr>
            <w:tcW w:w="5952" w:type="dxa"/>
            <w:gridSpan w:val="3"/>
            <w:vAlign w:val="center"/>
          </w:tcPr>
          <w:p w14:paraId="1CA0801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408675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9068" w:type="dxa"/>
            <w:gridSpan w:val="4"/>
            <w:shd w:val="clear" w:color="auto" w:fill="C6D9F1"/>
            <w:vAlign w:val="center"/>
          </w:tcPr>
          <w:p w14:paraId="4C56D164">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第二十条第（八）项</w:t>
            </w:r>
          </w:p>
        </w:tc>
      </w:tr>
      <w:tr w14:paraId="09A335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59E1897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信息内容</w:t>
            </w:r>
          </w:p>
        </w:tc>
        <w:tc>
          <w:tcPr>
            <w:tcW w:w="5952" w:type="dxa"/>
            <w:gridSpan w:val="3"/>
            <w:vAlign w:val="center"/>
          </w:tcPr>
          <w:p w14:paraId="0F4BA1C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本年收费金额（单位：万元）</w:t>
            </w:r>
          </w:p>
        </w:tc>
      </w:tr>
      <w:tr w14:paraId="4805A8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3116" w:type="dxa"/>
            <w:vAlign w:val="center"/>
          </w:tcPr>
          <w:p w14:paraId="5AAB120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行政事业性收费</w:t>
            </w:r>
          </w:p>
        </w:tc>
        <w:tc>
          <w:tcPr>
            <w:tcW w:w="5952" w:type="dxa"/>
            <w:gridSpan w:val="3"/>
            <w:vAlign w:val="center"/>
          </w:tcPr>
          <w:p w14:paraId="08A9073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bl>
    <w:p w14:paraId="58E2C750">
      <w:pPr>
        <w:rPr>
          <w:rFonts w:hint="eastAsia"/>
          <w:sz w:val="32"/>
          <w:lang w:val="en-US" w:eastAsia="zh-CN"/>
        </w:rPr>
      </w:pPr>
    </w:p>
    <w:p w14:paraId="00CE079C">
      <w:pPr>
        <w:rPr>
          <w:rFonts w:hint="eastAsia"/>
          <w:sz w:val="32"/>
          <w:lang w:val="en-US" w:eastAsia="zh-CN"/>
        </w:rPr>
      </w:pPr>
    </w:p>
    <w:p w14:paraId="0139C5F9">
      <w:pPr>
        <w:rPr>
          <w:rFonts w:hint="eastAsia"/>
          <w:sz w:val="32"/>
          <w:lang w:val="en-US" w:eastAsia="zh-CN"/>
        </w:rPr>
      </w:pPr>
    </w:p>
    <w:p w14:paraId="6C52BB40">
      <w:pPr>
        <w:rPr>
          <w:rFonts w:hint="eastAsia"/>
          <w:sz w:val="32"/>
          <w:lang w:val="en-US" w:eastAsia="zh-CN"/>
        </w:rPr>
      </w:pPr>
    </w:p>
    <w:p w14:paraId="10F0E5A3">
      <w:pPr>
        <w:rPr>
          <w:rFonts w:hint="eastAsia"/>
          <w:sz w:val="32"/>
          <w:lang w:val="en-US" w:eastAsia="zh-CN"/>
        </w:rPr>
      </w:pPr>
    </w:p>
    <w:p w14:paraId="1347D465">
      <w:pPr>
        <w:rPr>
          <w:rFonts w:hint="eastAsia"/>
          <w:sz w:val="32"/>
          <w:lang w:val="en-US" w:eastAsia="zh-CN"/>
        </w:rPr>
      </w:pPr>
    </w:p>
    <w:p w14:paraId="4D0B3D8D">
      <w:pPr>
        <w:rPr>
          <w:rFonts w:hint="eastAsia" w:ascii="黑体" w:hAnsi="黑体" w:eastAsia="黑体" w:cs="黑体"/>
          <w:sz w:val="32"/>
          <w:lang w:val="en-US" w:eastAsia="zh-CN"/>
        </w:rPr>
      </w:pPr>
      <w:r>
        <w:rPr>
          <w:rFonts w:hint="eastAsia" w:ascii="黑体" w:hAnsi="黑体" w:eastAsia="黑体" w:cs="黑体"/>
          <w:sz w:val="32"/>
          <w:lang w:val="en-US" w:eastAsia="zh-CN"/>
        </w:rPr>
        <w:t>三、收到和处理政府信息公开申请情况</w:t>
      </w:r>
    </w:p>
    <w:tbl>
      <w:tblPr>
        <w:tblStyle w:val="11"/>
        <w:tblW w:w="962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33"/>
        <w:gridCol w:w="854"/>
        <w:gridCol w:w="2993"/>
        <w:gridCol w:w="554"/>
        <w:gridCol w:w="775"/>
        <w:gridCol w:w="719"/>
        <w:gridCol w:w="749"/>
        <w:gridCol w:w="659"/>
        <w:gridCol w:w="734"/>
        <w:gridCol w:w="758"/>
      </w:tblGrid>
      <w:tr w14:paraId="6D486B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jc w:val="center"/>
        </w:trPr>
        <w:tc>
          <w:tcPr>
            <w:tcW w:w="4680" w:type="dxa"/>
            <w:gridSpan w:val="3"/>
            <w:vMerge w:val="restart"/>
            <w:tcBorders>
              <w:bottom w:val="nil"/>
            </w:tcBorders>
            <w:vAlign w:val="center"/>
          </w:tcPr>
          <w:p w14:paraId="79C50D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楷体" w:hAnsi="楷体" w:eastAsia="楷体" w:cs="楷体"/>
                <w:snapToGrid w:val="0"/>
                <w:color w:val="000000"/>
                <w:kern w:val="0"/>
                <w:sz w:val="24"/>
                <w:szCs w:val="24"/>
                <w:lang w:eastAsia="en-US"/>
              </w:rPr>
            </w:pPr>
            <w:r>
              <w:rPr>
                <w:rFonts w:ascii="楷体" w:hAnsi="楷体" w:eastAsia="楷体" w:cs="楷体"/>
                <w:snapToGrid w:val="0"/>
                <w:color w:val="000000"/>
                <w:spacing w:val="-8"/>
                <w:kern w:val="0"/>
                <w:sz w:val="24"/>
                <w:szCs w:val="24"/>
                <w:lang w:eastAsia="en-US"/>
              </w:rPr>
              <w:t>（本列数据的勾稽关系为：第一项加第二项</w:t>
            </w:r>
            <w:r>
              <w:rPr>
                <w:rFonts w:ascii="楷体" w:hAnsi="楷体" w:eastAsia="楷体" w:cs="楷体"/>
                <w:snapToGrid w:val="0"/>
                <w:color w:val="000000"/>
                <w:spacing w:val="10"/>
                <w:kern w:val="0"/>
                <w:sz w:val="24"/>
                <w:szCs w:val="24"/>
                <w:lang w:eastAsia="en-US"/>
              </w:rPr>
              <w:t xml:space="preserve"> </w:t>
            </w:r>
            <w:r>
              <w:rPr>
                <w:rFonts w:ascii="楷体" w:hAnsi="楷体" w:eastAsia="楷体" w:cs="楷体"/>
                <w:snapToGrid w:val="0"/>
                <w:color w:val="000000"/>
                <w:spacing w:val="-6"/>
                <w:kern w:val="0"/>
                <w:sz w:val="24"/>
                <w:szCs w:val="24"/>
                <w:lang w:eastAsia="en-US"/>
              </w:rPr>
              <w:t>之和，等于第三项加第四项之和）</w:t>
            </w:r>
          </w:p>
        </w:tc>
        <w:tc>
          <w:tcPr>
            <w:tcW w:w="4948" w:type="dxa"/>
            <w:gridSpan w:val="7"/>
            <w:vAlign w:val="center"/>
          </w:tcPr>
          <w:p w14:paraId="4298BF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申请人情况</w:t>
            </w:r>
          </w:p>
        </w:tc>
      </w:tr>
      <w:tr w14:paraId="290A82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jc w:val="center"/>
        </w:trPr>
        <w:tc>
          <w:tcPr>
            <w:tcW w:w="4680" w:type="dxa"/>
            <w:gridSpan w:val="3"/>
            <w:vMerge w:val="continue"/>
            <w:tcBorders>
              <w:top w:val="nil"/>
              <w:bottom w:val="nil"/>
            </w:tcBorders>
            <w:vAlign w:val="center"/>
          </w:tcPr>
          <w:p w14:paraId="4CA60C8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554" w:type="dxa"/>
            <w:vMerge w:val="restart"/>
            <w:tcBorders>
              <w:bottom w:val="nil"/>
            </w:tcBorders>
            <w:textDirection w:val="tbRlV"/>
            <w:vAlign w:val="center"/>
          </w:tcPr>
          <w:p w14:paraId="37F2FE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43"/>
                <w:kern w:val="0"/>
                <w:sz w:val="20"/>
                <w:szCs w:val="20"/>
                <w:lang w:eastAsia="en-US"/>
              </w:rPr>
              <w:t>自然人</w:t>
            </w:r>
          </w:p>
        </w:tc>
        <w:tc>
          <w:tcPr>
            <w:tcW w:w="3636" w:type="dxa"/>
            <w:gridSpan w:val="5"/>
            <w:vAlign w:val="center"/>
          </w:tcPr>
          <w:p w14:paraId="111063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法人或其他组织</w:t>
            </w:r>
          </w:p>
        </w:tc>
        <w:tc>
          <w:tcPr>
            <w:tcW w:w="758" w:type="dxa"/>
            <w:vMerge w:val="restart"/>
            <w:tcBorders>
              <w:bottom w:val="nil"/>
            </w:tcBorders>
            <w:vAlign w:val="center"/>
          </w:tcPr>
          <w:p w14:paraId="372029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总计</w:t>
            </w:r>
          </w:p>
        </w:tc>
      </w:tr>
      <w:tr w14:paraId="17C7FB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4" w:hRule="atLeast"/>
          <w:jc w:val="center"/>
        </w:trPr>
        <w:tc>
          <w:tcPr>
            <w:tcW w:w="4680" w:type="dxa"/>
            <w:gridSpan w:val="3"/>
            <w:vMerge w:val="continue"/>
            <w:tcBorders>
              <w:top w:val="nil"/>
            </w:tcBorders>
            <w:vAlign w:val="center"/>
          </w:tcPr>
          <w:p w14:paraId="678A50C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554" w:type="dxa"/>
            <w:vMerge w:val="continue"/>
            <w:tcBorders>
              <w:top w:val="nil"/>
            </w:tcBorders>
            <w:textDirection w:val="tbRlV"/>
            <w:vAlign w:val="center"/>
          </w:tcPr>
          <w:p w14:paraId="4F0A758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775" w:type="dxa"/>
            <w:vAlign w:val="center"/>
          </w:tcPr>
          <w:p w14:paraId="557341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kern w:val="0"/>
                <w:sz w:val="20"/>
                <w:szCs w:val="20"/>
                <w:lang w:eastAsia="en-US"/>
              </w:rPr>
              <w:t>商业 企业</w:t>
            </w:r>
          </w:p>
        </w:tc>
        <w:tc>
          <w:tcPr>
            <w:tcW w:w="719" w:type="dxa"/>
            <w:vAlign w:val="center"/>
          </w:tcPr>
          <w:p w14:paraId="0445DD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科研</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机构</w:t>
            </w:r>
          </w:p>
        </w:tc>
        <w:tc>
          <w:tcPr>
            <w:tcW w:w="749" w:type="dxa"/>
            <w:vAlign w:val="center"/>
          </w:tcPr>
          <w:p w14:paraId="3F0032A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社会</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公益</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组织</w:t>
            </w:r>
          </w:p>
        </w:tc>
        <w:tc>
          <w:tcPr>
            <w:tcW w:w="659" w:type="dxa"/>
            <w:vAlign w:val="center"/>
          </w:tcPr>
          <w:p w14:paraId="1529B55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法律</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服务</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机构</w:t>
            </w:r>
          </w:p>
        </w:tc>
        <w:tc>
          <w:tcPr>
            <w:tcW w:w="734" w:type="dxa"/>
            <w:vAlign w:val="center"/>
          </w:tcPr>
          <w:p w14:paraId="167274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其他</w:t>
            </w:r>
          </w:p>
        </w:tc>
        <w:tc>
          <w:tcPr>
            <w:tcW w:w="758" w:type="dxa"/>
            <w:vMerge w:val="continue"/>
            <w:tcBorders>
              <w:top w:val="nil"/>
            </w:tcBorders>
            <w:vAlign w:val="center"/>
          </w:tcPr>
          <w:p w14:paraId="0DFC93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r>
      <w:tr w14:paraId="286AD4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2" w:hRule="atLeast"/>
          <w:jc w:val="center"/>
        </w:trPr>
        <w:tc>
          <w:tcPr>
            <w:tcW w:w="4680" w:type="dxa"/>
            <w:gridSpan w:val="3"/>
            <w:vAlign w:val="center"/>
          </w:tcPr>
          <w:p w14:paraId="0AB8E4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一、本年新收政府信息公开申请数量</w:t>
            </w:r>
          </w:p>
        </w:tc>
        <w:tc>
          <w:tcPr>
            <w:tcW w:w="554" w:type="dxa"/>
            <w:vAlign w:val="center"/>
          </w:tcPr>
          <w:p w14:paraId="436B36A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464B872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0B7A8B3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32CC15A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52F521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4A860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72326F7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214181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2" w:hRule="atLeast"/>
          <w:jc w:val="center"/>
        </w:trPr>
        <w:tc>
          <w:tcPr>
            <w:tcW w:w="4680" w:type="dxa"/>
            <w:gridSpan w:val="3"/>
            <w:vAlign w:val="center"/>
          </w:tcPr>
          <w:p w14:paraId="070E8F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二、上年结转政府信息公开申请数量</w:t>
            </w:r>
          </w:p>
        </w:tc>
        <w:tc>
          <w:tcPr>
            <w:tcW w:w="554" w:type="dxa"/>
            <w:vAlign w:val="center"/>
          </w:tcPr>
          <w:p w14:paraId="24E6E8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65DF44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237D66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5DE1F7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55436D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78DCE6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685D5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89856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restart"/>
            <w:tcBorders>
              <w:bottom w:val="nil"/>
            </w:tcBorders>
            <w:vAlign w:val="center"/>
          </w:tcPr>
          <w:p w14:paraId="70037B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三、本</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年度</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办理</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结果</w:t>
            </w:r>
          </w:p>
        </w:tc>
        <w:tc>
          <w:tcPr>
            <w:tcW w:w="3847" w:type="dxa"/>
            <w:gridSpan w:val="2"/>
            <w:vAlign w:val="center"/>
          </w:tcPr>
          <w:p w14:paraId="51A048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（一）予以公开</w:t>
            </w:r>
          </w:p>
        </w:tc>
        <w:tc>
          <w:tcPr>
            <w:tcW w:w="554" w:type="dxa"/>
            <w:vAlign w:val="center"/>
          </w:tcPr>
          <w:p w14:paraId="49C1CA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4655B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334172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8A7FC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E767B5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080455B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7CC15DE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1CEAD3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9" w:hRule="atLeast"/>
          <w:jc w:val="center"/>
        </w:trPr>
        <w:tc>
          <w:tcPr>
            <w:tcW w:w="833" w:type="dxa"/>
            <w:vMerge w:val="continue"/>
            <w:tcBorders>
              <w:top w:val="nil"/>
              <w:bottom w:val="nil"/>
            </w:tcBorders>
            <w:vAlign w:val="center"/>
          </w:tcPr>
          <w:p w14:paraId="73FA5D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3847" w:type="dxa"/>
            <w:gridSpan w:val="2"/>
            <w:vAlign w:val="center"/>
          </w:tcPr>
          <w:p w14:paraId="577CC96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楷体" w:hAnsi="楷体" w:eastAsia="楷体" w:cs="楷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（二）部分公开</w:t>
            </w:r>
            <w:r>
              <w:rPr>
                <w:rFonts w:ascii="楷体" w:hAnsi="楷体" w:eastAsia="楷体" w:cs="楷体"/>
                <w:snapToGrid w:val="0"/>
                <w:color w:val="000000"/>
                <w:spacing w:val="1"/>
                <w:kern w:val="0"/>
                <w:sz w:val="20"/>
                <w:szCs w:val="20"/>
                <w:lang w:eastAsia="en-US"/>
              </w:rPr>
              <w:t>（区分处理的，只计这一</w:t>
            </w:r>
            <w:r>
              <w:rPr>
                <w:rFonts w:ascii="楷体" w:hAnsi="楷体" w:eastAsia="楷体" w:cs="楷体"/>
                <w:snapToGrid w:val="0"/>
                <w:color w:val="000000"/>
                <w:spacing w:val="2"/>
                <w:kern w:val="0"/>
                <w:sz w:val="20"/>
                <w:szCs w:val="20"/>
                <w:lang w:eastAsia="en-US"/>
              </w:rPr>
              <w:t>情形，不计其他情形）</w:t>
            </w:r>
          </w:p>
        </w:tc>
        <w:tc>
          <w:tcPr>
            <w:tcW w:w="554" w:type="dxa"/>
            <w:vAlign w:val="center"/>
          </w:tcPr>
          <w:p w14:paraId="5D3BBC6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F1076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065C56E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3D36D5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AAFF2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11E61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7B8AA9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F374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2541FD5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restart"/>
            <w:tcBorders>
              <w:bottom w:val="nil"/>
            </w:tcBorders>
            <w:vAlign w:val="center"/>
          </w:tcPr>
          <w:p w14:paraId="3B865D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（三）</w:t>
            </w:r>
            <w:r>
              <w:rPr>
                <w:rFonts w:ascii="宋体" w:hAnsi="宋体" w:eastAsia="宋体" w:cs="宋体"/>
                <w:snapToGrid w:val="0"/>
                <w:color w:val="000000"/>
                <w:spacing w:val="2"/>
                <w:kern w:val="0"/>
                <w:sz w:val="20"/>
                <w:szCs w:val="20"/>
                <w:lang w:eastAsia="en-US"/>
              </w:rPr>
              <w:t>不予公</w:t>
            </w:r>
            <w:r>
              <w:rPr>
                <w:rFonts w:ascii="宋体" w:hAnsi="宋体" w:eastAsia="宋体" w:cs="宋体"/>
                <w:snapToGrid w:val="0"/>
                <w:color w:val="000000"/>
                <w:kern w:val="0"/>
                <w:sz w:val="20"/>
                <w:szCs w:val="20"/>
                <w:lang w:eastAsia="en-US"/>
              </w:rPr>
              <w:t>开</w:t>
            </w:r>
          </w:p>
        </w:tc>
        <w:tc>
          <w:tcPr>
            <w:tcW w:w="2993" w:type="dxa"/>
            <w:vAlign w:val="center"/>
          </w:tcPr>
          <w:p w14:paraId="636534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1.属于国家秘密</w:t>
            </w:r>
          </w:p>
        </w:tc>
        <w:tc>
          <w:tcPr>
            <w:tcW w:w="554" w:type="dxa"/>
            <w:vAlign w:val="center"/>
          </w:tcPr>
          <w:p w14:paraId="7444D3F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69A12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450825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4F12F0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73227B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852BC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A38CC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72C25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66EB14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10C8AB5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706ABAB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2.其他法律行政法规禁止公开</w:t>
            </w:r>
          </w:p>
        </w:tc>
        <w:tc>
          <w:tcPr>
            <w:tcW w:w="554" w:type="dxa"/>
            <w:vAlign w:val="center"/>
          </w:tcPr>
          <w:p w14:paraId="279366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D274D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5C48BB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1F9EBC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13EF8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29B157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141EC40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6D64D9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3B1899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1FE60A8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6EBD7F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3.危及“三安全一稳定”</w:t>
            </w:r>
          </w:p>
        </w:tc>
        <w:tc>
          <w:tcPr>
            <w:tcW w:w="554" w:type="dxa"/>
            <w:vAlign w:val="center"/>
          </w:tcPr>
          <w:p w14:paraId="570302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6F29CB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40F245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53D83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9E077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3C8F75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339A6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5943B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41EA17F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1228286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019B44F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4.保护第三方合法权益</w:t>
            </w:r>
          </w:p>
        </w:tc>
        <w:tc>
          <w:tcPr>
            <w:tcW w:w="554" w:type="dxa"/>
            <w:vAlign w:val="center"/>
          </w:tcPr>
          <w:p w14:paraId="02BB70D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4C23D6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4E479C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A6CD1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B37A54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60F926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2B09ED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7C7280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4F9B744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03D4E7D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6E0125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5.属于三类内部事务信息</w:t>
            </w:r>
          </w:p>
        </w:tc>
        <w:tc>
          <w:tcPr>
            <w:tcW w:w="554" w:type="dxa"/>
            <w:vAlign w:val="center"/>
          </w:tcPr>
          <w:p w14:paraId="4B7D50A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B0818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26F825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268BBF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D2473C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36AE0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26A476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10DC9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02C8CA0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267029E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0E7A537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6.属于四类过程性信息</w:t>
            </w:r>
          </w:p>
        </w:tc>
        <w:tc>
          <w:tcPr>
            <w:tcW w:w="554" w:type="dxa"/>
            <w:vAlign w:val="center"/>
          </w:tcPr>
          <w:p w14:paraId="12E061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20300BA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0B41AB4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8D944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A4D2C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78235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2B1950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10083B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6412C76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013DD71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56BCF7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7.属于行政执法案卷</w:t>
            </w:r>
          </w:p>
        </w:tc>
        <w:tc>
          <w:tcPr>
            <w:tcW w:w="554" w:type="dxa"/>
            <w:vAlign w:val="center"/>
          </w:tcPr>
          <w:p w14:paraId="26B73D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22CF2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60AB69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73AF836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5504A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624DED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A03A9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40E967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1A576EA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tcBorders>
            <w:vAlign w:val="center"/>
          </w:tcPr>
          <w:p w14:paraId="262AB34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13D913D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8.属于行政查询事项</w:t>
            </w:r>
          </w:p>
        </w:tc>
        <w:tc>
          <w:tcPr>
            <w:tcW w:w="554" w:type="dxa"/>
            <w:vAlign w:val="center"/>
          </w:tcPr>
          <w:p w14:paraId="09984DC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3C9E7C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34A6A6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7BBA8B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466103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251957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0A1B7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3D3A5D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833" w:type="dxa"/>
            <w:vMerge w:val="continue"/>
            <w:tcBorders>
              <w:top w:val="nil"/>
              <w:bottom w:val="nil"/>
            </w:tcBorders>
            <w:vAlign w:val="center"/>
          </w:tcPr>
          <w:p w14:paraId="49C6095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restart"/>
            <w:tcBorders>
              <w:bottom w:val="nil"/>
            </w:tcBorders>
            <w:vAlign w:val="center"/>
          </w:tcPr>
          <w:p w14:paraId="2CF0BD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（四）</w:t>
            </w:r>
            <w:r>
              <w:rPr>
                <w:rFonts w:ascii="宋体" w:hAnsi="宋体" w:eastAsia="宋体" w:cs="宋体"/>
                <w:snapToGrid w:val="0"/>
                <w:color w:val="000000"/>
                <w:spacing w:val="2"/>
                <w:kern w:val="0"/>
                <w:sz w:val="20"/>
                <w:szCs w:val="20"/>
                <w:lang w:eastAsia="en-US"/>
              </w:rPr>
              <w:t>无法提</w:t>
            </w:r>
            <w:r>
              <w:rPr>
                <w:rFonts w:ascii="宋体" w:hAnsi="宋体" w:eastAsia="宋体" w:cs="宋体"/>
                <w:snapToGrid w:val="0"/>
                <w:color w:val="000000"/>
                <w:kern w:val="0"/>
                <w:sz w:val="20"/>
                <w:szCs w:val="20"/>
                <w:lang w:eastAsia="en-US"/>
              </w:rPr>
              <w:t>供</w:t>
            </w:r>
          </w:p>
        </w:tc>
        <w:tc>
          <w:tcPr>
            <w:tcW w:w="2993" w:type="dxa"/>
            <w:vAlign w:val="center"/>
          </w:tcPr>
          <w:p w14:paraId="69F562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1.本机关不掌握相关政府信息</w:t>
            </w:r>
          </w:p>
        </w:tc>
        <w:tc>
          <w:tcPr>
            <w:tcW w:w="554" w:type="dxa"/>
            <w:vAlign w:val="center"/>
          </w:tcPr>
          <w:p w14:paraId="04E7C4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ACE112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43367A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C6908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25A89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D687B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6DDD9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82A66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28421FE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332ACB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50118AF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2.没有现成信息需要另行制作</w:t>
            </w:r>
          </w:p>
        </w:tc>
        <w:tc>
          <w:tcPr>
            <w:tcW w:w="554" w:type="dxa"/>
            <w:vAlign w:val="center"/>
          </w:tcPr>
          <w:p w14:paraId="65112C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C32B6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6B33B6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404CF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52160A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A5A6F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3E4DFF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363A34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395F706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tcBorders>
            <w:vAlign w:val="center"/>
          </w:tcPr>
          <w:p w14:paraId="4BB0AFD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7B25F45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3.补正后申请内容仍不明确</w:t>
            </w:r>
          </w:p>
        </w:tc>
        <w:tc>
          <w:tcPr>
            <w:tcW w:w="554" w:type="dxa"/>
            <w:vAlign w:val="center"/>
          </w:tcPr>
          <w:p w14:paraId="2552B4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42D53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661D44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E6AD0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23486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0E2B0D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530B92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0B282B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1BF00E6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restart"/>
            <w:tcBorders>
              <w:bottom w:val="nil"/>
            </w:tcBorders>
            <w:vAlign w:val="center"/>
          </w:tcPr>
          <w:p w14:paraId="48E8E1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（五）</w:t>
            </w:r>
            <w:r>
              <w:rPr>
                <w:rFonts w:ascii="宋体" w:hAnsi="宋体" w:eastAsia="宋体" w:cs="宋体"/>
                <w:snapToGrid w:val="0"/>
                <w:color w:val="000000"/>
                <w:spacing w:val="2"/>
                <w:kern w:val="0"/>
                <w:sz w:val="20"/>
                <w:szCs w:val="20"/>
                <w:lang w:eastAsia="en-US"/>
              </w:rPr>
              <w:t>不予处</w:t>
            </w:r>
            <w:r>
              <w:rPr>
                <w:rFonts w:ascii="宋体" w:hAnsi="宋体" w:eastAsia="宋体" w:cs="宋体"/>
                <w:snapToGrid w:val="0"/>
                <w:color w:val="000000"/>
                <w:kern w:val="0"/>
                <w:sz w:val="20"/>
                <w:szCs w:val="20"/>
                <w:lang w:eastAsia="en-US"/>
              </w:rPr>
              <w:t>理</w:t>
            </w:r>
          </w:p>
        </w:tc>
        <w:tc>
          <w:tcPr>
            <w:tcW w:w="2993" w:type="dxa"/>
            <w:vAlign w:val="center"/>
          </w:tcPr>
          <w:p w14:paraId="45DDDD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1.信访举报投诉类申请</w:t>
            </w:r>
          </w:p>
        </w:tc>
        <w:tc>
          <w:tcPr>
            <w:tcW w:w="554" w:type="dxa"/>
            <w:vAlign w:val="center"/>
          </w:tcPr>
          <w:p w14:paraId="44520D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95061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08727B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BC8EE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2BE4F36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7A3895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DAE32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0699A2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jc w:val="center"/>
        </w:trPr>
        <w:tc>
          <w:tcPr>
            <w:tcW w:w="833" w:type="dxa"/>
            <w:vMerge w:val="continue"/>
            <w:tcBorders>
              <w:top w:val="nil"/>
              <w:bottom w:val="nil"/>
            </w:tcBorders>
            <w:vAlign w:val="center"/>
          </w:tcPr>
          <w:p w14:paraId="59DD6C1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5F0C224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49A6BF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2.重复申请</w:t>
            </w:r>
          </w:p>
        </w:tc>
        <w:tc>
          <w:tcPr>
            <w:tcW w:w="554" w:type="dxa"/>
            <w:vAlign w:val="center"/>
          </w:tcPr>
          <w:p w14:paraId="11FB8C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11261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57A792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F7EC1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4C4594E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67C6FC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3F576D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1710E6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jc w:val="center"/>
        </w:trPr>
        <w:tc>
          <w:tcPr>
            <w:tcW w:w="833" w:type="dxa"/>
            <w:vMerge w:val="continue"/>
            <w:tcBorders>
              <w:top w:val="nil"/>
              <w:bottom w:val="nil"/>
            </w:tcBorders>
            <w:vAlign w:val="center"/>
          </w:tcPr>
          <w:p w14:paraId="61728B0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0BE1879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63590F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3.要求提供公开出版物</w:t>
            </w:r>
          </w:p>
        </w:tc>
        <w:tc>
          <w:tcPr>
            <w:tcW w:w="554" w:type="dxa"/>
            <w:vAlign w:val="center"/>
          </w:tcPr>
          <w:p w14:paraId="69F5D6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9FD1B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564A13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78A4B2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31780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070415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570BC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732D92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6B54DE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74F50FE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5FB34E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4.无正当理由大量反复申请</w:t>
            </w:r>
          </w:p>
        </w:tc>
        <w:tc>
          <w:tcPr>
            <w:tcW w:w="554" w:type="dxa"/>
            <w:vAlign w:val="center"/>
          </w:tcPr>
          <w:p w14:paraId="25D282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1D69C1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295613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71D26CC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D49F4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6DE0FB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6A9452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6F1A86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jc w:val="center"/>
        </w:trPr>
        <w:tc>
          <w:tcPr>
            <w:tcW w:w="833" w:type="dxa"/>
            <w:vMerge w:val="continue"/>
            <w:tcBorders>
              <w:top w:val="nil"/>
              <w:bottom w:val="nil"/>
            </w:tcBorders>
            <w:vAlign w:val="center"/>
          </w:tcPr>
          <w:p w14:paraId="60B62D6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tcBorders>
            <w:vAlign w:val="center"/>
          </w:tcPr>
          <w:p w14:paraId="38E4ADE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65E780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5.要求行政机关确认或重新出</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具已获取信息</w:t>
            </w:r>
          </w:p>
        </w:tc>
        <w:tc>
          <w:tcPr>
            <w:tcW w:w="554" w:type="dxa"/>
            <w:vAlign w:val="center"/>
          </w:tcPr>
          <w:p w14:paraId="6DD47C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7B91A3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149053E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39B279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7997A8C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380BE2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571499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6BB6AD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4" w:hRule="atLeast"/>
          <w:jc w:val="center"/>
        </w:trPr>
        <w:tc>
          <w:tcPr>
            <w:tcW w:w="833" w:type="dxa"/>
            <w:vMerge w:val="continue"/>
            <w:tcBorders>
              <w:top w:val="nil"/>
              <w:bottom w:val="nil"/>
            </w:tcBorders>
            <w:vAlign w:val="center"/>
          </w:tcPr>
          <w:p w14:paraId="7030759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restart"/>
            <w:tcBorders>
              <w:bottom w:val="nil"/>
            </w:tcBorders>
            <w:vAlign w:val="center"/>
          </w:tcPr>
          <w:p w14:paraId="6AE7AC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（六）</w:t>
            </w:r>
            <w:r>
              <w:rPr>
                <w:rFonts w:ascii="宋体" w:hAnsi="宋体" w:eastAsia="宋体" w:cs="宋体"/>
                <w:snapToGrid w:val="0"/>
                <w:color w:val="000000"/>
                <w:spacing w:val="11"/>
                <w:kern w:val="0"/>
                <w:sz w:val="20"/>
                <w:szCs w:val="20"/>
                <w:lang w:eastAsia="en-US"/>
              </w:rPr>
              <w:t>其他处</w:t>
            </w:r>
            <w:r>
              <w:rPr>
                <w:rFonts w:ascii="宋体" w:hAnsi="宋体" w:eastAsia="宋体" w:cs="宋体"/>
                <w:snapToGrid w:val="0"/>
                <w:color w:val="000000"/>
                <w:kern w:val="0"/>
                <w:sz w:val="20"/>
                <w:szCs w:val="20"/>
                <w:lang w:eastAsia="en-US"/>
              </w:rPr>
              <w:t>理</w:t>
            </w:r>
          </w:p>
        </w:tc>
        <w:tc>
          <w:tcPr>
            <w:tcW w:w="2993" w:type="dxa"/>
            <w:vAlign w:val="center"/>
          </w:tcPr>
          <w:p w14:paraId="499CA95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1.申请人无正当理由逾期不补</w:t>
            </w:r>
            <w:r>
              <w:rPr>
                <w:rFonts w:ascii="宋体" w:hAnsi="宋体" w:eastAsia="宋体" w:cs="宋体"/>
                <w:snapToGrid w:val="0"/>
                <w:color w:val="000000"/>
                <w:spacing w:val="-2"/>
                <w:kern w:val="0"/>
                <w:sz w:val="20"/>
                <w:szCs w:val="20"/>
                <w:lang w:eastAsia="en-US"/>
              </w:rPr>
              <w:t>正、行政机关不再处理其政府信</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2"/>
                <w:kern w:val="0"/>
                <w:sz w:val="20"/>
                <w:szCs w:val="20"/>
                <w:lang w:eastAsia="en-US"/>
              </w:rPr>
              <w:t>息公开申请</w:t>
            </w:r>
          </w:p>
        </w:tc>
        <w:tc>
          <w:tcPr>
            <w:tcW w:w="554" w:type="dxa"/>
            <w:vAlign w:val="center"/>
          </w:tcPr>
          <w:p w14:paraId="218CEC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2323CD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5FE9FB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2FE29D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272ADE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4A811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135E5C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AF011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9" w:hRule="atLeast"/>
          <w:jc w:val="center"/>
        </w:trPr>
        <w:tc>
          <w:tcPr>
            <w:tcW w:w="833" w:type="dxa"/>
            <w:vMerge w:val="continue"/>
            <w:tcBorders>
              <w:top w:val="nil"/>
              <w:bottom w:val="nil"/>
            </w:tcBorders>
            <w:vAlign w:val="center"/>
          </w:tcPr>
          <w:p w14:paraId="14C3C2B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075D37D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1F2172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2.申请人逾期未按收费通知要</w:t>
            </w:r>
            <w:r>
              <w:rPr>
                <w:rFonts w:ascii="宋体" w:hAnsi="宋体" w:eastAsia="宋体" w:cs="宋体"/>
                <w:snapToGrid w:val="0"/>
                <w:color w:val="000000"/>
                <w:spacing w:val="-2"/>
                <w:kern w:val="0"/>
                <w:sz w:val="20"/>
                <w:szCs w:val="20"/>
                <w:lang w:eastAsia="en-US"/>
              </w:rPr>
              <w:t>求缴纳费用、行政机关不再处理</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3"/>
                <w:kern w:val="0"/>
                <w:sz w:val="20"/>
                <w:szCs w:val="20"/>
                <w:lang w:eastAsia="en-US"/>
              </w:rPr>
              <w:t>其政府信息公开申请</w:t>
            </w:r>
          </w:p>
        </w:tc>
        <w:tc>
          <w:tcPr>
            <w:tcW w:w="554" w:type="dxa"/>
            <w:vAlign w:val="center"/>
          </w:tcPr>
          <w:p w14:paraId="161D70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240779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15A94A8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414C89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29EEA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38CC54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EAE60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3E160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jc w:val="center"/>
        </w:trPr>
        <w:tc>
          <w:tcPr>
            <w:tcW w:w="833" w:type="dxa"/>
            <w:vMerge w:val="continue"/>
            <w:tcBorders>
              <w:top w:val="nil"/>
              <w:bottom w:val="nil"/>
            </w:tcBorders>
            <w:vAlign w:val="center"/>
          </w:tcPr>
          <w:p w14:paraId="4D4628D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tcBorders>
            <w:vAlign w:val="center"/>
          </w:tcPr>
          <w:p w14:paraId="0F9DE53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1766AF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3.其他</w:t>
            </w:r>
          </w:p>
        </w:tc>
        <w:tc>
          <w:tcPr>
            <w:tcW w:w="554" w:type="dxa"/>
            <w:vAlign w:val="center"/>
          </w:tcPr>
          <w:p w14:paraId="4A1C51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0041D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73E0D52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2FD897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727A62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CAA70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CAEBD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4AC823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8" w:hRule="atLeast"/>
          <w:jc w:val="center"/>
        </w:trPr>
        <w:tc>
          <w:tcPr>
            <w:tcW w:w="833" w:type="dxa"/>
            <w:vMerge w:val="continue"/>
            <w:tcBorders>
              <w:top w:val="nil"/>
            </w:tcBorders>
            <w:vAlign w:val="center"/>
          </w:tcPr>
          <w:p w14:paraId="027F3DC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3847" w:type="dxa"/>
            <w:gridSpan w:val="2"/>
            <w:vAlign w:val="center"/>
          </w:tcPr>
          <w:p w14:paraId="2F7C769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（七）总计</w:t>
            </w:r>
          </w:p>
        </w:tc>
        <w:tc>
          <w:tcPr>
            <w:tcW w:w="554" w:type="dxa"/>
            <w:vAlign w:val="center"/>
          </w:tcPr>
          <w:p w14:paraId="277FF3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6D186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62C688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0CBA3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17F86DE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72D5F7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7D04FD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4D63B3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8" w:hRule="atLeast"/>
          <w:jc w:val="center"/>
        </w:trPr>
        <w:tc>
          <w:tcPr>
            <w:tcW w:w="4680" w:type="dxa"/>
            <w:gridSpan w:val="3"/>
            <w:vAlign w:val="center"/>
          </w:tcPr>
          <w:p w14:paraId="59C222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四、结转下年度继续办理</w:t>
            </w:r>
          </w:p>
        </w:tc>
        <w:tc>
          <w:tcPr>
            <w:tcW w:w="554" w:type="dxa"/>
            <w:vAlign w:val="center"/>
          </w:tcPr>
          <w:p w14:paraId="5D70DD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401F9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2256DC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29E0CD1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A95FE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166647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6393E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bl>
    <w:p w14:paraId="438815E4">
      <w:pPr>
        <w:rPr>
          <w:rFonts w:hint="eastAsia" w:ascii="黑体" w:hAnsi="黑体" w:eastAsia="黑体" w:cs="黑体"/>
          <w:sz w:val="32"/>
          <w:lang w:val="en-US" w:eastAsia="zh-CN"/>
        </w:rPr>
      </w:pPr>
      <w:r>
        <w:rPr>
          <w:rFonts w:hint="eastAsia" w:ascii="黑体" w:hAnsi="黑体" w:eastAsia="黑体" w:cs="黑体"/>
          <w:sz w:val="32"/>
          <w:lang w:val="en-US" w:eastAsia="zh-CN"/>
        </w:rPr>
        <w:t>四、政府信息公开行政复议、行政诉讼情况</w:t>
      </w:r>
    </w:p>
    <w:tbl>
      <w:tblPr>
        <w:tblStyle w:val="11"/>
        <w:tblW w:w="1008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67"/>
        <w:gridCol w:w="657"/>
        <w:gridCol w:w="657"/>
        <w:gridCol w:w="657"/>
        <w:gridCol w:w="660"/>
        <w:gridCol w:w="690"/>
        <w:gridCol w:w="638"/>
        <w:gridCol w:w="689"/>
        <w:gridCol w:w="689"/>
        <w:gridCol w:w="644"/>
        <w:gridCol w:w="719"/>
        <w:gridCol w:w="689"/>
        <w:gridCol w:w="674"/>
        <w:gridCol w:w="689"/>
        <w:gridCol w:w="668"/>
      </w:tblGrid>
      <w:tr w14:paraId="706884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jc w:val="center"/>
        </w:trPr>
        <w:tc>
          <w:tcPr>
            <w:tcW w:w="3298" w:type="dxa"/>
            <w:gridSpan w:val="5"/>
            <w:vAlign w:val="center"/>
          </w:tcPr>
          <w:p w14:paraId="7656B2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行政复议</w:t>
            </w:r>
          </w:p>
        </w:tc>
        <w:tc>
          <w:tcPr>
            <w:tcW w:w="6789" w:type="dxa"/>
            <w:gridSpan w:val="10"/>
            <w:vAlign w:val="center"/>
          </w:tcPr>
          <w:p w14:paraId="633251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行政诉讼</w:t>
            </w:r>
          </w:p>
        </w:tc>
      </w:tr>
      <w:tr w14:paraId="6B15FA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49" w:hRule="atLeast"/>
          <w:jc w:val="center"/>
        </w:trPr>
        <w:tc>
          <w:tcPr>
            <w:tcW w:w="667" w:type="dxa"/>
            <w:vMerge w:val="restart"/>
            <w:tcBorders>
              <w:bottom w:val="nil"/>
            </w:tcBorders>
            <w:vAlign w:val="center"/>
          </w:tcPr>
          <w:p w14:paraId="4AC277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维持</w:t>
            </w:r>
          </w:p>
        </w:tc>
        <w:tc>
          <w:tcPr>
            <w:tcW w:w="657" w:type="dxa"/>
            <w:vMerge w:val="restart"/>
            <w:tcBorders>
              <w:bottom w:val="nil"/>
            </w:tcBorders>
            <w:vAlign w:val="center"/>
          </w:tcPr>
          <w:p w14:paraId="461092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纠正</w:t>
            </w:r>
          </w:p>
        </w:tc>
        <w:tc>
          <w:tcPr>
            <w:tcW w:w="657" w:type="dxa"/>
            <w:vMerge w:val="restart"/>
            <w:tcBorders>
              <w:bottom w:val="nil"/>
            </w:tcBorders>
            <w:vAlign w:val="center"/>
          </w:tcPr>
          <w:p w14:paraId="6CE0762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其他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结果</w:t>
            </w:r>
          </w:p>
        </w:tc>
        <w:tc>
          <w:tcPr>
            <w:tcW w:w="657" w:type="dxa"/>
            <w:vMerge w:val="restart"/>
            <w:tcBorders>
              <w:bottom w:val="nil"/>
            </w:tcBorders>
            <w:vAlign w:val="center"/>
          </w:tcPr>
          <w:p w14:paraId="030AA8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尚未</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3"/>
                <w:kern w:val="0"/>
                <w:sz w:val="20"/>
                <w:szCs w:val="20"/>
                <w:lang w:eastAsia="en-US"/>
              </w:rPr>
              <w:t>审结</w:t>
            </w:r>
          </w:p>
        </w:tc>
        <w:tc>
          <w:tcPr>
            <w:tcW w:w="660" w:type="dxa"/>
            <w:vMerge w:val="restart"/>
            <w:tcBorders>
              <w:bottom w:val="nil"/>
            </w:tcBorders>
            <w:vAlign w:val="center"/>
          </w:tcPr>
          <w:p w14:paraId="4E19D1D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p w14:paraId="11E16F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总计</w:t>
            </w:r>
          </w:p>
        </w:tc>
        <w:tc>
          <w:tcPr>
            <w:tcW w:w="3350" w:type="dxa"/>
            <w:gridSpan w:val="5"/>
            <w:vAlign w:val="center"/>
          </w:tcPr>
          <w:p w14:paraId="1945D4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未经复议直接起诉</w:t>
            </w:r>
          </w:p>
        </w:tc>
        <w:tc>
          <w:tcPr>
            <w:tcW w:w="3439" w:type="dxa"/>
            <w:gridSpan w:val="5"/>
            <w:vAlign w:val="center"/>
          </w:tcPr>
          <w:p w14:paraId="6653915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复议后起诉</w:t>
            </w:r>
          </w:p>
        </w:tc>
      </w:tr>
      <w:tr w14:paraId="1E048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1" w:hRule="atLeast"/>
          <w:jc w:val="center"/>
        </w:trPr>
        <w:tc>
          <w:tcPr>
            <w:tcW w:w="667" w:type="dxa"/>
            <w:vMerge w:val="continue"/>
            <w:tcBorders>
              <w:top w:val="nil"/>
            </w:tcBorders>
            <w:vAlign w:val="center"/>
          </w:tcPr>
          <w:p w14:paraId="259550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57" w:type="dxa"/>
            <w:vMerge w:val="continue"/>
            <w:tcBorders>
              <w:top w:val="nil"/>
            </w:tcBorders>
            <w:vAlign w:val="center"/>
          </w:tcPr>
          <w:p w14:paraId="18395C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57" w:type="dxa"/>
            <w:vMerge w:val="continue"/>
            <w:tcBorders>
              <w:top w:val="nil"/>
            </w:tcBorders>
            <w:vAlign w:val="center"/>
          </w:tcPr>
          <w:p w14:paraId="1DA6E5E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57" w:type="dxa"/>
            <w:vMerge w:val="continue"/>
            <w:tcBorders>
              <w:top w:val="nil"/>
            </w:tcBorders>
            <w:vAlign w:val="center"/>
          </w:tcPr>
          <w:p w14:paraId="7910289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60" w:type="dxa"/>
            <w:vMerge w:val="continue"/>
            <w:tcBorders>
              <w:top w:val="nil"/>
            </w:tcBorders>
            <w:vAlign w:val="center"/>
          </w:tcPr>
          <w:p w14:paraId="1BEE21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90" w:type="dxa"/>
            <w:vAlign w:val="center"/>
          </w:tcPr>
          <w:p w14:paraId="0E54C4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维持</w:t>
            </w:r>
          </w:p>
        </w:tc>
        <w:tc>
          <w:tcPr>
            <w:tcW w:w="638" w:type="dxa"/>
            <w:vAlign w:val="center"/>
          </w:tcPr>
          <w:p w14:paraId="37FE06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纠正</w:t>
            </w:r>
          </w:p>
        </w:tc>
        <w:tc>
          <w:tcPr>
            <w:tcW w:w="689" w:type="dxa"/>
            <w:vAlign w:val="center"/>
          </w:tcPr>
          <w:p w14:paraId="115B29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其他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结果</w:t>
            </w:r>
          </w:p>
        </w:tc>
        <w:tc>
          <w:tcPr>
            <w:tcW w:w="689" w:type="dxa"/>
            <w:vAlign w:val="center"/>
          </w:tcPr>
          <w:p w14:paraId="324FAB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尚未</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3"/>
                <w:kern w:val="0"/>
                <w:sz w:val="20"/>
                <w:szCs w:val="20"/>
                <w:lang w:eastAsia="en-US"/>
              </w:rPr>
              <w:t>审结</w:t>
            </w:r>
          </w:p>
        </w:tc>
        <w:tc>
          <w:tcPr>
            <w:tcW w:w="644" w:type="dxa"/>
            <w:vAlign w:val="center"/>
          </w:tcPr>
          <w:p w14:paraId="1909AB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总计</w:t>
            </w:r>
          </w:p>
        </w:tc>
        <w:tc>
          <w:tcPr>
            <w:tcW w:w="719" w:type="dxa"/>
            <w:vAlign w:val="center"/>
          </w:tcPr>
          <w:p w14:paraId="735448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维持</w:t>
            </w:r>
          </w:p>
        </w:tc>
        <w:tc>
          <w:tcPr>
            <w:tcW w:w="689" w:type="dxa"/>
            <w:vAlign w:val="center"/>
          </w:tcPr>
          <w:p w14:paraId="35C9CD6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纠正</w:t>
            </w:r>
          </w:p>
        </w:tc>
        <w:tc>
          <w:tcPr>
            <w:tcW w:w="674" w:type="dxa"/>
            <w:vAlign w:val="center"/>
          </w:tcPr>
          <w:p w14:paraId="631A7C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其他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结果</w:t>
            </w:r>
          </w:p>
        </w:tc>
        <w:tc>
          <w:tcPr>
            <w:tcW w:w="689" w:type="dxa"/>
            <w:vAlign w:val="center"/>
          </w:tcPr>
          <w:p w14:paraId="28ADE2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尚未</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3"/>
                <w:kern w:val="0"/>
                <w:sz w:val="20"/>
                <w:szCs w:val="20"/>
                <w:lang w:eastAsia="en-US"/>
              </w:rPr>
              <w:t>审结</w:t>
            </w:r>
          </w:p>
        </w:tc>
        <w:tc>
          <w:tcPr>
            <w:tcW w:w="668" w:type="dxa"/>
            <w:vAlign w:val="center"/>
          </w:tcPr>
          <w:p w14:paraId="6D5698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总计</w:t>
            </w:r>
          </w:p>
        </w:tc>
      </w:tr>
      <w:tr w14:paraId="10F1BB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7" w:hRule="atLeast"/>
          <w:jc w:val="center"/>
        </w:trPr>
        <w:tc>
          <w:tcPr>
            <w:tcW w:w="667" w:type="dxa"/>
            <w:vAlign w:val="center"/>
          </w:tcPr>
          <w:p w14:paraId="59C06DF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57" w:type="dxa"/>
            <w:vAlign w:val="center"/>
          </w:tcPr>
          <w:p w14:paraId="72EB3D2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57" w:type="dxa"/>
            <w:vAlign w:val="center"/>
          </w:tcPr>
          <w:p w14:paraId="7409E55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57" w:type="dxa"/>
            <w:vAlign w:val="center"/>
          </w:tcPr>
          <w:p w14:paraId="787A2DE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60" w:type="dxa"/>
            <w:vAlign w:val="center"/>
          </w:tcPr>
          <w:p w14:paraId="69F80E7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90" w:type="dxa"/>
            <w:vAlign w:val="center"/>
          </w:tcPr>
          <w:p w14:paraId="69E8732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38" w:type="dxa"/>
            <w:vAlign w:val="center"/>
          </w:tcPr>
          <w:p w14:paraId="595C391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89" w:type="dxa"/>
            <w:vAlign w:val="center"/>
          </w:tcPr>
          <w:p w14:paraId="501D637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89" w:type="dxa"/>
            <w:vAlign w:val="center"/>
          </w:tcPr>
          <w:p w14:paraId="0CD6A7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44" w:type="dxa"/>
            <w:vAlign w:val="center"/>
          </w:tcPr>
          <w:p w14:paraId="3BE1C9D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3BAEEE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89" w:type="dxa"/>
            <w:vAlign w:val="center"/>
          </w:tcPr>
          <w:p w14:paraId="0B5837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74" w:type="dxa"/>
            <w:vAlign w:val="center"/>
          </w:tcPr>
          <w:p w14:paraId="113062A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89" w:type="dxa"/>
            <w:vAlign w:val="center"/>
          </w:tcPr>
          <w:p w14:paraId="5FA97CF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68" w:type="dxa"/>
            <w:vAlign w:val="center"/>
          </w:tcPr>
          <w:p w14:paraId="4A2C95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bl>
    <w:p w14:paraId="512AF37C">
      <w:pPr>
        <w:rPr>
          <w:rFonts w:hint="eastAsia"/>
          <w:sz w:val="32"/>
          <w:lang w:val="en-US" w:eastAsia="zh-CN"/>
        </w:rPr>
      </w:pPr>
    </w:p>
    <w:p w14:paraId="183C34B7">
      <w:pPr>
        <w:rPr>
          <w:rFonts w:hint="eastAsia" w:ascii="黑体" w:hAnsi="黑体" w:eastAsia="黑体" w:cs="黑体"/>
          <w:sz w:val="32"/>
          <w:lang w:val="en-US" w:eastAsia="zh-CN"/>
        </w:rPr>
      </w:pPr>
      <w:r>
        <w:rPr>
          <w:rFonts w:hint="eastAsia" w:ascii="黑体" w:hAnsi="黑体" w:eastAsia="黑体" w:cs="黑体"/>
          <w:sz w:val="32"/>
          <w:lang w:val="en-US" w:eastAsia="zh-CN"/>
        </w:rPr>
        <w:t>五、存在的主要问题及改进情况</w:t>
      </w:r>
    </w:p>
    <w:p w14:paraId="3BC69057">
      <w:pPr>
        <w:rPr>
          <w:rFonts w:hint="eastAsia"/>
          <w:sz w:val="32"/>
          <w:lang w:val="en-US" w:eastAsia="zh-CN"/>
        </w:rPr>
      </w:pPr>
      <w:r>
        <w:rPr>
          <w:rFonts w:hint="eastAsia"/>
          <w:sz w:val="32"/>
          <w:lang w:val="en-US" w:eastAsia="zh-CN"/>
        </w:rPr>
        <w:t>存在的问题：一是政府信息公开工作质量不够高、范围不够广，主动公开政府信息的内容及查询了解的便捷程度与公众的需求尚存差距。二是公开领域需要进一步拓宽，教育、医疗卫生、供水、供电、农技等与人民群众利益密切相关的领域需进一步拓宽。</w:t>
      </w:r>
    </w:p>
    <w:p w14:paraId="295577C0">
      <w:pPr>
        <w:rPr>
          <w:rFonts w:hint="eastAsia"/>
          <w:sz w:val="32"/>
          <w:lang w:val="en-US" w:eastAsia="zh-CN"/>
        </w:rPr>
      </w:pPr>
      <w:r>
        <w:rPr>
          <w:rFonts w:hint="eastAsia"/>
          <w:sz w:val="32"/>
          <w:lang w:val="en-US" w:eastAsia="zh-CN"/>
        </w:rPr>
        <w:t>改进情况：一是进一步提高政府各站办所对信息公开工作的重视程度，全镇各站办所及时提供需公开资料，充分完善信息公开工作；二是进一步完善提供社会公共服务过程中的信息发布工作，通过完善服务信息，达到切实提供人民群众服务便利的效果。</w:t>
      </w:r>
    </w:p>
    <w:p w14:paraId="69FB1130">
      <w:pPr>
        <w:rPr>
          <w:rFonts w:hint="eastAsia" w:ascii="黑体" w:hAnsi="黑体" w:eastAsia="黑体" w:cs="黑体"/>
          <w:sz w:val="32"/>
          <w:lang w:val="en-US" w:eastAsia="zh-CN"/>
        </w:rPr>
      </w:pPr>
      <w:r>
        <w:rPr>
          <w:rFonts w:hint="eastAsia" w:ascii="黑体" w:hAnsi="黑体" w:eastAsia="黑体" w:cs="黑体"/>
          <w:sz w:val="32"/>
          <w:lang w:val="en-US" w:eastAsia="zh-CN"/>
        </w:rPr>
        <w:t>六、其他需要报告的事项</w:t>
      </w:r>
    </w:p>
    <w:p w14:paraId="0F05468D">
      <w:pPr>
        <w:rPr>
          <w:sz w:val="32"/>
        </w:rPr>
      </w:pPr>
      <w:r>
        <w:rPr>
          <w:rFonts w:hint="eastAsia"/>
          <w:sz w:val="32"/>
          <w:lang w:val="en-US" w:eastAsia="zh-CN"/>
        </w:rPr>
        <w:t>本年度未收取信息处理费。</w:t>
      </w:r>
    </w:p>
    <w:p w14:paraId="0B057354">
      <w:pPr>
        <w:rPr>
          <w:sz w:val="32"/>
        </w:rPr>
      </w:pP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CD1B76"/>
    <w:rsid w:val="169D0792"/>
    <w:rsid w:val="19F22C4D"/>
    <w:rsid w:val="1CBD42E4"/>
    <w:rsid w:val="259A4CFE"/>
    <w:rsid w:val="25C7340C"/>
    <w:rsid w:val="27DA700B"/>
    <w:rsid w:val="2C2566E6"/>
    <w:rsid w:val="2D935D93"/>
    <w:rsid w:val="32E47AED"/>
    <w:rsid w:val="358D6E28"/>
    <w:rsid w:val="37931D11"/>
    <w:rsid w:val="3E8C7F6E"/>
    <w:rsid w:val="41452C93"/>
    <w:rsid w:val="47033499"/>
    <w:rsid w:val="497D1858"/>
    <w:rsid w:val="52497B10"/>
    <w:rsid w:val="58AD4453"/>
    <w:rsid w:val="6244146E"/>
    <w:rsid w:val="65EE59AC"/>
    <w:rsid w:val="66336AF9"/>
    <w:rsid w:val="6CE803DB"/>
    <w:rsid w:val="6DB4682A"/>
    <w:rsid w:val="741959DF"/>
    <w:rsid w:val="786A1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6" w:lineRule="exact"/>
      <w:ind w:firstLine="880" w:firstLineChars="200"/>
      <w:jc w:val="both"/>
    </w:pPr>
    <w:rPr>
      <w:rFonts w:ascii="Times New Roman" w:hAnsi="Times New Roman" w:eastAsia="仿宋_GB2312" w:cstheme="minorBidi"/>
      <w:kern w:val="2"/>
      <w:sz w:val="32"/>
      <w:szCs w:val="22"/>
      <w:lang w:val="en-US" w:eastAsia="zh-CN" w:bidi="ar-SA"/>
    </w:rPr>
  </w:style>
  <w:style w:type="paragraph" w:styleId="2">
    <w:name w:val="heading 1"/>
    <w:basedOn w:val="1"/>
    <w:next w:val="1"/>
    <w:qFormat/>
    <w:uiPriority w:val="0"/>
    <w:pPr>
      <w:spacing w:before="0" w:beforeAutospacing="0" w:after="0" w:afterAutospacing="0" w:line="576" w:lineRule="exact"/>
      <w:jc w:val="both"/>
      <w:outlineLvl w:val="0"/>
    </w:pPr>
    <w:rPr>
      <w:rFonts w:hint="eastAsia" w:ascii="黑体" w:hAnsi="黑体" w:eastAsia="黑体" w:cs="宋体"/>
      <w:bCs/>
      <w:kern w:val="44"/>
      <w:szCs w:val="48"/>
      <w:lang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keepNext/>
      <w:keepLines/>
      <w:spacing w:beforeLines="0" w:beforeAutospacing="0" w:afterLines="0" w:afterAutospacing="0" w:line="576" w:lineRule="exact"/>
      <w:ind w:firstLine="643" w:firstLineChars="200"/>
      <w:outlineLvl w:val="2"/>
    </w:pPr>
    <w:rPr>
      <w:b/>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10">
    <w:name w:val="文章标题"/>
    <w:basedOn w:val="1"/>
    <w:next w:val="1"/>
    <w:qFormat/>
    <w:uiPriority w:val="0"/>
    <w:pPr>
      <w:keepNext/>
      <w:keepLines/>
      <w:spacing w:beforeLines="0" w:afterLines="0" w:line="640" w:lineRule="exact"/>
      <w:ind w:left="0" w:leftChars="0"/>
      <w:jc w:val="center"/>
      <w:outlineLvl w:val="0"/>
    </w:pPr>
    <w:rPr>
      <w:rFonts w:ascii="方正小标宋_GBK" w:hAnsi="方正小标宋_GBK" w:eastAsia="方正小标宋_GBK"/>
      <w:sz w:val="44"/>
    </w:r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1955</Words>
  <Characters>2009</Characters>
  <Lines>0</Lines>
  <Paragraphs>0</Paragraphs>
  <TotalTime>4</TotalTime>
  <ScaleCrop>false</ScaleCrop>
  <LinksUpToDate>false</LinksUpToDate>
  <CharactersWithSpaces>2036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2024-10-11T03:23:00Z</dcterms:created>
  <dc:creator>我爱上班</dc:creator>
  <cp:lastModifiedBy>KAI</cp:lastModifiedBy>
  <cp:lastPrinted>2025-01-13T00:41:00Z</cp:lastPrinted>
  <dcterms:modified xsi:type="dcterms:W3CDTF">2025-01-13T01:57:31Z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F6CA28D116FF4BCA83E23AEFF3EEB81A_12</vt:lpwstr>
  </property>
  <property fmtid="{D5CDD505-2E9C-101B-9397-08002B2CF9AE}" pid="4" name="KSOTemplateDocerSaveRecord">
    <vt:lpwstr>eyJoZGlkIjoiMjE2N2YyMTMwMTYyMjFjMzU0OTc3YzgxN2Y4ZDNjNWQiLCJ1c2VySWQiOiI1NjM2OTc0MjgifQ==</vt:lpwstr>
  </property>
</Properties>
</file>