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F7F2E">
      <w:pPr>
        <w:pStyle w:val="4"/>
        <w:widowControl/>
        <w:spacing w:before="0" w:beforeAutospacing="0" w:after="0" w:afterAutospacing="0" w:line="576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湘潭县审计局</w:t>
      </w:r>
      <w:r>
        <w:rPr>
          <w:rFonts w:ascii="方正小标宋_GBK" w:hAnsi="方正小标宋_GBK" w:eastAsia="方正小标宋_GBK" w:cs="方正小标宋_GBK"/>
          <w:sz w:val="44"/>
          <w:szCs w:val="44"/>
        </w:rPr>
        <w:t>2024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年政府信息公开</w:t>
      </w:r>
    </w:p>
    <w:p w14:paraId="3CF2DC32">
      <w:pPr>
        <w:pStyle w:val="4"/>
        <w:widowControl/>
        <w:spacing w:before="0" w:beforeAutospacing="0" w:after="0" w:afterAutospacing="0" w:line="576" w:lineRule="exact"/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工作年度报告</w:t>
      </w:r>
    </w:p>
    <w:p w14:paraId="12005E04">
      <w:pPr>
        <w:pStyle w:val="4"/>
        <w:widowControl/>
        <w:spacing w:before="0" w:beforeAutospacing="0" w:after="0" w:afterAutospacing="0" w:line="576" w:lineRule="exact"/>
        <w:ind w:firstLine="420"/>
        <w:jc w:val="both"/>
        <w:rPr>
          <w:rFonts w:ascii="方正仿宋_GBK" w:hAnsi="方正仿宋_GBK" w:eastAsia="方正仿宋_GBK" w:cs="方正仿宋_GBK"/>
          <w:sz w:val="32"/>
          <w:szCs w:val="32"/>
        </w:rPr>
      </w:pPr>
    </w:p>
    <w:p w14:paraId="3374078A">
      <w:pPr>
        <w:pStyle w:val="4"/>
        <w:widowControl/>
        <w:spacing w:before="0" w:beforeAutospacing="0" w:after="0" w:afterAutospacing="0" w:line="576" w:lineRule="exact"/>
        <w:ind w:firstLine="640" w:firstLineChars="200"/>
        <w:jc w:val="both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根据《中华人民共和国政府信息公开条例》（国务院令第</w:t>
      </w:r>
      <w:r>
        <w:rPr>
          <w:rFonts w:ascii="仿宋_GB2312" w:hAnsi="Calibri" w:eastAsia="仿宋_GB2312" w:cs="仿宋_GB2312"/>
          <w:sz w:val="32"/>
          <w:szCs w:val="32"/>
        </w:rPr>
        <w:t>711</w:t>
      </w:r>
      <w:r>
        <w:rPr>
          <w:rFonts w:hint="eastAsia" w:ascii="仿宋_GB2312" w:hAnsi="Calibri" w:eastAsia="仿宋_GB2312" w:cs="仿宋_GB2312"/>
          <w:sz w:val="32"/>
          <w:szCs w:val="32"/>
        </w:rPr>
        <w:t>号）规定，以及《国务院办公厅政府信息与政务公开办公室关于印发〈中华人民共和国政府信息公开工作年度报告格式〉的通知》（国办公开办函〔</w:t>
      </w:r>
      <w:r>
        <w:rPr>
          <w:rFonts w:ascii="仿宋_GB2312" w:hAnsi="Calibri" w:eastAsia="仿宋_GB2312" w:cs="仿宋_GB2312"/>
          <w:sz w:val="32"/>
          <w:szCs w:val="32"/>
        </w:rPr>
        <w:t>2021</w:t>
      </w:r>
      <w:r>
        <w:rPr>
          <w:rFonts w:hint="eastAsia" w:ascii="仿宋_GB2312" w:hAnsi="Calibri" w:eastAsia="仿宋_GB2312" w:cs="仿宋_GB2312"/>
          <w:sz w:val="32"/>
          <w:szCs w:val="32"/>
        </w:rPr>
        <w:t>〕</w:t>
      </w:r>
      <w:r>
        <w:rPr>
          <w:rFonts w:ascii="仿宋_GB2312" w:hAnsi="Calibri" w:eastAsia="仿宋_GB2312" w:cs="仿宋_GB2312"/>
          <w:sz w:val="32"/>
          <w:szCs w:val="32"/>
        </w:rPr>
        <w:t>30</w:t>
      </w:r>
      <w:r>
        <w:rPr>
          <w:rFonts w:hint="eastAsia" w:ascii="仿宋_GB2312" w:hAnsi="Calibri" w:eastAsia="仿宋_GB2312" w:cs="仿宋_GB2312"/>
          <w:sz w:val="32"/>
          <w:szCs w:val="32"/>
        </w:rPr>
        <w:t>号）要求编制本报告。本报告所列数据的统计期限为</w:t>
      </w:r>
      <w:r>
        <w:rPr>
          <w:rFonts w:ascii="仿宋_GB2312" w:hAnsi="Calibri" w:eastAsia="仿宋_GB2312" w:cs="仿宋_GB2312"/>
          <w:sz w:val="32"/>
          <w:szCs w:val="32"/>
        </w:rPr>
        <w:t>2024</w:t>
      </w:r>
      <w:r>
        <w:rPr>
          <w:rFonts w:hint="eastAsia" w:ascii="仿宋_GB2312" w:hAnsi="Calibri" w:eastAsia="仿宋_GB2312" w:cs="仿宋_GB2312"/>
          <w:sz w:val="32"/>
          <w:szCs w:val="32"/>
        </w:rPr>
        <w:t>年</w:t>
      </w:r>
      <w:r>
        <w:rPr>
          <w:rFonts w:ascii="仿宋_GB2312" w:hAnsi="Calibri" w:eastAsia="仿宋_GB2312" w:cs="仿宋_GB2312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sz w:val="32"/>
          <w:szCs w:val="32"/>
        </w:rPr>
        <w:t>月</w:t>
      </w:r>
      <w:r>
        <w:rPr>
          <w:rFonts w:ascii="仿宋_GB2312" w:hAnsi="Calibri" w:eastAsia="仿宋_GB2312" w:cs="仿宋_GB2312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sz w:val="32"/>
          <w:szCs w:val="32"/>
        </w:rPr>
        <w:t>日至</w:t>
      </w:r>
      <w:r>
        <w:rPr>
          <w:rFonts w:ascii="仿宋_GB2312" w:hAnsi="Calibri" w:eastAsia="仿宋_GB2312" w:cs="仿宋_GB2312"/>
          <w:sz w:val="32"/>
          <w:szCs w:val="32"/>
        </w:rPr>
        <w:t>2024</w:t>
      </w:r>
      <w:r>
        <w:rPr>
          <w:rFonts w:hint="eastAsia" w:ascii="仿宋_GB2312" w:hAnsi="Calibri" w:eastAsia="仿宋_GB2312" w:cs="仿宋_GB2312"/>
          <w:sz w:val="32"/>
          <w:szCs w:val="32"/>
        </w:rPr>
        <w:t>年</w:t>
      </w:r>
      <w:r>
        <w:rPr>
          <w:rFonts w:ascii="仿宋_GB2312" w:hAnsi="Calibri" w:eastAsia="仿宋_GB2312" w:cs="仿宋_GB2312"/>
          <w:sz w:val="32"/>
          <w:szCs w:val="32"/>
        </w:rPr>
        <w:t>12</w:t>
      </w:r>
      <w:r>
        <w:rPr>
          <w:rFonts w:hint="eastAsia" w:ascii="仿宋_GB2312" w:hAnsi="Calibri" w:eastAsia="仿宋_GB2312" w:cs="仿宋_GB2312"/>
          <w:sz w:val="32"/>
          <w:szCs w:val="32"/>
        </w:rPr>
        <w:t>月</w:t>
      </w:r>
      <w:r>
        <w:rPr>
          <w:rFonts w:ascii="仿宋_GB2312" w:hAnsi="Calibri" w:eastAsia="仿宋_GB2312" w:cs="仿宋_GB2312"/>
          <w:sz w:val="32"/>
          <w:szCs w:val="32"/>
        </w:rPr>
        <w:t>31</w:t>
      </w:r>
      <w:r>
        <w:rPr>
          <w:rFonts w:hint="eastAsia" w:ascii="仿宋_GB2312" w:hAnsi="Calibri" w:eastAsia="仿宋_GB2312" w:cs="仿宋_GB2312"/>
          <w:sz w:val="32"/>
          <w:szCs w:val="32"/>
        </w:rPr>
        <w:t>日。</w:t>
      </w:r>
    </w:p>
    <w:p w14:paraId="1DD3ED82">
      <w:pPr>
        <w:pStyle w:val="4"/>
        <w:widowControl/>
        <w:spacing w:before="0" w:beforeAutospacing="0" w:after="0" w:afterAutospacing="0" w:line="576" w:lineRule="exac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一、总体情况</w:t>
      </w:r>
    </w:p>
    <w:p w14:paraId="50340253">
      <w:pPr>
        <w:widowControl/>
        <w:ind w:firstLine="640" w:firstLineChars="200"/>
        <w:jc w:val="left"/>
        <w:rPr>
          <w:rFonts w:ascii="仿宋_GB2312" w:hAnsi="Calibri" w:eastAsia="仿宋_GB2312" w:cs="仿宋_GB2312"/>
          <w:kern w:val="0"/>
          <w:sz w:val="32"/>
          <w:szCs w:val="32"/>
        </w:rPr>
      </w:pPr>
      <w:r>
        <w:rPr>
          <w:rFonts w:ascii="仿宋_GB2312" w:hAnsi="Calibri" w:eastAsia="仿宋_GB2312" w:cs="仿宋_GB2312"/>
          <w:kern w:val="0"/>
          <w:sz w:val="32"/>
          <w:szCs w:val="32"/>
        </w:rPr>
        <w:t>2024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年以来，我局认真贯彻落实《中华人民共和国政府信息公开条例》，以湘潭县人民政府门户网站为信息公开渠道，坚持“以公开为常态、不公开为例外”，紧紧围绕年度重点工作，提高政府工作的透明度。优化公开平台建设管理，最大限度地实现政府信息资源共享，进一步巩固政务公开成果，规范政务公开内容，提高政务公开水平，切实保障人民群众的知情权、参与权和监督权。</w:t>
      </w:r>
    </w:p>
    <w:p w14:paraId="6C3EB5FD">
      <w:pPr>
        <w:widowControl/>
        <w:ind w:firstLine="640" w:firstLineChars="200"/>
        <w:jc w:val="left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（一）主动公开方面。</w:t>
      </w:r>
    </w:p>
    <w:p w14:paraId="60B02CF7">
      <w:pPr>
        <w:widowControl/>
        <w:spacing w:line="26" w:lineRule="atLeast"/>
        <w:ind w:firstLine="640" w:firstLineChars="200"/>
        <w:rPr>
          <w:rFonts w:ascii="仿宋_GB2312" w:hAnsi="Calibri" w:eastAsia="仿宋_GB2312" w:cs="仿宋_GB2312"/>
          <w:kern w:val="0"/>
          <w:sz w:val="32"/>
          <w:szCs w:val="32"/>
        </w:rPr>
      </w:pPr>
      <w:r>
        <w:rPr>
          <w:rFonts w:ascii="仿宋_GB2312" w:hAnsi="Calibri" w:eastAsia="仿宋_GB2312" w:cs="仿宋_GB2312"/>
          <w:kern w:val="0"/>
          <w:sz w:val="32"/>
          <w:szCs w:val="32"/>
        </w:rPr>
        <w:t>2024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年通过政务网站主动公开政府信息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35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条，其中工作动态信息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22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条、政务公开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4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条、财政信息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4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条、机构信息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2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条、领导信息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条、信息公开年报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条、信息公开指南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条、。</w:t>
      </w:r>
    </w:p>
    <w:p w14:paraId="59A401CA">
      <w:pPr>
        <w:widowControl/>
        <w:spacing w:line="26" w:lineRule="atLeast"/>
        <w:ind w:firstLine="42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（二）依申请公开方面。</w:t>
      </w:r>
    </w:p>
    <w:p w14:paraId="041BF46F">
      <w:pPr>
        <w:widowControl/>
        <w:spacing w:line="26" w:lineRule="atLeast"/>
        <w:ind w:firstLine="420"/>
        <w:rPr>
          <w:rFonts w:ascii="仿宋_GB2312" w:hAnsi="Calibri" w:eastAsia="仿宋_GB2312" w:cs="仿宋_GB2312"/>
          <w:kern w:val="0"/>
          <w:sz w:val="32"/>
          <w:szCs w:val="32"/>
        </w:rPr>
      </w:pPr>
      <w:r>
        <w:rPr>
          <w:rFonts w:ascii="仿宋_GB2312" w:hAnsi="Calibri" w:eastAsia="仿宋_GB2312" w:cs="仿宋_GB2312"/>
          <w:kern w:val="0"/>
          <w:sz w:val="32"/>
          <w:szCs w:val="32"/>
        </w:rPr>
        <w:t>2024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年，我局未收到政府信息公开申请，全年未曾出现因政府信息公开工作被申请行政复议、提起行政诉讼的情况。</w:t>
      </w:r>
    </w:p>
    <w:p w14:paraId="2AF62B43">
      <w:pPr>
        <w:widowControl/>
        <w:spacing w:line="26" w:lineRule="atLeast"/>
        <w:ind w:firstLine="42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（三）政府信息管理方面。</w:t>
      </w:r>
    </w:p>
    <w:p w14:paraId="4C752890">
      <w:pPr>
        <w:widowControl/>
        <w:ind w:firstLine="640" w:firstLineChars="200"/>
        <w:jc w:val="left"/>
        <w:rPr>
          <w:rFonts w:ascii="仿宋_GB2312" w:hAnsi="Calibri" w:eastAsia="仿宋_GB2312" w:cs="仿宋_GB2312"/>
          <w:kern w:val="0"/>
          <w:sz w:val="32"/>
          <w:szCs w:val="32"/>
        </w:rPr>
      </w:pPr>
      <w:r>
        <w:rPr>
          <w:rFonts w:ascii="仿宋_GB2312" w:hAnsi="Calibri" w:eastAsia="仿宋_GB2312" w:cs="仿宋_GB2312"/>
          <w:kern w:val="0"/>
          <w:sz w:val="32"/>
          <w:szCs w:val="32"/>
        </w:rPr>
        <w:t>2024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年，局办公室负责局政务信息公开工作，从事人员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人，严格落实信息发布审核制度，常态化开展涉及个人隐私的政府信息排查工作；严格履行信息审核、发布程序，积极做好主动公开政府信息的维护、更新和报送工作，确保发布及时、准确、安全。</w:t>
      </w:r>
    </w:p>
    <w:p w14:paraId="101AF28A">
      <w:pPr>
        <w:widowControl/>
        <w:spacing w:line="26" w:lineRule="atLeast"/>
        <w:ind w:firstLine="42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（四）政府信息公开平台建设方面。</w:t>
      </w:r>
    </w:p>
    <w:p w14:paraId="3BDD4798">
      <w:pPr>
        <w:widowControl/>
        <w:ind w:firstLine="640" w:firstLineChars="200"/>
        <w:jc w:val="left"/>
        <w:rPr>
          <w:rFonts w:ascii="仿宋_GB2312" w:hAnsi="Calibri" w:eastAsia="仿宋_GB2312" w:cs="仿宋_GB2312"/>
          <w:kern w:val="0"/>
          <w:sz w:val="32"/>
          <w:szCs w:val="32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积极配合县政府做好政府信息公开网站的维护工作，按要求完成各项任务。规范网站建设，充分发挥网站作用，积极更新门户网站机构信息、财政信息等公开栏目内容。同时，通过人工和检测系统技术手段，及时核查网站运行情况，并按要求做好清理，规范政府网站文字内容工作。</w:t>
      </w:r>
    </w:p>
    <w:p w14:paraId="5075AD23">
      <w:pPr>
        <w:widowControl/>
        <w:spacing w:line="26" w:lineRule="atLeast"/>
        <w:ind w:firstLine="42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（五）监督保障方面。</w:t>
      </w:r>
    </w:p>
    <w:p w14:paraId="0E4A9331">
      <w:pPr>
        <w:widowControl/>
        <w:ind w:firstLine="640" w:firstLineChars="200"/>
        <w:jc w:val="left"/>
        <w:rPr>
          <w:rFonts w:ascii="仿宋_GB2312" w:hAnsi="Calibri" w:eastAsia="仿宋_GB2312" w:cs="仿宋_GB2312"/>
          <w:kern w:val="0"/>
          <w:sz w:val="32"/>
          <w:szCs w:val="32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一是加大对公开信息的监督审核力度，严格遵循“涉密信息不公开，公开信息不涉密”和“先审查后公开，谁公开谁负责”的原则，凡是要公开的信息，拟公开信息机关分管领导审核、信息公开保密审查工作机构（办公室）负责人审核，分管办公室领导审核，无误后由局办公室发布</w:t>
      </w:r>
      <w:r>
        <w:rPr>
          <w:rFonts w:hint="eastAsia" w:ascii="微软雅黑" w:hAnsi="微软雅黑" w:eastAsia="微软雅黑" w:cs="微软雅黑"/>
          <w:color w:val="666666"/>
          <w:kern w:val="0"/>
          <w:sz w:val="31"/>
          <w:szCs w:val="31"/>
        </w:rPr>
        <w:t>。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二是及时传达学习省、市政务公开相关会议精神和文件要求，积极参加县政府办公室举办的政务公开培训，提高信息员的业务水平和工作能力。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 </w:t>
      </w:r>
    </w:p>
    <w:p w14:paraId="4BA116FF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ascii="CESI宋体-GB2312" w:hAnsi="CESI宋体-GB2312" w:eastAsia="方正仿宋_GBK" w:cs="方正仿宋_GBK"/>
          <w:sz w:val="32"/>
          <w:szCs w:val="32"/>
        </w:rPr>
        <w:br w:type="page"/>
      </w:r>
      <w:r>
        <w:rPr>
          <w:rFonts w:hint="eastAsia" w:ascii="黑体" w:hAnsi="黑体" w:eastAsia="黑体" w:cs="黑体"/>
          <w:bCs/>
          <w:sz w:val="32"/>
          <w:szCs w:val="32"/>
        </w:rPr>
        <w:t>二、主动公开政府信息情况</w:t>
      </w:r>
    </w:p>
    <w:tbl>
      <w:tblPr>
        <w:tblStyle w:val="5"/>
        <w:tblpPr w:leftFromText="180" w:rightFromText="180" w:vertAnchor="text" w:horzAnchor="page" w:tblpX="1630" w:tblpY="579"/>
        <w:tblOverlap w:val="never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2EAAE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493FF6C7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 w14:paraId="09156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125E0128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1AB01E83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本年制发件数</w:t>
            </w:r>
          </w:p>
        </w:tc>
        <w:tc>
          <w:tcPr>
            <w:tcW w:w="1979" w:type="dxa"/>
            <w:tcMar>
              <w:left w:w="108" w:type="dxa"/>
              <w:right w:w="108" w:type="dxa"/>
            </w:tcMar>
            <w:vAlign w:val="center"/>
          </w:tcPr>
          <w:p w14:paraId="1C6135C3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本年废止件数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4B1F2DC4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现行有效件数</w:t>
            </w:r>
          </w:p>
        </w:tc>
      </w:tr>
      <w:tr w14:paraId="705C7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7642DD30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4972A386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1979" w:type="dxa"/>
            <w:tcMar>
              <w:left w:w="108" w:type="dxa"/>
              <w:right w:w="108" w:type="dxa"/>
            </w:tcMar>
            <w:vAlign w:val="center"/>
          </w:tcPr>
          <w:p w14:paraId="0BA16AB1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3073EDE3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</w:tr>
      <w:tr w14:paraId="67DD3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1238A441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2F9805C9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1979" w:type="dxa"/>
            <w:tcMar>
              <w:left w:w="108" w:type="dxa"/>
              <w:right w:w="108" w:type="dxa"/>
            </w:tcMar>
            <w:vAlign w:val="center"/>
          </w:tcPr>
          <w:p w14:paraId="05B0C962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1A3CE88A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</w:tr>
      <w:tr w14:paraId="3756B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0A6805F2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第二十条第（五）项</w:t>
            </w:r>
          </w:p>
        </w:tc>
      </w:tr>
      <w:tr w14:paraId="09F91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32487893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2CD654A3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467EF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7E47AF0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7500B74F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</w:tr>
      <w:tr w14:paraId="4A812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68727EE6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第二十条第（六）项</w:t>
            </w:r>
          </w:p>
        </w:tc>
      </w:tr>
      <w:tr w14:paraId="49440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33AB47FB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3A1926C8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1EEFC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17455517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78F4E0B1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</w:tr>
      <w:tr w14:paraId="2604F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26019E8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57445384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</w:tr>
      <w:tr w14:paraId="33E15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73264C6F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第二十条第（八）项</w:t>
            </w:r>
          </w:p>
        </w:tc>
      </w:tr>
      <w:tr w14:paraId="0F0BB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11911A1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53C761E4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 w14:paraId="2ED64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19916050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3B3E5114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</w:tr>
    </w:tbl>
    <w:p w14:paraId="4CCEEE7B">
      <w:pPr>
        <w:pStyle w:val="4"/>
        <w:widowControl/>
        <w:spacing w:before="0" w:beforeAutospacing="0" w:after="240" w:afterAutospacing="0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ascii="黑体" w:hAnsi="黑体" w:eastAsia="黑体" w:cs="黑体"/>
          <w:bCs/>
          <w:sz w:val="32"/>
          <w:szCs w:val="32"/>
        </w:rPr>
        <w:br w:type="page"/>
      </w:r>
      <w:r>
        <w:rPr>
          <w:rFonts w:hint="eastAsia" w:ascii="黑体" w:hAnsi="黑体" w:eastAsia="黑体" w:cs="黑体"/>
          <w:bCs/>
          <w:sz w:val="32"/>
          <w:szCs w:val="32"/>
        </w:rPr>
        <w:t>三、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18CFA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68439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A1B16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申请人情况</w:t>
            </w:r>
          </w:p>
        </w:tc>
      </w:tr>
      <w:tr w14:paraId="463FE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52ACE9">
            <w:pPr>
              <w:rPr>
                <w:rFonts w:ascii="宋体" w:cs="宋体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4D1E59B">
            <w:pPr>
              <w:widowControl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8B83A5">
            <w:pPr>
              <w:widowControl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79C8D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总计</w:t>
            </w:r>
          </w:p>
        </w:tc>
      </w:tr>
      <w:tr w14:paraId="6F10A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2738C3">
            <w:pPr>
              <w:rPr>
                <w:rFonts w:ascii="宋体" w:cs="宋体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C88DDE">
            <w:pPr>
              <w:rPr>
                <w:rFonts w:ascii="宋体" w:cs="宋体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35EA16">
            <w:pPr>
              <w:widowControl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BEF3A66">
            <w:pPr>
              <w:widowControl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38FA83">
            <w:pPr>
              <w:widowControl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CD73A5">
            <w:pPr>
              <w:widowControl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B05582">
            <w:pPr>
              <w:widowControl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0A384FA">
            <w:pPr>
              <w:rPr>
                <w:rFonts w:ascii="宋体" w:cs="宋体"/>
                <w:szCs w:val="21"/>
              </w:rPr>
            </w:pPr>
          </w:p>
        </w:tc>
      </w:tr>
      <w:tr w14:paraId="7F5FE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A6102F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B19F56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4438C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372FB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7958076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E910A1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6A2E08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F6BFB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408D2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FDD7E38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BC1D2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34771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BC178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67852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4B431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E1C2E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37B8D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315FE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05C54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A12FCA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518FA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B401B3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8B47B3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CEE928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CE819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4523C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36E9C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7D80A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A06F16">
            <w:pPr>
              <w:rPr>
                <w:rFonts w:ascii="宋体" w:cs="宋体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F63142">
            <w:pPr>
              <w:widowControl/>
              <w:spacing w:line="24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DA36C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851B48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F21A8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E8596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F5F46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173B7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73E92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448B7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22451E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A01CB35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6E40AB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</w:rPr>
              <w:t>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C7CC02A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3ED65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81B73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6F4598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ACEA3A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7E3B9A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6D3605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3748A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054282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044BC41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CCF6F7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</w:rPr>
              <w:t>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3DF3F6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CFC94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55820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452E4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98D72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0874B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6CAE33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5C7C3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971374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7CD85C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A17BF9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</w:rPr>
              <w:t>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D013A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1A78A7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0AAE3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D1862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E3131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16000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EEC4A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2F3BC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88FFB3F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230E02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72B000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</w:t>
            </w:r>
            <w:r>
              <w:rPr>
                <w:rFonts w:hint="eastAsia" w:ascii="宋体" w:hAnsi="宋体" w:cs="宋体"/>
                <w:kern w:val="0"/>
                <w:szCs w:val="21"/>
              </w:rPr>
              <w:t>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DE5977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0BEC2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4447B1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0167E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9A1AE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6CEE13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60069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00697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47EA03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FE4F5F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D8B3AD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</w:t>
            </w:r>
            <w:r>
              <w:rPr>
                <w:rFonts w:hint="eastAsia" w:ascii="宋体" w:hAnsi="宋体" w:cs="宋体"/>
                <w:kern w:val="0"/>
                <w:szCs w:val="21"/>
              </w:rPr>
              <w:t>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B9B39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E14DE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43055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36A068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1206C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5A19E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B607C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06EC3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E13335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9F91CB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93CF52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</w:t>
            </w:r>
            <w:r>
              <w:rPr>
                <w:rFonts w:hint="eastAsia" w:ascii="宋体" w:hAnsi="宋体" w:cs="宋体"/>
                <w:kern w:val="0"/>
                <w:szCs w:val="21"/>
              </w:rPr>
              <w:t>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B03335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A2EF6F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CD7564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DE4BC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59E3E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95BCD4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DF625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5D856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5AB6BC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38A278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65844A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7.</w:t>
            </w:r>
            <w:r>
              <w:rPr>
                <w:rFonts w:hint="eastAsia" w:ascii="宋体" w:hAnsi="宋体" w:cs="宋体"/>
                <w:kern w:val="0"/>
                <w:szCs w:val="21"/>
              </w:rPr>
              <w:t>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1756D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F0963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DF475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7BA67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9498B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546B9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9BE19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05220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DC71F4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A07EC1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AE4FB1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8.</w:t>
            </w:r>
            <w:r>
              <w:rPr>
                <w:rFonts w:hint="eastAsia" w:ascii="宋体" w:hAnsi="宋体" w:cs="宋体"/>
                <w:kern w:val="0"/>
                <w:szCs w:val="21"/>
              </w:rPr>
              <w:t>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7FAA8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1D535A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252BF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B597E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CFDBD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25209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EA221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4A2E5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57B3E2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09B6CD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FB3BD5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</w:rPr>
              <w:t>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A9FA48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5052F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B22AE4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6D6536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93BEB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A150A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679B0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68BBC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F3F1F1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68A44E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58D3E5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</w:rPr>
              <w:t>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9B4AC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DDFD44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D40BC5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90170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E576F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77ADF8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9FF392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1E408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DA379A5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D77CD8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043038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</w:rPr>
              <w:t>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52668A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7770F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065B0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45380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1DEDC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0038C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C693A6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420CF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959A99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B1A727C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A29AA6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</w:rPr>
              <w:t>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C06BEA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2AE59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4BF8C1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D648D4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5F409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AA89B8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E6A01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005E8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BC7942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0FD6A76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0E446B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</w:rPr>
              <w:t>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5B1783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D9F47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B57C8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52A2D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10814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C4AF1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9B6CE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62B44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EC5703F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AE539D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E2803A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</w:rPr>
              <w:t>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B2558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C1BB3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8DB5E3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4985A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09157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62B1FF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DFA19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09BF9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A8AED3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1C5BBD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8F8C81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</w:t>
            </w:r>
            <w:r>
              <w:rPr>
                <w:rFonts w:hint="eastAsia" w:ascii="宋体" w:hAnsi="宋体" w:cs="宋体"/>
                <w:kern w:val="0"/>
                <w:szCs w:val="21"/>
              </w:rPr>
              <w:t>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31E2A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865CC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3D253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2910D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046E9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FE20F8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052C1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1E256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733E09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53D2B7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8EF871">
            <w:pPr>
              <w:widowControl/>
              <w:spacing w:line="24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</w:t>
            </w:r>
            <w:r>
              <w:rPr>
                <w:rFonts w:hint="eastAsia" w:ascii="宋体" w:hAnsi="宋体" w:cs="宋体"/>
                <w:kern w:val="0"/>
                <w:szCs w:val="21"/>
              </w:rPr>
              <w:t>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104BD3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034058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62CAC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47DA5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0CCFF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CF814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C4B61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0863E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8906520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95BBC8"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10E3C4"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</w:rPr>
              <w:t>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440B7E4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B490F96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84362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13B25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EA4D32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CD08E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3CB62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05244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18A566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14FD00">
            <w:pPr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D777D0"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</w:t>
            </w:r>
            <w:r>
              <w:rPr>
                <w:rFonts w:hint="eastAsia" w:ascii="宋体" w:hAnsi="宋体" w:cs="宋体"/>
                <w:kern w:val="0"/>
                <w:szCs w:val="21"/>
              </w:rPr>
              <w:t>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6A03EC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18716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7D55C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A33BD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85E27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9211E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3A548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3973A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EC84AB">
            <w:pPr>
              <w:rPr>
                <w:rFonts w:ascii="宋体" w:cs="宋体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8434E0">
            <w:pPr>
              <w:rPr>
                <w:rFonts w:ascii="宋体" w:cs="宋体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3E3E72">
            <w:pPr>
              <w:widowControl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</w:rPr>
              <w:t>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71668F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746AEE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F8AF60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162D9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04561D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1D3CE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C2C7F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15B4A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4D166B">
            <w:pPr>
              <w:rPr>
                <w:rFonts w:ascii="宋体" w:cs="宋体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0CB4CA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85E926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BE78623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B79676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26F5D0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3CF269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6CF16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BB3323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  <w:tr w14:paraId="40586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EDFAC6A">
            <w:pPr>
              <w:widowControl/>
              <w:spacing w:line="30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D8495B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8AE94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8A8517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256C02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828801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324AC5">
            <w:pPr>
              <w:widowControl/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66F177">
            <w:pPr>
              <w:spacing w:line="30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</w:tr>
    </w:tbl>
    <w:p w14:paraId="7C349F8F">
      <w:pPr>
        <w:pStyle w:val="4"/>
        <w:widowControl/>
        <w:spacing w:before="0" w:beforeAutospacing="0" w:after="0" w:afterAutospacing="0" w:line="576" w:lineRule="exact"/>
        <w:ind w:firstLine="640" w:firstLineChars="200"/>
        <w:jc w:val="both"/>
        <w:rPr>
          <w:rFonts w:ascii="黑体" w:hAnsi="黑体" w:eastAsia="黑体" w:cs="黑体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5"/>
        <w:tblpPr w:leftFromText="180" w:rightFromText="180" w:vertAnchor="text" w:horzAnchor="page" w:tblpX="1080" w:tblpY="438"/>
        <w:tblOverlap w:val="never"/>
        <w:tblW w:w="100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4AAED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4F43B4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F1B9B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行政诉讼</w:t>
            </w:r>
          </w:p>
        </w:tc>
      </w:tr>
      <w:tr w14:paraId="1A12C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4E00F8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ABF2A0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06C7A3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8F2C72A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531770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AB1015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064766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复议后起诉</w:t>
            </w:r>
          </w:p>
        </w:tc>
      </w:tr>
      <w:tr w14:paraId="35FD9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517651">
            <w:pPr>
              <w:widowControl/>
              <w:spacing w:line="300" w:lineRule="exact"/>
              <w:rPr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363F4D">
            <w:pPr>
              <w:widowControl/>
              <w:spacing w:line="300" w:lineRule="exact"/>
              <w:rPr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E0D320">
            <w:pPr>
              <w:widowControl/>
              <w:spacing w:line="300" w:lineRule="exact"/>
              <w:rPr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3F7883">
            <w:pPr>
              <w:widowControl/>
              <w:spacing w:line="300" w:lineRule="exact"/>
              <w:rPr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90261B">
            <w:pPr>
              <w:widowControl/>
              <w:spacing w:line="300" w:lineRule="exact"/>
              <w:rPr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7AF7F2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22ABC7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64AA16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D7979AF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430DBE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2A2556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5E0C60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8E758E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0AAE66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0E19805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总计</w:t>
            </w:r>
          </w:p>
        </w:tc>
      </w:tr>
      <w:tr w14:paraId="0E246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03A4B6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8028BB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E1F206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B5F9A7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F63BC0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9300D3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869AAA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32130A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F97F32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2A83CD"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8FF4A3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40B7DCF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C5DD14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18107E">
            <w:pPr>
              <w:widowControl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AFCFD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</w:tr>
    </w:tbl>
    <w:p w14:paraId="2DEA2E34">
      <w:pPr>
        <w:pStyle w:val="4"/>
        <w:widowControl/>
        <w:spacing w:before="0" w:beforeAutospacing="0" w:after="0" w:afterAutospacing="0" w:line="560" w:lineRule="exact"/>
        <w:jc w:val="both"/>
        <w:rPr>
          <w:rFonts w:ascii="黑体" w:hAnsi="黑体" w:eastAsia="黑体" w:cs="黑体"/>
          <w:bCs/>
          <w:sz w:val="32"/>
          <w:szCs w:val="32"/>
        </w:rPr>
      </w:pPr>
    </w:p>
    <w:p w14:paraId="0CFB2AF3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ascii="宋体" w:cs="宋体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五、存在的主要问题及改进情况</w:t>
      </w:r>
    </w:p>
    <w:p w14:paraId="72399D82">
      <w:pPr>
        <w:widowControl/>
        <w:ind w:firstLine="640" w:firstLineChars="200"/>
        <w:jc w:val="left"/>
        <w:rPr>
          <w:rFonts w:ascii="仿宋_GB2312" w:hAnsi="Calibri" w:eastAsia="仿宋_GB2312" w:cs="仿宋_GB2312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hAnsi="Calibri" w:eastAsia="仿宋_GB2312" w:cs="仿宋_GB2312"/>
          <w:kern w:val="0"/>
          <w:sz w:val="32"/>
          <w:szCs w:val="32"/>
        </w:rPr>
        <w:t>2024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年，我局政务公开工作取得了一定进展，但也存在一些问题和不足，一是主动公开信息还不够全面；二是信息公开的范围和内容有待进一步扩大完善</w:t>
      </w:r>
      <w:r>
        <w:rPr>
          <w:rFonts w:hint="eastAsia" w:ascii="宋体" w:hAnsi="宋体" w:cs="宋体"/>
          <w:kern w:val="0"/>
          <w:sz w:val="24"/>
        </w:rPr>
        <w:t>；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三是长效工作机制需进一步完善。</w:t>
      </w:r>
      <w:r>
        <w:rPr>
          <w:rFonts w:ascii="仿宋_GB2312" w:hAnsi="Calibri" w:eastAsia="仿宋_GB2312" w:cs="仿宋_GB2312"/>
          <w:kern w:val="0"/>
          <w:sz w:val="32"/>
          <w:szCs w:val="32"/>
        </w:rPr>
        <w:t>2025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年，县审计局将坚持问题导向，深化政务信息公开。一是进一步提升政务公开工作理念，依法做好各类信息的主动公开工作；二是进一步加强政务公开教育培训，不断提升政府信息公开工作人员责任意识，及时向社会公布审计工作动态；三是进一步建立健全政务公开相关制度。不断完善政务公开规章制度，进一步健全信息发布制度。积极落实政务公开审查制度，严把信息质量关。确保政府信息公开工作迈上新台阶。</w:t>
      </w:r>
    </w:p>
    <w:p w14:paraId="24BAD180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六、其他需要报告的事项</w:t>
      </w:r>
    </w:p>
    <w:p w14:paraId="2B52C88F">
      <w:pPr>
        <w:widowControl/>
        <w:spacing w:line="26" w:lineRule="atLeast"/>
        <w:ind w:firstLine="420"/>
        <w:rPr>
          <w:rFonts w:ascii="仿宋_GB2312" w:hAnsi="Calibri" w:eastAsia="仿宋_GB2312" w:cs="仿宋_GB2312"/>
          <w:kern w:val="0"/>
          <w:sz w:val="32"/>
          <w:szCs w:val="32"/>
        </w:rPr>
      </w:pP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本年度未收取信息处理费</w:t>
      </w:r>
    </w:p>
    <w:sectPr>
      <w:pgSz w:w="11906" w:h="16838"/>
      <w:pgMar w:top="2098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宋体-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4383160"/>
    <w:rsid w:val="000C042E"/>
    <w:rsid w:val="00482199"/>
    <w:rsid w:val="005C79B2"/>
    <w:rsid w:val="007D4EAA"/>
    <w:rsid w:val="007E2399"/>
    <w:rsid w:val="00957D52"/>
    <w:rsid w:val="0099143E"/>
    <w:rsid w:val="009B5937"/>
    <w:rsid w:val="00BD026C"/>
    <w:rsid w:val="00D07087"/>
    <w:rsid w:val="15A757EE"/>
    <w:rsid w:val="25023780"/>
    <w:rsid w:val="405E7E2A"/>
    <w:rsid w:val="74383160"/>
    <w:rsid w:val="7818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nhideWhenUsed="0"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uiPriority w:val="99"/>
    <w:pPr>
      <w:ind w:left="420" w:leftChars="200"/>
    </w:p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next w:val="3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customStyle="1" w:styleId="8">
    <w:name w:val="Header Char"/>
    <w:basedOn w:val="6"/>
    <w:link w:val="3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6</Pages>
  <Words>2126</Words>
  <Characters>2182</Characters>
  <Lines>0</Lines>
  <Paragraphs>0</Paragraphs>
  <TotalTime>9</TotalTime>
  <ScaleCrop>false</ScaleCrop>
  <LinksUpToDate>false</LinksUpToDate>
  <CharactersWithSpaces>2183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2025-01-13T03:30:00Z</dcterms:created>
  <dc:creator>LYJ</dc:creator>
  <cp:lastModifiedBy>LYJ</cp:lastModifiedBy>
  <cp:lastPrinted>2025-01-13T08:08:00Z</cp:lastPrinted>
  <dcterms:modified xsi:type="dcterms:W3CDTF">2025-01-13T09:10:31Z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BACE5C4E6BAE4C0094876137CBFC949E_11</vt:lpwstr>
  </property>
  <property fmtid="{D5CDD505-2E9C-101B-9397-08002B2CF9AE}" pid="4" name="KSOTemplateDocerSaveRecord">
    <vt:lpwstr>eyJoZGlkIjoiNjY3NGYxZjQwYzE4OGZmOWUxYjA0MDIzNzE3ZWExN2QiLCJ1c2VySWQiOiI4MDczMzcyMzMifQ==</vt:lpwstr>
  </property>
</Properties>
</file>