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460E8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黑体" w:hAnsi="黑体" w:eastAsia="黑体" w:cs="黑体"/>
          <w:b w:val="0"/>
          <w:bCs w:val="0"/>
          <w:color w:val="auto"/>
          <w:kern w:val="0"/>
          <w:sz w:val="44"/>
          <w:szCs w:val="44"/>
          <w:lang w:val="en-US" w:eastAsia="zh-CN" w:bidi="ar"/>
        </w:rPr>
      </w:pPr>
      <w:r>
        <w:rPr>
          <w:rFonts w:hint="eastAsia" w:ascii="黑体" w:hAnsi="黑体" w:eastAsia="黑体" w:cs="黑体"/>
          <w:b w:val="0"/>
          <w:bCs w:val="0"/>
          <w:color w:val="auto"/>
          <w:kern w:val="0"/>
          <w:sz w:val="44"/>
          <w:szCs w:val="44"/>
          <w:lang w:val="en-US" w:eastAsia="zh-CN" w:bidi="ar"/>
        </w:rPr>
        <w:t>2024年湘潭县财政衔接推进乡村振兴补助资金设施农业建设项目绩效自评报告</w:t>
      </w:r>
    </w:p>
    <w:p w14:paraId="5CCE17D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黑体" w:hAnsi="黑体" w:eastAsia="黑体" w:cs="黑体"/>
          <w:b w:val="0"/>
          <w:bCs w:val="0"/>
          <w:color w:val="auto"/>
          <w:kern w:val="0"/>
          <w:sz w:val="44"/>
          <w:szCs w:val="44"/>
          <w:lang w:val="en-US" w:eastAsia="zh-CN" w:bidi="ar"/>
        </w:rPr>
      </w:pPr>
    </w:p>
    <w:p w14:paraId="674E1A12">
      <w:pPr>
        <w:shd w:val="solid" w:color="FFFFFF" w:fill="auto"/>
        <w:autoSpaceDN w:val="0"/>
        <w:spacing w:line="520" w:lineRule="exact"/>
        <w:ind w:firstLine="640"/>
        <w:rPr>
          <w:rStyle w:val="9"/>
          <w:rFonts w:hint="eastAsia" w:ascii="黑体" w:hAnsi="黑体" w:eastAsia="黑体" w:cs="黑体"/>
          <w:b w:val="0"/>
          <w:bCs w:val="0"/>
          <w:color w:val="auto"/>
          <w:sz w:val="32"/>
          <w:szCs w:val="32"/>
          <w:u w:val="none"/>
        </w:rPr>
      </w:pPr>
      <w:r>
        <w:rPr>
          <w:rStyle w:val="9"/>
          <w:rFonts w:hint="eastAsia" w:ascii="黑体" w:hAnsi="黑体" w:eastAsia="黑体" w:cs="黑体"/>
          <w:b w:val="0"/>
          <w:bCs w:val="0"/>
          <w:color w:val="auto"/>
          <w:sz w:val="32"/>
          <w:szCs w:val="32"/>
          <w:u w:val="none"/>
        </w:rPr>
        <w:t>一、绩效目标分解下达情况</w:t>
      </w:r>
    </w:p>
    <w:p w14:paraId="69670458">
      <w:pPr>
        <w:pStyle w:val="2"/>
        <w:spacing w:after="0"/>
        <w:ind w:firstLine="640" w:firstLineChars="200"/>
        <w:rPr>
          <w:rFonts w:hint="default" w:ascii="仿宋_GB2312" w:hAnsi="Calibri" w:eastAsia="仿宋_GB2312" w:cs="Times New Roman"/>
          <w:b w:val="0"/>
          <w:bCs w:val="0"/>
          <w:color w:val="000000"/>
          <w:kern w:val="2"/>
          <w:sz w:val="32"/>
          <w:szCs w:val="32"/>
          <w:lang w:val="en-US" w:eastAsia="zh-CN" w:bidi="ar-SA"/>
        </w:rPr>
      </w:pPr>
      <w:r>
        <w:rPr>
          <w:rFonts w:hint="eastAsia" w:ascii="仿宋_GB2312" w:hAnsi="Calibri" w:eastAsia="仿宋_GB2312" w:cs="Times New Roman"/>
          <w:color w:val="000000"/>
          <w:kern w:val="2"/>
          <w:sz w:val="32"/>
          <w:szCs w:val="32"/>
          <w:lang w:val="en-US" w:eastAsia="zh-CN" w:bidi="ar-SA"/>
        </w:rPr>
        <w:t>根据</w:t>
      </w:r>
      <w:r>
        <w:rPr>
          <w:rFonts w:hint="eastAsia" w:ascii="仿宋" w:hAnsi="仿宋" w:eastAsia="仿宋"/>
          <w:sz w:val="32"/>
          <w:szCs w:val="32"/>
          <w:lang w:eastAsia="zh-CN"/>
        </w:rPr>
        <w:t>《</w:t>
      </w:r>
      <w:r>
        <w:rPr>
          <w:rFonts w:hint="eastAsia" w:ascii="仿宋" w:hAnsi="仿宋" w:eastAsia="仿宋"/>
          <w:sz w:val="32"/>
          <w:szCs w:val="32"/>
        </w:rPr>
        <w:t>湖南省</w:t>
      </w:r>
      <w:r>
        <w:rPr>
          <w:rFonts w:hint="eastAsia" w:ascii="仿宋" w:hAnsi="仿宋" w:eastAsia="仿宋"/>
          <w:sz w:val="32"/>
          <w:szCs w:val="32"/>
          <w:lang w:eastAsia="zh-CN"/>
        </w:rPr>
        <w:t>财政厅关于下达</w:t>
      </w:r>
      <w:r>
        <w:rPr>
          <w:rFonts w:hint="eastAsia" w:ascii="仿宋" w:hAnsi="仿宋" w:eastAsia="仿宋"/>
          <w:sz w:val="32"/>
          <w:szCs w:val="32"/>
          <w:lang w:val="en-US" w:eastAsia="zh-CN"/>
        </w:rPr>
        <w:t>2024年第三批省级财政衔接推进乡村振兴补助资金的通知》（湘财预【2024】192号）</w:t>
      </w:r>
      <w:r>
        <w:rPr>
          <w:rFonts w:hint="eastAsia" w:ascii="仿宋" w:hAnsi="仿宋" w:eastAsia="仿宋"/>
          <w:sz w:val="32"/>
          <w:szCs w:val="32"/>
          <w:lang w:eastAsia="zh-CN"/>
        </w:rPr>
        <w:t>、</w:t>
      </w:r>
      <w:r>
        <w:rPr>
          <w:rFonts w:hint="eastAsia" w:ascii="仿宋" w:hAnsi="仿宋" w:eastAsia="仿宋"/>
          <w:sz w:val="32"/>
          <w:szCs w:val="32"/>
        </w:rPr>
        <w:t>《湖南</w:t>
      </w:r>
      <w:r>
        <w:rPr>
          <w:rFonts w:hint="eastAsia" w:ascii="仿宋" w:hAnsi="仿宋" w:eastAsia="仿宋"/>
          <w:sz w:val="32"/>
          <w:szCs w:val="32"/>
          <w:lang w:eastAsia="zh-CN"/>
        </w:rPr>
        <w:t>省</w:t>
      </w:r>
      <w:r>
        <w:rPr>
          <w:rFonts w:hint="eastAsia" w:ascii="仿宋" w:hAnsi="仿宋" w:eastAsia="仿宋"/>
          <w:sz w:val="32"/>
          <w:szCs w:val="32"/>
        </w:rPr>
        <w:t>农业农村厅关于下达2024年度第二批省级财政衔接推进乡村振兴补助资金计划的通知》（潭农发【2024】63号）和湖南省农业农村厅办公室《关于实</w:t>
      </w:r>
      <w:r>
        <w:rPr>
          <w:rFonts w:hint="eastAsia" w:ascii="仿宋" w:hAnsi="仿宋" w:eastAsia="仿宋"/>
          <w:sz w:val="32"/>
          <w:szCs w:val="32"/>
          <w:lang w:eastAsia="zh-CN"/>
        </w:rPr>
        <w:t>施</w:t>
      </w:r>
      <w:r>
        <w:rPr>
          <w:rFonts w:hint="eastAsia" w:ascii="仿宋" w:hAnsi="仿宋" w:eastAsia="仿宋"/>
          <w:sz w:val="32"/>
          <w:szCs w:val="32"/>
        </w:rPr>
        <w:t>好2024年设施农业建设项目的通知》（湘农办函【2024】32号）</w:t>
      </w:r>
      <w:r>
        <w:rPr>
          <w:rFonts w:hint="eastAsia" w:ascii="仿宋" w:hAnsi="仿宋" w:eastAsia="仿宋"/>
          <w:sz w:val="32"/>
          <w:szCs w:val="32"/>
          <w:lang w:eastAsia="zh-CN"/>
        </w:rPr>
        <w:t>文件要求，</w:t>
      </w:r>
      <w:r>
        <w:rPr>
          <w:rFonts w:hint="eastAsia" w:ascii="仿宋" w:hAnsi="仿宋" w:eastAsia="仿宋"/>
          <w:sz w:val="32"/>
          <w:szCs w:val="32"/>
          <w:lang w:val="en-US" w:eastAsia="zh-CN"/>
        </w:rPr>
        <w:t>2024年下达我县设施农业建设项目资金152万元，明确该项目通过省级衔接推进乡村振兴补助资金予以支持，重点支持果菜茶栽培（含苗圃）和畜禽水产养殖相关农业设施建设。</w:t>
      </w:r>
    </w:p>
    <w:p w14:paraId="5697D253">
      <w:pPr>
        <w:shd w:val="solid" w:color="FFFFFF" w:fill="auto"/>
        <w:autoSpaceDN w:val="0"/>
        <w:spacing w:line="520" w:lineRule="exact"/>
        <w:ind w:firstLine="640"/>
        <w:rPr>
          <w:rStyle w:val="9"/>
          <w:rFonts w:hint="default" w:ascii="黑体" w:hAnsi="黑体" w:eastAsia="黑体" w:cs="黑体"/>
          <w:b w:val="0"/>
          <w:bCs w:val="0"/>
          <w:color w:val="auto"/>
          <w:sz w:val="32"/>
          <w:szCs w:val="32"/>
          <w:u w:val="none"/>
          <w:lang w:val="en-US" w:eastAsia="zh-CN"/>
        </w:rPr>
      </w:pPr>
      <w:r>
        <w:rPr>
          <w:rStyle w:val="9"/>
          <w:rFonts w:hint="default" w:ascii="黑体" w:hAnsi="黑体" w:eastAsia="黑体" w:cs="黑体"/>
          <w:b w:val="0"/>
          <w:bCs w:val="0"/>
          <w:color w:val="auto"/>
          <w:sz w:val="32"/>
          <w:szCs w:val="32"/>
          <w:u w:val="none"/>
          <w:lang w:val="en-US" w:eastAsia="zh-CN"/>
        </w:rPr>
        <w:t>二、绩效自评工作开展情况</w:t>
      </w:r>
    </w:p>
    <w:p w14:paraId="2EBA1106">
      <w:pPr>
        <w:pStyle w:val="2"/>
        <w:spacing w:after="0"/>
        <w:ind w:firstLine="640" w:firstLineChars="200"/>
        <w:rPr>
          <w:rFonts w:hint="eastAsia" w:ascii="仿宋_GB2312" w:hAnsi="Calibri" w:eastAsia="仿宋_GB2312" w:cs="Times New Roman"/>
          <w:color w:val="000000"/>
          <w:kern w:val="2"/>
          <w:sz w:val="32"/>
          <w:szCs w:val="32"/>
          <w:lang w:val="en-US" w:eastAsia="zh-CN" w:bidi="ar-SA"/>
        </w:rPr>
      </w:pPr>
      <w:r>
        <w:rPr>
          <w:rFonts w:hint="eastAsia" w:ascii="仿宋_GB2312" w:hAnsi="Calibri" w:eastAsia="仿宋_GB2312" w:cs="Times New Roman"/>
          <w:b w:val="0"/>
          <w:bCs w:val="0"/>
          <w:color w:val="000000"/>
          <w:kern w:val="2"/>
          <w:sz w:val="32"/>
          <w:szCs w:val="32"/>
          <w:lang w:val="en-US" w:eastAsia="zh-CN" w:bidi="ar-SA"/>
        </w:rPr>
        <w:t>根据项目绩效管理要求，我局组织对项目开展绩效自评工作，制定了绩效评价工作方案，并成立由分管副局长为组长，相关业务股室负责人</w:t>
      </w:r>
      <w:r>
        <w:rPr>
          <w:rFonts w:hint="eastAsia" w:ascii="仿宋_GB2312" w:eastAsia="仿宋_GB2312" w:cs="Times New Roman"/>
          <w:b w:val="0"/>
          <w:bCs w:val="0"/>
          <w:color w:val="000000"/>
          <w:kern w:val="2"/>
          <w:sz w:val="32"/>
          <w:szCs w:val="32"/>
          <w:lang w:val="en-US" w:eastAsia="zh-CN" w:bidi="ar-SA"/>
        </w:rPr>
        <w:t>为</w:t>
      </w:r>
      <w:r>
        <w:rPr>
          <w:rFonts w:hint="eastAsia" w:ascii="仿宋_GB2312" w:eastAsia="仿宋_GB2312" w:cs="Times New Roman"/>
          <w:color w:val="000000"/>
          <w:kern w:val="2"/>
          <w:sz w:val="32"/>
          <w:szCs w:val="32"/>
          <w:lang w:val="en-US" w:eastAsia="zh-CN" w:bidi="ar-SA"/>
        </w:rPr>
        <w:t>成员的绩效自评工作领导小组。</w:t>
      </w:r>
      <w:r>
        <w:rPr>
          <w:rFonts w:hint="eastAsia" w:ascii="仿宋_GB2312" w:hAnsi="Calibri" w:eastAsia="仿宋_GB2312" w:cs="Times New Roman"/>
          <w:color w:val="000000"/>
          <w:kern w:val="2"/>
          <w:sz w:val="32"/>
          <w:szCs w:val="32"/>
          <w:lang w:val="en-US" w:eastAsia="zh-CN" w:bidi="ar-SA"/>
        </w:rPr>
        <w:t>通过绩效自评，进一步了解项目的实施情况和资金使用效益情况，使我局在管理使用财政项目资金的过程中树立绩效意识，查找在项目资金使用过程中存在的问题，不断规范项目申报、审核、立项、使用和管理工作，不断提高项目资金的使用效益。</w:t>
      </w:r>
    </w:p>
    <w:p w14:paraId="57A6F746">
      <w:pPr>
        <w:shd w:val="solid" w:color="FFFFFF" w:fill="auto"/>
        <w:autoSpaceDN w:val="0"/>
        <w:spacing w:line="520" w:lineRule="exact"/>
        <w:ind w:firstLine="640"/>
        <w:rPr>
          <w:rStyle w:val="9"/>
          <w:rFonts w:hint="eastAsia" w:ascii="黑体" w:hAnsi="黑体" w:eastAsia="黑体" w:cs="黑体"/>
          <w:b w:val="0"/>
          <w:bCs w:val="0"/>
          <w:color w:val="auto"/>
          <w:sz w:val="32"/>
          <w:szCs w:val="32"/>
          <w:u w:val="none"/>
          <w:lang w:val="en-US" w:eastAsia="zh-CN"/>
        </w:rPr>
      </w:pPr>
      <w:r>
        <w:rPr>
          <w:rStyle w:val="9"/>
          <w:rFonts w:hint="default" w:ascii="黑体" w:hAnsi="黑体" w:eastAsia="黑体" w:cs="黑体"/>
          <w:b w:val="0"/>
          <w:bCs w:val="0"/>
          <w:color w:val="auto"/>
          <w:sz w:val="32"/>
          <w:szCs w:val="32"/>
          <w:u w:val="none"/>
          <w:lang w:val="en-US" w:eastAsia="zh-CN"/>
        </w:rPr>
        <w:t>三、绩效目标完成情况分析</w:t>
      </w:r>
    </w:p>
    <w:p w14:paraId="77C4ECF6">
      <w:pPr>
        <w:spacing w:line="560" w:lineRule="exact"/>
        <w:ind w:firstLine="643" w:firstLineChars="200"/>
        <w:rPr>
          <w:rFonts w:hint="eastAsia" w:ascii="仿宋" w:hAnsi="仿宋" w:eastAsia="仿宋"/>
          <w:sz w:val="32"/>
          <w:szCs w:val="32"/>
        </w:rPr>
      </w:pPr>
      <w:r>
        <w:rPr>
          <w:rFonts w:hint="default" w:ascii="仿宋_GB2312" w:hAnsi="Calibri" w:eastAsia="仿宋_GB2312" w:cs="Times New Roman"/>
          <w:b/>
          <w:bCs/>
          <w:color w:val="000000"/>
          <w:kern w:val="2"/>
          <w:sz w:val="32"/>
          <w:szCs w:val="32"/>
          <w:lang w:val="en-US" w:eastAsia="zh-CN" w:bidi="ar-SA"/>
        </w:rPr>
        <w:t>（一）项目资</w:t>
      </w:r>
      <w:r>
        <w:rPr>
          <w:rStyle w:val="9"/>
          <w:rFonts w:hint="default" w:ascii="Times New Roman" w:hAnsi="Times New Roman" w:eastAsia="仿宋_GB2312" w:cs="Times New Roman"/>
          <w:b/>
          <w:bCs/>
          <w:color w:val="auto"/>
          <w:sz w:val="32"/>
          <w:szCs w:val="32"/>
          <w:u w:val="none"/>
        </w:rPr>
        <w:t>金情况分析</w:t>
      </w:r>
      <w:r>
        <w:rPr>
          <w:rStyle w:val="9"/>
          <w:rFonts w:hint="eastAsia" w:ascii="Times New Roman" w:hAnsi="Times New Roman" w:cs="Times New Roman"/>
          <w:b/>
          <w:bCs/>
          <w:color w:val="auto"/>
          <w:sz w:val="32"/>
          <w:szCs w:val="32"/>
          <w:u w:val="none"/>
          <w:lang w:val="en-US" w:eastAsia="zh-CN"/>
        </w:rPr>
        <w:t>。</w:t>
      </w:r>
      <w:r>
        <w:rPr>
          <w:rFonts w:hint="eastAsia" w:ascii="仿宋" w:hAnsi="仿宋" w:eastAsia="仿宋" w:cs="仿宋"/>
          <w:sz w:val="32"/>
          <w:szCs w:val="32"/>
          <w:lang w:val="en-US" w:eastAsia="zh-CN"/>
        </w:rPr>
        <w:t>2024年7月22日</w:t>
      </w:r>
      <w:r>
        <w:rPr>
          <w:rStyle w:val="9"/>
          <w:rFonts w:hint="eastAsia" w:ascii="Times New Roman" w:hAnsi="Times New Roman" w:eastAsia="仿宋_GB2312" w:cs="Times New Roman"/>
          <w:color w:val="auto"/>
          <w:sz w:val="32"/>
          <w:szCs w:val="32"/>
          <w:u w:val="none"/>
          <w:lang w:val="en-US" w:eastAsia="zh-CN"/>
        </w:rPr>
        <w:t>湘财预</w:t>
      </w:r>
      <w:r>
        <w:rPr>
          <w:rFonts w:hint="eastAsia" w:ascii="仿宋" w:hAnsi="仿宋" w:eastAsia="仿宋"/>
          <w:sz w:val="32"/>
          <w:szCs w:val="32"/>
        </w:rPr>
        <w:t>【</w:t>
      </w:r>
      <w:r>
        <w:rPr>
          <w:rStyle w:val="9"/>
          <w:rFonts w:hint="eastAsia" w:ascii="Times New Roman" w:hAnsi="Times New Roman" w:eastAsia="仿宋_GB2312" w:cs="Times New Roman"/>
          <w:color w:val="auto"/>
          <w:sz w:val="32"/>
          <w:szCs w:val="32"/>
          <w:u w:val="none"/>
          <w:lang w:val="en-US" w:eastAsia="zh-CN"/>
        </w:rPr>
        <w:t>2024</w:t>
      </w:r>
      <w:r>
        <w:rPr>
          <w:rFonts w:hint="eastAsia" w:ascii="仿宋" w:hAnsi="仿宋" w:eastAsia="仿宋"/>
          <w:sz w:val="32"/>
          <w:szCs w:val="32"/>
        </w:rPr>
        <w:t>】</w:t>
      </w:r>
      <w:r>
        <w:rPr>
          <w:rStyle w:val="9"/>
          <w:rFonts w:hint="eastAsia" w:ascii="Times New Roman" w:hAnsi="Times New Roman" w:cs="Times New Roman"/>
          <w:color w:val="auto"/>
          <w:sz w:val="32"/>
          <w:szCs w:val="32"/>
          <w:u w:val="none"/>
          <w:lang w:val="en-US" w:eastAsia="zh-CN"/>
        </w:rPr>
        <w:t>192</w:t>
      </w:r>
      <w:r>
        <w:rPr>
          <w:rStyle w:val="9"/>
          <w:rFonts w:hint="eastAsia" w:ascii="Times New Roman" w:hAnsi="Times New Roman" w:eastAsia="仿宋_GB2312" w:cs="Times New Roman"/>
          <w:color w:val="auto"/>
          <w:sz w:val="32"/>
          <w:szCs w:val="32"/>
          <w:u w:val="none"/>
          <w:lang w:val="en-US" w:eastAsia="zh-CN"/>
        </w:rPr>
        <w:t>号文件下达</w:t>
      </w:r>
      <w:r>
        <w:rPr>
          <w:rStyle w:val="9"/>
          <w:rFonts w:hint="eastAsia" w:ascii="Times New Roman" w:hAnsi="Times New Roman" w:cs="Times New Roman"/>
          <w:color w:val="auto"/>
          <w:sz w:val="32"/>
          <w:szCs w:val="32"/>
          <w:u w:val="none"/>
          <w:lang w:val="en-US" w:eastAsia="zh-CN"/>
        </w:rPr>
        <w:t>我县</w:t>
      </w:r>
      <w:r>
        <w:rPr>
          <w:rStyle w:val="9"/>
          <w:rFonts w:hint="eastAsia" w:ascii="Times New Roman" w:hAnsi="Times New Roman" w:eastAsia="仿宋_GB2312" w:cs="Times New Roman"/>
          <w:color w:val="auto"/>
          <w:sz w:val="32"/>
          <w:szCs w:val="32"/>
          <w:u w:val="none"/>
          <w:lang w:val="en-US" w:eastAsia="zh-CN"/>
        </w:rPr>
        <w:t>乡村振兴衔接资金</w:t>
      </w:r>
      <w:r>
        <w:rPr>
          <w:rStyle w:val="9"/>
          <w:rFonts w:hint="eastAsia" w:ascii="Times New Roman" w:hAnsi="Times New Roman" w:cs="Times New Roman"/>
          <w:color w:val="auto"/>
          <w:sz w:val="32"/>
          <w:szCs w:val="32"/>
          <w:u w:val="none"/>
          <w:lang w:val="en-US" w:eastAsia="zh-CN"/>
        </w:rPr>
        <w:t>设施农业建设</w:t>
      </w:r>
      <w:r>
        <w:rPr>
          <w:rStyle w:val="9"/>
          <w:rFonts w:hint="eastAsia" w:ascii="Times New Roman" w:hAnsi="Times New Roman" w:eastAsia="仿宋_GB2312" w:cs="Times New Roman"/>
          <w:color w:val="auto"/>
          <w:sz w:val="32"/>
          <w:szCs w:val="32"/>
          <w:u w:val="none"/>
          <w:lang w:val="en-US" w:eastAsia="zh-CN"/>
        </w:rPr>
        <w:t>项目</w:t>
      </w:r>
      <w:r>
        <w:rPr>
          <w:rStyle w:val="9"/>
          <w:rFonts w:hint="eastAsia" w:ascii="Times New Roman" w:hAnsi="Times New Roman" w:cs="Times New Roman"/>
          <w:color w:val="auto"/>
          <w:sz w:val="32"/>
          <w:szCs w:val="32"/>
          <w:u w:val="none"/>
          <w:lang w:val="en-US" w:eastAsia="zh-CN"/>
        </w:rPr>
        <w:t>152</w:t>
      </w:r>
      <w:r>
        <w:rPr>
          <w:rStyle w:val="9"/>
          <w:rFonts w:hint="eastAsia" w:ascii="Times New Roman" w:hAnsi="Times New Roman" w:eastAsia="仿宋_GB2312" w:cs="Times New Roman"/>
          <w:color w:val="auto"/>
          <w:sz w:val="32"/>
          <w:szCs w:val="32"/>
          <w:u w:val="none"/>
          <w:lang w:val="en-US" w:eastAsia="zh-CN"/>
        </w:rPr>
        <w:t>万元</w:t>
      </w:r>
      <w:r>
        <w:rPr>
          <w:rFonts w:hint="eastAsia" w:ascii="仿宋_GB2312" w:hAnsi="Calibri" w:cs="Times New Roman"/>
          <w:color w:val="000000"/>
          <w:kern w:val="2"/>
          <w:sz w:val="32"/>
          <w:szCs w:val="32"/>
          <w:lang w:val="en-US" w:eastAsia="zh-CN" w:bidi="ar-SA"/>
        </w:rPr>
        <w:t>，2024年7月29日</w:t>
      </w:r>
      <w:r>
        <w:rPr>
          <w:rFonts w:hint="eastAsia" w:ascii="仿宋" w:hAnsi="仿宋" w:eastAsia="仿宋"/>
          <w:sz w:val="32"/>
          <w:szCs w:val="32"/>
        </w:rPr>
        <w:t>潭农发【2024】63号</w:t>
      </w:r>
      <w:r>
        <w:rPr>
          <w:rFonts w:hint="eastAsia" w:ascii="仿宋" w:hAnsi="仿宋" w:eastAsia="仿宋"/>
          <w:sz w:val="32"/>
          <w:szCs w:val="32"/>
          <w:lang w:eastAsia="zh-CN"/>
        </w:rPr>
        <w:t>明确设施农业建设项目资金按照</w:t>
      </w:r>
      <w:r>
        <w:rPr>
          <w:rFonts w:hint="eastAsia" w:ascii="仿宋" w:hAnsi="仿宋" w:eastAsia="仿宋"/>
          <w:sz w:val="32"/>
          <w:szCs w:val="32"/>
        </w:rPr>
        <w:t>湘农办函【2024】32号</w:t>
      </w:r>
      <w:r>
        <w:rPr>
          <w:rFonts w:hint="eastAsia" w:ascii="仿宋" w:hAnsi="仿宋" w:eastAsia="仿宋"/>
          <w:sz w:val="32"/>
          <w:szCs w:val="32"/>
          <w:lang w:eastAsia="zh-CN"/>
        </w:rPr>
        <w:t>执行，文件明确该</w:t>
      </w:r>
      <w:r>
        <w:rPr>
          <w:rFonts w:hint="eastAsia" w:ascii="仿宋" w:hAnsi="仿宋" w:eastAsia="仿宋"/>
          <w:sz w:val="32"/>
          <w:szCs w:val="32"/>
        </w:rPr>
        <w:t>项目资金60%以上用于高效栽植设施或生态精养设施等固定设施，农业生产设备购置和其他基础条件建设资金规模不超过20%。</w:t>
      </w:r>
    </w:p>
    <w:p w14:paraId="7001EA97">
      <w:pPr>
        <w:pStyle w:val="2"/>
        <w:spacing w:after="0"/>
        <w:ind w:firstLine="643" w:firstLineChars="200"/>
        <w:rPr>
          <w:rFonts w:hint="default" w:ascii="仿宋" w:hAnsi="仿宋" w:eastAsia="仿宋" w:cs="仿宋"/>
          <w:sz w:val="32"/>
          <w:szCs w:val="32"/>
          <w:lang w:val="en-US" w:eastAsia="zh-CN"/>
        </w:rPr>
      </w:pPr>
      <w:r>
        <w:rPr>
          <w:rFonts w:hint="default" w:ascii="仿宋_GB2312" w:hAnsi="Calibri" w:eastAsia="仿宋_GB2312" w:cs="Times New Roman"/>
          <w:b/>
          <w:bCs/>
          <w:color w:val="000000"/>
          <w:kern w:val="2"/>
          <w:sz w:val="32"/>
          <w:szCs w:val="32"/>
          <w:lang w:val="en-US" w:eastAsia="zh-CN" w:bidi="ar-SA"/>
        </w:rPr>
        <w:t>（二）项目绩效指标完成情况</w:t>
      </w:r>
      <w:r>
        <w:rPr>
          <w:rFonts w:hint="eastAsia" w:ascii="仿宋_GB2312" w:hAnsi="Calibri" w:cs="Times New Roman"/>
          <w:b/>
          <w:bCs/>
          <w:color w:val="000000"/>
          <w:kern w:val="2"/>
          <w:sz w:val="32"/>
          <w:szCs w:val="32"/>
          <w:lang w:val="en-US" w:eastAsia="zh-CN" w:bidi="ar-SA"/>
        </w:rPr>
        <w:t>。</w:t>
      </w:r>
      <w:r>
        <w:rPr>
          <w:rFonts w:hint="eastAsia" w:ascii="仿宋" w:hAnsi="仿宋" w:eastAsia="仿宋" w:cs="仿宋"/>
          <w:sz w:val="32"/>
          <w:szCs w:val="32"/>
          <w:lang w:val="en-US" w:eastAsia="zh-CN"/>
        </w:rPr>
        <w:t>严格按照省厅《关于实施好2024年设施农业建设项目的通知》（湘农办函【2024】32号）及相关文件落实。</w:t>
      </w:r>
      <w:r>
        <w:rPr>
          <w:rFonts w:hint="eastAsia" w:ascii="仿宋" w:hAnsi="仿宋" w:eastAsia="仿宋"/>
          <w:b/>
          <w:sz w:val="32"/>
          <w:szCs w:val="32"/>
        </w:rPr>
        <w:t>一是积极宣传。</w:t>
      </w:r>
      <w:r>
        <w:rPr>
          <w:rFonts w:hint="eastAsia" w:ascii="仿宋" w:hAnsi="仿宋" w:eastAsia="仿宋"/>
          <w:sz w:val="32"/>
          <w:szCs w:val="32"/>
        </w:rPr>
        <w:t>8月20日将省厅文件在局网站进行公示，引导村集体经济组织报名，时间截至8月底，共有3个村</w:t>
      </w:r>
      <w:r>
        <w:rPr>
          <w:rFonts w:hint="eastAsia" w:ascii="仿宋" w:hAnsi="仿宋" w:eastAsia="仿宋"/>
          <w:sz w:val="32"/>
          <w:szCs w:val="32"/>
          <w:lang w:eastAsia="zh-CN"/>
        </w:rPr>
        <w:t>集体经济组织</w:t>
      </w:r>
      <w:r>
        <w:rPr>
          <w:rFonts w:hint="eastAsia" w:ascii="仿宋" w:hAnsi="仿宋" w:eastAsia="仿宋"/>
          <w:sz w:val="32"/>
          <w:szCs w:val="32"/>
        </w:rPr>
        <w:t>报名，分别是杨嘉桥镇金河村</w:t>
      </w:r>
      <w:r>
        <w:rPr>
          <w:rFonts w:hint="eastAsia" w:ascii="仿宋" w:hAnsi="仿宋" w:eastAsia="仿宋"/>
          <w:sz w:val="32"/>
          <w:szCs w:val="32"/>
          <w:lang w:eastAsia="zh-CN"/>
        </w:rPr>
        <w:t>股份经济合作社</w:t>
      </w:r>
      <w:r>
        <w:rPr>
          <w:rFonts w:hint="eastAsia" w:ascii="仿宋" w:hAnsi="仿宋" w:eastAsia="仿宋"/>
          <w:sz w:val="32"/>
          <w:szCs w:val="32"/>
        </w:rPr>
        <w:t>、易俗河镇梅林桥村</w:t>
      </w:r>
      <w:r>
        <w:rPr>
          <w:rFonts w:hint="eastAsia" w:ascii="仿宋" w:hAnsi="仿宋" w:eastAsia="仿宋"/>
          <w:sz w:val="32"/>
          <w:szCs w:val="32"/>
          <w:lang w:eastAsia="zh-CN"/>
        </w:rPr>
        <w:t>经济合作社</w:t>
      </w:r>
      <w:r>
        <w:rPr>
          <w:rFonts w:hint="eastAsia" w:ascii="仿宋" w:hAnsi="仿宋" w:eastAsia="仿宋"/>
          <w:sz w:val="32"/>
          <w:szCs w:val="32"/>
        </w:rPr>
        <w:t>、排头乡双联村</w:t>
      </w:r>
      <w:r>
        <w:rPr>
          <w:rFonts w:hint="eastAsia" w:ascii="仿宋" w:hAnsi="仿宋" w:eastAsia="仿宋"/>
          <w:sz w:val="32"/>
          <w:szCs w:val="32"/>
          <w:lang w:eastAsia="zh-CN"/>
        </w:rPr>
        <w:t>经济合作社</w:t>
      </w:r>
      <w:r>
        <w:rPr>
          <w:rFonts w:hint="eastAsia" w:ascii="仿宋" w:hAnsi="仿宋" w:eastAsia="仿宋"/>
          <w:sz w:val="32"/>
          <w:szCs w:val="32"/>
        </w:rPr>
        <w:t>。</w:t>
      </w:r>
      <w:r>
        <w:rPr>
          <w:rFonts w:hint="eastAsia" w:ascii="仿宋" w:hAnsi="仿宋" w:eastAsia="仿宋"/>
          <w:b/>
          <w:sz w:val="32"/>
          <w:szCs w:val="32"/>
        </w:rPr>
        <w:t>二是现场核查。</w:t>
      </w:r>
      <w:r>
        <w:rPr>
          <w:rFonts w:hint="eastAsia" w:ascii="仿宋" w:hAnsi="仿宋" w:eastAsia="仿宋"/>
          <w:sz w:val="32"/>
          <w:szCs w:val="32"/>
          <w:lang w:val="en-US" w:eastAsia="zh-CN"/>
        </w:rPr>
        <w:t>9月2日分管</w:t>
      </w:r>
      <w:r>
        <w:rPr>
          <w:rFonts w:hint="eastAsia" w:ascii="仿宋" w:hAnsi="仿宋" w:eastAsia="仿宋"/>
          <w:sz w:val="32"/>
          <w:szCs w:val="32"/>
        </w:rPr>
        <w:t>副局长</w:t>
      </w:r>
      <w:r>
        <w:rPr>
          <w:rFonts w:hint="eastAsia" w:ascii="仿宋" w:hAnsi="仿宋" w:eastAsia="仿宋"/>
          <w:sz w:val="32"/>
          <w:szCs w:val="32"/>
          <w:lang w:eastAsia="zh-CN"/>
        </w:rPr>
        <w:t>洪孝昌</w:t>
      </w:r>
      <w:r>
        <w:rPr>
          <w:rFonts w:hint="eastAsia" w:ascii="仿宋" w:hAnsi="仿宋" w:eastAsia="仿宋"/>
          <w:sz w:val="32"/>
          <w:szCs w:val="32"/>
        </w:rPr>
        <w:t>带领相关人员到现场进行了核查，几个村均立足于种植产业发展，分别是杨嘉桥镇金河村拟提升茶叶高效栽植设施，易俗河镇梅林桥村拟新建水果连栋钢架大棚，排头乡双联村拟扩建竹根辣椒生产设施，符合项目要求。</w:t>
      </w:r>
      <w:r>
        <w:rPr>
          <w:rFonts w:hint="eastAsia" w:ascii="仿宋" w:hAnsi="仿宋" w:eastAsia="仿宋"/>
          <w:b/>
          <w:sz w:val="32"/>
          <w:szCs w:val="32"/>
        </w:rPr>
        <w:t>三是部门评审。</w:t>
      </w:r>
      <w:r>
        <w:rPr>
          <w:rFonts w:hint="eastAsia" w:ascii="仿宋" w:hAnsi="仿宋" w:eastAsia="仿宋"/>
          <w:sz w:val="32"/>
          <w:szCs w:val="32"/>
        </w:rPr>
        <w:t>9月5日，组织相关部门人员对3</w:t>
      </w:r>
      <w:r>
        <w:rPr>
          <w:rFonts w:hint="eastAsia" w:ascii="仿宋" w:hAnsi="仿宋" w:eastAsia="仿宋"/>
          <w:sz w:val="32"/>
          <w:szCs w:val="32"/>
          <w:lang w:eastAsia="zh-CN"/>
        </w:rPr>
        <w:t>个</w:t>
      </w:r>
      <w:r>
        <w:rPr>
          <w:rFonts w:hint="eastAsia" w:ascii="仿宋" w:hAnsi="仿宋" w:eastAsia="仿宋"/>
          <w:sz w:val="32"/>
          <w:szCs w:val="32"/>
        </w:rPr>
        <w:t>主体进行遴选评审，对申报主体建设方案、承接项目能力、诚信程度、所获荣誉、意向合作单位履行责任等情况进行综合打分，</w:t>
      </w:r>
      <w:r>
        <w:rPr>
          <w:rFonts w:hint="eastAsia" w:ascii="仿宋" w:hAnsi="仿宋" w:eastAsia="仿宋"/>
          <w:sz w:val="32"/>
          <w:szCs w:val="32"/>
          <w:lang w:eastAsia="zh-CN"/>
        </w:rPr>
        <w:t>最后得分</w:t>
      </w:r>
      <w:r>
        <w:rPr>
          <w:rFonts w:hint="eastAsia" w:ascii="仿宋" w:hAnsi="仿宋" w:eastAsia="仿宋"/>
          <w:sz w:val="32"/>
          <w:szCs w:val="32"/>
        </w:rPr>
        <w:t>分别为金河村</w:t>
      </w:r>
      <w:r>
        <w:rPr>
          <w:rFonts w:hint="eastAsia" w:ascii="仿宋" w:hAnsi="仿宋" w:eastAsia="仿宋"/>
          <w:sz w:val="32"/>
          <w:szCs w:val="32"/>
          <w:lang w:eastAsia="zh-CN"/>
        </w:rPr>
        <w:t>股份经济合作社</w:t>
      </w:r>
      <w:r>
        <w:rPr>
          <w:rFonts w:hint="eastAsia" w:ascii="仿宋" w:hAnsi="仿宋" w:eastAsia="仿宋"/>
          <w:sz w:val="32"/>
          <w:szCs w:val="32"/>
        </w:rPr>
        <w:t>95分、双联村</w:t>
      </w:r>
      <w:r>
        <w:rPr>
          <w:rFonts w:hint="eastAsia" w:ascii="仿宋" w:hAnsi="仿宋" w:eastAsia="仿宋"/>
          <w:sz w:val="32"/>
          <w:szCs w:val="32"/>
          <w:lang w:eastAsia="zh-CN"/>
        </w:rPr>
        <w:t>经济合作社</w:t>
      </w:r>
      <w:r>
        <w:rPr>
          <w:rFonts w:hint="eastAsia" w:ascii="仿宋" w:hAnsi="仿宋" w:eastAsia="仿宋"/>
          <w:sz w:val="32"/>
          <w:szCs w:val="32"/>
        </w:rPr>
        <w:t>94分、梅林桥村</w:t>
      </w:r>
      <w:r>
        <w:rPr>
          <w:rFonts w:hint="eastAsia" w:ascii="仿宋" w:hAnsi="仿宋" w:eastAsia="仿宋"/>
          <w:sz w:val="32"/>
          <w:szCs w:val="32"/>
          <w:lang w:eastAsia="zh-CN"/>
        </w:rPr>
        <w:t>经济合作社</w:t>
      </w:r>
      <w:r>
        <w:rPr>
          <w:rFonts w:hint="eastAsia" w:ascii="仿宋" w:hAnsi="仿宋" w:eastAsia="仿宋"/>
          <w:sz w:val="32"/>
          <w:szCs w:val="32"/>
        </w:rPr>
        <w:t>85.2分。</w:t>
      </w:r>
      <w:r>
        <w:rPr>
          <w:rFonts w:hint="eastAsia" w:ascii="仿宋" w:hAnsi="仿宋" w:eastAsia="仿宋"/>
          <w:sz w:val="32"/>
          <w:szCs w:val="32"/>
          <w:lang w:val="en-US" w:eastAsia="zh-CN"/>
        </w:rPr>
        <w:t>9月12日，通过局党委会一致意见，</w:t>
      </w:r>
      <w:r>
        <w:rPr>
          <w:rFonts w:hint="eastAsia" w:ascii="仿宋" w:hAnsi="仿宋" w:eastAsia="仿宋"/>
          <w:sz w:val="32"/>
          <w:szCs w:val="32"/>
        </w:rPr>
        <w:t>综合现场核查和遴选评审结果，</w:t>
      </w:r>
      <w:r>
        <w:rPr>
          <w:rFonts w:hint="eastAsia" w:ascii="仿宋" w:hAnsi="仿宋" w:eastAsia="仿宋"/>
          <w:sz w:val="32"/>
          <w:szCs w:val="32"/>
          <w:lang w:eastAsia="zh-CN"/>
        </w:rPr>
        <w:t>确定</w:t>
      </w:r>
      <w:r>
        <w:rPr>
          <w:rFonts w:hint="eastAsia" w:ascii="仿宋" w:hAnsi="仿宋" w:eastAsia="仿宋"/>
          <w:sz w:val="32"/>
          <w:szCs w:val="32"/>
        </w:rPr>
        <w:t>杨嘉桥镇金河村</w:t>
      </w:r>
      <w:r>
        <w:rPr>
          <w:rFonts w:hint="eastAsia" w:ascii="仿宋" w:hAnsi="仿宋" w:eastAsia="仿宋"/>
          <w:sz w:val="32"/>
          <w:szCs w:val="32"/>
          <w:lang w:eastAsia="zh-CN"/>
        </w:rPr>
        <w:t>股份经济合作社和排头</w:t>
      </w:r>
      <w:r>
        <w:rPr>
          <w:rFonts w:hint="eastAsia" w:ascii="仿宋" w:hAnsi="仿宋" w:eastAsia="仿宋"/>
          <w:sz w:val="32"/>
          <w:szCs w:val="32"/>
        </w:rPr>
        <w:t>双联村</w:t>
      </w:r>
      <w:r>
        <w:rPr>
          <w:rFonts w:hint="eastAsia" w:ascii="仿宋" w:hAnsi="仿宋" w:eastAsia="仿宋"/>
          <w:sz w:val="32"/>
          <w:szCs w:val="32"/>
          <w:lang w:eastAsia="zh-CN"/>
        </w:rPr>
        <w:t>经济合作社作为</w:t>
      </w:r>
      <w:r>
        <w:rPr>
          <w:rFonts w:hint="eastAsia" w:ascii="仿宋" w:hAnsi="仿宋" w:eastAsia="仿宋"/>
          <w:sz w:val="32"/>
          <w:szCs w:val="32"/>
          <w:lang w:val="en-US" w:eastAsia="zh-CN"/>
        </w:rPr>
        <w:t>2024年设施农业建设项目承接主体</w:t>
      </w:r>
      <w:r>
        <w:rPr>
          <w:rFonts w:hint="eastAsia" w:ascii="仿宋" w:hAnsi="仿宋" w:eastAsia="仿宋"/>
          <w:sz w:val="32"/>
          <w:szCs w:val="32"/>
          <w:lang w:eastAsia="zh-CN"/>
        </w:rPr>
        <w:t>，并</w:t>
      </w:r>
      <w:r>
        <w:rPr>
          <w:rFonts w:hint="eastAsia" w:ascii="仿宋" w:hAnsi="仿宋" w:eastAsia="仿宋"/>
          <w:sz w:val="32"/>
          <w:szCs w:val="32"/>
        </w:rPr>
        <w:t>根据申报主体建设规模、发展前景和社会效益等实际情况，资金分配为杨嘉桥镇金河村105万元，排头乡双联村47万元。</w:t>
      </w:r>
      <w:r>
        <w:rPr>
          <w:rFonts w:hint="eastAsia" w:ascii="仿宋" w:hAnsi="仿宋" w:eastAsia="仿宋" w:cs="Times New Roman"/>
          <w:b/>
          <w:sz w:val="32"/>
          <w:szCs w:val="32"/>
          <w:lang w:eastAsia="zh-CN"/>
        </w:rPr>
        <w:t>四是加强指导。</w:t>
      </w:r>
      <w:r>
        <w:rPr>
          <w:rFonts w:hint="eastAsia" w:ascii="仿宋" w:hAnsi="仿宋" w:eastAsia="仿宋"/>
          <w:sz w:val="32"/>
          <w:szCs w:val="32"/>
          <w:lang w:val="en-US" w:eastAsia="zh-CN"/>
        </w:rPr>
        <w:t>11月15日，牵头部门（县农机技术推广服务中心）联合局财务股、发展计划股及县财政局、县乡村振兴事务中心相关部门人员到现场进行指导，答疑项目推进过程中遇到的相关问题，尤其是涉及一些政策问题，如购置了农机是否可以享受农机购置补贴，如何走招投标程序、项目施工流程等等进行解答，推进了项目快速实施，确保了申报主体政策享受的最大化。</w:t>
      </w:r>
      <w:r>
        <w:rPr>
          <w:rFonts w:hint="eastAsia" w:ascii="仿宋" w:hAnsi="仿宋" w:eastAsia="仿宋" w:cs="Times New Roman"/>
          <w:b/>
          <w:sz w:val="32"/>
          <w:szCs w:val="32"/>
          <w:lang w:val="en-US" w:eastAsia="zh-CN"/>
        </w:rPr>
        <w:t>五是开展验收。</w:t>
      </w:r>
      <w:r>
        <w:rPr>
          <w:rFonts w:hint="eastAsia" w:ascii="仿宋" w:hAnsi="仿宋" w:eastAsia="仿宋" w:cs="仿宋"/>
          <w:sz w:val="32"/>
          <w:szCs w:val="32"/>
          <w:lang w:val="en-US" w:eastAsia="zh-CN"/>
        </w:rPr>
        <w:t>杨嘉桥镇政府及金河村村委会于12月3日对实施项目进行了初验，排头乡政府及双联村村委会于12月16日对实施项目进行了初验，验收均为合格。12月19日，由县农业农村局分管副局长洪孝昌带队，组织县农业农村局、县财政局、县乡村振兴事务中心相关人员先后到2个村集体经济合作社进行整体验收，2个村经济合作社严格按照申报目标完成了各项建设内容，并均通过了第三方审计，验收组一致认为，项目推进高效，程序规范，效果明显。如：杨嘉桥镇金河村股份经济合作社完成总投资106.007275万元，新建喷淋设施配套深水井2座、蓄水池3座、水泵房1间、茶园基地给水管网59455m、基地道路1680.5㎡，添置水泵9台及供电设备，155亩茶叶基地档次明显提升，真正实现了生产基地标准化、设施化、机</w:t>
      </w:r>
      <w:bookmarkStart w:id="0" w:name="_GoBack"/>
      <w:bookmarkEnd w:id="0"/>
      <w:r>
        <w:rPr>
          <w:rFonts w:hint="eastAsia" w:ascii="仿宋" w:hAnsi="仿宋" w:eastAsia="仿宋" w:cs="仿宋"/>
          <w:sz w:val="32"/>
          <w:szCs w:val="32"/>
          <w:lang w:val="en-US" w:eastAsia="zh-CN"/>
        </w:rPr>
        <w:t>械化。据掌握，项目实施后日加工能力可达到200公斤/天</w:t>
      </w:r>
      <w:r>
        <w:rPr>
          <w:rFonts w:hint="eastAsia" w:ascii="仿宋" w:hAnsi="仿宋" w:eastAsia="仿宋" w:cs="仿宋"/>
          <w:sz w:val="32"/>
          <w:szCs w:val="32"/>
          <w:lang w:val="en-US" w:eastAsia="zh-CN"/>
        </w:rPr>
        <w:t>，增加销售收入300万元/年；可直接提供季节性就业岗位20个以上，带动脱贫（监测）户3户，户均增收200元/户；村级集体经济增收20万元，其中30%直接用于帮扶低收入群众发展产业。同时，排头乡双联村经济合作社的黄荆坪竹根辣椒已荣获“味道湖南”金椒奖，现正在申请省级地理标志，原有标准化钢架大棚2048㎡，正好利用本设施农业建设项目，在对原钢架大棚进行配套设施提升的基础上，并扩建标准化钢架大棚2200㎡，添置喷淋滴灌水肥一体化系统1套、机械化生产流水线1条、大棚翻耕机1台、播种机1台、运输拖拉机1台，带动受益户数60户、400人及脱贫户及监测户34户、76人。经调查，项目的实施将有效促进村级集体经济发展，增加农民收入，促进合作社及经营主体机械化、智能化生产，主体满意度为100%，自评结果为“优秀”。</w:t>
      </w:r>
    </w:p>
    <w:p w14:paraId="70249B9C">
      <w:pPr>
        <w:shd w:val="solid" w:color="FFFFFF" w:fill="auto"/>
        <w:autoSpaceDN w:val="0"/>
        <w:spacing w:line="520" w:lineRule="exact"/>
        <w:ind w:firstLine="640"/>
        <w:rPr>
          <w:rStyle w:val="9"/>
          <w:rFonts w:hint="eastAsia" w:ascii="黑体" w:hAnsi="黑体" w:eastAsia="黑体" w:cs="黑体"/>
          <w:b w:val="0"/>
          <w:bCs w:val="0"/>
          <w:color w:val="auto"/>
          <w:sz w:val="32"/>
          <w:szCs w:val="32"/>
          <w:u w:val="none"/>
          <w:lang w:val="en-US" w:eastAsia="zh-CN"/>
        </w:rPr>
      </w:pPr>
      <w:r>
        <w:rPr>
          <w:rStyle w:val="9"/>
          <w:rFonts w:hint="eastAsia" w:ascii="黑体" w:hAnsi="黑体" w:eastAsia="黑体" w:cs="黑体"/>
          <w:b w:val="0"/>
          <w:bCs w:val="0"/>
          <w:color w:val="auto"/>
          <w:sz w:val="32"/>
          <w:szCs w:val="32"/>
          <w:u w:val="none"/>
          <w:lang w:val="en-US" w:eastAsia="zh-CN"/>
        </w:rPr>
        <w:t>四</w:t>
      </w:r>
      <w:r>
        <w:rPr>
          <w:rStyle w:val="9"/>
          <w:rFonts w:hint="default" w:ascii="黑体" w:hAnsi="黑体" w:eastAsia="黑体" w:cs="黑体"/>
          <w:b w:val="0"/>
          <w:bCs w:val="0"/>
          <w:color w:val="auto"/>
          <w:sz w:val="32"/>
          <w:szCs w:val="32"/>
          <w:u w:val="none"/>
          <w:lang w:val="en-US" w:eastAsia="zh-CN"/>
        </w:rPr>
        <w:t>、存在的主要问题</w:t>
      </w:r>
      <w:r>
        <w:rPr>
          <w:rStyle w:val="9"/>
          <w:rFonts w:hint="eastAsia" w:ascii="黑体" w:hAnsi="黑体" w:eastAsia="黑体" w:cs="黑体"/>
          <w:b w:val="0"/>
          <w:bCs w:val="0"/>
          <w:color w:val="auto"/>
          <w:sz w:val="32"/>
          <w:szCs w:val="32"/>
          <w:u w:val="none"/>
          <w:lang w:val="en-US" w:eastAsia="zh-CN"/>
        </w:rPr>
        <w:t>及原因分析</w:t>
      </w:r>
    </w:p>
    <w:p w14:paraId="43E170F3">
      <w:pPr>
        <w:shd w:val="solid" w:color="FFFFFF" w:fill="auto"/>
        <w:autoSpaceDN w:val="0"/>
        <w:spacing w:line="520" w:lineRule="exact"/>
        <w:ind w:firstLine="640"/>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无。</w:t>
      </w:r>
    </w:p>
    <w:p w14:paraId="15F54F07">
      <w:pPr>
        <w:shd w:val="solid" w:color="FFFFFF" w:fill="auto"/>
        <w:autoSpaceDN w:val="0"/>
        <w:spacing w:line="520" w:lineRule="exact"/>
        <w:ind w:firstLine="640"/>
        <w:rPr>
          <w:rStyle w:val="9"/>
          <w:rFonts w:hint="default" w:ascii="黑体" w:hAnsi="黑体" w:eastAsia="黑体" w:cs="黑体"/>
          <w:b w:val="0"/>
          <w:bCs w:val="0"/>
          <w:color w:val="auto"/>
          <w:sz w:val="32"/>
          <w:szCs w:val="32"/>
          <w:u w:val="none"/>
          <w:lang w:val="en-US" w:eastAsia="zh-CN"/>
        </w:rPr>
      </w:pPr>
      <w:r>
        <w:rPr>
          <w:rStyle w:val="9"/>
          <w:rFonts w:hint="eastAsia" w:ascii="黑体" w:hAnsi="黑体" w:eastAsia="黑体" w:cs="黑体"/>
          <w:b w:val="0"/>
          <w:bCs w:val="0"/>
          <w:color w:val="auto"/>
          <w:sz w:val="32"/>
          <w:szCs w:val="32"/>
          <w:u w:val="none"/>
          <w:lang w:val="en-US" w:eastAsia="zh-CN"/>
        </w:rPr>
        <w:t>五、</w:t>
      </w:r>
      <w:r>
        <w:rPr>
          <w:rStyle w:val="9"/>
          <w:rFonts w:hint="default" w:ascii="黑体" w:hAnsi="黑体" w:eastAsia="黑体" w:cs="黑体"/>
          <w:b w:val="0"/>
          <w:bCs w:val="0"/>
          <w:color w:val="auto"/>
          <w:sz w:val="32"/>
          <w:szCs w:val="32"/>
          <w:u w:val="none"/>
          <w:lang w:val="en-US" w:eastAsia="zh-CN"/>
        </w:rPr>
        <w:t>下一步</w:t>
      </w:r>
      <w:r>
        <w:rPr>
          <w:rStyle w:val="9"/>
          <w:rFonts w:hint="eastAsia" w:ascii="黑体" w:hAnsi="黑体" w:eastAsia="黑体" w:cs="黑体"/>
          <w:b w:val="0"/>
          <w:bCs w:val="0"/>
          <w:color w:val="auto"/>
          <w:sz w:val="32"/>
          <w:szCs w:val="32"/>
          <w:u w:val="none"/>
          <w:lang w:val="en-US" w:eastAsia="zh-CN"/>
        </w:rPr>
        <w:t>工作</w:t>
      </w:r>
      <w:r>
        <w:rPr>
          <w:rStyle w:val="9"/>
          <w:rFonts w:hint="default" w:ascii="黑体" w:hAnsi="黑体" w:eastAsia="黑体" w:cs="黑体"/>
          <w:b w:val="0"/>
          <w:bCs w:val="0"/>
          <w:color w:val="auto"/>
          <w:sz w:val="32"/>
          <w:szCs w:val="32"/>
          <w:u w:val="none"/>
          <w:lang w:val="en-US" w:eastAsia="zh-CN"/>
        </w:rPr>
        <w:t>建议</w:t>
      </w:r>
    </w:p>
    <w:p w14:paraId="5A1B164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湘潭县是农业大县，全县年蔬菜种植面积30万亩以上，油茶面积24.55万亩，茶叶面积2.15万亩，脐橙、沃柑、猕猴桃、草莓等水果6.8万亩，急需设施农业建设项目进行提档升级，增加产出效益，带动农民致富，因此，在今后的设施农业建设项目安排上，建议上级予以倾斜和支持。</w:t>
      </w:r>
    </w:p>
    <w:p w14:paraId="34C96AC6">
      <w:pPr>
        <w:shd w:val="solid" w:color="FFFFFF" w:fill="auto"/>
        <w:autoSpaceDN w:val="0"/>
        <w:spacing w:line="520" w:lineRule="exact"/>
        <w:ind w:firstLine="640"/>
        <w:rPr>
          <w:rStyle w:val="9"/>
          <w:rFonts w:hint="eastAsia" w:ascii="黑体" w:hAnsi="黑体" w:eastAsia="黑体" w:cs="黑体"/>
          <w:b w:val="0"/>
          <w:bCs w:val="0"/>
          <w:color w:val="auto"/>
          <w:sz w:val="32"/>
          <w:szCs w:val="32"/>
          <w:u w:val="none"/>
          <w:lang w:val="en-US" w:eastAsia="zh-CN"/>
        </w:rPr>
      </w:pPr>
      <w:r>
        <w:rPr>
          <w:rStyle w:val="9"/>
          <w:rFonts w:hint="default" w:ascii="黑体" w:hAnsi="黑体" w:eastAsia="黑体" w:cs="黑体"/>
          <w:b w:val="0"/>
          <w:bCs w:val="0"/>
          <w:color w:val="auto"/>
          <w:sz w:val="32"/>
          <w:szCs w:val="32"/>
          <w:u w:val="none"/>
          <w:lang w:val="en-US" w:eastAsia="zh-CN"/>
        </w:rPr>
        <w:t>六、绩效自评结果拟应用和公开情况</w:t>
      </w:r>
    </w:p>
    <w:p w14:paraId="0EE51F7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该项目自评结果将于12月30日前在湘潭县农业农村局网站进行公开公示。</w:t>
      </w:r>
    </w:p>
    <w:p w14:paraId="2F845B8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14:paraId="702C07F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湘潭县农业农村局</w:t>
      </w:r>
    </w:p>
    <w:p w14:paraId="682FB11F">
      <w:pPr>
        <w:pStyle w:val="2"/>
        <w:jc w:val="right"/>
      </w:pPr>
      <w:r>
        <w:rPr>
          <w:rFonts w:hint="eastAsia" w:ascii="仿宋_GB2312" w:hAnsi="仿宋_GB2312" w:eastAsia="仿宋_GB2312" w:cs="仿宋_GB2312"/>
          <w:sz w:val="32"/>
          <w:szCs w:val="32"/>
          <w:lang w:val="en-US" w:eastAsia="zh-CN"/>
        </w:rPr>
        <w:t xml:space="preserve">                        2024年12月1</w:t>
      </w:r>
      <w:r>
        <w:rPr>
          <w:rFonts w:hint="eastAsia" w:ascii="仿宋_GB2312" w:hAnsi="仿宋_GB2312" w:cs="仿宋_GB2312"/>
          <w:sz w:val="32"/>
          <w:szCs w:val="32"/>
          <w:lang w:val="en-US" w:eastAsia="zh-CN"/>
        </w:rPr>
        <w:t>9</w:t>
      </w:r>
      <w:r>
        <w:rPr>
          <w:rFonts w:hint="eastAsia" w:ascii="仿宋_GB2312" w:hAnsi="仿宋_GB2312" w:eastAsia="仿宋_GB2312" w:cs="仿宋_GB2312"/>
          <w:sz w:val="32"/>
          <w:szCs w:val="32"/>
          <w:lang w:val="en-US" w:eastAsia="zh-CN"/>
        </w:rPr>
        <w:t>日</w:t>
      </w:r>
      <w:r>
        <w:rPr>
          <w:rFonts w:hint="eastAsia" w:ascii="仿宋_GB2312" w:hAnsi="仿宋_GB2312" w:eastAsia="仿宋_GB2312" w:cs="仿宋_GB2312"/>
          <w:color w:val="FF0000"/>
          <w:sz w:val="32"/>
          <w:szCs w:val="32"/>
          <w:lang w:val="en-US" w:eastAsia="zh-CN"/>
        </w:rPr>
        <w:t xml:space="preserve">  </w:t>
      </w:r>
    </w:p>
    <w:sectPr>
      <w:pgSz w:w="11906" w:h="16838"/>
      <w:pgMar w:top="1440" w:right="1689" w:bottom="1440" w:left="1689" w:header="851" w:footer="992" w:gutter="0"/>
      <w:paperSrc/>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宋体"/>
    <w:panose1 w:val="00000000000000000000"/>
    <w:charset w:val="86"/>
    <w:family w:val="script"/>
    <w:pitch w:val="default"/>
    <w:sig w:usb0="00000000" w:usb1="00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E84A90"/>
    <w:rsid w:val="1B4004B9"/>
    <w:rsid w:val="43D070B3"/>
    <w:rsid w:val="44561DCF"/>
    <w:rsid w:val="44DA134B"/>
    <w:rsid w:val="4EBB54E6"/>
    <w:rsid w:val="5A715E56"/>
    <w:rsid w:val="620B6020"/>
    <w:rsid w:val="6DE84A90"/>
    <w:rsid w:val="7211059A"/>
    <w:rsid w:val="73CF42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10"/>
    <w:qFormat/>
    <w:uiPriority w:val="0"/>
    <w:pPr>
      <w:widowControl w:val="0"/>
      <w:adjustRightInd w:val="0"/>
      <w:snapToGrid w:val="0"/>
      <w:spacing w:line="590" w:lineRule="atLeast"/>
      <w:ind w:firstLine="200" w:firstLineChars="200"/>
      <w:jc w:val="both"/>
    </w:pPr>
    <w:rPr>
      <w:rFonts w:ascii="Times New Roman" w:hAnsi="Times New Roman" w:eastAsia="仿宋_GB2312" w:cs="Times New Roman"/>
      <w:kern w:val="2"/>
      <w:sz w:val="32"/>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3"/>
    <w:unhideWhenUsed/>
    <w:qFormat/>
    <w:uiPriority w:val="99"/>
    <w:pPr>
      <w:spacing w:after="120"/>
    </w:pPr>
  </w:style>
  <w:style w:type="paragraph" w:styleId="3">
    <w:name w:val="Title"/>
    <w:basedOn w:val="1"/>
    <w:next w:val="1"/>
    <w:qFormat/>
    <w:uiPriority w:val="0"/>
    <w:pPr>
      <w:outlineLvl w:val="0"/>
    </w:pPr>
    <w:rPr>
      <w:rFonts w:ascii="方正小标宋_GBK" w:hAnsi="方正小标宋_GBK" w:eastAsia="方正小标宋_GBK" w:cs="Arial"/>
      <w:b/>
      <w:color w:val="000000"/>
      <w:sz w:val="44"/>
      <w:szCs w:val="44"/>
    </w:rPr>
  </w:style>
  <w:style w:type="paragraph" w:styleId="4">
    <w:name w:val="Body Text Indent"/>
    <w:basedOn w:val="1"/>
    <w:qFormat/>
    <w:uiPriority w:val="99"/>
    <w:pPr>
      <w:tabs>
        <w:tab w:val="left" w:pos="630"/>
      </w:tabs>
      <w:adjustRightInd w:val="0"/>
      <w:ind w:firstLine="630"/>
      <w:textAlignment w:val="baseline"/>
    </w:pPr>
    <w:rPr>
      <w:rFonts w:ascii="Times New Roman" w:hAnsi="Times New Roman"/>
    </w:rPr>
  </w:style>
  <w:style w:type="paragraph" w:styleId="5">
    <w:name w:val="Normal (Web)"/>
    <w:basedOn w:val="1"/>
    <w:unhideWhenUsed/>
    <w:qFormat/>
    <w:uiPriority w:val="0"/>
    <w:pPr>
      <w:widowControl/>
      <w:tabs>
        <w:tab w:val="left" w:pos="1560"/>
      </w:tabs>
      <w:spacing w:before="100" w:beforeAutospacing="1" w:after="100" w:afterAutospacing="1"/>
      <w:jc w:val="left"/>
    </w:pPr>
    <w:rPr>
      <w:rFonts w:ascii="宋体" w:hAnsi="宋体" w:eastAsia="宋体" w:cs="宋体"/>
      <w:kern w:val="0"/>
      <w:sz w:val="24"/>
    </w:rPr>
  </w:style>
  <w:style w:type="paragraph" w:styleId="6">
    <w:name w:val="Body Text First Indent 2"/>
    <w:basedOn w:val="4"/>
    <w:qFormat/>
    <w:uiPriority w:val="99"/>
    <w:pPr>
      <w:ind w:firstLine="420"/>
    </w:pPr>
    <w:rPr>
      <w:sz w:val="22"/>
      <w:lang w:eastAsia="en-US"/>
    </w:rPr>
  </w:style>
  <w:style w:type="character" w:styleId="9">
    <w:name w:val="Hyperlink"/>
    <w:basedOn w:val="8"/>
    <w:unhideWhenUsed/>
    <w:qFormat/>
    <w:uiPriority w:val="0"/>
    <w:rPr>
      <w:color w:val="0000FF"/>
      <w:u w:val="single"/>
    </w:rPr>
  </w:style>
  <w:style w:type="character" w:customStyle="1" w:styleId="10">
    <w:name w:val="NormalCharacter"/>
    <w:link w:val="1"/>
    <w:qFormat/>
    <w:uiPriority w:val="0"/>
    <w:rPr>
      <w:rFonts w:ascii="Times New Roman" w:hAnsi="Times New Roman" w:eastAsia="仿宋_GB2312" w:cs="Times New Roman"/>
      <w:kern w:val="2"/>
      <w:sz w:val="32"/>
      <w:szCs w:val="24"/>
      <w:lang w:val="en-US" w:eastAsia="zh-CN" w:bidi="ar-SA"/>
    </w:rPr>
  </w:style>
  <w:style w:type="paragraph" w:customStyle="1" w:styleId="11">
    <w:name w:val="UserStyle_6"/>
    <w:basedOn w:val="1"/>
    <w:qFormat/>
    <w:uiPriority w:val="0"/>
    <w:pPr>
      <w:snapToGrid w:val="0"/>
      <w:spacing w:before="60" w:after="60" w:line="280" w:lineRule="atLeast"/>
      <w:jc w:val="both"/>
      <w:textAlignment w:val="baseline"/>
    </w:pPr>
    <w:rPr>
      <w:rFonts w:ascii="Times New Roman" w:hAnsi="Times New Roman" w:eastAsia="仿宋_GB2312"/>
      <w:kern w:val="2"/>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2056</Words>
  <Characters>2197</Characters>
  <Lines>0</Lines>
  <Paragraphs>0</Paragraphs>
  <TotalTime>9</TotalTime>
  <ScaleCrop>false</ScaleCrop>
  <LinksUpToDate>false</LinksUpToDate>
  <CharactersWithSpaces>2284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2024-12-19T08:05:00Z</dcterms:created>
  <dc:creator>Administrator</dc:creator>
  <cp:lastModifiedBy>Administrator</cp:lastModifiedBy>
  <dcterms:modified xsi:type="dcterms:W3CDTF">2024-12-19T12:51:47Z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551E38DE349B4DE5859EC3E8994083A6_11</vt:lpwstr>
  </property>
  <property fmtid="{D5CDD505-2E9C-101B-9397-08002B2CF9AE}" pid="4" name="KSOTemplateDocerSaveRecord">
    <vt:lpwstr>eyJoZGlkIjoiMGM2OTI2NjcxOWQxOTA2MTdkNGJmOGIxZmE4NGM2Y2EifQ==</vt:lpwstr>
  </property>
</Properties>
</file>