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996F2D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(2024年第21批）</w:t>
      </w:r>
      <w:bookmarkEnd w:id="0"/>
    </w:p>
    <w:p w14:paraId="39C6D6B7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174A76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C5FDC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0F4AE29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202FE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8D3448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4C9E7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4965048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6EEE23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2A27D0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5A457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5659AE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10BF5F5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1D10D2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2B490AE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CC50C6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014A6A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B3985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0098DC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AB0B0D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5C4F7F3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576260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0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3F1FF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94BBE6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动监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6A26E93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8E11056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杨江龙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屠宰依法应当检疫而未经检疫生猪案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60761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杨江龙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3E859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FCCDEE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杨江龙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57A780B">
            <w:pPr>
              <w:spacing w:line="680" w:lineRule="exact"/>
              <w:ind w:firstLine="420" w:firstLineChars="200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当事人屠宰生猪未申报检疫的行为，违反了《中华人民共和国动物防疫法》第二十九条第三项之规定，应当予以行政处罚。</w:t>
            </w:r>
          </w:p>
          <w:p w14:paraId="4A61CB87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C902EF6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_GB2312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根据《中华人民共和国动物防疫法》第一百条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  <w:t>参照《湖南省农业行政处罚自由裁量基准》（动物卫生监督）序号13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65D6A0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4AC4EC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046EC5D6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82E8A9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555E48DE"/>
    <w:sectPr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36CD3"/>
    <w:rsid w:val="1B636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2024-12-23T00:22:00Z</dcterms:created>
  <dc:creator>为于思周</dc:creator>
  <cp:lastModifiedBy>为于思周</cp:lastModifiedBy>
  <dcterms:modified xsi:type="dcterms:W3CDTF">2024-12-23T00:25:24Z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E189F93E23454EB0B84C71F6E482EB5E_11</vt:lpwstr>
  </property>
</Properties>
</file>