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340E4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(2024年第20批）</w:t>
      </w:r>
      <w:bookmarkEnd w:id="0"/>
    </w:p>
    <w:p w14:paraId="725DBA4F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154CA1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4093F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5FEA05B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27F32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C03DAF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FCB08D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30D08BE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34895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73289D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01F25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A8519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26717C8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4C037B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3FB5A8A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C87B0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4F11EB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B1042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080BA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72882D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3CE22D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169C9C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A6201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B61B01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06C0F2E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F68E00C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张谷初使用电鱼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破坏渔业资源方法进行捕捞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AE38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张谷初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5763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32AC10A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张谷初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34466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当事人违反了《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中华人民共和国渔业法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》第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三十条“禁止使用炸鱼、毒鱼、电鱼等破坏渔业资源的方法进行捕捞”之规定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98E302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依据《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中华人民共和国渔业法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》第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三十八条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规定：“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”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之规定，参照《湖南省农业行政处罚自由裁量权基准》（湘农发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〔 2024〕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6号）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3BBAB3A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A80CAF4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3116421A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4E2356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2A83F81A">
      <w:pPr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</w:p>
    <w:p w14:paraId="35DF8A42">
      <w:pPr>
        <w:tabs>
          <w:tab w:val="left" w:pos="5335"/>
        </w:tabs>
        <w:bidi w:val="0"/>
        <w:jc w:val="left"/>
        <w:rPr>
          <w:rFonts w:hint="eastAsia" w:ascii="Calibri" w:hAnsi="Calibri" w:eastAsia="宋体" w:cs="Times New Roman"/>
          <w:lang w:val="en-US" w:eastAsia="zh-CN"/>
        </w:rPr>
      </w:pPr>
    </w:p>
    <w:p w14:paraId="72736409"/>
    <w:sectPr>
      <w:pgSz w:w="16838" w:h="11906" w:orient="landscape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6532E"/>
    <w:rsid w:val="26E6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2024-12-03T00:46:00Z</dcterms:created>
  <dc:creator>为于思周</dc:creator>
  <cp:lastModifiedBy>为于思周</cp:lastModifiedBy>
  <dcterms:modified xsi:type="dcterms:W3CDTF">2024-12-03T00:48:07Z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ADA55968858246359A37CC4340AD313B_11</vt:lpwstr>
  </property>
</Properties>
</file>