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湘潭县行政审批服务局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部门整体支出绩效评价报告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</w:p>
    <w:tbl>
      <w:tblPr>
        <w:tblStyle w:val="5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湘潭县行政审批服务局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Cs w:val="21"/>
                <w:lang w:val="en-US" w:eastAsia="zh-CN"/>
              </w:rPr>
              <w:t>581.4</w:t>
            </w:r>
            <w:r>
              <w:rPr>
                <w:rFonts w:hint="eastAsia" w:ascii="仿宋_GB2312" w:hAnsi="宋体" w:eastAsia="仿宋_GB2312" w:cs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湘潭县人民政府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单位基本职能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1.负责组织拟订全县行政审批制度改革、政务公开协调、政务服务、电子政务管理、县长热线管理相关政策，制定、起草有关规定、制度和管理办法，并组织实施。对县直单位和乡镇进行业务指导。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.负责指导、协调、推进全县行政审批制度改革工作，承担协调指导全县“放管服”改革的日常工作。负责统筹推进全县审批服务便民化改革，负责指导、协调、监督全县三级政务服务体系和政务服务标准化建设。牵头组织规范全县行政审批和政务服务行为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3.负责推进、指导、协调、监督全县政务公开（政府信息公开、办事公开）工作，并负责县政府的政府信息公开的日常工作。负责全县政府网站建设管理工作，承担县政府门户网站主办职责，统筹规划、监督全县政府系统网站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4.统筹推进、协调、监督全县政府系统电子政务、“互联网+政务服务”、政务数据资源体系建设与管理工作。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5.统筹推进县长热线和“县长信箱”工作。负责市民通过县长热线向县政府进行的咨询建议、投诉、求助等事项的处理。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6.负责全县中介超市管理工作，承担中介超市标准化建设和管理职能，指导、协调、考评各单位中介超市管理机构业务工作。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7.完成县委、县人民政府交办的其他任务。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绩效完成情况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部门整体支出管理和使用基本情况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1、预算执行情况：全年支出合计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661.98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万元，其中，基本支出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241.1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万元，项目支出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420.88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万元。从经济分类支出上看，工资福利支出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252.27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万元，商品和服务支出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259.81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万元，对个人和家庭的补助支出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1.8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万元，资本性支出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148.1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万元。</w:t>
            </w:r>
            <w:bookmarkStart w:id="0" w:name="_GoBack"/>
            <w:bookmarkEnd w:id="0"/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2、“三公经费”年初预算0万元，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eastAsia="zh-CN"/>
              </w:rPr>
              <w:t>年终追加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1万元，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支出合计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0.34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万元，严格控制在财政年初预算内。其中：公务接待费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  <w:lang w:val="en-US" w:eastAsia="zh-CN"/>
              </w:rPr>
              <w:t>0.34</w:t>
            </w: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万元，公务用车购置及运行维护费0万元，无因公出国（境）费。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3、资金管理情况。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一是严格按照“量入而出”“依法收入、依规支出”、“账款分离”的原则进行资金管理;二是严格遵守财经纪律，对差旅费、公务接待、培训费，按照财政文件规定报销，严控三公经费支出，保证单位基本支出，达到了财政资金的使用效果。三是严格专项资金管理。专项资金的管理严格按照“专款专用”的原则，不挪用、不占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2023年以来，在县委县政府的坚强领导下，县行政审批局持续深化“放管服”改革，切实推动营商政务环境再优化，集中解决一批发展所需、改革所急、基层所盼、民心所向的问题，探索形成了政务大厅“三化”建设、“清廉大厅”建设、“政务小莲”新型服务模式等一批改革经验成果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一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2023年工作完成情况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21"/>
              </w:rPr>
              <w:t>依托主题教育凝心聚力，推动党建工作迈上新台阶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今年10月，</w:t>
            </w:r>
            <w:r>
              <w:rPr>
                <w:rFonts w:hint="eastAsia" w:ascii="仿宋_GB2312" w:hAnsi="宋体" w:eastAsia="仿宋_GB2312" w:cs="宋体"/>
                <w:szCs w:val="21"/>
              </w:rPr>
              <w:t>省主题教育指导组对大厅党建工作、主题教育活动情况给予高度评价。成功创建市级“清廉大厅”，获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评</w:t>
            </w:r>
            <w:r>
              <w:rPr>
                <w:rFonts w:hint="eastAsia" w:ascii="仿宋_GB2312" w:hAnsi="宋体" w:eastAsia="仿宋_GB2312" w:cs="宋体"/>
                <w:szCs w:val="21"/>
              </w:rPr>
              <w:t>省政务局十大改革品牌。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一是</w:t>
            </w:r>
            <w:r>
              <w:rPr>
                <w:rFonts w:hint="eastAsia" w:ascii="仿宋_GB2312" w:hAnsi="宋体" w:eastAsia="仿宋_GB2312" w:cs="宋体"/>
                <w:szCs w:val="21"/>
              </w:rPr>
              <w:t>分层分类学习，增强理论学习实效。每月开展1-2次党组中心组理论学习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联合</w:t>
            </w:r>
            <w:r>
              <w:rPr>
                <w:rFonts w:hint="eastAsia" w:ascii="仿宋_GB2312" w:hAnsi="宋体" w:eastAsia="仿宋_GB2312" w:cs="宋体"/>
                <w:szCs w:val="21"/>
              </w:rPr>
              <w:t>功能型党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支部</w:t>
            </w:r>
            <w:r>
              <w:rPr>
                <w:rFonts w:hint="eastAsia" w:ascii="仿宋_GB2312" w:hAnsi="宋体" w:eastAsia="仿宋_GB2312" w:cs="宋体"/>
                <w:szCs w:val="21"/>
              </w:rPr>
              <w:t>，每月开展一次主题党日活动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，扎实推进主题教育。</w:t>
            </w:r>
            <w:r>
              <w:rPr>
                <w:rFonts w:hint="eastAsia" w:ascii="仿宋_GB2312" w:hAnsi="宋体" w:eastAsia="仿宋_GB2312" w:cs="宋体"/>
                <w:szCs w:val="21"/>
              </w:rPr>
              <w:t>大力推动“党建+窗口建设”，全年共评选展示“党员示范岗”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32</w:t>
            </w:r>
            <w:r>
              <w:rPr>
                <w:rFonts w:hint="eastAsia" w:ascii="仿宋_GB2312" w:hAnsi="宋体" w:eastAsia="仿宋_GB2312" w:cs="宋体"/>
                <w:szCs w:val="21"/>
              </w:rPr>
              <w:t>人次，“红旗窗口”12个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szCs w:val="21"/>
              </w:rPr>
              <w:t>持续擦亮“党建+政务服务”品牌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</w:rPr>
              <w:t>开展“窗口党员亮身份学榜样”活动，全年收到群众表扬信34封，锦旗5面。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二是</w:t>
            </w:r>
            <w:r>
              <w:rPr>
                <w:rFonts w:hint="eastAsia" w:ascii="仿宋_GB2312" w:hAnsi="宋体" w:eastAsia="仿宋_GB2312" w:cs="宋体"/>
                <w:szCs w:val="21"/>
              </w:rPr>
              <w:t>紧贴发展大局，破解干事创业难题。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严格落实意识形态工作责任制，开展专题分析研判7次。聚焦党外干部培养，选配3名优秀党外干部担任股室负责人。派出党员到茶恩寺镇桥市村担任乡村振兴工作队长，局14名党员干部分别在云湖桥七里铺村结对24户，定期走访慰问。坚持党管武装，成立大数据排，开展为期10天9夜的连贯演练。乡村振兴、</w:t>
            </w:r>
            <w:r>
              <w:rPr>
                <w:rFonts w:hint="default" w:ascii="仿宋_GB2312" w:hAnsi="宋体" w:eastAsia="仿宋_GB2312" w:cs="宋体"/>
                <w:szCs w:val="21"/>
                <w:lang w:val="en-US" w:eastAsia="zh-CN"/>
              </w:rPr>
              <w:t>综治民调、信访维稳、安全生产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、依法治县</w:t>
            </w:r>
            <w:r>
              <w:rPr>
                <w:rFonts w:hint="default" w:ascii="仿宋_GB2312" w:hAnsi="宋体" w:eastAsia="仿宋_GB2312" w:cs="宋体"/>
                <w:szCs w:val="21"/>
                <w:lang w:val="en-US" w:eastAsia="zh-CN"/>
              </w:rPr>
              <w:t>等各项工作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均</w:t>
            </w:r>
            <w:r>
              <w:rPr>
                <w:rFonts w:hint="default" w:ascii="仿宋_GB2312" w:hAnsi="宋体" w:eastAsia="仿宋_GB2312" w:cs="宋体"/>
                <w:szCs w:val="21"/>
                <w:lang w:val="en-US" w:eastAsia="zh-CN"/>
              </w:rPr>
              <w:t>有序推进。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三是</w:t>
            </w:r>
            <w:r>
              <w:rPr>
                <w:rFonts w:hint="eastAsia" w:ascii="仿宋_GB2312" w:hAnsi="宋体" w:eastAsia="仿宋_GB2312" w:cs="宋体"/>
                <w:szCs w:val="21"/>
              </w:rPr>
              <w:t>认真检视整改，永葆党员政治本色。聚焦树立和践行正确政绩观，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深入</w:t>
            </w:r>
            <w:r>
              <w:rPr>
                <w:rFonts w:hint="eastAsia" w:ascii="仿宋_GB2312" w:hAnsi="宋体" w:eastAsia="仿宋_GB2312" w:cs="宋体"/>
                <w:szCs w:val="21"/>
              </w:rPr>
              <w:t>开展“镜鉴”以案促改促建促治专项活动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szCs w:val="21"/>
              </w:rPr>
              <w:t>持续开展“清廉大厅”等清廉单元建设，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构建“五廉一体”工作机制，</w:t>
            </w:r>
            <w:r>
              <w:rPr>
                <w:rFonts w:hint="eastAsia" w:ascii="仿宋_GB2312" w:hAnsi="宋体" w:eastAsia="仿宋_GB2312" w:cs="宋体"/>
                <w:szCs w:val="21"/>
              </w:rPr>
              <w:t>举办“清廉文化展”，打造“清廉书吧”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营造尊廉崇廉氛围。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2、推动“放管服”走深走实，打造营商政务环境新高地。优化项目审批服务效能，我县2022年政务服务指标全省排名第4，获评县优化营商环境工作先进集体。一是深化“智慧大厅”建设，办事环境再优化。持续巩固“三化”建设成果，县政务大厅由单一办事大厅向现代化“政务综合体”转型升级。</w:t>
            </w:r>
            <w:r>
              <w:rPr>
                <w:rFonts w:hint="eastAsia" w:ascii="仿宋_GB2312" w:hAnsi="宋体" w:eastAsia="仿宋_GB2312" w:cs="宋体"/>
                <w:szCs w:val="21"/>
              </w:rPr>
              <w:t>2023年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县政务大厅</w:t>
            </w:r>
            <w:r>
              <w:rPr>
                <w:rFonts w:hint="eastAsia" w:ascii="仿宋_GB2312" w:hAnsi="宋体" w:eastAsia="仿宋_GB2312" w:cs="宋体"/>
                <w:szCs w:val="21"/>
              </w:rPr>
              <w:t>各窗口办件总量516455件，服务群众526542人次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。二是</w:t>
            </w:r>
            <w:r>
              <w:rPr>
                <w:rFonts w:hint="eastAsia" w:ascii="仿宋_GB2312" w:hAnsi="宋体" w:eastAsia="仿宋_GB2312" w:cs="宋体"/>
                <w:szCs w:val="21"/>
              </w:rPr>
              <w:t>探索“一件事一次办”，集成改革再提档。推出31个主题式、套餐式场景应用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</w:rPr>
              <w:t>拓展市政联合报装、农村住房建设等“一件事一次办”事项落地实施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今年</w:t>
            </w:r>
            <w:r>
              <w:rPr>
                <w:rFonts w:hint="eastAsia" w:ascii="仿宋_GB2312" w:hAnsi="宋体" w:eastAsia="仿宋_GB2312" w:cs="宋体"/>
                <w:szCs w:val="21"/>
              </w:rPr>
              <w:t>与5省8地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新</w:t>
            </w:r>
            <w:r>
              <w:rPr>
                <w:rFonts w:hint="eastAsia" w:ascii="仿宋_GB2312" w:hAnsi="宋体" w:eastAsia="仿宋_GB2312" w:cs="宋体"/>
                <w:szCs w:val="21"/>
              </w:rPr>
              <w:t>签订“云上办”政务服务“跨省通办”合作联盟协议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</w:rPr>
              <w:t>已为异地企业群众提供服务3.2万人次。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三是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深化“综窗受理”改革，政务服务再升级。规范县、乡、村三级政务服务场所名称和标识、科学设置设施设备和功能窗口、建立健全各项工作制度。建设专业综窗队伍，提供全流程帮代办服务；开设企业专区，助力市场主体提升活力；开通绿色通道，助力特殊人群便捷办事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3、围绕民生需求“揭榜竞优”，构建高效政务服务新格局，创新推出“政务小莲”系列服务模式，相关工作经验被人民日报、学习强国、湖南新闻联播、湘潭日报头版等媒体报道，被省政府办公厅《“三送三解三优”行动工作专报》、省政务局《政务管理服务工作专刊》、省工改办《工程建设项目审批制度改革动态简报》作为典型经验推介。一是推出“政务小莲当管家”，做响“品质牌”。创新“领导小组+政务小莲管家团”模式，时间前移至招商引资，空间前移至项目工地。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如省重点民生实事“特立海航楼”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仅用27个自然日完成全部审批，全省首个动工落地。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今年已</w:t>
            </w:r>
            <w:r>
              <w:rPr>
                <w:rFonts w:hint="eastAsia" w:ascii="仿宋_GB2312" w:hAnsi="宋体" w:eastAsia="仿宋_GB2312" w:cs="宋体"/>
                <w:szCs w:val="21"/>
              </w:rPr>
              <w:t>服务企业项目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326</w:t>
            </w:r>
            <w:r>
              <w:rPr>
                <w:rFonts w:hint="eastAsia" w:ascii="仿宋_GB2312" w:hAnsi="宋体" w:eastAsia="仿宋_GB2312" w:cs="宋体"/>
                <w:szCs w:val="21"/>
              </w:rPr>
              <w:t>家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，“百十亿”工程连续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季度获评先进单位。二是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推出“政务小莲说政策”，擦亮“创新牌”。</w:t>
            </w:r>
            <w:r>
              <w:rPr>
                <w:rFonts w:hint="eastAsia" w:ascii="仿宋_GB2312" w:hAnsi="宋体" w:eastAsia="仿宋_GB2312" w:cs="宋体"/>
                <w:szCs w:val="21"/>
              </w:rPr>
              <w:t>依托“莲乡微政务”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等媒体</w:t>
            </w:r>
            <w:r>
              <w:rPr>
                <w:rFonts w:hint="eastAsia" w:ascii="仿宋_GB2312" w:hAnsi="宋体" w:eastAsia="仿宋_GB2312" w:cs="宋体"/>
                <w:szCs w:val="21"/>
              </w:rPr>
              <w:t>，积极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探索</w:t>
            </w:r>
            <w:r>
              <w:rPr>
                <w:rFonts w:hint="eastAsia" w:ascii="仿宋_GB2312" w:hAnsi="宋体" w:eastAsia="仿宋_GB2312" w:cs="宋体"/>
                <w:szCs w:val="21"/>
              </w:rPr>
              <w:t>视频导办服务和政务直播服务。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今年共</w:t>
            </w:r>
            <w:r>
              <w:rPr>
                <w:rFonts w:hint="eastAsia" w:ascii="仿宋_GB2312" w:hAnsi="宋体" w:eastAsia="仿宋_GB2312" w:cs="宋体"/>
                <w:szCs w:val="21"/>
              </w:rPr>
              <w:t>发布了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宋体"/>
                <w:szCs w:val="21"/>
              </w:rPr>
              <w:t>期短视频，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4场</w:t>
            </w:r>
            <w:r>
              <w:rPr>
                <w:rFonts w:hint="eastAsia" w:ascii="仿宋_GB2312" w:hAnsi="宋体" w:eastAsia="仿宋_GB2312" w:cs="宋体"/>
                <w:szCs w:val="21"/>
              </w:rPr>
              <w:t>政务云直播，在抖音、视频号、APP等平台共计阅读量达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540</w:t>
            </w:r>
            <w:r>
              <w:rPr>
                <w:rFonts w:hint="eastAsia" w:ascii="仿宋_GB2312" w:hAnsi="宋体" w:eastAsia="仿宋_GB2312" w:cs="宋体"/>
                <w:szCs w:val="21"/>
              </w:rPr>
              <w:t>余万次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。三是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推出“政务小莲解难题”，打好“温暖牌”。</w:t>
            </w:r>
            <w:r>
              <w:rPr>
                <w:rFonts w:hint="eastAsia" w:ascii="仿宋_GB2312" w:hAnsi="宋体" w:eastAsia="仿宋_GB2312" w:cs="宋体"/>
                <w:szCs w:val="21"/>
              </w:rPr>
              <w:t>聚焦企业群众办事过程中出现的“无法办理”“难以办理”“不予办理”等问题，由党员干部牵头一对一进行督导核实处理。今年以来累计受理反映问题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3034</w:t>
            </w:r>
            <w:r>
              <w:rPr>
                <w:rFonts w:hint="eastAsia" w:ascii="仿宋_GB2312" w:hAnsi="宋体" w:eastAsia="仿宋_GB2312" w:cs="宋体"/>
                <w:szCs w:val="21"/>
              </w:rPr>
              <w:t>件，其中涉及民生事件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2589</w:t>
            </w:r>
            <w:r>
              <w:rPr>
                <w:rFonts w:hint="eastAsia" w:ascii="仿宋_GB2312" w:hAnsi="宋体" w:eastAsia="仿宋_GB2312" w:cs="宋体"/>
                <w:szCs w:val="21"/>
              </w:rPr>
              <w:t>件。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4、做实“湘易办”建设升级，创新高效服务群众新模式。多措并举开展省重点民生实事任务“湘易办”推广工作，我县注册任务完成率排名全市第一、全省第六。被市局推荐争创省政务局2023年“湘易办”真抓实干激励表彰。一是三级联动推广全覆盖。引导全县各部门、乡镇、村（社区）开展全方位、多渠道的“湘易办”宣传推广，通过“线上+线下”多种方式引导企业群众注册。二是创新宣传推广新模式。在县政务大厅设置“湘易办”体验中心，县政府门户网站开设“湘易办专区”，各类网站发布宣传报道113篇次，组织县乡村三级现场推广活动100余场。三是立足需求推广强应用。在“湘易办”APP服务端打造县级政务服务旗舰店和“政务小莲”特色专区，旗舰店上线服务事项421项，汇聚电子证照56类。发布惠企政策文件96条，政策兑现事项228个，已办6885件。对接洽谈建设银行和京湘供水实现在线便民缴费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5、推动数据信息联通融合，夯实云上政务运行新基础。数字政府建设推动有力，今年由我局牵头成立湘潭县数字化建设委员会，建立湘潭县数字经济产业合作联席会议制度。一是</w:t>
            </w:r>
            <w:r>
              <w:rPr>
                <w:rFonts w:hint="eastAsia" w:ascii="仿宋_GB2312" w:hAnsi="宋体" w:eastAsia="仿宋_GB2312" w:cs="宋体"/>
                <w:szCs w:val="21"/>
              </w:rPr>
              <w:t>以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便捷高效</w:t>
            </w:r>
            <w:r>
              <w:rPr>
                <w:rFonts w:hint="eastAsia" w:ascii="仿宋_GB2312" w:hAnsi="宋体" w:eastAsia="仿宋_GB2312" w:cs="宋体"/>
                <w:szCs w:val="21"/>
              </w:rPr>
              <w:t>为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导向</w:t>
            </w:r>
            <w:r>
              <w:rPr>
                <w:rFonts w:hint="eastAsia" w:ascii="仿宋_GB2312" w:hAnsi="宋体" w:eastAsia="仿宋_GB2312" w:cs="宋体"/>
                <w:szCs w:val="21"/>
              </w:rPr>
              <w:t>，加强平台管理。2023年通过政务服务一体化平台办件31.64万件，全程网办率达到73.43%，通过“互联网+监管”系统录入监管行为14106条，向市大数据中心汇交数据752万条，“好差评”系统好评率达99.99%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</w:rPr>
              <w:t>行政效能各项指标均处于全市前列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。二是</w:t>
            </w:r>
            <w:r>
              <w:rPr>
                <w:rFonts w:hint="eastAsia" w:ascii="仿宋_GB2312" w:hAnsi="宋体" w:eastAsia="仿宋_GB2312" w:cs="宋体"/>
                <w:szCs w:val="21"/>
              </w:rPr>
              <w:t>以助企纾困为根本，力推中介超市。制定出台《关于进一步推进网上中介服务超市应用的通知》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</w:rPr>
              <w:t>主动对接20多家单位了解采购需求。我县在湖南省网上中介超市新入驻委托人146家、中介机构32家，发布公告189个，居全市前列。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三是</w:t>
            </w:r>
            <w:r>
              <w:rPr>
                <w:rFonts w:hint="eastAsia" w:ascii="仿宋_GB2312" w:hAnsi="宋体" w:eastAsia="仿宋_GB2312" w:cs="宋体"/>
                <w:szCs w:val="21"/>
              </w:rPr>
              <w:t>以简政放权为核心，推行清单管理。编制本县行政许可事项清单共计255项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</w:rPr>
              <w:t>填报、发布涉企经营许可承诺事项96项，本年度办件279件。重新梳理赋权天易经开区36项经济社会管理权限并完成委托协议书签订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6、聚焦政府运行透明规范，打造一流政务公开新标杆。深化政务公开工作，我局获评“省政府办公厅2018—2022年全省政务公开工作先进单位”。一是政务公开平台持续优化。今年县门户网站网站累计发布信息1.25万余条，访问量1031万余次，公众号累计发布信息529条、视频75期。全面完成适老化及无障碍改造，真正实现让特殊群体均享受数字化技术带来的便利。二是三级公开体系不断健全。打造多功能政务公开线下专区，设置自助查询、资料阅览、公开申请接收、政策咨询、图书阅读等功能模块，累计解答咨询1.2万余人次，受理并办结依申请公开53件。以“1+17+N</w:t>
            </w:r>
            <w:r>
              <w:rPr>
                <w:rFonts w:hint="default" w:ascii="仿宋_GB2312" w:hAnsi="宋体" w:eastAsia="仿宋_GB2312" w:cs="宋体"/>
                <w:szCs w:val="21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的形式三级联动开展“政务公开主题日”活动。三是热线办理质效全面提升。按照“快、优、便、实”的要求开展热线工作，按月对热线运行情况进行分析通报，供县领导决策和接受群众监督，今年共受理诉求32968件，交办有效工单18125件次。7月1日，湘潭县热线话务率先归并市级平台管理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二、存在的问题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1、审批事项集中不够彻底。配套设施设备缺乏，无法承接专业性极强的审批事项，个别单位极个别关键事项没有实质移交。县级政务大厅场地受限，我县另外设有公安、民政、住房公积金、税务等4个政务服务分中心，部分政务服务事项仍有“两头跑”现象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2、部分政务服务达不到群众预期。个别群众诉求期望过高，部分诉求受条件限制无法达到预期值，如高速路占地拆迁等赔偿的期望值过高；少数部门主体责任意识不强，如工单到期经提示仍迟迟不反馈；在统筹协作方面功夫下得不够足等问题，如涉及多部门主管的噪音扰民问题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202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Cs w:val="21"/>
              </w:rPr>
              <w:t>年，我局将紧紧围绕和服务发展的大局，扛牢主责、抓好主业、当好主角，在优化我县营商环境、优化政务服务过程中勇挑重担、奋力争先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21"/>
              </w:rPr>
              <w:t>高质量打造出政务服务现代化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szCs w:val="21"/>
              </w:rPr>
              <w:t>“湘潭县样板”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。</w:t>
            </w:r>
          </w:p>
          <w:p>
            <w:pPr>
              <w:spacing w:line="56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1.绩效目标的编制有待完善。</w:t>
            </w:r>
          </w:p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2.预算与实际支出明细存在偏差,其项目实际支出与预算支出列支的科目存在差异，预算编制欠精准。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3.基本支出因年初预算不足，造成资金短缺。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1.完善绩效目标编制工作，不断加强预算编制管理，保障预算编制的合理性、科学性.</w:t>
            </w:r>
          </w:p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2.提高对财政绩效管理的认识，提高自评管理水平，严格按照《湖南省预算绩效目标管理办法》的要求编制绩效目标，且目标需与年度的任务数或计划数相对应。</w:t>
            </w:r>
          </w:p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.及时与上级财政部门搞好协调，确保指标的下达及时，加强财经管理，实际支出严格按年初预算执行，提高公用经费的管理，合理安排，科学管理，合理安排预算支出，项目实施和资金的使用，严格按照规定进行，从而减少预算与实际执行的差异。</w:t>
            </w:r>
          </w:p>
          <w:p>
            <w:pPr>
              <w:spacing w:line="576" w:lineRule="exact"/>
              <w:ind w:right="-6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4.加强资金使用管理。在今后的工作中加强对专项资金使用的检查，对财政专项资金的资金用途严格审核，对资金的支出明细进行逐笔核查，发现有账务处理不恰当的及时调整，确保专款专用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无</w:t>
            </w:r>
          </w:p>
        </w:tc>
      </w:tr>
    </w:tbl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YWJmMjc5OTE2NmM3YzAyNTAzZjM3MzhjMmVjODkifQ=="/>
  </w:docVars>
  <w:rsids>
    <w:rsidRoot w:val="005F0930"/>
    <w:rsid w:val="000054C8"/>
    <w:rsid w:val="0003302E"/>
    <w:rsid w:val="00050B25"/>
    <w:rsid w:val="000900A8"/>
    <w:rsid w:val="00105C6C"/>
    <w:rsid w:val="00173345"/>
    <w:rsid w:val="001B7705"/>
    <w:rsid w:val="001C4231"/>
    <w:rsid w:val="001E20D0"/>
    <w:rsid w:val="001F3954"/>
    <w:rsid w:val="00216B97"/>
    <w:rsid w:val="00245452"/>
    <w:rsid w:val="002B4636"/>
    <w:rsid w:val="002C6B78"/>
    <w:rsid w:val="002E07EB"/>
    <w:rsid w:val="002F510C"/>
    <w:rsid w:val="003E5D56"/>
    <w:rsid w:val="0040110D"/>
    <w:rsid w:val="004553CC"/>
    <w:rsid w:val="004656BD"/>
    <w:rsid w:val="00493F61"/>
    <w:rsid w:val="004B1902"/>
    <w:rsid w:val="0050549F"/>
    <w:rsid w:val="00577044"/>
    <w:rsid w:val="005F0930"/>
    <w:rsid w:val="00665E23"/>
    <w:rsid w:val="00670EA6"/>
    <w:rsid w:val="006B49CB"/>
    <w:rsid w:val="006E0A28"/>
    <w:rsid w:val="006E3EA8"/>
    <w:rsid w:val="00701272"/>
    <w:rsid w:val="00736FFB"/>
    <w:rsid w:val="00754A3C"/>
    <w:rsid w:val="00757FF0"/>
    <w:rsid w:val="0080588F"/>
    <w:rsid w:val="00823E07"/>
    <w:rsid w:val="00833CD5"/>
    <w:rsid w:val="008813D4"/>
    <w:rsid w:val="00893EA1"/>
    <w:rsid w:val="00894F9E"/>
    <w:rsid w:val="008B1732"/>
    <w:rsid w:val="008B17BB"/>
    <w:rsid w:val="008D0794"/>
    <w:rsid w:val="00936B88"/>
    <w:rsid w:val="00A27121"/>
    <w:rsid w:val="00A44212"/>
    <w:rsid w:val="00B57418"/>
    <w:rsid w:val="00B94B8C"/>
    <w:rsid w:val="00CA30CB"/>
    <w:rsid w:val="00CA71F2"/>
    <w:rsid w:val="00D306A2"/>
    <w:rsid w:val="00D3362F"/>
    <w:rsid w:val="00D43C72"/>
    <w:rsid w:val="00DB19D9"/>
    <w:rsid w:val="00DF6E76"/>
    <w:rsid w:val="00E2492C"/>
    <w:rsid w:val="00E46591"/>
    <w:rsid w:val="00E54BAD"/>
    <w:rsid w:val="00E93C04"/>
    <w:rsid w:val="00EC05DB"/>
    <w:rsid w:val="00EE2014"/>
    <w:rsid w:val="00EF785C"/>
    <w:rsid w:val="00F03C52"/>
    <w:rsid w:val="00F14EF1"/>
    <w:rsid w:val="00F15CDB"/>
    <w:rsid w:val="00F27793"/>
    <w:rsid w:val="00F4441E"/>
    <w:rsid w:val="00F804F4"/>
    <w:rsid w:val="00FF7C8B"/>
    <w:rsid w:val="010315EB"/>
    <w:rsid w:val="070E1496"/>
    <w:rsid w:val="11D1642E"/>
    <w:rsid w:val="170145B0"/>
    <w:rsid w:val="182358BF"/>
    <w:rsid w:val="1C7D24D5"/>
    <w:rsid w:val="1FCFA93A"/>
    <w:rsid w:val="2492284F"/>
    <w:rsid w:val="304C6D7A"/>
    <w:rsid w:val="34E119F6"/>
    <w:rsid w:val="37FB25F1"/>
    <w:rsid w:val="3F166D9F"/>
    <w:rsid w:val="453464C4"/>
    <w:rsid w:val="4FF34A75"/>
    <w:rsid w:val="4FFF34C8"/>
    <w:rsid w:val="52A95213"/>
    <w:rsid w:val="5BDC6004"/>
    <w:rsid w:val="5BF7C6DE"/>
    <w:rsid w:val="5FCF1746"/>
    <w:rsid w:val="64061C85"/>
    <w:rsid w:val="65CC3995"/>
    <w:rsid w:val="71E56070"/>
    <w:rsid w:val="77BF9158"/>
    <w:rsid w:val="7F3BE3A3"/>
    <w:rsid w:val="A5BF639B"/>
    <w:rsid w:val="C5FEBE23"/>
    <w:rsid w:val="D9EE9FE0"/>
    <w:rsid w:val="DFEFCACA"/>
    <w:rsid w:val="F7B9D3FE"/>
    <w:rsid w:val="FDBBA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styleId="10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11">
    <w:name w:val="15"/>
    <w:qFormat/>
    <w:uiPriority w:val="0"/>
    <w:rPr>
      <w:rFonts w:hint="default" w:ascii="Calibri" w:hAnsi="Calibri"/>
      <w:b/>
      <w:bCs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765</Words>
  <Characters>4361</Characters>
  <Lines>36</Lines>
  <Paragraphs>10</Paragraphs>
  <TotalTime>48</TotalTime>
  <ScaleCrop>false</ScaleCrop>
  <LinksUpToDate>false</LinksUpToDate>
  <CharactersWithSpaces>5116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2017-03-06T21:05:00Z</dcterms:created>
  <dc:creator>LJ</dc:creator>
  <cp:lastModifiedBy>kylin</cp:lastModifiedBy>
  <dcterms:modified xsi:type="dcterms:W3CDTF">2024-11-27T09:31:45Z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9D42FCAAFAC94F7595734667C054A7BF</vt:lpwstr>
  </property>
</Properties>
</file>